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443E2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86DE6" w:rsidP="0010095E" w14:paraId="731F38B6" w14:textId="77777777">
            <w:pPr>
              <w:pStyle w:val="EPName"/>
            </w:pPr>
            <w:r w:rsidRPr="00286DE6">
              <w:t>Parlament Ewropew</w:t>
            </w:r>
          </w:p>
          <w:p w:rsidR="00751A4A" w:rsidRPr="00286DE6" w:rsidP="005F1B17" w14:paraId="0FCF9AE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86DE6">
              <w:t>2024</w:t>
            </w:r>
            <w:r w:rsidRPr="00286DE6" w:rsidR="00817416">
              <w:t>-202</w:t>
            </w:r>
            <w:r w:rsidRPr="00286D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86DE6" w:rsidP="0010095E" w14:paraId="2A75477D" w14:textId="77777777">
            <w:pPr>
              <w:pStyle w:val="EPLogo"/>
            </w:pPr>
            <w:r w:rsidRPr="00286DE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86DE6" w:rsidP="004C5D52" w14:paraId="051163C5" w14:textId="77777777">
      <w:pPr>
        <w:pStyle w:val="LineTop"/>
      </w:pPr>
    </w:p>
    <w:p w:rsidR="00680577" w:rsidRPr="00286DE6" w:rsidP="00680577" w14:paraId="072D2AF3" w14:textId="77777777">
      <w:pPr>
        <w:pStyle w:val="EPBodyTA1"/>
      </w:pPr>
      <w:r w:rsidRPr="00286DE6">
        <w:t>TESTI ADOTTATI</w:t>
      </w:r>
    </w:p>
    <w:p w:rsidR="00D058B8" w:rsidRPr="00286DE6" w:rsidP="00D058B8" w14:paraId="6AD57076" w14:textId="77777777">
      <w:pPr>
        <w:pStyle w:val="LineBottom"/>
      </w:pPr>
    </w:p>
    <w:p w:rsidR="00A46EC9" w:rsidRPr="00286DE6" w:rsidP="00A46EC9" w14:paraId="194843F3" w14:textId="04CF0C36">
      <w:pPr>
        <w:pStyle w:val="ATHeading1"/>
      </w:pPr>
      <w:bookmarkStart w:id="0" w:name="TANumber"/>
      <w:r w:rsidRPr="00286DE6">
        <w:t>P10_TA(2026)0</w:t>
      </w:r>
      <w:r w:rsidR="00092094">
        <w:t>252</w:t>
      </w:r>
      <w:bookmarkEnd w:id="0"/>
    </w:p>
    <w:p w:rsidR="00A46EC9" w:rsidRPr="00286DE6" w:rsidP="00A46EC9" w14:paraId="0463761B" w14:textId="67687021">
      <w:pPr>
        <w:pStyle w:val="ATHeading2"/>
      </w:pPr>
      <w:bookmarkStart w:id="1" w:name="title"/>
      <w:r w:rsidRPr="00286DE6">
        <w:t xml:space="preserve">Oġġezzjoni </w:t>
      </w:r>
      <w:r w:rsidR="00B511F5">
        <w:t>għal att delegat</w:t>
      </w:r>
      <w:r w:rsidRPr="00286DE6">
        <w:t xml:space="preserve">: </w:t>
      </w:r>
      <w:r w:rsidRPr="00286DE6">
        <w:t>trajettorja</w:t>
      </w:r>
      <w:r w:rsidRPr="00286DE6">
        <w:t xml:space="preserve"> biex jitnaqqas il-kontribut ta’ </w:t>
      </w:r>
      <w:r w:rsidRPr="00286DE6">
        <w:t>bijokarburanti</w:t>
      </w:r>
      <w:r w:rsidRPr="00286DE6">
        <w:t xml:space="preserve">, </w:t>
      </w:r>
      <w:r w:rsidRPr="00286DE6">
        <w:t>bijolikwidi</w:t>
      </w:r>
      <w:r w:rsidRPr="00286DE6">
        <w:t xml:space="preserve"> u </w:t>
      </w:r>
      <w:r w:rsidRPr="00286DE6">
        <w:t>karburanti</w:t>
      </w:r>
      <w:r w:rsidRPr="00286DE6">
        <w:t xml:space="preserve"> mill-</w:t>
      </w:r>
      <w:r w:rsidRPr="00286DE6">
        <w:t>bijomassa</w:t>
      </w:r>
      <w:r w:rsidRPr="00286DE6">
        <w:t xml:space="preserve"> b’riskju għoli ta’ tibdil indirett fl-użu tal art lejn il-miri tal-enerġija rinnovabbli</w:t>
      </w:r>
      <w:bookmarkEnd w:id="1"/>
    </w:p>
    <w:p w:rsidR="00A46EC9" w:rsidRPr="00286DE6" w:rsidP="00A46EC9" w14:paraId="76B69F74" w14:textId="77777777">
      <w:pPr>
        <w:rPr>
          <w:i/>
          <w:vanish/>
        </w:rPr>
      </w:pPr>
      <w:r>
        <w:rPr>
          <w:i/>
        </w:rPr>
        <w:fldChar w:fldCharType="begin"/>
      </w:r>
      <w:r w:rsidRPr="00286DE6">
        <w:rPr>
          <w:i/>
        </w:rPr>
        <w:instrText xml:space="preserve"> TC"(</w:instrText>
      </w:r>
      <w:bookmarkStart w:id="2" w:name="DocNumber"/>
      <w:r w:rsidRPr="00286DE6">
        <w:rPr>
          <w:i/>
        </w:rPr>
        <w:instrText>B10-0337/2026</w:instrText>
      </w:r>
      <w:bookmarkEnd w:id="2"/>
      <w:r w:rsidRPr="00286DE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46EC9" w:rsidRPr="00286DE6" w:rsidP="00A46EC9" w14:paraId="57102771" w14:textId="77777777">
      <w:pPr>
        <w:rPr>
          <w:vanish/>
        </w:rPr>
      </w:pPr>
      <w:bookmarkStart w:id="3" w:name="PE"/>
      <w:r w:rsidRPr="00286DE6">
        <w:rPr>
          <w:vanish/>
        </w:rPr>
        <w:t>PE789.919</w:t>
      </w:r>
      <w:bookmarkEnd w:id="3"/>
    </w:p>
    <w:p w:rsidR="00A46EC9" w:rsidRPr="00286DE6" w:rsidP="00B511F5" w14:paraId="41724BC7" w14:textId="3D8077F5">
      <w:pPr>
        <w:pStyle w:val="ATHeading3"/>
      </w:pPr>
      <w:bookmarkStart w:id="4" w:name="Sujet"/>
      <w:r w:rsidRPr="00286DE6">
        <w:t xml:space="preserve">Riżoluzzjoni tal-Parlament Ewropew </w:t>
      </w:r>
      <w:r w:rsidR="00B511F5">
        <w:t>tat-8 ta’ Lulju</w:t>
      </w:r>
      <w:r w:rsidRPr="00286DE6">
        <w:t xml:space="preserve"> 2026 dwar ir-regolament delegat tal-Kummissjoni tal-10 ta’ April 2026 li jemenda r-Regolament Delegat tal-Kummissjoni (UE) 2019/807 biex jintroduċi </w:t>
      </w:r>
      <w:r w:rsidRPr="00286DE6">
        <w:t>trajettorja</w:t>
      </w:r>
      <w:r w:rsidRPr="00286DE6">
        <w:t xml:space="preserve"> biex jitnaqqas gradwalment il-kontribut ta’ </w:t>
      </w:r>
      <w:r w:rsidRPr="00286DE6">
        <w:t>bijokarburanti</w:t>
      </w:r>
      <w:r w:rsidRPr="00286DE6">
        <w:t xml:space="preserve">, </w:t>
      </w:r>
      <w:r w:rsidRPr="00286DE6">
        <w:t>bijolikwidi</w:t>
      </w:r>
      <w:r w:rsidRPr="00286DE6">
        <w:t xml:space="preserve"> u </w:t>
      </w:r>
      <w:r w:rsidRPr="00286DE6">
        <w:t>karburanti</w:t>
      </w:r>
      <w:r w:rsidRPr="00286DE6">
        <w:t xml:space="preserve"> mill-</w:t>
      </w:r>
      <w:r w:rsidRPr="00286DE6">
        <w:t>bijomassa</w:t>
      </w:r>
      <w:r w:rsidRPr="00286DE6">
        <w:t xml:space="preserve"> b’riskju għoli ta’ tibdil indirett fl-użu tal-art lejn il-miri tal-enerġija rinnovabbli</w:t>
      </w:r>
      <w:bookmarkEnd w:id="4"/>
      <w:r w:rsidRPr="00286DE6">
        <w:t xml:space="preserve"> </w:t>
      </w:r>
      <w:bookmarkStart w:id="5" w:name="References"/>
      <w:r w:rsidRPr="00286DE6">
        <w:t>(C(2026)02306) – 2026/2680(DEA))</w:t>
      </w:r>
      <w:bookmarkEnd w:id="5"/>
    </w:p>
    <w:p w:rsidR="00EE4FAD" w:rsidRPr="00286DE6" w:rsidP="00EE4FAD" w14:paraId="52742DDD" w14:textId="77777777">
      <w:pPr>
        <w:pStyle w:val="EPComma"/>
      </w:pPr>
      <w:bookmarkStart w:id="6" w:name="TextBodyBegin"/>
      <w:bookmarkEnd w:id="6"/>
      <w:r w:rsidRPr="00286DE6">
        <w:rPr>
          <w:i/>
          <w:iCs/>
        </w:rPr>
        <w:t>Il-Parlament Ewropew</w:t>
      </w:r>
      <w:r w:rsidRPr="00286DE6">
        <w:t>,</w:t>
      </w:r>
    </w:p>
    <w:p w:rsidR="00EE4FAD" w:rsidRPr="00286DE6" w:rsidP="00EE4FAD" w14:paraId="4E105612" w14:textId="77777777">
      <w:pPr>
        <w:pStyle w:val="NormalHanging12a"/>
      </w:pPr>
      <w:r w:rsidRPr="00286DE6">
        <w:t>–</w:t>
      </w:r>
      <w:r w:rsidRPr="00286DE6">
        <w:tab/>
        <w:t>wara li kkunsidra r-Regolament Delegat tal-Kummissjoni (C(2026)02306),</w:t>
      </w:r>
    </w:p>
    <w:p w:rsidR="00EE4FAD" w:rsidRPr="00286DE6" w:rsidP="00EE4FAD" w14:paraId="63C2C1C2" w14:textId="77777777">
      <w:pPr>
        <w:pStyle w:val="NormalHanging12a"/>
      </w:pPr>
      <w:r w:rsidRPr="00286DE6">
        <w:t>–</w:t>
      </w:r>
      <w:r w:rsidRPr="00286DE6">
        <w:tab/>
        <w:t>wara li kkunsidra l-Artikolu 290 tat-Trattat dwar il-Funzjonament tal-Unjoni Ewropea,</w:t>
      </w:r>
    </w:p>
    <w:p w:rsidR="00EE4FAD" w:rsidRPr="00286DE6" w:rsidP="00EE4FAD" w14:paraId="41902BC8" w14:textId="77777777">
      <w:pPr>
        <w:pStyle w:val="NormalHanging12a"/>
      </w:pPr>
      <w:r w:rsidRPr="00286DE6">
        <w:t>–</w:t>
      </w:r>
      <w:r w:rsidRPr="00286DE6">
        <w:tab/>
        <w:t>wara li kkunsidra d-Direttiva (UE) 2018/2001 tal-Parlament Ewropew u tal-Kunsill tal-11 ta’ Diċembru 2018 dwar il-promozzjoni tal-użu tal-enerġija minn sorsi rinnovabbli</w:t>
      </w:r>
      <w:r>
        <w:rPr>
          <w:rStyle w:val="FootnoteReference"/>
        </w:rPr>
        <w:footnoteReference w:id="2"/>
      </w:r>
      <w:r w:rsidRPr="00286DE6">
        <w:t>, u b’mod partikolari l-Artikolu 26(2), il-ħames subparagrafu, u l-Artikolu 35(7) tiegħu,</w:t>
      </w:r>
    </w:p>
    <w:p w:rsidR="00EE4FAD" w:rsidRPr="00286DE6" w:rsidP="00EE4FAD" w14:paraId="52EC7E9B" w14:textId="77777777">
      <w:pPr>
        <w:pStyle w:val="NormalHanging12a"/>
      </w:pPr>
      <w:r w:rsidRPr="00286DE6">
        <w:t>–</w:t>
      </w:r>
      <w:r w:rsidRPr="00286DE6">
        <w:tab/>
        <w:t xml:space="preserve">wara li kkunsidra r-Regolament Delegat tal-Kummissjoni (UE) 2019/807 tat-13 ta’ Marzu 2019 li jissupplimenta d-Direttiva (UE) 2018/2001 tal-Parlament Ewropew u tal-Kunsill fir-rigward tad-determinazzjoni ta’ materja prima b’riskju għoli ta’ tibdil indirett fl-użu tal-art li għaliha qed tiġi osservata espansjoni sinifikanti taż-żona ta’ produzzjoni f’art b’ħażna kbira ta’ karbonju u ċ-ċertifikazzjoni ta’ </w:t>
      </w:r>
      <w:r w:rsidRPr="00286DE6">
        <w:t>bijokarburanti</w:t>
      </w:r>
      <w:r w:rsidRPr="00286DE6">
        <w:t xml:space="preserve">, </w:t>
      </w:r>
      <w:r w:rsidRPr="00286DE6">
        <w:t>bijolikwidi</w:t>
      </w:r>
      <w:r w:rsidRPr="00286DE6">
        <w:t xml:space="preserve"> u </w:t>
      </w:r>
      <w:r w:rsidRPr="00286DE6">
        <w:t>karburanti</w:t>
      </w:r>
      <w:r w:rsidRPr="00286DE6">
        <w:t xml:space="preserve"> mill-</w:t>
      </w:r>
      <w:r w:rsidRPr="00286DE6">
        <w:t>bijomassa</w:t>
      </w:r>
      <w:r w:rsidRPr="00286DE6">
        <w:t xml:space="preserve"> b’riskju baxx ta’ tibdil indirett fl-użu tal-art</w:t>
      </w:r>
      <w:r>
        <w:rPr>
          <w:rStyle w:val="FootnoteReference"/>
        </w:rPr>
        <w:footnoteReference w:id="3"/>
      </w:r>
      <w:r w:rsidRPr="00286DE6">
        <w:t>,</w:t>
      </w:r>
    </w:p>
    <w:p w:rsidR="00EE4FAD" w:rsidP="00EE4FAD" w14:paraId="55C1F02D" w14:textId="77777777">
      <w:pPr>
        <w:pStyle w:val="NormalHanging12a"/>
      </w:pPr>
      <w:r w:rsidRPr="00286DE6">
        <w:t>–</w:t>
      </w:r>
      <w:r w:rsidRPr="00286DE6">
        <w:tab/>
        <w:t>wara li kkunsidra l-Artikolu 114(3) tar-Regoli ta’ Proċedura tiegħu,</w:t>
      </w:r>
    </w:p>
    <w:p w:rsidR="00A23144" w:rsidRPr="00286DE6" w:rsidP="00EE4FAD" w14:paraId="00B4CAD5" w14:textId="4709095B">
      <w:pPr>
        <w:pStyle w:val="NormalHanging12a"/>
      </w:pPr>
      <w:r w:rsidRPr="00286DE6">
        <w:t>–</w:t>
      </w:r>
      <w:r w:rsidRPr="00286DE6">
        <w:tab/>
      </w:r>
      <w:r w:rsidRPr="00A23144">
        <w:t>wara li kkunsidra l-mozzjoni għal riżoluzzjoni tal-Kumitat għall-Industrija, ir-Riċerka u l-Enerġija,</w:t>
      </w:r>
    </w:p>
    <w:p w:rsidR="00EE4FAD" w:rsidRPr="00286DE6" w:rsidP="00EE4FAD" w14:paraId="0C27CF75" w14:textId="1D480E17">
      <w:pPr>
        <w:pStyle w:val="NormalHanging12a"/>
      </w:pPr>
      <w:r w:rsidRPr="00286DE6">
        <w:t>A.</w:t>
      </w:r>
      <w:r w:rsidRPr="00286DE6">
        <w:tab/>
        <w:t>billi d-Direttiva (UE) 2018/2001, sabiex jiġi żgurat li l-</w:t>
      </w:r>
      <w:r w:rsidRPr="00286DE6">
        <w:t>bijokarburanti</w:t>
      </w:r>
      <w:r w:rsidRPr="00286DE6">
        <w:t xml:space="preserve"> li jgħoddu għal </w:t>
      </w:r>
      <w:r w:rsidRPr="00286DE6">
        <w:t>dik il-mira jwasslu għal benefiċċji ġenwini, tintroduċi qafas biex jiġi indirizzat ir-riskju ta’ tibdil indirett fl-użu tal-art (ILUC), li fil-qafas tiegħu l-materja prima tista’ tiġi kklassifikata bħala ta’ riskju għoli ta’ ILUC</w:t>
      </w:r>
      <w:r w:rsidR="00092094">
        <w:t>;</w:t>
      </w:r>
      <w:r w:rsidRPr="00286DE6">
        <w:t xml:space="preserve"> </w:t>
      </w:r>
    </w:p>
    <w:p w:rsidR="00EE4FAD" w:rsidRPr="00286DE6" w:rsidP="00EE4FAD" w14:paraId="6E4E7E90" w14:textId="77777777">
      <w:pPr>
        <w:pStyle w:val="NormalHanging12a"/>
      </w:pPr>
      <w:r w:rsidRPr="00286DE6">
        <w:t>B.</w:t>
      </w:r>
      <w:r w:rsidRPr="00286DE6">
        <w:tab/>
        <w:t xml:space="preserve">billi r-Regolament Delegat tal-Kummissjoni (UE) 2019/807 stabbilixxa l-metodoloġija għad-determinazzjoni ta’ materja prima b’riskju għoli ta’ ILUC, u jirrikjedi b’mod espliċitu, fl-Artikolu 3 tiegħu, li l-valutazzjoni tkun ibbażata fuq data “mill-2008” ’l hawn u stabbilixxa limitu ta’ espansjoni ta’ 10 % f’art b’ħażna kbira ta’ karbonju li ’l fuq minnu l-materja prima tiġi kklassifikata bħala b’riskju għoli ta’ ILUC; billi, bl-applikazzjoni ta’ dik il-metodoloġija u dik il-linja bażi, ir-rapport tal-Kummissjoni tal-2019 sab li s-sehem tal-espansjoni tal-fażola </w:t>
      </w:r>
      <w:r w:rsidRPr="00286DE6">
        <w:t>tas-sojja</w:t>
      </w:r>
      <w:r w:rsidRPr="00286DE6">
        <w:t xml:space="preserve"> f’art b’ħażna kbira ta’ karbonju kien ta’ 8 %, li huwa taħt il-limitu </w:t>
      </w:r>
      <w:r w:rsidRPr="00286DE6">
        <w:t>kwalifikanti</w:t>
      </w:r>
      <w:r w:rsidRPr="00286DE6">
        <w:t xml:space="preserve">, li jfisser li l-fażola </w:t>
      </w:r>
      <w:r w:rsidRPr="00286DE6">
        <w:t>tas-sojja</w:t>
      </w:r>
      <w:r w:rsidRPr="00286DE6">
        <w:t xml:space="preserve"> ma ġietx ikklassifikata bħala b’riskju għoli ta’ ILUC;</w:t>
      </w:r>
    </w:p>
    <w:p w:rsidR="00EE4FAD" w:rsidRPr="00286DE6" w:rsidP="00EE4FAD" w14:paraId="545A49F4" w14:textId="77777777">
      <w:pPr>
        <w:pStyle w:val="NormalHanging12a"/>
      </w:pPr>
      <w:r w:rsidRPr="00286DE6">
        <w:t>C.</w:t>
      </w:r>
      <w:r w:rsidRPr="00286DE6">
        <w:tab/>
        <w:t>billi l-Indoneżja u l-</w:t>
      </w:r>
      <w:r w:rsidRPr="00286DE6">
        <w:t>Malażja</w:t>
      </w:r>
      <w:r w:rsidRPr="00286DE6">
        <w:t xml:space="preserve"> ressqu tilwim quddiem id-WTO (DS593 u DS600) li jikkontesta l-qafas tal-ILUC tal-Unjoni, speċifikament il-klassifikazzjoni taż-żejt tal-palm bħala b’riskju għoli ta’ ILUC u l-proċedura taċ-ċertifikazzjoni ta’ riskju baxx ta’ ILUC; billi d-deċiżjoni tal-Bord tad-WTO ta’ Jannar 2025 sabet b’mod ġenerali favur l-Unjoni iżda identifikat ksur speċifiku, jiġifieri n-nuqqas ta’ aġġornament puntwali tad-data xjentifika, id-</w:t>
      </w:r>
      <w:r w:rsidRPr="00286DE6">
        <w:t>defiċjenzi</w:t>
      </w:r>
      <w:r w:rsidRPr="00286DE6">
        <w:t xml:space="preserve"> fil-proċedura taċ-ċertifikazzjoni ta’ riskju baxx ta’ ILUC, u n-nuqqas ta’ notifika xierqa tal-miżuri; billi l-Bord sab nuqqas fil-fallimenti proċedurali tal-Unjoni u mhux fl-għażla tal-Unjoni ta’ liema għelejjel għandha tikklassifika bħala b’riskju għoli ta’ ILUC;</w:t>
      </w:r>
    </w:p>
    <w:p w:rsidR="00EE4FAD" w:rsidRPr="00286DE6" w:rsidP="00EE4FAD" w14:paraId="26D4085C" w14:textId="77777777">
      <w:pPr>
        <w:pStyle w:val="NormalHanging12a"/>
      </w:pPr>
      <w:r w:rsidRPr="00286DE6">
        <w:t>D.</w:t>
      </w:r>
      <w:r w:rsidRPr="00286DE6">
        <w:tab/>
        <w:t xml:space="preserve">billi l-att delegat iżid il-fażola </w:t>
      </w:r>
      <w:r w:rsidRPr="00286DE6">
        <w:t>tas-sojja</w:t>
      </w:r>
      <w:r w:rsidRPr="00286DE6">
        <w:t xml:space="preserve"> mal-lista ta’ prodotti b’riskju għoli ta’ ILUC flimkien maż-żejt tal-palm, abbażi ta’ data xjentifika aġġornata, li jfisser li l-</w:t>
      </w:r>
      <w:r w:rsidRPr="00286DE6">
        <w:t>bijodiżil</w:t>
      </w:r>
      <w:r w:rsidRPr="00286DE6">
        <w:t xml:space="preserve"> ibbażat fuq </w:t>
      </w:r>
      <w:r w:rsidRPr="00286DE6">
        <w:t>is-sojja</w:t>
      </w:r>
      <w:r w:rsidRPr="00286DE6">
        <w:t xml:space="preserve"> jitneħħa gradwalment kompletament mill-għadd lejn il-miri tal-enerġija rinnovabbli tal-UE sal-2030;</w:t>
      </w:r>
    </w:p>
    <w:p w:rsidR="00EE4FAD" w:rsidRPr="00286DE6" w:rsidP="00EE4FAD" w14:paraId="2F51686C" w14:textId="77777777">
      <w:pPr>
        <w:pStyle w:val="NormalHanging12a"/>
      </w:pPr>
      <w:r w:rsidRPr="00286DE6">
        <w:t>E.</w:t>
      </w:r>
      <w:r w:rsidRPr="00286DE6">
        <w:tab/>
        <w:t>billi l-Parlament ma joġġezzjonax għat-</w:t>
      </w:r>
      <w:r w:rsidRPr="00286DE6">
        <w:t>trajettorja</w:t>
      </w:r>
      <w:r w:rsidRPr="00286DE6">
        <w:t xml:space="preserve"> ta’ tnaqqis gradwali għaż-żejt tal-palm, li l-klassifikazzjoni tiegħu bħala b’riskju għoli ta’ ILUC hija xjentifikament </w:t>
      </w:r>
      <w:r w:rsidRPr="00286DE6">
        <w:t>robusta</w:t>
      </w:r>
      <w:r w:rsidRPr="00286DE6">
        <w:t xml:space="preserve"> u mhux </w:t>
      </w:r>
      <w:r w:rsidRPr="00286DE6">
        <w:t>ikkontestata</w:t>
      </w:r>
      <w:r w:rsidRPr="00286DE6">
        <w:t xml:space="preserve">, u lanqas ma joġġezzjona għall-korrezzjoni </w:t>
      </w:r>
      <w:r w:rsidRPr="00286DE6">
        <w:t>tad-defiċjenzi</w:t>
      </w:r>
      <w:r w:rsidRPr="00286DE6">
        <w:t xml:space="preserve"> fil-proċedura ta’ ċertifikazzjoni ta’ riskju baxx ta’ ILUC, li t-tnejn li huma jikkostitwixxu reazzjonijiet xierqa għad-deċiżjoni tal-Bord tad-WTO u għandhom jibqgħu jinżammu fi kwalunkwe att delegat rivedut;</w:t>
      </w:r>
    </w:p>
    <w:p w:rsidR="00EE4FAD" w:rsidRPr="00286DE6" w:rsidP="00EE4FAD" w14:paraId="611FB726" w14:textId="77777777">
      <w:pPr>
        <w:pStyle w:val="NormalHanging12a"/>
      </w:pPr>
      <w:r w:rsidRPr="00286DE6">
        <w:t>F.</w:t>
      </w:r>
      <w:r w:rsidRPr="00286DE6">
        <w:tab/>
        <w:t xml:space="preserve">billi l-klassifikazzjoni tal-fażola </w:t>
      </w:r>
      <w:r w:rsidRPr="00286DE6">
        <w:t>tas-sojja</w:t>
      </w:r>
      <w:r w:rsidRPr="00286DE6">
        <w:t xml:space="preserve"> bħala b’riskju għoli ta’ ILUC fl-att delegat tiddependi minn data xjentifika aġġornata li titbiegħed mil-linja bażi ta’ osservazzjoni tal-2008 stabbilita fl-Artikolu 3 tar-Regolament Delegat tal-Kummissjoni (UE) 2019/807, billi l-perjodu ta’ osservazzjoni jiġi ttrasferit għall-2014; billi din il-bidla fis-sena bażi mhijiex awtorizzata mid-deċiżjoni tal-Bord tad-WTO, li kienet tikkonċerna l-</w:t>
      </w:r>
      <w:r w:rsidRPr="00286DE6">
        <w:t>puntwalità</w:t>
      </w:r>
      <w:r w:rsidRPr="00286DE6">
        <w:t xml:space="preserve"> tal-aġġornamenti tad-data aktar milli l-għażla tas-sena bażi; billi, bl-applikazzjoni tal-linja bażi oriġinali tal-2008 kif meħtieġ mill-qafas legali eżistenti, is-sehem tal-espansjoni tal-fażola </w:t>
      </w:r>
      <w:r w:rsidRPr="00286DE6">
        <w:t>tas-sojja</w:t>
      </w:r>
      <w:r w:rsidRPr="00286DE6">
        <w:t xml:space="preserve"> f’art b’ħażna kbira ta’ karbonju x’aktarx jibqa’ taħt il-limitu </w:t>
      </w:r>
      <w:r w:rsidRPr="00286DE6">
        <w:t>kwalifikanti</w:t>
      </w:r>
      <w:r w:rsidRPr="00286DE6">
        <w:t xml:space="preserve"> ta’ 10 % u għalhekk il-fażola </w:t>
      </w:r>
      <w:r w:rsidRPr="00286DE6">
        <w:t>tas-sojja</w:t>
      </w:r>
      <w:r w:rsidRPr="00286DE6">
        <w:t xml:space="preserve"> ma tikkwalifikax bħala materja prima b’riskju għoli ta’ ILUC;</w:t>
      </w:r>
    </w:p>
    <w:p w:rsidR="00EE4FAD" w:rsidRPr="00286DE6" w:rsidP="00EE4FAD" w14:paraId="662C9D9F" w14:textId="77EFA65B">
      <w:pPr>
        <w:pStyle w:val="NormalHanging12a"/>
      </w:pPr>
      <w:r w:rsidRPr="00286DE6">
        <w:t>G.</w:t>
      </w:r>
      <w:r w:rsidRPr="00286DE6">
        <w:tab/>
        <w:t xml:space="preserve">billi d-data xjentifika aġġornata li fuqha hija </w:t>
      </w:r>
      <w:r w:rsidRPr="00286DE6">
        <w:t>bbażata</w:t>
      </w:r>
      <w:r w:rsidRPr="00286DE6">
        <w:t xml:space="preserve"> l-klassifikazzjoni </w:t>
      </w:r>
      <w:r w:rsidRPr="00286DE6">
        <w:t>tas-sojja</w:t>
      </w:r>
      <w:r w:rsidRPr="00286DE6">
        <w:t xml:space="preserve"> ma tqisx il-prattiki ta’ kultivazzjoni doppja fil-kultivazzjoni tal-fażola </w:t>
      </w:r>
      <w:r w:rsidRPr="00286DE6">
        <w:t>tas-sojja</w:t>
      </w:r>
      <w:r w:rsidRPr="00286DE6">
        <w:t xml:space="preserve">, fejn </w:t>
      </w:r>
      <w:r w:rsidRPr="00286DE6">
        <w:t>is-sojja</w:t>
      </w:r>
      <w:r w:rsidRPr="00286DE6">
        <w:t xml:space="preserve"> titkabbar bħala t-tieni </w:t>
      </w:r>
      <w:r w:rsidRPr="00286DE6">
        <w:t>għalla</w:t>
      </w:r>
      <w:r w:rsidRPr="00286DE6">
        <w:t xml:space="preserve"> fuq art li diġà tintuża għal </w:t>
      </w:r>
      <w:r w:rsidRPr="00286DE6">
        <w:t>għalla</w:t>
      </w:r>
      <w:r w:rsidRPr="00286DE6">
        <w:t xml:space="preserve"> primarja fl-istess sena </w:t>
      </w:r>
      <w:r w:rsidRPr="00286DE6">
        <w:t>kalendarja</w:t>
      </w:r>
      <w:r w:rsidRPr="00286DE6">
        <w:t xml:space="preserve">; billi dan id-distakk </w:t>
      </w:r>
      <w:r w:rsidRPr="00286DE6">
        <w:t>metodoloġiku</w:t>
      </w:r>
      <w:r w:rsidRPr="00286DE6">
        <w:t xml:space="preserve"> jirriżulta f’dikjarazzjoni eċċessiva tal-</w:t>
      </w:r>
      <w:r w:rsidRPr="00286DE6">
        <w:t xml:space="preserve">espansjoni taż-żona tal-produzzjoni tal-fażola </w:t>
      </w:r>
      <w:r w:rsidRPr="00286DE6">
        <w:t>tas-sojja</w:t>
      </w:r>
      <w:r w:rsidRPr="00286DE6">
        <w:t xml:space="preserve"> u konsegwentement ikabbar is-sehem ikkalkulat tal-espansjoni tal-fażola </w:t>
      </w:r>
      <w:r w:rsidRPr="00286DE6">
        <w:t>tas-sojja</w:t>
      </w:r>
      <w:r w:rsidRPr="00286DE6">
        <w:t xml:space="preserve"> f’art b’ħażna kbira ta’ karbonju;</w:t>
      </w:r>
    </w:p>
    <w:p w:rsidR="00EE4FAD" w:rsidRPr="00286DE6" w:rsidP="00EE4FAD" w14:paraId="58A7C2D0" w14:textId="3FCDFB74">
      <w:pPr>
        <w:pStyle w:val="NormalHanging12a"/>
      </w:pPr>
      <w:r>
        <w:t>H</w:t>
      </w:r>
      <w:r w:rsidRPr="00286DE6">
        <w:t>.</w:t>
      </w:r>
      <w:r w:rsidRPr="00286DE6">
        <w:tab/>
        <w:t xml:space="preserve">billi r-riskju ta’ ILUC assoċjat mal-kultivazzjoni tal-fażola </w:t>
      </w:r>
      <w:r w:rsidRPr="00286DE6">
        <w:t>tas-sojja</w:t>
      </w:r>
      <w:r w:rsidRPr="00286DE6">
        <w:t xml:space="preserve"> huwa ġeografikament ikkonċentrat fil-produzzjoni tal-Amerka t’Isfel; billi l-kultivazzjoni tal-fażola </w:t>
      </w:r>
      <w:r w:rsidRPr="00286DE6">
        <w:t>tas-sojja</w:t>
      </w:r>
      <w:r w:rsidRPr="00286DE6">
        <w:t xml:space="preserve"> fl-Unjoni ma </w:t>
      </w:r>
      <w:r w:rsidRPr="00286DE6">
        <w:t>tixprunax</w:t>
      </w:r>
      <w:r w:rsidRPr="00286DE6">
        <w:t xml:space="preserve"> id-deforestazzjoni jew il-konverżjoni tal-art li l-qafas tal-ILUC huwa mfassal biex jindirizza; billi l-Kummissjoni ma pprovdiet l-ebda evidenza li turi li l-kultivazzjoni tal-fażola </w:t>
      </w:r>
      <w:r w:rsidRPr="00286DE6">
        <w:t>tas-sojja</w:t>
      </w:r>
      <w:r w:rsidRPr="00286DE6">
        <w:t xml:space="preserve"> fl-Unjoni tikkawża ILUC; billi, fin-nuqqas ta’ tali evidenza, il-klassifikazzjoni tal-fażola </w:t>
      </w:r>
      <w:r w:rsidRPr="00286DE6">
        <w:t>tas-sojja</w:t>
      </w:r>
      <w:r w:rsidRPr="00286DE6">
        <w:t xml:space="preserve"> prodotta fl-Unjoni bħala b’riskju għoli ta’ ILUC ma għandhiex bażi xjentifika suffiċjenti;</w:t>
      </w:r>
      <w:r w:rsidRPr="00286DE6">
        <w:rPr>
          <w:b/>
        </w:rPr>
        <w:t xml:space="preserve"> </w:t>
      </w:r>
      <w:r w:rsidRPr="00286DE6">
        <w:t xml:space="preserve">billi l-applikazzjoni ta’ klassifikazzjoni globalment mhux </w:t>
      </w:r>
      <w:r w:rsidRPr="00286DE6">
        <w:t>differenzjata</w:t>
      </w:r>
      <w:r w:rsidRPr="00286DE6">
        <w:t xml:space="preserve"> ta’ riskju għoli ta’ ILUC għall-fażola </w:t>
      </w:r>
      <w:r w:rsidRPr="00286DE6">
        <w:t>tas-sojja</w:t>
      </w:r>
      <w:r w:rsidRPr="00286DE6">
        <w:t>, irrispettivament mill-oriġini ġeografika tagħha, hija sproporzjonata u timponi piż fuq il-produtturi tal-Unjoni għal emissjonijiet mit-tibdil fl-użu tal-art li għalihom ma jġorru l-ebda responsabbiltà;</w:t>
      </w:r>
    </w:p>
    <w:p w:rsidR="00EE4FAD" w:rsidRPr="00286DE6" w:rsidP="00EE4FAD" w14:paraId="36E98E8A" w14:textId="5C34577F">
      <w:pPr>
        <w:pStyle w:val="NormalHanging12a"/>
      </w:pPr>
      <w:r>
        <w:t>I</w:t>
      </w:r>
      <w:r w:rsidRPr="00286DE6">
        <w:t>.</w:t>
      </w:r>
      <w:r w:rsidRPr="00286DE6">
        <w:tab/>
      </w:r>
      <w:bookmarkStart w:id="8" w:name="_Hlk230337619"/>
      <w:r w:rsidRPr="00286DE6">
        <w:t xml:space="preserve">billi l-Viżjoni tal-Kummissjoni għall-Agrikoltura u għall-Ikel tisħaq fuq il-ħtieġa li tinħoloq sistema ta’ proteini tal-Unjoni aktar </w:t>
      </w:r>
      <w:r w:rsidRPr="00286DE6">
        <w:t>awtosuffiċjenti</w:t>
      </w:r>
      <w:r w:rsidRPr="00286DE6">
        <w:t xml:space="preserve">; billi l-Unjoni tipproduċi biss madwar 6 % tal-fażola </w:t>
      </w:r>
      <w:r w:rsidRPr="00286DE6">
        <w:t>tas-sojja</w:t>
      </w:r>
      <w:r w:rsidRPr="00286DE6">
        <w:t xml:space="preserve"> li tikkonsma, u dan jagħmel lill-Unjoni dipendenti sew mill-importazzjoni; billi l-Pjan tal-UE dwar il-Proteini mħabbar mill-Kummissjoni u l-objettivi </w:t>
      </w:r>
      <w:r w:rsidRPr="00286DE6">
        <w:t>ddikjarati</w:t>
      </w:r>
      <w:r w:rsidRPr="00286DE6">
        <w:t xml:space="preserve"> tiegħu, flimkien mal-objettivi ta’ awtonomija strateġika miftuħa, għandhom l-għan b’mod partikolari li jespandu l-kultivazzjoni domestika tal-fażola </w:t>
      </w:r>
      <w:r w:rsidRPr="00286DE6">
        <w:t>tas-sojja</w:t>
      </w:r>
      <w:r w:rsidRPr="00286DE6">
        <w:t xml:space="preserve"> sabiex titnaqqas dik id-dipendenza; billi s-suq tal-</w:t>
      </w:r>
      <w:r w:rsidRPr="00286DE6">
        <w:t>bijokarburanti</w:t>
      </w:r>
      <w:r w:rsidRPr="00286DE6">
        <w:t xml:space="preserve"> jikkostitwixxi mutur ekonomiku fundamentali għall-kultivazzjoni tal-fażola </w:t>
      </w:r>
      <w:r w:rsidRPr="00286DE6">
        <w:t>tas-sojja</w:t>
      </w:r>
      <w:r w:rsidRPr="00286DE6">
        <w:t xml:space="preserve"> fl-Unjoni u għas-settur tat-</w:t>
      </w:r>
      <w:r w:rsidRPr="00286DE6">
        <w:t>tisħiq</w:t>
      </w:r>
      <w:r w:rsidRPr="00286DE6">
        <w:t xml:space="preserve"> </w:t>
      </w:r>
      <w:r w:rsidRPr="00286DE6">
        <w:t>tas-sojja</w:t>
      </w:r>
      <w:r w:rsidRPr="00286DE6">
        <w:t xml:space="preserve"> tal-Unjoni; billi l-klassifikazzjoni tal-fażola </w:t>
      </w:r>
      <w:r w:rsidRPr="00286DE6">
        <w:t>tas-sojja</w:t>
      </w:r>
      <w:r w:rsidRPr="00286DE6">
        <w:t xml:space="preserve"> bħala b’riskju għoli ta’ ILUC tneħħi dak l-inċentiv tas-suq u </w:t>
      </w:r>
      <w:r w:rsidRPr="00286DE6">
        <w:t>tikkontradixxi</w:t>
      </w:r>
      <w:r w:rsidRPr="00286DE6">
        <w:t xml:space="preserve"> direttament l-objettivi tal-Pjan tal-UE dwar il-Proteini u l-għanijiet ta’ awtonomija strateġika tal-Unjoni;</w:t>
      </w:r>
      <w:bookmarkEnd w:id="8"/>
    </w:p>
    <w:p w:rsidR="00EE4FAD" w:rsidRPr="00286DE6" w:rsidP="00EE4FAD" w14:paraId="390E09F7" w14:textId="5F0D927B">
      <w:pPr>
        <w:pStyle w:val="NormalHanging12a"/>
      </w:pPr>
      <w:r>
        <w:t>J</w:t>
      </w:r>
      <w:r w:rsidRPr="00286DE6">
        <w:t>.</w:t>
      </w:r>
      <w:r w:rsidRPr="00286DE6">
        <w:tab/>
        <w:t>billi t-</w:t>
      </w:r>
      <w:r w:rsidRPr="00286DE6">
        <w:t>tisħiq</w:t>
      </w:r>
      <w:r w:rsidRPr="00286DE6">
        <w:t xml:space="preserve"> </w:t>
      </w:r>
      <w:r w:rsidRPr="00286DE6">
        <w:t>tas-sojja</w:t>
      </w:r>
      <w:r w:rsidRPr="00286DE6">
        <w:t xml:space="preserve"> jipproduċi kemm il-</w:t>
      </w:r>
      <w:r w:rsidRPr="00286DE6">
        <w:t>grixa</w:t>
      </w:r>
      <w:r w:rsidRPr="00286DE6">
        <w:t xml:space="preserve"> tal-fażola </w:t>
      </w:r>
      <w:r w:rsidRPr="00286DE6">
        <w:t>tas-sojja</w:t>
      </w:r>
      <w:r w:rsidRPr="00286DE6">
        <w:t xml:space="preserve">, li tikkostitwixxi l-prodott dominanti u sors essenzjali ta’ proteina tal-għalf tal-annimali, kif ukoll iż-żejt tal-fażola </w:t>
      </w:r>
      <w:r w:rsidRPr="00286DE6">
        <w:t>tas-sojja</w:t>
      </w:r>
      <w:r w:rsidRPr="00286DE6">
        <w:t xml:space="preserve">, li jirrappreżenta biss madwar 20 % taż-żerriegħa tal-fażola </w:t>
      </w:r>
      <w:r w:rsidRPr="00286DE6">
        <w:t>tas-sojja</w:t>
      </w:r>
      <w:r w:rsidRPr="00286DE6">
        <w:t xml:space="preserve"> u jintuża fost oħrajn bħala materja prima </w:t>
      </w:r>
      <w:r w:rsidRPr="00286DE6">
        <w:t>għall-bijokarburanti</w:t>
      </w:r>
      <w:r w:rsidRPr="00286DE6">
        <w:t xml:space="preserve">; billi l-mutur ekonomiku prinċipali tal-kultivazzjoni u l-ipproċessar tal-fażola </w:t>
      </w:r>
      <w:r w:rsidRPr="00286DE6">
        <w:t>tas-sojja</w:t>
      </w:r>
      <w:r w:rsidRPr="00286DE6">
        <w:t xml:space="preserve"> huwa d-domanda </w:t>
      </w:r>
      <w:r w:rsidRPr="00286DE6">
        <w:t>għall-grixa</w:t>
      </w:r>
      <w:r w:rsidRPr="00286DE6">
        <w:t xml:space="preserve"> tal-fażola </w:t>
      </w:r>
      <w:r w:rsidRPr="00286DE6">
        <w:t>tas-sojja</w:t>
      </w:r>
      <w:r w:rsidRPr="00286DE6">
        <w:t xml:space="preserve"> għall-għalf tal-annimali aktar milli l-użu taż-żejt tal-fażola </w:t>
      </w:r>
      <w:r w:rsidRPr="00286DE6">
        <w:t>tas-sojja</w:t>
      </w:r>
      <w:r w:rsidRPr="00286DE6">
        <w:t xml:space="preserve"> fil-</w:t>
      </w:r>
      <w:r w:rsidRPr="00286DE6">
        <w:t>bijokarburanti</w:t>
      </w:r>
      <w:r w:rsidRPr="00286DE6">
        <w:t>; billi l-</w:t>
      </w:r>
      <w:r w:rsidRPr="00286DE6">
        <w:t>attribuzzjoni</w:t>
      </w:r>
      <w:r w:rsidRPr="00286DE6">
        <w:t xml:space="preserve"> tad-dinamika tal-espansjoni tal-kultivazzjoni tal-fażola </w:t>
      </w:r>
      <w:r w:rsidRPr="00286DE6">
        <w:t>tas-sojja</w:t>
      </w:r>
      <w:r w:rsidRPr="00286DE6">
        <w:t xml:space="preserve"> primarjament għaż-żejt tal-fażola </w:t>
      </w:r>
      <w:r w:rsidRPr="00286DE6">
        <w:t>tas-sojja</w:t>
      </w:r>
      <w:r w:rsidRPr="00286DE6">
        <w:t xml:space="preserve"> użat fil-</w:t>
      </w:r>
      <w:r w:rsidRPr="00286DE6">
        <w:t>bijokarburanti</w:t>
      </w:r>
      <w:r w:rsidRPr="00286DE6">
        <w:t xml:space="preserve"> għalhekk tirrappreżenta ħażin ir-realtà ekonomika tas-settur u </w:t>
      </w:r>
      <w:r w:rsidRPr="00286DE6">
        <w:t>tissopravaluta</w:t>
      </w:r>
      <w:r w:rsidRPr="00286DE6">
        <w:t xml:space="preserve"> l-impatt tal-ILUC marbut </w:t>
      </w:r>
      <w:r w:rsidRPr="00286DE6">
        <w:t>mal-bijodiżil</w:t>
      </w:r>
      <w:r w:rsidRPr="00286DE6">
        <w:t xml:space="preserve"> </w:t>
      </w:r>
      <w:r w:rsidRPr="00286DE6">
        <w:t>tas-sojja</w:t>
      </w:r>
      <w:r w:rsidRPr="00286DE6">
        <w:t>; billi l-</w:t>
      </w:r>
      <w:r w:rsidRPr="00286DE6">
        <w:t>iżvalutazzjoni</w:t>
      </w:r>
      <w:r w:rsidRPr="00286DE6">
        <w:t xml:space="preserve"> taż-żejt tal-fażola </w:t>
      </w:r>
      <w:r w:rsidRPr="00286DE6">
        <w:t>tas-sojja</w:t>
      </w:r>
      <w:r w:rsidRPr="00286DE6">
        <w:t xml:space="preserve"> minħabba t-telf tas-suq disponibbli tal-</w:t>
      </w:r>
      <w:r w:rsidRPr="00286DE6">
        <w:t>bijokarburanti</w:t>
      </w:r>
      <w:r w:rsidRPr="00286DE6">
        <w:t xml:space="preserve"> tagħha se tiddeterjora l-</w:t>
      </w:r>
      <w:r w:rsidRPr="00286DE6">
        <w:t>marġnijiet</w:t>
      </w:r>
      <w:r w:rsidRPr="00286DE6">
        <w:t xml:space="preserve"> tat-</w:t>
      </w:r>
      <w:r w:rsidRPr="00286DE6">
        <w:t>tisħiq</w:t>
      </w:r>
      <w:r w:rsidRPr="00286DE6">
        <w:t xml:space="preserve"> u tnaqqas il-</w:t>
      </w:r>
      <w:r w:rsidRPr="00286DE6">
        <w:t>vijabbiltà</w:t>
      </w:r>
      <w:r w:rsidRPr="00286DE6">
        <w:t xml:space="preserve"> ekonomika tat-</w:t>
      </w:r>
      <w:r w:rsidRPr="00286DE6">
        <w:t>tisħiq</w:t>
      </w:r>
      <w:r w:rsidRPr="00286DE6">
        <w:t xml:space="preserve"> domestiku </w:t>
      </w:r>
      <w:r w:rsidRPr="00286DE6">
        <w:t>tas-sojja</w:t>
      </w:r>
      <w:r w:rsidRPr="00286DE6">
        <w:t xml:space="preserve">; billi dan iġiegħel lill-Unjoni tissostitwixxi sa 4,8 miljun tunnellata </w:t>
      </w:r>
      <w:r w:rsidRPr="00286DE6">
        <w:t>grixa</w:t>
      </w:r>
      <w:r w:rsidRPr="00286DE6">
        <w:t xml:space="preserve"> tal-fażola </w:t>
      </w:r>
      <w:r w:rsidRPr="00286DE6">
        <w:t>tas-sojja</w:t>
      </w:r>
      <w:r w:rsidRPr="00286DE6">
        <w:t xml:space="preserve"> prodotta domestikament b’importazzjonijiet minn pajjiżi terzi, u hekk iżid id-dipendenza mill-importazzjoni tal-proteini, iżid il-kostijiet tal-għalf u jċaqlaq ’il barra mill-Unjoni l-attività industrijali li toħloq valur; billi l-konsegwenzi ekonomiċi stmati għas-settur jammontaw għal madwar EUR 36 miljun f’telf għall-bdiewa </w:t>
      </w:r>
      <w:r w:rsidRPr="00286DE6">
        <w:t>tas-sojja</w:t>
      </w:r>
      <w:r w:rsidRPr="00286DE6">
        <w:t xml:space="preserve"> tal-Unjoni, EUR 120 miljun </w:t>
      </w:r>
      <w:r w:rsidRPr="00286DE6">
        <w:t>għas-saħħaqa</w:t>
      </w:r>
      <w:r w:rsidRPr="00286DE6">
        <w:t xml:space="preserve"> tal-Unjoni, u sa EUR 1,3 biljun għall-industrija tal-</w:t>
      </w:r>
      <w:r w:rsidRPr="00286DE6">
        <w:t>bijodiżil</w:t>
      </w:r>
      <w:r w:rsidRPr="00286DE6">
        <w:t xml:space="preserve"> tal-Unjoni;</w:t>
      </w:r>
    </w:p>
    <w:p w:rsidR="00EE4FAD" w:rsidRPr="00286DE6" w:rsidP="00EE4FAD" w14:paraId="6AA12DA8" w14:textId="26B94F61">
      <w:pPr>
        <w:pStyle w:val="NormalHanging12a"/>
      </w:pPr>
      <w:r>
        <w:t>K</w:t>
      </w:r>
      <w:r w:rsidRPr="00286DE6">
        <w:t>.</w:t>
      </w:r>
      <w:r w:rsidRPr="00286DE6">
        <w:tab/>
        <w:t xml:space="preserve">billi l-fażola </w:t>
      </w:r>
      <w:r w:rsidRPr="00286DE6">
        <w:t>tas-sojja</w:t>
      </w:r>
      <w:r w:rsidRPr="00286DE6">
        <w:t xml:space="preserve"> hija </w:t>
      </w:r>
      <w:r w:rsidRPr="00286DE6">
        <w:t>għalla</w:t>
      </w:r>
      <w:r w:rsidRPr="00286DE6">
        <w:t xml:space="preserve"> li tiffissa n-</w:t>
      </w:r>
      <w:r w:rsidRPr="00286DE6">
        <w:t>nitroġenu</w:t>
      </w:r>
      <w:r w:rsidRPr="00286DE6">
        <w:t xml:space="preserve"> u li tnaqqas id-dipendenza fuq il-fertilizzanti kimiċi </w:t>
      </w:r>
      <w:r w:rsidRPr="00286DE6">
        <w:t>tan-nitroġenu</w:t>
      </w:r>
      <w:r w:rsidRPr="00286DE6">
        <w:t xml:space="preserve"> u tikkontribwixxi b’mod pożittiv għan-</w:t>
      </w:r>
      <w:r w:rsidRPr="00286DE6">
        <w:t>newba</w:t>
      </w:r>
      <w:r w:rsidRPr="00286DE6">
        <w:t xml:space="preserve"> tal-għelejjel u għas-saħħa tal-ħamrija; billi l-</w:t>
      </w:r>
      <w:r w:rsidRPr="00286DE6">
        <w:t>iskoraġġiment</w:t>
      </w:r>
      <w:r w:rsidRPr="00286DE6">
        <w:t xml:space="preserve"> tal-kultivazzjoni tal-fażola </w:t>
      </w:r>
      <w:r w:rsidRPr="00286DE6">
        <w:t>tas-</w:t>
      </w:r>
      <w:r w:rsidRPr="00286DE6">
        <w:t>sojja</w:t>
      </w:r>
      <w:r w:rsidRPr="00286DE6">
        <w:t xml:space="preserve"> tal-UE jżid id-dipendenza tal-Unjoni fuq il-fertilizzanti kimiċi importati, għall-kuntrarju tal-objettivi tar-reżiljenza tal-katina tal-provvista tal-fertilizzanti tal-Unjoni, li kisbu urġenza akbar fil-kuntest tat-tħarbit fil-provvista wara l-invażjoni tal-Ukrajna mir-Russja;</w:t>
      </w:r>
    </w:p>
    <w:p w:rsidR="00EE4FAD" w:rsidRPr="00286DE6" w:rsidP="00EE4FAD" w14:paraId="44617992" w14:textId="2E26F5C9">
      <w:pPr>
        <w:pStyle w:val="NormalHanging12a"/>
      </w:pPr>
      <w:r>
        <w:t>L</w:t>
      </w:r>
      <w:r w:rsidRPr="00286DE6">
        <w:t>.</w:t>
      </w:r>
      <w:r w:rsidRPr="00286DE6">
        <w:tab/>
        <w:t xml:space="preserve">billi l-Patt għal Industrija Nadifa jappella għal ekonomija industrijali kompetittiva u </w:t>
      </w:r>
      <w:r w:rsidRPr="00286DE6">
        <w:t>dekarbonizzata</w:t>
      </w:r>
      <w:r w:rsidRPr="00286DE6">
        <w:t xml:space="preserve"> </w:t>
      </w:r>
      <w:r w:rsidRPr="00286DE6">
        <w:t>appoġġjata</w:t>
      </w:r>
      <w:r w:rsidRPr="00286DE6">
        <w:t xml:space="preserve"> minn firxa wiesgħa u </w:t>
      </w:r>
      <w:r w:rsidRPr="00286DE6">
        <w:t>diversifikata</w:t>
      </w:r>
      <w:r w:rsidRPr="00286DE6">
        <w:t xml:space="preserve"> ta’ </w:t>
      </w:r>
      <w:r w:rsidRPr="00286DE6">
        <w:t>karburanti</w:t>
      </w:r>
      <w:r w:rsidRPr="00286DE6">
        <w:t xml:space="preserve"> u materja prima nodfa; billi t-tnaqqis tal-basket ta’ materja prima disponibbli </w:t>
      </w:r>
      <w:r w:rsidRPr="00286DE6">
        <w:t>għall-bijokarburanti</w:t>
      </w:r>
      <w:r w:rsidRPr="00286DE6">
        <w:t xml:space="preserve"> bit-tneħħija tal-fażola </w:t>
      </w:r>
      <w:r w:rsidRPr="00286DE6">
        <w:t>tas-sojja</w:t>
      </w:r>
      <w:r w:rsidRPr="00286DE6">
        <w:t xml:space="preserve"> jċekken il-bażi tal-provvista tal-Unjoni għad-dekarbonizzazzjoni tas-settur tat-trasport, iżid il-volatilità tal-prezzijiet u l-vulnerabbiltà tal-provvista, u huwa inkonsistenti mal-approċċ teknoloġikament newtrali u sigur fil-provvista li l-objettivi tal-kompetittività tal-Unjoni jirrikjedu;</w:t>
      </w:r>
    </w:p>
    <w:p w:rsidR="00EE4FAD" w:rsidRPr="00286DE6" w:rsidP="00EE4FAD" w14:paraId="6A81B353" w14:textId="27AFE6AE">
      <w:pPr>
        <w:pStyle w:val="NormalHanging12a"/>
      </w:pPr>
      <w:r>
        <w:t>M</w:t>
      </w:r>
      <w:r w:rsidRPr="00286DE6">
        <w:t>.</w:t>
      </w:r>
      <w:r w:rsidRPr="00286DE6">
        <w:tab/>
        <w:t xml:space="preserve">billi l-Boxxla għall-Kompetittività tidentifika t-tnaqqis tad-dipendenzi strateġiċi u t-tisħiħ tal-kapaċità industrijali u ta’ pproċessar tal-Unjoni bħala prijoritajiet ċentrali tal-Unjoni; billi l-klassifikazzjoni tal-fażola </w:t>
      </w:r>
      <w:r w:rsidRPr="00286DE6">
        <w:t>tas-sojja</w:t>
      </w:r>
      <w:r w:rsidRPr="00286DE6">
        <w:t xml:space="preserve"> bħala ta’ riskju għoli ta’ ILUC iżżid, u mhux tnaqqas, id-dipendenzi strateġiċi tal-Unjoni kemm fis-settur tal-proteini kif ukoll f’dak tal-</w:t>
      </w:r>
      <w:r w:rsidRPr="00286DE6">
        <w:t>bijokarburanti</w:t>
      </w:r>
      <w:r w:rsidRPr="00286DE6">
        <w:t>;</w:t>
      </w:r>
    </w:p>
    <w:p w:rsidR="00EE4FAD" w:rsidRPr="00286DE6" w:rsidP="00EE4FAD" w14:paraId="0CC95677" w14:textId="77777777">
      <w:pPr>
        <w:pStyle w:val="NormalHanging12a"/>
      </w:pPr>
      <w:r w:rsidRPr="00286DE6">
        <w:t>1.</w:t>
      </w:r>
      <w:r w:rsidRPr="00286DE6">
        <w:tab/>
        <w:t>Joġġezzjona għar-Regolament delegat tal-Kummissjoni;</w:t>
      </w:r>
    </w:p>
    <w:p w:rsidR="00EE4FAD" w:rsidRPr="00286DE6" w:rsidP="00EE4FAD" w14:paraId="2306C882" w14:textId="77777777">
      <w:pPr>
        <w:pStyle w:val="NormalHanging12a"/>
      </w:pPr>
      <w:r w:rsidRPr="00286DE6">
        <w:t>2.</w:t>
      </w:r>
      <w:r w:rsidRPr="00286DE6">
        <w:tab/>
        <w:t xml:space="preserve">Jagħti istruzzjonijiet lill-President tiegħu biex tgħaddi din ir-riżoluzzjoni lill-Kummissjoni u </w:t>
      </w:r>
      <w:r w:rsidRPr="00286DE6">
        <w:t>tinnotifikaha</w:t>
      </w:r>
      <w:r w:rsidRPr="00286DE6">
        <w:t xml:space="preserve"> li r-regolament delegat ma jistax jidħol fis-seħħ;</w:t>
      </w:r>
    </w:p>
    <w:p w:rsidR="00EE4FAD" w:rsidRPr="00286DE6" w:rsidP="00EE4FAD" w14:paraId="5646DC52" w14:textId="77777777">
      <w:pPr>
        <w:pStyle w:val="NormalHanging12a"/>
      </w:pPr>
      <w:r w:rsidRPr="00286DE6">
        <w:t>3.</w:t>
      </w:r>
      <w:r w:rsidRPr="00286DE6">
        <w:tab/>
        <w:t>Jistieden lill-Kummissjoni tressaq att delegat rivedut mingħajr dewmien, li jqis ir-rakkomandazzjonijiet li ġejjin:</w:t>
      </w:r>
    </w:p>
    <w:p w:rsidR="00EE4FAD" w:rsidRPr="00286DE6" w:rsidP="00EE4FAD" w14:paraId="777F1F5C" w14:textId="77777777">
      <w:pPr>
        <w:pStyle w:val="NormalHanging12a"/>
        <w:ind w:left="1418"/>
      </w:pPr>
      <w:r w:rsidRPr="00286DE6">
        <w:t>(a)</w:t>
      </w:r>
      <w:r w:rsidRPr="00286DE6">
        <w:tab/>
        <w:t xml:space="preserve">id-determinazzjoni tal-istatus ta’ riskju ta’ ILUC tal-fażola </w:t>
      </w:r>
      <w:r w:rsidRPr="00286DE6">
        <w:t>tas-sojja</w:t>
      </w:r>
      <w:r w:rsidRPr="00286DE6">
        <w:t xml:space="preserve"> </w:t>
      </w:r>
      <w:r w:rsidRPr="00286DE6">
        <w:t>jenħtieġ</w:t>
      </w:r>
      <w:r w:rsidRPr="00286DE6">
        <w:t xml:space="preserve"> li tkun ibbażata fuq data “mill-2008” ’l hawn kif meħtieġ b’mod espliċitu mill-Artikolu 3 tar-Regolament Delegat tal-Kummissjoni (UE) 2019/807, u l-klassifikazzjoni tal-fażola </w:t>
      </w:r>
      <w:r w:rsidRPr="00286DE6">
        <w:t>tas-sojja</w:t>
      </w:r>
      <w:r w:rsidRPr="00286DE6">
        <w:t xml:space="preserve"> bħala b’riskju għoli ta’ ILUC jenħtieġ li tiġi rieżaminata fid-dawl ta’ dik il-metodoloġija </w:t>
      </w:r>
      <w:r w:rsidRPr="00286DE6">
        <w:t>kkoreġuta</w:t>
      </w:r>
      <w:r w:rsidRPr="00286DE6">
        <w:t xml:space="preserve">; jekk, abbażi tad-data mill-2008 ’l hawn, is-sehem tal-espansjoni tal-fażola </w:t>
      </w:r>
      <w:r w:rsidRPr="00286DE6">
        <w:t>tas-sojja</w:t>
      </w:r>
      <w:r w:rsidRPr="00286DE6">
        <w:t xml:space="preserve"> f’art b’ħażna kbira ta’ karbonju </w:t>
      </w:r>
      <w:r w:rsidRPr="00286DE6">
        <w:t>jaqa</w:t>
      </w:r>
      <w:r w:rsidRPr="00286DE6">
        <w:t xml:space="preserve">’ taħt il-limitu ta’ 10 % stabbilit skont il-qafas eżistenti, il-fażola </w:t>
      </w:r>
      <w:r w:rsidRPr="00286DE6">
        <w:t>tas-sojja</w:t>
      </w:r>
      <w:r w:rsidRPr="00286DE6">
        <w:t xml:space="preserve"> ma għandhiex tiġi kklassifikata bħala b’riskju għoli ta’ ILUC fl-att rivedut;</w:t>
      </w:r>
    </w:p>
    <w:p w:rsidR="00EE4FAD" w:rsidRPr="00286DE6" w:rsidP="00EE4FAD" w14:paraId="62E30A00" w14:textId="77777777">
      <w:pPr>
        <w:pStyle w:val="NormalHanging12a"/>
        <w:ind w:left="1418"/>
      </w:pPr>
      <w:r w:rsidRPr="00286DE6">
        <w:t>(b)</w:t>
      </w:r>
      <w:r w:rsidRPr="00286DE6">
        <w:tab/>
        <w:t xml:space="preserve">il-metodoloġija għandha tiġi aġġornata biex tqis bis-sħiħ il-prattiki tal-kultivazzjoni doppja fil-kultivazzjoni tal-fażola </w:t>
      </w:r>
      <w:r w:rsidRPr="00286DE6">
        <w:t>tas-sojja</w:t>
      </w:r>
      <w:r w:rsidRPr="00286DE6">
        <w:t xml:space="preserve">, sabiex l-espansjoni taż-żona tal-produzzjoni tal-fażola </w:t>
      </w:r>
      <w:r w:rsidRPr="00286DE6">
        <w:t>tas-sojja</w:t>
      </w:r>
      <w:r w:rsidRPr="00286DE6">
        <w:t xml:space="preserve"> u s-sehem ikkalkulat tal-espansjoni f’art b’ħażna kbira ta’ karbonju jirriflettu b’mod preċiż id-dinamika reali tat-tibdil fl-użu tal-art;</w:t>
      </w:r>
    </w:p>
    <w:p w:rsidR="00EE4FAD" w:rsidRPr="00286DE6" w:rsidP="00EE4FAD" w14:paraId="122B1C54" w14:textId="5B314299">
      <w:pPr>
        <w:pStyle w:val="NormalHanging12a"/>
        <w:ind w:left="1418"/>
      </w:pPr>
      <w:r w:rsidRPr="00286DE6">
        <w:t>(</w:t>
      </w:r>
      <w:r w:rsidR="00092094">
        <w:t>c</w:t>
      </w:r>
      <w:r w:rsidRPr="00286DE6">
        <w:t>)</w:t>
      </w:r>
      <w:r w:rsidRPr="00286DE6">
        <w:tab/>
        <w:t xml:space="preserve">għall-fażola </w:t>
      </w:r>
      <w:r w:rsidRPr="00286DE6">
        <w:t>tas-sojja</w:t>
      </w:r>
      <w:r w:rsidRPr="00286DE6">
        <w:t xml:space="preserve"> prodotta fl-Unjoni, jew f’pajjiżi terzi bi standards ekwivalenti u vverifikati rigward l-użu tal-art u l-monitoraġġ tad-deforestazzjoni, jenħtieġ li jiġi previst ir-rikonoxximent tagħha bħala b’riskju baxx ta’ ILUC, bl-esklużjoni </w:t>
      </w:r>
      <w:r w:rsidRPr="00286DE6">
        <w:t>konsegwenti</w:t>
      </w:r>
      <w:r w:rsidRPr="00286DE6">
        <w:t xml:space="preserve"> </w:t>
      </w:r>
      <w:r w:rsidRPr="00286DE6">
        <w:t>mit-trajettorja</w:t>
      </w:r>
      <w:r w:rsidRPr="00286DE6">
        <w:t xml:space="preserve"> tat-tnaqqis gradwali, fuq il-bażi li tali produzzjoni ma </w:t>
      </w:r>
      <w:r w:rsidRPr="00286DE6">
        <w:t>tixprunax</w:t>
      </w:r>
      <w:r w:rsidRPr="00286DE6">
        <w:t xml:space="preserve"> it-tibdil fl-użu tal-art li l-qafas tal-ILUC huwa intenzjonat li jindirizza.</w:t>
      </w:r>
    </w:p>
    <w:p w:rsidR="00EE4FAD" w:rsidRPr="00286DE6" w:rsidP="00EE4FAD" w14:paraId="1AEA83A2" w14:textId="0BD4C8FE">
      <w:pPr>
        <w:pStyle w:val="NormalHanging12a"/>
        <w:ind w:left="1418"/>
      </w:pPr>
      <w:r w:rsidRPr="00286DE6">
        <w:t>(</w:t>
      </w:r>
      <w:r w:rsidR="00092094">
        <w:t>d</w:t>
      </w:r>
      <w:r w:rsidRPr="00286DE6">
        <w:t>)</w:t>
      </w:r>
      <w:r w:rsidRPr="00286DE6">
        <w:tab/>
        <w:t>jafferma li ma joġġezzjonax għat-tnaqqis gradwali tal-</w:t>
      </w:r>
      <w:r w:rsidRPr="00286DE6">
        <w:t>bijokarburanti</w:t>
      </w:r>
      <w:r w:rsidRPr="00286DE6">
        <w:t xml:space="preserve"> </w:t>
      </w:r>
      <w:r w:rsidRPr="00286DE6">
        <w:t>bbażati</w:t>
      </w:r>
      <w:r w:rsidRPr="00286DE6">
        <w:t xml:space="preserve"> </w:t>
      </w:r>
      <w:r w:rsidRPr="00286DE6">
        <w:t>fuq iż-żejt tal-palm jew għall-korrezzjoni tan-nuqqasijiet fil-proċedura ta’ ċertifikazzjoni ta’ riskju baxx ta’ ILUC, li jikkostitwixxu reazzjonijiet xierqa u meħtieġa għad-deċiżjoni tal-Bord tad-WTO u għandhom jibqgħu jinżammu fi kwalunkwe att delegat rivedut;</w:t>
      </w:r>
    </w:p>
    <w:p w:rsidR="00E365E1" w:rsidRPr="00286DE6" w:rsidP="00B511F5" w14:paraId="076D1214" w14:textId="49F199AE">
      <w:pPr>
        <w:ind w:left="720" w:hanging="720"/>
      </w:pPr>
      <w:r w:rsidRPr="00286DE6">
        <w:t>4.</w:t>
      </w:r>
      <w:r w:rsidRPr="00286DE6">
        <w:tab/>
        <w:t>Jagħti istruzzjonijiet lill-President tiegħu biex tgħaddi din ir-riżoluzzjoni lill-Kunsill kif ukoll lill-gvernijiet u lill-parlamenti tal-Istati Membri.</w:t>
      </w:r>
    </w:p>
    <w:sectPr w:rsidSect="00286D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40ED09A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5AF7822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04CC308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46EC9" w:rsidRPr="00286DE6" w14:paraId="5230ECD3" w14:textId="77777777">
      <w:r w:rsidRPr="00286DE6">
        <w:separator/>
      </w:r>
    </w:p>
  </w:footnote>
  <w:footnote w:type="continuationSeparator" w:id="1">
    <w:p w:rsidR="00A46EC9" w:rsidRPr="00286DE6" w14:paraId="5026C726" w14:textId="77777777">
      <w:r w:rsidRPr="00286DE6">
        <w:continuationSeparator/>
      </w:r>
    </w:p>
  </w:footnote>
  <w:footnote w:id="2">
    <w:p w:rsidR="00EE4FAD" w:rsidRPr="00286DE6" w:rsidP="00286DE6" w14:paraId="7598FF67" w14:textId="62E8D926">
      <w:pPr>
        <w:pStyle w:val="FootnoteText"/>
        <w:ind w:left="567" w:hanging="567"/>
        <w:rPr>
          <w:sz w:val="24"/>
          <w:lang w:val="mt-MT"/>
        </w:rPr>
      </w:pPr>
      <w:r w:rsidRPr="00286DE6">
        <w:rPr>
          <w:rStyle w:val="FootnoteReference"/>
          <w:sz w:val="24"/>
          <w:lang w:val="mt-MT"/>
        </w:rPr>
        <w:footnoteRef/>
      </w:r>
      <w:r w:rsidRPr="00286DE6" w:rsidR="00286DE6">
        <w:rPr>
          <w:sz w:val="24"/>
          <w:lang w:val="mt-MT"/>
        </w:rPr>
        <w:t xml:space="preserve"> </w:t>
      </w:r>
      <w:r w:rsidRPr="00286DE6" w:rsidR="00286DE6">
        <w:rPr>
          <w:sz w:val="24"/>
          <w:lang w:val="mt-MT"/>
        </w:rPr>
        <w:tab/>
      </w:r>
      <w:r w:rsidRPr="00286DE6">
        <w:rPr>
          <w:sz w:val="24"/>
          <w:lang w:val="mt-MT"/>
        </w:rPr>
        <w:t xml:space="preserve">ĠU L 328, 21.12.2018, p. 82, ELI: </w:t>
      </w:r>
      <w:bookmarkStart w:id="7" w:name="_Hlk233195462"/>
      <w:hyperlink r:id="rId1" w:history="1">
        <w:r w:rsidRPr="00286DE6">
          <w:rPr>
            <w:rStyle w:val="Hyperlink"/>
            <w:sz w:val="24"/>
            <w:lang w:val="mt-MT"/>
          </w:rPr>
          <w:t>http://data.europa.eu/eli/dir/2018/2001/oj</w:t>
        </w:r>
        <w:bookmarkEnd w:id="7"/>
      </w:hyperlink>
      <w:r w:rsidRPr="00286DE6">
        <w:rPr>
          <w:sz w:val="24"/>
          <w:lang w:val="mt-MT"/>
        </w:rPr>
        <w:t>.</w:t>
      </w:r>
    </w:p>
  </w:footnote>
  <w:footnote w:id="3">
    <w:p w:rsidR="00EE4FAD" w:rsidRPr="00286DE6" w:rsidP="00286DE6" w14:paraId="098AFE78" w14:textId="40FAD8FE">
      <w:pPr>
        <w:pStyle w:val="FootnoteText"/>
        <w:ind w:left="567" w:hanging="567"/>
        <w:rPr>
          <w:sz w:val="24"/>
          <w:lang w:val="mt-MT"/>
        </w:rPr>
      </w:pPr>
      <w:r w:rsidRPr="00286DE6">
        <w:rPr>
          <w:rStyle w:val="FootnoteReference"/>
          <w:sz w:val="24"/>
          <w:lang w:val="mt-MT"/>
        </w:rPr>
        <w:footnoteRef/>
      </w:r>
      <w:r w:rsidRPr="00286DE6" w:rsidR="00286DE6">
        <w:rPr>
          <w:sz w:val="24"/>
          <w:lang w:val="mt-MT"/>
        </w:rPr>
        <w:t xml:space="preserve"> </w:t>
      </w:r>
      <w:r w:rsidRPr="00286DE6" w:rsidR="00286DE6">
        <w:rPr>
          <w:sz w:val="24"/>
          <w:lang w:val="mt-MT"/>
        </w:rPr>
        <w:tab/>
      </w:r>
      <w:r w:rsidRPr="00286DE6">
        <w:rPr>
          <w:sz w:val="24"/>
          <w:lang w:val="mt-MT"/>
        </w:rPr>
        <w:t xml:space="preserve">ĠU L 133, 21.5.2019, p. </w:t>
      </w:r>
      <w:r w:rsidRPr="00286DE6">
        <w:rPr>
          <w:sz w:val="24"/>
          <w:lang w:val="mt-MT"/>
        </w:rPr>
        <w:t xml:space="preserve">1, ELI: </w:t>
      </w:r>
      <w:hyperlink r:id="rId2" w:history="1">
        <w:r w:rsidRPr="00286DE6">
          <w:rPr>
            <w:rStyle w:val="Hyperlink"/>
            <w:sz w:val="24"/>
            <w:lang w:val="mt-MT"/>
          </w:rPr>
          <w:t>http://data.europa.eu/eli/reg_del/2019/807/oj</w:t>
        </w:r>
      </w:hyperlink>
      <w:r w:rsidRPr="00286DE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36F9317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2FCAEC5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86DE6" w14:paraId="7C11CFA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8207006">
    <w:abstractNumId w:val="9"/>
  </w:num>
  <w:num w:numId="2" w16cid:durableId="1125583234">
    <w:abstractNumId w:val="9"/>
  </w:num>
  <w:num w:numId="3" w16cid:durableId="2074967040">
    <w:abstractNumId w:val="7"/>
  </w:num>
  <w:num w:numId="4" w16cid:durableId="2092386496">
    <w:abstractNumId w:val="7"/>
  </w:num>
  <w:num w:numId="5" w16cid:durableId="333728291">
    <w:abstractNumId w:val="6"/>
  </w:num>
  <w:num w:numId="6" w16cid:durableId="472604152">
    <w:abstractNumId w:val="6"/>
  </w:num>
  <w:num w:numId="7" w16cid:durableId="1602487672">
    <w:abstractNumId w:val="5"/>
  </w:num>
  <w:num w:numId="8" w16cid:durableId="1668287447">
    <w:abstractNumId w:val="5"/>
  </w:num>
  <w:num w:numId="9" w16cid:durableId="1028525757">
    <w:abstractNumId w:val="4"/>
  </w:num>
  <w:num w:numId="10" w16cid:durableId="1776755239">
    <w:abstractNumId w:val="4"/>
  </w:num>
  <w:num w:numId="11" w16cid:durableId="713576689">
    <w:abstractNumId w:val="8"/>
  </w:num>
  <w:num w:numId="12" w16cid:durableId="1463037203">
    <w:abstractNumId w:val="8"/>
  </w:num>
  <w:num w:numId="13" w16cid:durableId="691339496">
    <w:abstractNumId w:val="3"/>
  </w:num>
  <w:num w:numId="14" w16cid:durableId="128868692">
    <w:abstractNumId w:val="3"/>
  </w:num>
  <w:num w:numId="15" w16cid:durableId="486435431">
    <w:abstractNumId w:val="2"/>
  </w:num>
  <w:num w:numId="16" w16cid:durableId="1913657033">
    <w:abstractNumId w:val="2"/>
  </w:num>
  <w:num w:numId="17" w16cid:durableId="1146312225">
    <w:abstractNumId w:val="1"/>
  </w:num>
  <w:num w:numId="18" w16cid:durableId="2009168005">
    <w:abstractNumId w:val="1"/>
  </w:num>
  <w:num w:numId="19" w16cid:durableId="1697923705">
    <w:abstractNumId w:val="0"/>
  </w:num>
  <w:num w:numId="20" w16cid:durableId="442961304">
    <w:abstractNumId w:val="0"/>
  </w:num>
  <w:num w:numId="21" w16cid:durableId="1215460864">
    <w:abstractNumId w:val="9"/>
  </w:num>
  <w:num w:numId="22" w16cid:durableId="1208420385">
    <w:abstractNumId w:val="7"/>
  </w:num>
  <w:num w:numId="23" w16cid:durableId="2015523907">
    <w:abstractNumId w:val="6"/>
  </w:num>
  <w:num w:numId="24" w16cid:durableId="1844971153">
    <w:abstractNumId w:val="5"/>
  </w:num>
  <w:num w:numId="25" w16cid:durableId="1489402093">
    <w:abstractNumId w:val="4"/>
  </w:num>
  <w:num w:numId="26" w16cid:durableId="549340793">
    <w:abstractNumId w:val="8"/>
  </w:num>
  <w:num w:numId="27" w16cid:durableId="1501001856">
    <w:abstractNumId w:val="3"/>
  </w:num>
  <w:num w:numId="28" w16cid:durableId="1995793088">
    <w:abstractNumId w:val="2"/>
  </w:num>
  <w:num w:numId="29" w16cid:durableId="708459643">
    <w:abstractNumId w:val="1"/>
  </w:num>
  <w:num w:numId="30" w16cid:durableId="1405881202">
    <w:abstractNumId w:val="0"/>
  </w:num>
  <w:num w:numId="31" w16cid:durableId="152992071">
    <w:abstractNumId w:val="9"/>
  </w:num>
  <w:num w:numId="32" w16cid:durableId="180820306">
    <w:abstractNumId w:val="7"/>
  </w:num>
  <w:num w:numId="33" w16cid:durableId="131754257">
    <w:abstractNumId w:val="6"/>
  </w:num>
  <w:num w:numId="34" w16cid:durableId="222522778">
    <w:abstractNumId w:val="5"/>
  </w:num>
  <w:num w:numId="35" w16cid:durableId="1160579249">
    <w:abstractNumId w:val="4"/>
  </w:num>
  <w:num w:numId="36" w16cid:durableId="365957193">
    <w:abstractNumId w:val="8"/>
  </w:num>
  <w:num w:numId="37" w16cid:durableId="350453486">
    <w:abstractNumId w:val="3"/>
  </w:num>
  <w:num w:numId="38" w16cid:durableId="1673213558">
    <w:abstractNumId w:val="2"/>
  </w:num>
  <w:num w:numId="39" w16cid:durableId="227811241">
    <w:abstractNumId w:val="1"/>
  </w:num>
  <w:num w:numId="40" w16cid:durableId="1416172691">
    <w:abstractNumId w:val="0"/>
  </w:num>
  <w:num w:numId="41" w16cid:durableId="2091583176">
    <w:abstractNumId w:val="10"/>
  </w:num>
  <w:num w:numId="42" w16cid:durableId="454492943">
    <w:abstractNumId w:val="10"/>
  </w:num>
  <w:num w:numId="43" w16cid:durableId="1812206872">
    <w:abstractNumId w:val="10"/>
  </w:num>
  <w:num w:numId="44" w16cid:durableId="16307435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EC9"/>
    <w:rsid w:val="00002272"/>
    <w:rsid w:val="00064002"/>
    <w:rsid w:val="000640AF"/>
    <w:rsid w:val="000677B9"/>
    <w:rsid w:val="000831BA"/>
    <w:rsid w:val="00092094"/>
    <w:rsid w:val="000A42CC"/>
    <w:rsid w:val="000E7DD9"/>
    <w:rsid w:val="0010095E"/>
    <w:rsid w:val="00125B37"/>
    <w:rsid w:val="00187494"/>
    <w:rsid w:val="001F32AE"/>
    <w:rsid w:val="002767FF"/>
    <w:rsid w:val="00286DE6"/>
    <w:rsid w:val="002B18FE"/>
    <w:rsid w:val="002B5493"/>
    <w:rsid w:val="00343214"/>
    <w:rsid w:val="00361C00"/>
    <w:rsid w:val="003750B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09C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632DB"/>
    <w:rsid w:val="00680577"/>
    <w:rsid w:val="006D7F1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144"/>
    <w:rsid w:val="00A43E52"/>
    <w:rsid w:val="00A4678D"/>
    <w:rsid w:val="00A46EC9"/>
    <w:rsid w:val="00A778C7"/>
    <w:rsid w:val="00AB441E"/>
    <w:rsid w:val="00AB6293"/>
    <w:rsid w:val="00AE0928"/>
    <w:rsid w:val="00AF3B82"/>
    <w:rsid w:val="00B12E95"/>
    <w:rsid w:val="00B22876"/>
    <w:rsid w:val="00B511F5"/>
    <w:rsid w:val="00B558F0"/>
    <w:rsid w:val="00BB2A4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FAD"/>
    <w:rsid w:val="00F04346"/>
    <w:rsid w:val="00F075DC"/>
    <w:rsid w:val="00F149E9"/>
    <w:rsid w:val="00F5134D"/>
    <w:rsid w:val="00F74202"/>
    <w:rsid w:val="00F87713"/>
    <w:rsid w:val="00FA5DAA"/>
    <w:rsid w:val="00FB4360"/>
    <w:rsid w:val="00FD0C70"/>
  </w:rsids>
  <w:docVars>
    <w:docVar w:name="dvdocse" w:val="B10-0337/2026"/>
    <w:docVar w:name="dvlangue" w:val="MT"/>
    <w:docVar w:name="dvnumam" w:val="0"/>
    <w:docVar w:name="dvpe" w:val="789.919"/>
    <w:docVar w:name="dvtitre" w:val="Riżoluzzjoni tal-Parlament Ewropew xx xx xxxx 2026 dwar ir-regolament delegat tal-Kummissjoni tal-10 ta’ April 2026 li jemenda r-Regolament Delegat tal-Kummissjoni (UE) 2019/807 biex jintroduċi trajettorja biex jitnaqqas gradwalment il-kontribut ta’ bijokarburanti, bijolikwidi u karburanti mill-bijomassa b’riskju għoli ta’ tibdil indirett fl-użu tal-art lejn il-miri tal-enerġija rinnovabbli((C(2026)02306) – 2026/2680(DEA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4694E67"/>
  <w15:chartTrackingRefBased/>
  <w15:docId w15:val="{B7208BBF-C141-4A25-9788-1F4A74AD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4FAD"/>
    <w:pPr>
      <w:spacing w:before="480" w:after="240"/>
    </w:pPr>
  </w:style>
  <w:style w:type="paragraph" w:customStyle="1" w:styleId="NormalHanging12a">
    <w:name w:val="NormalHanging12a"/>
    <w:basedOn w:val="Normal"/>
    <w:rsid w:val="00EE4FAD"/>
    <w:pPr>
      <w:spacing w:after="240"/>
      <w:ind w:left="567" w:hanging="567"/>
    </w:pPr>
  </w:style>
  <w:style w:type="character" w:styleId="Hyperlink">
    <w:name w:val="Hyperlink"/>
    <w:basedOn w:val="DefaultParagraphFont"/>
    <w:rsid w:val="00EE4FA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B511F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8/2001/oj" TargetMode="External" /><Relationship Id="rId2" Type="http://schemas.openxmlformats.org/officeDocument/2006/relationships/hyperlink" Target="http://data.europa.eu/eli/reg_del/2019/807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1544</Words>
  <Characters>11670</Characters>
  <Application>Microsoft Office Word</Application>
  <DocSecurity>0</DocSecurity>
  <Lines>97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2026-07-08T13:48:00Z</dcterms:created>
  <dcterms:modified xsi:type="dcterms:W3CDTF">2026-07-08T13:48:00Z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B10-0337/2026</vt:lpwstr>
  </property>
  <property fmtid="{D5CDD505-2E9C-101B-9397-08002B2CF9AE}" pid="4" name="&lt;Type&gt;">
    <vt:lpwstr>RR</vt:lpwstr>
  </property>
</Properties>
</file>