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917F7F2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93AEE" w:rsidP="0010095E" w14:paraId="5A4E951F" w14:textId="46102B5C">
            <w:pPr>
              <w:pStyle w:val="EPName"/>
            </w:pPr>
            <w:r w:rsidRPr="00393AEE">
              <w:t>Parlament Europejski</w:t>
            </w:r>
          </w:p>
          <w:p w:rsidR="00751A4A" w:rsidRPr="00393AEE" w:rsidP="005F1B17" w14:paraId="13BB9FA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93AEE">
              <w:t>2024</w:t>
            </w:r>
            <w:r w:rsidRPr="00393AEE" w:rsidR="00817416">
              <w:t>-202</w:t>
            </w:r>
            <w:r w:rsidRPr="00393AE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93AEE" w:rsidP="0010095E" w14:paraId="1FE897E5" w14:textId="77777777">
            <w:pPr>
              <w:pStyle w:val="EPLogo"/>
            </w:pPr>
            <w:r w:rsidRPr="00393AE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93AEE" w:rsidP="004C5D52" w14:paraId="678FCAE4" w14:textId="77777777">
      <w:pPr>
        <w:pStyle w:val="LineTop"/>
      </w:pPr>
    </w:p>
    <w:p w:rsidR="00680577" w:rsidRPr="00393AEE" w:rsidP="00680577" w14:paraId="12676DB7" w14:textId="6E7560DF">
      <w:pPr>
        <w:pStyle w:val="EPBodyTA1"/>
      </w:pPr>
      <w:r w:rsidRPr="00393AEE">
        <w:t>TEKSTY PRZYJĘTE</w:t>
      </w:r>
    </w:p>
    <w:p w:rsidR="00D058B8" w:rsidRPr="00393AEE" w:rsidP="00D058B8" w14:paraId="24E8B3A3" w14:textId="77777777">
      <w:pPr>
        <w:pStyle w:val="LineBottom"/>
      </w:pPr>
    </w:p>
    <w:p w:rsidR="00E3744A" w:rsidRPr="00393AEE" w:rsidP="00E3744A" w14:paraId="207CBD69" w14:textId="70A061B6">
      <w:pPr>
        <w:pStyle w:val="ATHeading1"/>
      </w:pPr>
      <w:bookmarkStart w:id="0" w:name="TANumber"/>
      <w:r w:rsidRPr="00393AEE">
        <w:t>P10_TA(2026)0</w:t>
      </w:r>
      <w:bookmarkEnd w:id="0"/>
      <w:r w:rsidR="006B227A">
        <w:t>252</w:t>
      </w:r>
    </w:p>
    <w:p w:rsidR="00E3744A" w:rsidRPr="00393AEE" w:rsidP="00E3744A" w14:paraId="646860B1" w14:textId="20263F4F">
      <w:pPr>
        <w:pStyle w:val="ATHeading2"/>
      </w:pPr>
      <w:bookmarkStart w:id="1" w:name="title"/>
      <w:r w:rsidRPr="00723B3D">
        <w:t>Sprzeciw wobec aktu delegowanego</w:t>
      </w:r>
      <w:r w:rsidRPr="00393AEE">
        <w:t xml:space="preserve">: Trajektoria stopniowego zmniejszania wkładu biopaliw, </w:t>
      </w:r>
      <w:r w:rsidRPr="00393AEE">
        <w:t>biopłynów</w:t>
      </w:r>
      <w:r w:rsidRPr="00393AEE">
        <w:t xml:space="preserve"> i paliw z biomasy o wysokim ryzyku spowodowania pośredniej zmiany użytkowania gruntów na poczet celów w zakresie energii odnawialnej</w:t>
      </w:r>
      <w:bookmarkEnd w:id="1"/>
    </w:p>
    <w:p w:rsidR="00E3744A" w:rsidRPr="00393AEE" w:rsidP="00E3744A" w14:paraId="3D468F0D" w14:textId="77777777">
      <w:pPr>
        <w:rPr>
          <w:i/>
          <w:vanish/>
        </w:rPr>
      </w:pPr>
      <w:r>
        <w:rPr>
          <w:i/>
        </w:rPr>
        <w:fldChar w:fldCharType="begin"/>
      </w:r>
      <w:r w:rsidRPr="00393AEE">
        <w:rPr>
          <w:i/>
        </w:rPr>
        <w:instrText xml:space="preserve"> TC"(</w:instrText>
      </w:r>
      <w:bookmarkStart w:id="2" w:name="DocNumber"/>
      <w:r w:rsidRPr="00393AEE">
        <w:rPr>
          <w:i/>
        </w:rPr>
        <w:instrText>B10-0337/2026</w:instrText>
      </w:r>
      <w:bookmarkEnd w:id="2"/>
      <w:r w:rsidRPr="00393AEE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E3744A" w:rsidRPr="00393AEE" w:rsidP="00E3744A" w14:paraId="6C7E2C75" w14:textId="77777777">
      <w:pPr>
        <w:rPr>
          <w:vanish/>
        </w:rPr>
      </w:pPr>
      <w:bookmarkStart w:id="3" w:name="PE"/>
      <w:r w:rsidRPr="00393AEE">
        <w:rPr>
          <w:vanish/>
        </w:rPr>
        <w:t>PE789.919</w:t>
      </w:r>
      <w:bookmarkEnd w:id="3"/>
    </w:p>
    <w:p w:rsidR="00E3744A" w:rsidRPr="00393AEE" w:rsidP="002541B1" w14:paraId="603C0F17" w14:textId="3376A822">
      <w:pPr>
        <w:pStyle w:val="ATHeading3"/>
      </w:pPr>
      <w:bookmarkStart w:id="4" w:name="Sujet"/>
      <w:r w:rsidRPr="00393AEE">
        <w:t xml:space="preserve">Rezolucja Parlamentu Europejskiego z dnia </w:t>
      </w:r>
      <w:r w:rsidR="00D90E3B">
        <w:t>8 lipca</w:t>
      </w:r>
      <w:r w:rsidRPr="00393AEE">
        <w:t xml:space="preserve"> 2026 r. w sprawie rozporządzenia delegowanego Komisji z dnia 10 kwietnia 2026 r. zmieniającego rozporządzenie delegowane Komisji (UE) 2019/807 w celu wprowadzenia trajektorii stopniowego zmniejszania wkładu biopaliw, </w:t>
      </w:r>
      <w:r w:rsidRPr="00393AEE">
        <w:t>biopłynów</w:t>
      </w:r>
      <w:r w:rsidRPr="00393AEE">
        <w:t xml:space="preserve"> i paliw z biomasy o wysokim ryzyku spowodowania pośredniej zmiany użytkowania gruntów na poczet celów w zakresie energii odnawialnej</w:t>
      </w:r>
      <w:bookmarkEnd w:id="4"/>
      <w:r w:rsidRPr="00393AEE">
        <w:t xml:space="preserve"> </w:t>
      </w:r>
      <w:bookmarkStart w:id="5" w:name="References"/>
      <w:r w:rsidRPr="00393AEE">
        <w:t>((C(2026)02306) – 2026/2680(DEA))</w:t>
      </w:r>
      <w:bookmarkEnd w:id="5"/>
    </w:p>
    <w:p w:rsidR="0060543C" w:rsidRPr="00393AEE" w:rsidP="0060543C" w14:paraId="541838A3" w14:textId="77777777">
      <w:pPr>
        <w:pStyle w:val="EPComma"/>
      </w:pPr>
      <w:bookmarkStart w:id="6" w:name="TextBodyBegin"/>
      <w:bookmarkEnd w:id="6"/>
      <w:r w:rsidRPr="00393AEE">
        <w:rPr>
          <w:i/>
        </w:rPr>
        <w:t>Parlament Europejski</w:t>
      </w:r>
      <w:r w:rsidRPr="00393AEE">
        <w:t>,</w:t>
      </w:r>
    </w:p>
    <w:p w:rsidR="0060543C" w:rsidRPr="00393AEE" w:rsidP="0060543C" w14:paraId="40419577" w14:textId="77777777">
      <w:pPr>
        <w:pStyle w:val="NormalHanging12a"/>
      </w:pPr>
      <w:r w:rsidRPr="00393AEE">
        <w:t>–</w:t>
      </w:r>
      <w:r w:rsidRPr="00393AEE">
        <w:tab/>
        <w:t>uwzględniając rozporządzenie delegowane Komisji (C(2026)02306),</w:t>
      </w:r>
    </w:p>
    <w:p w:rsidR="0060543C" w:rsidRPr="00393AEE" w:rsidP="0060543C" w14:paraId="2F0FBE50" w14:textId="77777777">
      <w:pPr>
        <w:pStyle w:val="NormalHanging12a"/>
      </w:pPr>
      <w:r w:rsidRPr="00393AEE">
        <w:t>–</w:t>
      </w:r>
      <w:r w:rsidRPr="00393AEE">
        <w:tab/>
        <w:t>uwzględniając art. 290 Traktatu o funkcjonowaniu Unii Europejskiej,</w:t>
      </w:r>
    </w:p>
    <w:p w:rsidR="0060543C" w:rsidRPr="00393AEE" w:rsidP="0060543C" w14:paraId="0A04D2DD" w14:textId="77777777">
      <w:pPr>
        <w:pStyle w:val="NormalHanging12a"/>
      </w:pPr>
      <w:r w:rsidRPr="00393AEE">
        <w:t>–</w:t>
      </w:r>
      <w:r w:rsidRPr="00393AEE">
        <w:tab/>
        <w:t>uwzględniając dyrektywę Parlamentu Europejskiego i Rady (UE) 2018/2001 z dnia 11 grudnia 2018 r. w sprawie promowania stosowania energii ze źródeł odnawialnych</w:t>
      </w:r>
      <w:r>
        <w:rPr>
          <w:rStyle w:val="FootnoteReference"/>
        </w:rPr>
        <w:footnoteReference w:id="2"/>
      </w:r>
      <w:r w:rsidRPr="00393AEE">
        <w:t>, w szczególności jej art. 26 ust. 2 akapit piąty i art. 35 ust. 7,</w:t>
      </w:r>
    </w:p>
    <w:p w:rsidR="0060543C" w:rsidRPr="00393AEE" w:rsidP="0060543C" w14:paraId="761A2CEB" w14:textId="77777777">
      <w:pPr>
        <w:pStyle w:val="NormalHanging12a"/>
      </w:pPr>
      <w:r w:rsidRPr="00393AEE">
        <w:t>–</w:t>
      </w:r>
      <w:r w:rsidRPr="00393AEE">
        <w:tab/>
        <w:t xml:space="preserve">uwzględniając rozporządzenie delegowane Komisji (UE) 2019/807 z dnia 13 marca 2019 r. uzupełniające dyrektywę Parlamentu Europejskiego i Rady (UE) 2018/2001 w odniesieniu do określania surowców o wysokim ryzyku spowodowania pośredniej zmiany użytkowania gruntów, w przypadku których zaobserwowano znaczącą ekspansję obszaru produkcji na tereny zasobne w pierwiastek węgla oraz certyfikowania biopaliw, </w:t>
      </w:r>
      <w:r w:rsidRPr="00393AEE">
        <w:t>biopłynów</w:t>
      </w:r>
      <w:r w:rsidRPr="00393AEE">
        <w:t xml:space="preserve"> i paliw z biomasy o niskim ryzyku spowodowania pośredniej zmiany użytkowania gruntów</w:t>
      </w:r>
      <w:r>
        <w:rPr>
          <w:rStyle w:val="FootnoteReference"/>
        </w:rPr>
        <w:footnoteReference w:id="3"/>
      </w:r>
      <w:r w:rsidRPr="00393AEE">
        <w:t>,</w:t>
      </w:r>
    </w:p>
    <w:p w:rsidR="0060543C" w:rsidP="0060543C" w14:paraId="653A1BE5" w14:textId="77777777">
      <w:pPr>
        <w:pStyle w:val="NormalHanging12a"/>
      </w:pPr>
      <w:r w:rsidRPr="00393AEE">
        <w:t>–</w:t>
      </w:r>
      <w:r w:rsidRPr="00393AEE">
        <w:tab/>
        <w:t>uwzględniając art. 114 ust. 3 Regulaminu,</w:t>
      </w:r>
    </w:p>
    <w:p w:rsidR="0097365E" w:rsidP="0060543C" w14:paraId="16E34E2B" w14:textId="58D78369">
      <w:pPr>
        <w:pStyle w:val="NormalHanging12a"/>
      </w:pPr>
      <w:r w:rsidRPr="0097365E">
        <w:t>–</w:t>
      </w:r>
      <w:r w:rsidRPr="0097365E">
        <w:tab/>
        <w:t>uwzględniając projekt rezolucji Komisji Przemysłu, Badań Naukowych i Energii,</w:t>
      </w:r>
    </w:p>
    <w:p w:rsidR="0060543C" w:rsidRPr="00393AEE" w:rsidP="0060543C" w14:paraId="014D0905" w14:textId="5D7EE449">
      <w:pPr>
        <w:pStyle w:val="NormalHanging12a"/>
      </w:pPr>
      <w:r w:rsidRPr="00393AEE">
        <w:t>A.</w:t>
      </w:r>
      <w:r w:rsidRPr="00393AEE">
        <w:tab/>
        <w:t>mając na uwadze, że w dyrektywie (UE) 2018/2001</w:t>
      </w:r>
      <w:r w:rsidR="006B227A">
        <w:t>,</w:t>
      </w:r>
      <w:r w:rsidRPr="00393AEE">
        <w:t xml:space="preserve">  chcąc zapewnić rzeczywiste korzyści dla klimatu z zaliczania biopaliw na poczet tego celu, wprowadzono przepisy o przeciwdziałaniu ryzyku pośredniej zmiany użytkowania gruntów (ILUC), pozwalające klasyfikować surowce jako przedstawiające wysokie ryzyko spowodowania ILUC;</w:t>
      </w:r>
    </w:p>
    <w:p w:rsidR="0060543C" w:rsidRPr="00393AEE" w:rsidP="0060543C" w14:paraId="035FBCB8" w14:textId="77777777">
      <w:pPr>
        <w:pStyle w:val="NormalHanging12a"/>
      </w:pPr>
      <w:r w:rsidRPr="00393AEE">
        <w:t>B.</w:t>
      </w:r>
      <w:r w:rsidRPr="00393AEE">
        <w:tab/>
        <w:t>mając na uwadze, że w rozporządzeniu delegowanym Komisji (UE) 2019/807 określono metodykę wskazywania surowców o wysokim ryzyku spowodowania ILUC, w art. 3 wprowadzono jednoznaczny wymóg, aby ocena bazowała na danych od 2008 r., i ustalono na 10 % próg ekspansji na tereny zasobne w pierwiastek węgla, powyżej którego dany surowiec klasyfikuje się jako cechujący się wysokim ryzykiem spowodowania ILUC; mając na uwadze, że zgodnie z tą metodyką i tym poziomem bazowym w sprawozdaniu Komisji z 2019 r. udział soi w ekspansji na tereny zasobne w pierwiastek węgla wyniósł 8 %, czyli poniżej progu kwalifikującego, a to oznacza, że soi nie sklasyfikowano jako surowiec o wysokim ryzyku spowodowania ILUC;</w:t>
      </w:r>
    </w:p>
    <w:p w:rsidR="0060543C" w:rsidRPr="00393AEE" w:rsidP="0060543C" w14:paraId="0AD77F4B" w14:textId="77777777">
      <w:pPr>
        <w:pStyle w:val="NormalHanging12a"/>
      </w:pPr>
      <w:r w:rsidRPr="00393AEE">
        <w:t>C.</w:t>
      </w:r>
      <w:r w:rsidRPr="00393AEE">
        <w:tab/>
        <w:t>mając na uwadze, że Indonezja i Malezja wszczęły spory w WTO (DS593 i DS600), kwestionując unijne przepisy o ILUC, zwłaszcza klasyfikację oleju palmowego jako obarczonego wysokim ryzykiem ILUC oraz procedurę certyfikacji niskiego ryzyka ILUC; mając na uwadze, że postanowienie zespołu orzekającego WTO ze stycznia 2025 r. jest zasadniczo korzystne dla Unii, ale wskazano w nim konkretne naruszenia: brak terminowej aktualizacji danych naukowych, niedociągnięcia w procedurze certyfikacji niskiego ryzyka ILUC oraz brak odpowiedniego powiadomienia o środkach; mając na uwadze, że zespół stwierdził uchybienia proceduralne po stronie Unii, ale nie zakwestionował wybranych przez Unię upraw, które należy sklasyfikować jako obarczone wysokim ryzykiem spowodowania ILUC;</w:t>
      </w:r>
    </w:p>
    <w:p w:rsidR="0060543C" w:rsidRPr="00393AEE" w:rsidP="0060543C" w14:paraId="083B11CF" w14:textId="77777777">
      <w:pPr>
        <w:pStyle w:val="NormalHanging12a"/>
      </w:pPr>
      <w:r w:rsidRPr="00393AEE">
        <w:t>D.</w:t>
      </w:r>
      <w:r w:rsidRPr="00393AEE">
        <w:tab/>
        <w:t>mając na uwadze, że w akcie delegowanym na podstawie zaktualizowanych danych naukowych dodano soję wraz z olejem palmowym do wykazu upraw o wysokim ryzyku spowodowania ILUC, co oznacza, że biodiesel na bazie soi ma być całkowicie wycofany z zaliczania na poczet celów UE dotyczących energii ze źródeł odnawialnych do 2030 r.;</w:t>
      </w:r>
    </w:p>
    <w:p w:rsidR="0060543C" w:rsidRPr="00393AEE" w:rsidP="0060543C" w14:paraId="5D26F730" w14:textId="77777777">
      <w:pPr>
        <w:pStyle w:val="NormalHanging12a"/>
      </w:pPr>
      <w:r w:rsidRPr="00393AEE">
        <w:t>E.</w:t>
      </w:r>
      <w:r w:rsidRPr="00393AEE">
        <w:tab/>
        <w:t>mając na uwadze, że Parlament nie sprzeciwia się trajektorii wycofywania oleju palmowego, którego klasyfikacja jako uprawy o wysokim ryzyku spowodowania ILUC jest niekwestionowana i ma solidne podstawy naukowe, ani korekcie niedociągnięć w procedurze certyfikacji upraw o niskim ryzyku spowodowania ILUC, gdyż w obu przypadkach jest to właściwa odpowiedź na postanowienie zespołu WTO, którą należy utrzymać w każdym zmienianym akcie delegowanym;</w:t>
      </w:r>
    </w:p>
    <w:p w:rsidR="0060543C" w:rsidRPr="00393AEE" w:rsidP="0060543C" w14:paraId="3AE5D94A" w14:textId="77777777">
      <w:pPr>
        <w:pStyle w:val="NormalHanging12a"/>
      </w:pPr>
      <w:r w:rsidRPr="00393AEE">
        <w:t>F.</w:t>
      </w:r>
      <w:r w:rsidRPr="00393AEE">
        <w:tab/>
        <w:t>mając na uwadze, że zaklasyfikowanie w akcie delegowanym nasion soi jako upraw o wysokim ryzyku spowodowania ILUC bazuje na zaktualizowanych danych naukowych, odchodzących od poziomu bazowego obserwacji z 2008 r. przyjętego w art. 3 rozporządzenia delegowanego Komisji (UE) 2019/807, gdyż okres obserwacji przesunięto na 2014 r.; mając na uwadze, że ta zmiana roku bazowego nie wynika z postanowienia zespołu orzekającego WTO, które dotyczyło terminowego aktualizowania danych, a nie wyboru roku bazowego; mając na uwadze, że gdyby przyjęto pierwotny poziom bazowy z 2008 r. zgodnie z wymogami obowiązujących przepisów, udział nasion soi w ekspansji na tereny zasobne w pierwiastek węgla najprawdopodobniej utrzymałby się poniżej progu 10 %, zatem nasiona soi nie byłyby kwalifikowane jako uprawy o wysokim ryzyku spowodowania ILUC;</w:t>
      </w:r>
    </w:p>
    <w:p w:rsidR="0060543C" w:rsidRPr="00393AEE" w:rsidP="0060543C" w14:paraId="1ECDCAAB" w14:textId="77777777">
      <w:pPr>
        <w:pStyle w:val="NormalHanging12a"/>
      </w:pPr>
      <w:r w:rsidRPr="00393AEE">
        <w:t>G.</w:t>
      </w:r>
      <w:r w:rsidRPr="00393AEE">
        <w:tab/>
        <w:t>mając na uwadze, że zaktualizowane dane naukowe będące podstawą klasyfikacji soi nie uwzględniają praktyki plonu wtórnego, czyli uprawy soi jako drugiego plonu na gruntach, na których już zebrano plon główny w tym samym roku kalendarzowym; mając na uwadze, że skutkiem tej luki metodologicznej jest zawyżenie ekspansji obszaru produkcji nasion soi, a zatem zawyżenie wyliczonego udziału ekspansji nasion soi na tereny zasobne w pierwiastek węgla;</w:t>
      </w:r>
    </w:p>
    <w:p w:rsidR="0060543C" w:rsidRPr="00393AEE" w:rsidP="0060543C" w14:paraId="008CACEA" w14:textId="32646AE8">
      <w:pPr>
        <w:pStyle w:val="NormalHanging12a"/>
      </w:pPr>
      <w:r>
        <w:t>H</w:t>
      </w:r>
      <w:r w:rsidRPr="00393AEE">
        <w:t>.</w:t>
      </w:r>
      <w:r w:rsidRPr="00393AEE">
        <w:tab/>
        <w:t>mając na uwadze, że ryzyko spowodowania ILUC przy uprawie soi skupia się geograficznie w produkcji południowoamerykańskiej; mając na uwadze, że uprawa soi w Unii nie powoduje wylesiania ani przekształcania gruntów, którym mają zaradzić przepisy o ILUC; mając na uwadze, że Komisja nie przedstawiła dowodów na to, by uprawa soi w Unii powodowała ILUC; mając na uwadze, że wobec braku takich dowodów klasyfikacja nasion soi produkowanych w Unii jako nasion o wysokim ryzyku spowodowania ILUC nie ma wystarczających podstaw naukowych;</w:t>
      </w:r>
      <w:r w:rsidRPr="00393AEE">
        <w:rPr>
          <w:b/>
        </w:rPr>
        <w:t xml:space="preserve"> </w:t>
      </w:r>
      <w:r w:rsidRPr="00393AEE">
        <w:t>mając na uwadze, że niezróżnicowana klasyfikacja nasion soi jako upraw o wysokim ryzyku spowodowania ILUC na całym świecie, niezależnie od ich pochodzenia geograficznego, jest niewspółmierna i obarcza producentów unijnych obciążeniem wynikającym z emisji spowodowanych zmianą użytkowania gruntów, za które nie są oni odpowiedzialni;</w:t>
      </w:r>
    </w:p>
    <w:p w:rsidR="0060543C" w:rsidRPr="00393AEE" w:rsidP="0060543C" w14:paraId="2FD24D99" w14:textId="51661F4C">
      <w:pPr>
        <w:pStyle w:val="NormalHanging12a"/>
      </w:pPr>
      <w:r>
        <w:t>I</w:t>
      </w:r>
      <w:r w:rsidRPr="00393AEE">
        <w:t>.</w:t>
      </w:r>
      <w:r w:rsidRPr="00393AEE">
        <w:tab/>
      </w:r>
      <w:bookmarkStart w:id="8" w:name="_Hlk230337619"/>
      <w:r w:rsidRPr="00393AEE">
        <w:t>mając na uwadze, że w przedstawionej przez Komisję wizji dla rolnictwa i żywności podkreślono potrzebę stworzenia bardziej samowystarczalnego unijnego systemu produkcji białka; mając na uwadze, że Unia produkuje zaledwie około 6 % zużywanej przez siebie soi, przez co jest w dużym stopniu zależna od przywozu; mając na uwadze, że zapowiedziany przez Komisję unijny plan na rzecz białka i określone w nim cele, wraz z celami otwartej strategicznej autonomii, mają w szczególności rozszerzać unijne uprawy soi, by zmniejszyć tę zależność; mając na uwadze, że rynek biopaliw to kluczowy czynnik gospodarczy napędzający uprawę soi w Unii i unijny sektor rozdrabniania soi; mając na uwadze, że klasyfikacja nasion soi jako upraw o wysokim ryzyku spowodowania ILUC eliminuje tę zachętę rynkową i jest bezpośrednio sprzeczna z celami unijnego planu na rzecz białka oraz z celami Unii dotyczącymi autonomii strategicznej;</w:t>
      </w:r>
      <w:bookmarkEnd w:id="8"/>
    </w:p>
    <w:p w:rsidR="0060543C" w:rsidRPr="00393AEE" w:rsidP="0060543C" w14:paraId="31F7B017" w14:textId="55CB785B">
      <w:pPr>
        <w:pStyle w:val="NormalHanging12a"/>
      </w:pPr>
      <w:r>
        <w:t>J</w:t>
      </w:r>
      <w:r w:rsidRPr="00393AEE">
        <w:t>.</w:t>
      </w:r>
      <w:r w:rsidRPr="00393AEE">
        <w:tab/>
        <w:t>mając na uwadze, że w wyniku rozdrabniania soi powstaje śruta sojowa, będąca produktem dominującym i podstawowym źródłem białka paszowego dla zwierząt, oraz olej sojowy, stanowiący zaledwie około 20 % masy nasion soi i wykorzystywany m.in. jako surowiec do produkcji biopaliw; mając na uwadze, że głównym czynnikiem gospodarczym napędzającym uprawę i przetwarzanie nasion soi jest popyt na śrutę sojową na paszę dla zwierząt, a nie wykorzystanie oleju sojowego w biopaliwach; mając na uwadze, że przypisywanie dynamiki ekspansji upraw soi przede wszystkim olejowi sojowemu wykorzystywanemu w biopaliwach przeinacza zatem rzeczywistość gospodarczą sektora i zawyża wpływ biodiesla sojowego na ILUC; mając na uwadze, że dewaluacja oleju sojowego przez utratę rynku zbytu dla biopaliw pogorszy marże w sektorze rozdrabniania i zmniejszy jego rentowność w Unii; mając na uwadze, że zmusiłoby to Unię do zastąpienia aż 4,8 mln ton unijnej śruty sojowej przywozem z państw trzecich, co zwiększyłoby zależność od przywozu białka, podniosłoby koszty paszy i przeniosło poza Unię działalność przemysłową tworzącą dodatkową wartość; mając na uwadze, że szacowane skutki gospodarcze dla sektora to około 36 mln EUR strat dla unijnych producentów soi, 120 mln EUR dla unijnego sektora rozdrabniania i do 1,3 mld EUR dla unijnego przemysłu biodiesla;</w:t>
      </w:r>
    </w:p>
    <w:p w:rsidR="0060543C" w:rsidRPr="00393AEE" w:rsidP="0060543C" w14:paraId="062B289B" w14:textId="79D51B6A">
      <w:pPr>
        <w:pStyle w:val="NormalHanging12a"/>
      </w:pPr>
      <w:r>
        <w:t>K</w:t>
      </w:r>
      <w:r w:rsidRPr="00393AEE">
        <w:t>.</w:t>
      </w:r>
      <w:r w:rsidRPr="00393AEE">
        <w:tab/>
        <w:t>mając na uwadze, że soja to uprawa wiążącą azot, a zatem zmniejszająca zależność od chemicznych nawozów azotowych i pozytywnie wpływająca na płodozmian i zdrowie gleby; mając na uwadze, że zniechęcanie do uprawy soi w UE zwiększyłoby zależność Unii od importowanych nawozów chemicznych, co jest sprzeczne z celami Unii dotyczącymi odporności łańcucha dostaw nawozów, które trzeba osiągnąć tym pilniej w związku z zakłóceniami dostaw w wyniku rosyjskiej inwazji na Ukrainę;</w:t>
      </w:r>
    </w:p>
    <w:p w:rsidR="0060543C" w:rsidRPr="00393AEE" w:rsidP="0060543C" w14:paraId="40C16DA8" w14:textId="7F89A1F9">
      <w:pPr>
        <w:pStyle w:val="NormalHanging12a"/>
      </w:pPr>
      <w:r>
        <w:t>L</w:t>
      </w:r>
      <w:r w:rsidRPr="00393AEE">
        <w:t>.</w:t>
      </w:r>
      <w:r w:rsidRPr="00393AEE">
        <w:tab/>
        <w:t>mając na uwadze, że w Pakcie dla czystego przemysłu wezwano do tworzenia konkurencyjnej, niskoemisyjnej gospodarki przemysłowej wspieranej przez szeroki i zróżnicowany zakres czystych paliw i surowców; mając na uwadze, że ograniczenie dostępnego koszyka surowców do produkcji biopaliw przez usunięcie nasion soi zawęża bazę dostaw Unii do celów dekarbonizacji sektora transportu, zwiększa zmienność cen i podatność dostaw na zagrożenia oraz jest niezgodne z podejściem neutralnym pod względem technologicznym i zapewniającym bezpieczeństwo dostaw, którego wymagają cele Unii dotyczące konkurencyjności;</w:t>
      </w:r>
    </w:p>
    <w:p w:rsidR="0060543C" w:rsidRPr="00393AEE" w:rsidP="0060543C" w14:paraId="57988FB9" w14:textId="5E17C005">
      <w:pPr>
        <w:pStyle w:val="NormalHanging12a"/>
      </w:pPr>
      <w:r>
        <w:t>M</w:t>
      </w:r>
      <w:r w:rsidRPr="00393AEE">
        <w:t>.</w:t>
      </w:r>
      <w:r w:rsidRPr="00393AEE">
        <w:tab/>
        <w:t>mając na uwadze, że w Kompasie konkurencyjności dla UE za główne priorytety Unii uznano zmniejszenie strategicznych zależności oraz zwiększenie zdolności przemysłowych i przetwórczych Unii; mając na uwadze, że sklasyfikowanie nasion soi jako upraw o wysokim ryzyku spowodowania ILUC zwiększa, a nie zmniejsza strategiczne zależności Unii zarówno w sektorze białka, jak i biopaliw;</w:t>
      </w:r>
    </w:p>
    <w:p w:rsidR="0060543C" w:rsidRPr="00393AEE" w:rsidP="0060543C" w14:paraId="12CE8B85" w14:textId="77777777">
      <w:pPr>
        <w:pStyle w:val="NormalHanging12a"/>
      </w:pPr>
      <w:r w:rsidRPr="00393AEE">
        <w:t>1.</w:t>
      </w:r>
      <w:r w:rsidRPr="00393AEE">
        <w:tab/>
        <w:t>wyraża sprzeciw wobec rozporządzenia delegowanego Komisji;</w:t>
      </w:r>
    </w:p>
    <w:p w:rsidR="0060543C" w:rsidRPr="00393AEE" w:rsidP="0060543C" w14:paraId="18CB2298" w14:textId="77777777">
      <w:pPr>
        <w:pStyle w:val="NormalHanging12a"/>
      </w:pPr>
      <w:r w:rsidRPr="00393AEE">
        <w:t>2.</w:t>
      </w:r>
      <w:r w:rsidRPr="00393AEE">
        <w:tab/>
        <w:t>zobowiązuje swoją przewodniczącą do przekazania tej rezolucji Komisji i do powiadomienia jej, że rozporządzenie delegowane nie może wejść w życie;</w:t>
      </w:r>
    </w:p>
    <w:p w:rsidR="0060543C" w:rsidRPr="00393AEE" w:rsidP="0060543C" w14:paraId="43FADA50" w14:textId="77777777">
      <w:pPr>
        <w:pStyle w:val="NormalHanging12a"/>
      </w:pPr>
      <w:r w:rsidRPr="00393AEE">
        <w:t>3.</w:t>
      </w:r>
      <w:r w:rsidRPr="00393AEE">
        <w:tab/>
        <w:t>wzywa Komisję do bezzwłocznego przedstawienia zmienionego aktu delegowanego uwzględniającego następujące zalecenia:</w:t>
      </w:r>
    </w:p>
    <w:p w:rsidR="0060543C" w:rsidRPr="00393AEE" w:rsidP="0060543C" w14:paraId="099618A4" w14:textId="77777777">
      <w:pPr>
        <w:pStyle w:val="NormalHanging12a"/>
        <w:ind w:left="1418"/>
      </w:pPr>
      <w:r w:rsidRPr="00393AEE">
        <w:t>a)</w:t>
      </w:r>
      <w:r w:rsidRPr="00393AEE">
        <w:tab/>
        <w:t>stwierdzenie statusu soi jako obarczonej ryzykiem spowodowania ILUC powinno bazować na danych od 2008 r., czego wymaga jednoznacznie art. 3 rozporządzenia delegowanego Komisji (UE) 2019/807, a sklasyfikowanie soi jako obarczonej wysokim ryzykiem ILUC należy poddać przeglądowi zgodnie z tą skorygowaną metodyką; jeżeli na podstawie danych z 2008 r. udział nasion soi w ekspansji na tereny zasobne w pierwiastek węgla spadnie poniżej progu 10 % ustalonego w obowiązujących przepisach, nasion soi nie należy klasyfikować w zmienionym akcie jako upraw o wysokim ryzyku spowodowania ILUC;</w:t>
      </w:r>
    </w:p>
    <w:p w:rsidR="0060543C" w:rsidRPr="00393AEE" w:rsidP="0060543C" w14:paraId="5E3BFC6E" w14:textId="77777777">
      <w:pPr>
        <w:pStyle w:val="NormalHanging12a"/>
        <w:ind w:left="1418"/>
      </w:pPr>
      <w:r w:rsidRPr="00393AEE">
        <w:t>b)</w:t>
      </w:r>
      <w:r w:rsidRPr="00393AEE">
        <w:tab/>
        <w:t>metodykę należy uaktualnić, by w pełni uwzględnić praktykę uprawy soi jako plonu wtórnego, przez co ekspansja obszaru produkcji soi i obliczony udział ekspansji na tereny zasobne w pierwiastek węgla będą dokładnie odzwierciedlać rzeczywistą dynamikę zmiany użytkowania gruntów;</w:t>
      </w:r>
    </w:p>
    <w:p w:rsidR="0060543C" w:rsidRPr="00393AEE" w:rsidP="0060543C" w14:paraId="1C0EAAB2" w14:textId="49A0ACE3">
      <w:pPr>
        <w:pStyle w:val="NormalHanging12a"/>
        <w:ind w:left="1418"/>
      </w:pPr>
      <w:r>
        <w:t>c</w:t>
      </w:r>
      <w:r w:rsidRPr="00393AEE">
        <w:t>)</w:t>
      </w:r>
      <w:r w:rsidRPr="00393AEE">
        <w:tab/>
        <w:t>należy przewidzieć możliwość uznania soi produkowanej w Unii lub w państwach trzecich, w których obowiązują równoważne i zweryfikowane normy monitorowania użytkowania gruntów i wylesiania, za soję o niskim ryzyku spowodowania ILUC, a zatem wyłączenia jej z trajektorii stopniowego wycofywania, gdyż taka produkcja nie powoduje zmiany użytkowania gruntów, której mają przeciwdziałać przepisy o ILUC;</w:t>
      </w:r>
    </w:p>
    <w:p w:rsidR="0060543C" w:rsidRPr="00393AEE" w:rsidP="0060543C" w14:paraId="79B72FC6" w14:textId="341567B8">
      <w:pPr>
        <w:pStyle w:val="NormalHanging12a"/>
        <w:ind w:left="1418"/>
      </w:pPr>
      <w:r>
        <w:t>d</w:t>
      </w:r>
      <w:r w:rsidRPr="00393AEE">
        <w:t>)</w:t>
      </w:r>
      <w:r w:rsidRPr="00393AEE">
        <w:tab/>
        <w:t>stwierdza, że nie sprzeciwia się wycofywaniu biopaliw na bazie oleju palmowego ani korekcie niedociągnięć w procedurze certyfikacji upraw o niskim ryzyku ILUC, gdyż są to właściwe i niezbędne odpowiedzi na postanowienie zespołu WTO i powinny być utrzymane w każdym zmienianym akcie delegowanym;</w:t>
      </w:r>
    </w:p>
    <w:p w:rsidR="00393AEE" w:rsidRPr="00393AEE" w:rsidP="00393AEE" w14:paraId="03B0B937" w14:textId="61CBA37E">
      <w:pPr>
        <w:pStyle w:val="NormalHanging12a"/>
      </w:pPr>
      <w:r w:rsidRPr="00393AEE">
        <w:t>4.</w:t>
      </w:r>
      <w:r w:rsidRPr="00393AEE">
        <w:tab/>
        <w:t>zobowiązuje swoją przewodniczącą do przekazania niniejszej rezolucji Radzie oraz rządom i parlamentom państw członkowskich.</w:t>
      </w:r>
    </w:p>
    <w:p w:rsidR="00E365E1" w:rsidRPr="00393AEE" w:rsidP="00E3744A" w14:paraId="74D897EF" w14:textId="41F58417"/>
    <w:sectPr w:rsidSect="00393A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93AEE" w14:paraId="0860E49B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93AEE" w14:paraId="04E40CA9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93AEE" w14:paraId="49C50F57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E3744A" w:rsidRPr="00393AEE" w14:paraId="28F5998A" w14:textId="77777777">
      <w:r w:rsidRPr="00393AEE">
        <w:separator/>
      </w:r>
    </w:p>
  </w:footnote>
  <w:footnote w:type="continuationSeparator" w:id="1">
    <w:p w:rsidR="00E3744A" w:rsidRPr="00393AEE" w14:paraId="10B03F97" w14:textId="77777777">
      <w:r w:rsidRPr="00393AEE">
        <w:continuationSeparator/>
      </w:r>
    </w:p>
  </w:footnote>
  <w:footnote w:id="2">
    <w:p w:rsidR="0060543C" w:rsidRPr="00393AEE" w:rsidP="00393AEE" w14:paraId="755A0B34" w14:textId="1B6AB265">
      <w:pPr>
        <w:pStyle w:val="FootnoteText"/>
        <w:ind w:left="567" w:hanging="567"/>
        <w:rPr>
          <w:sz w:val="24"/>
          <w:lang w:val="pl-PL"/>
        </w:rPr>
      </w:pPr>
      <w:r w:rsidRPr="00393AEE">
        <w:rPr>
          <w:rStyle w:val="FootnoteReference"/>
          <w:sz w:val="24"/>
          <w:lang w:val="pl-PL"/>
        </w:rPr>
        <w:footnoteRef/>
      </w:r>
      <w:r w:rsidRPr="00393AEE" w:rsidR="00393AEE">
        <w:rPr>
          <w:sz w:val="24"/>
          <w:lang w:val="pl-PL"/>
        </w:rPr>
        <w:t xml:space="preserve"> </w:t>
      </w:r>
      <w:r w:rsidRPr="00393AEE" w:rsidR="00393AEE">
        <w:rPr>
          <w:sz w:val="24"/>
          <w:lang w:val="pl-PL"/>
        </w:rPr>
        <w:tab/>
      </w:r>
      <w:r w:rsidRPr="00393AEE">
        <w:rPr>
          <w:sz w:val="24"/>
          <w:lang w:val="pl-PL"/>
        </w:rPr>
        <w:t xml:space="preserve">Dz.U. L 328 z 21.12.2018, s. 82, ELI: </w:t>
      </w:r>
      <w:bookmarkStart w:id="7" w:name="_Hlk233195462"/>
      <w:hyperlink r:id="rId1" w:history="1">
        <w:r w:rsidRPr="00393AEE">
          <w:rPr>
            <w:rStyle w:val="Hyperlink"/>
            <w:sz w:val="24"/>
            <w:lang w:val="pl-PL"/>
          </w:rPr>
          <w:t>http://data.europa.eu/eli/dir/2018/2001/oj</w:t>
        </w:r>
        <w:bookmarkEnd w:id="7"/>
      </w:hyperlink>
      <w:r w:rsidRPr="00393AEE">
        <w:rPr>
          <w:sz w:val="24"/>
          <w:lang w:val="pl-PL"/>
        </w:rPr>
        <w:t>.</w:t>
      </w:r>
    </w:p>
  </w:footnote>
  <w:footnote w:id="3">
    <w:p w:rsidR="0060543C" w:rsidRPr="00393AEE" w:rsidP="00393AEE" w14:paraId="1A6CC740" w14:textId="0A5BFCC0">
      <w:pPr>
        <w:pStyle w:val="FootnoteText"/>
        <w:ind w:left="567" w:hanging="567"/>
        <w:rPr>
          <w:sz w:val="24"/>
          <w:lang w:val="pl-PL"/>
        </w:rPr>
      </w:pPr>
      <w:r w:rsidRPr="00393AEE">
        <w:rPr>
          <w:rStyle w:val="FootnoteReference"/>
          <w:sz w:val="24"/>
          <w:lang w:val="pl-PL"/>
        </w:rPr>
        <w:footnoteRef/>
      </w:r>
      <w:r w:rsidRPr="00393AEE" w:rsidR="00393AEE">
        <w:rPr>
          <w:sz w:val="24"/>
          <w:lang w:val="pl-PL"/>
        </w:rPr>
        <w:t xml:space="preserve"> </w:t>
      </w:r>
      <w:r w:rsidRPr="00393AEE" w:rsidR="00393AEE">
        <w:rPr>
          <w:sz w:val="24"/>
          <w:lang w:val="pl-PL"/>
        </w:rPr>
        <w:tab/>
      </w:r>
      <w:r w:rsidRPr="00393AEE">
        <w:rPr>
          <w:sz w:val="24"/>
          <w:lang w:val="pl-PL"/>
        </w:rPr>
        <w:t xml:space="preserve">Dz.U. L 133 z 21.5.2019, s. 1, ELI: </w:t>
      </w:r>
      <w:hyperlink r:id="rId2" w:history="1">
        <w:r w:rsidRPr="00393AEE">
          <w:rPr>
            <w:rStyle w:val="Hyperlink"/>
            <w:sz w:val="24"/>
            <w:lang w:val="pl-PL"/>
          </w:rPr>
          <w:t>http://data.europa.eu/eli/reg_del/2019/807/oj</w:t>
        </w:r>
      </w:hyperlink>
      <w:r w:rsidRPr="00393AEE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93AEE" w14:paraId="181BE103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93AEE" w14:paraId="476B025F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93AEE" w14:paraId="45898E2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84448033">
    <w:abstractNumId w:val="9"/>
  </w:num>
  <w:num w:numId="2" w16cid:durableId="677195985">
    <w:abstractNumId w:val="9"/>
  </w:num>
  <w:num w:numId="3" w16cid:durableId="403574664">
    <w:abstractNumId w:val="7"/>
  </w:num>
  <w:num w:numId="4" w16cid:durableId="1558783569">
    <w:abstractNumId w:val="7"/>
  </w:num>
  <w:num w:numId="5" w16cid:durableId="1996643217">
    <w:abstractNumId w:val="6"/>
  </w:num>
  <w:num w:numId="6" w16cid:durableId="2095472391">
    <w:abstractNumId w:val="6"/>
  </w:num>
  <w:num w:numId="7" w16cid:durableId="1509373191">
    <w:abstractNumId w:val="5"/>
  </w:num>
  <w:num w:numId="8" w16cid:durableId="290136770">
    <w:abstractNumId w:val="5"/>
  </w:num>
  <w:num w:numId="9" w16cid:durableId="2064672430">
    <w:abstractNumId w:val="4"/>
  </w:num>
  <w:num w:numId="10" w16cid:durableId="1201867780">
    <w:abstractNumId w:val="4"/>
  </w:num>
  <w:num w:numId="11" w16cid:durableId="634413701">
    <w:abstractNumId w:val="8"/>
  </w:num>
  <w:num w:numId="12" w16cid:durableId="1743260916">
    <w:abstractNumId w:val="8"/>
  </w:num>
  <w:num w:numId="13" w16cid:durableId="1514341639">
    <w:abstractNumId w:val="3"/>
  </w:num>
  <w:num w:numId="14" w16cid:durableId="1968929623">
    <w:abstractNumId w:val="3"/>
  </w:num>
  <w:num w:numId="15" w16cid:durableId="166600659">
    <w:abstractNumId w:val="2"/>
  </w:num>
  <w:num w:numId="16" w16cid:durableId="811410585">
    <w:abstractNumId w:val="2"/>
  </w:num>
  <w:num w:numId="17" w16cid:durableId="68894637">
    <w:abstractNumId w:val="1"/>
  </w:num>
  <w:num w:numId="18" w16cid:durableId="773136449">
    <w:abstractNumId w:val="1"/>
  </w:num>
  <w:num w:numId="19" w16cid:durableId="525024185">
    <w:abstractNumId w:val="0"/>
  </w:num>
  <w:num w:numId="20" w16cid:durableId="313876245">
    <w:abstractNumId w:val="0"/>
  </w:num>
  <w:num w:numId="21" w16cid:durableId="2068650895">
    <w:abstractNumId w:val="9"/>
  </w:num>
  <w:num w:numId="22" w16cid:durableId="852259398">
    <w:abstractNumId w:val="7"/>
  </w:num>
  <w:num w:numId="23" w16cid:durableId="218905180">
    <w:abstractNumId w:val="6"/>
  </w:num>
  <w:num w:numId="24" w16cid:durableId="1667051031">
    <w:abstractNumId w:val="5"/>
  </w:num>
  <w:num w:numId="25" w16cid:durableId="720255429">
    <w:abstractNumId w:val="4"/>
  </w:num>
  <w:num w:numId="26" w16cid:durableId="1734624868">
    <w:abstractNumId w:val="8"/>
  </w:num>
  <w:num w:numId="27" w16cid:durableId="104353355">
    <w:abstractNumId w:val="3"/>
  </w:num>
  <w:num w:numId="28" w16cid:durableId="187841302">
    <w:abstractNumId w:val="2"/>
  </w:num>
  <w:num w:numId="29" w16cid:durableId="1637952375">
    <w:abstractNumId w:val="1"/>
  </w:num>
  <w:num w:numId="30" w16cid:durableId="738405167">
    <w:abstractNumId w:val="0"/>
  </w:num>
  <w:num w:numId="31" w16cid:durableId="1993482173">
    <w:abstractNumId w:val="9"/>
  </w:num>
  <w:num w:numId="32" w16cid:durableId="750927862">
    <w:abstractNumId w:val="7"/>
  </w:num>
  <w:num w:numId="33" w16cid:durableId="549458708">
    <w:abstractNumId w:val="6"/>
  </w:num>
  <w:num w:numId="34" w16cid:durableId="2036610099">
    <w:abstractNumId w:val="5"/>
  </w:num>
  <w:num w:numId="35" w16cid:durableId="270671361">
    <w:abstractNumId w:val="4"/>
  </w:num>
  <w:num w:numId="36" w16cid:durableId="1550268155">
    <w:abstractNumId w:val="8"/>
  </w:num>
  <w:num w:numId="37" w16cid:durableId="2118865268">
    <w:abstractNumId w:val="3"/>
  </w:num>
  <w:num w:numId="38" w16cid:durableId="1200315372">
    <w:abstractNumId w:val="2"/>
  </w:num>
  <w:num w:numId="39" w16cid:durableId="815880255">
    <w:abstractNumId w:val="1"/>
  </w:num>
  <w:num w:numId="40" w16cid:durableId="1748073157">
    <w:abstractNumId w:val="0"/>
  </w:num>
  <w:num w:numId="41" w16cid:durableId="1780027244">
    <w:abstractNumId w:val="10"/>
  </w:num>
  <w:num w:numId="42" w16cid:durableId="1344630651">
    <w:abstractNumId w:val="10"/>
  </w:num>
  <w:num w:numId="43" w16cid:durableId="2014720996">
    <w:abstractNumId w:val="10"/>
  </w:num>
  <w:num w:numId="44" w16cid:durableId="10619505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44A"/>
    <w:rsid w:val="00002272"/>
    <w:rsid w:val="00041E37"/>
    <w:rsid w:val="00064002"/>
    <w:rsid w:val="000677B9"/>
    <w:rsid w:val="000831BA"/>
    <w:rsid w:val="000A42CC"/>
    <w:rsid w:val="000E7DD9"/>
    <w:rsid w:val="0010095E"/>
    <w:rsid w:val="00125B37"/>
    <w:rsid w:val="001279C5"/>
    <w:rsid w:val="00187494"/>
    <w:rsid w:val="001F32AE"/>
    <w:rsid w:val="002541B1"/>
    <w:rsid w:val="002767FF"/>
    <w:rsid w:val="002B18FE"/>
    <w:rsid w:val="002B5493"/>
    <w:rsid w:val="00343214"/>
    <w:rsid w:val="00361C00"/>
    <w:rsid w:val="00393AEE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543C"/>
    <w:rsid w:val="006631B6"/>
    <w:rsid w:val="00680577"/>
    <w:rsid w:val="006B227A"/>
    <w:rsid w:val="006F74FA"/>
    <w:rsid w:val="00723B3D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365E"/>
    <w:rsid w:val="00981893"/>
    <w:rsid w:val="00993112"/>
    <w:rsid w:val="00A1687D"/>
    <w:rsid w:val="00A43E52"/>
    <w:rsid w:val="00A4678D"/>
    <w:rsid w:val="00A778C7"/>
    <w:rsid w:val="00A97540"/>
    <w:rsid w:val="00AB441E"/>
    <w:rsid w:val="00AB6293"/>
    <w:rsid w:val="00AE0928"/>
    <w:rsid w:val="00AF3B82"/>
    <w:rsid w:val="00B12E95"/>
    <w:rsid w:val="00B22876"/>
    <w:rsid w:val="00B558F0"/>
    <w:rsid w:val="00BD48FE"/>
    <w:rsid w:val="00BD74C6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0E3B"/>
    <w:rsid w:val="00D91E21"/>
    <w:rsid w:val="00DA7FCD"/>
    <w:rsid w:val="00E26880"/>
    <w:rsid w:val="00E365E1"/>
    <w:rsid w:val="00E3744A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337/2026"/>
    <w:docVar w:name="dvlangue" w:val="PL"/>
    <w:docVar w:name="dvnumam" w:val="0"/>
    <w:docVar w:name="dvpe" w:val="789.919"/>
    <w:docVar w:name="dvtitre" w:val="Rezolucja Parlamentu Europejskiego z dnia  2026 r. w sprawie rozporządzenia delegowanego Komisji z dnia 10 kwietnia 2026 r. zmieniającego rozporządzenie delegowane Komisji (UE) 2019/807 w celu wprowadzenia trajektorii stopniowego zmniejszania wkładu biopaliw, biopłynów i paliw z biomasy o wysokim ryzyku spowodowania pośredniej zmiany użytkowania gruntów na poczet celów w zakresie energii odnawialnej((C(2026)02306) – 2026/2680(DEA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1B5597B"/>
  <w15:chartTrackingRefBased/>
  <w15:docId w15:val="{CBE64041-5F3E-404C-AC1E-6B41901CD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0543C"/>
    <w:pPr>
      <w:spacing w:before="480" w:after="240"/>
    </w:pPr>
  </w:style>
  <w:style w:type="paragraph" w:customStyle="1" w:styleId="NormalHanging12a">
    <w:name w:val="NormalHanging12a"/>
    <w:basedOn w:val="Normal"/>
    <w:rsid w:val="0060543C"/>
    <w:pPr>
      <w:spacing w:after="240"/>
      <w:ind w:left="567" w:hanging="567"/>
    </w:pPr>
  </w:style>
  <w:style w:type="character" w:styleId="Hyperlink">
    <w:name w:val="Hyperlink"/>
    <w:basedOn w:val="DefaultParagraphFont"/>
    <w:rsid w:val="0060543C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541B1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ir/2018/2001/oj" TargetMode="External" /><Relationship Id="rId2" Type="http://schemas.openxmlformats.org/officeDocument/2006/relationships/hyperlink" Target="http://data.europa.eu/eli/reg_del/2019/807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1702</Words>
  <Characters>10595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2026-07-08T15:16:00Z</dcterms:created>
  <dcterms:modified xsi:type="dcterms:W3CDTF">2026-07-08T15:16:00Z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B10-0337/2026</vt:lpwstr>
  </property>
  <property fmtid="{D5CDD505-2E9C-101B-9397-08002B2CF9AE}" pid="4" name="&lt;Type&gt;">
    <vt:lpwstr>RR</vt:lpwstr>
  </property>
</Properties>
</file>