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0B40F0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3731" w:rsidP="0010095E" w14:paraId="66972408" w14:textId="453071DF">
            <w:pPr>
              <w:pStyle w:val="EPName"/>
            </w:pPr>
            <w:r w:rsidRPr="00BC3731">
              <w:t>Európsky parlament</w:t>
            </w:r>
          </w:p>
          <w:p w:rsidR="00751A4A" w:rsidRPr="00BC3731" w:rsidP="005F1B17" w14:paraId="4F4E44E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3731">
              <w:t>2024</w:t>
            </w:r>
            <w:r w:rsidRPr="00BC3731" w:rsidR="00817416">
              <w:t>-202</w:t>
            </w:r>
            <w:r w:rsidRPr="00BC373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C3731" w:rsidP="0010095E" w14:paraId="08B77299" w14:textId="77777777">
            <w:pPr>
              <w:pStyle w:val="EPLogo"/>
            </w:pPr>
            <w:r w:rsidRPr="00BC373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3731" w:rsidP="004C5D52" w14:paraId="16B16945" w14:textId="77777777">
      <w:pPr>
        <w:pStyle w:val="LineTop"/>
      </w:pPr>
    </w:p>
    <w:p w:rsidR="00680577" w:rsidRPr="00BC3731" w:rsidP="00680577" w14:paraId="2F203ADC" w14:textId="3DE6113D">
      <w:pPr>
        <w:pStyle w:val="EPBodyTA1"/>
      </w:pPr>
      <w:r w:rsidRPr="00BC3731">
        <w:t>PRIJATÉ TEXTY</w:t>
      </w:r>
    </w:p>
    <w:p w:rsidR="00D058B8" w:rsidRPr="00BC3731" w:rsidP="00D058B8" w14:paraId="027ED125" w14:textId="77777777">
      <w:pPr>
        <w:pStyle w:val="LineBottom"/>
      </w:pPr>
    </w:p>
    <w:p w:rsidR="00344140" w:rsidRPr="00BC3731" w:rsidP="00344140" w14:paraId="4A594D88" w14:textId="54A7EC2B">
      <w:pPr>
        <w:pStyle w:val="ATHeading1"/>
      </w:pPr>
      <w:bookmarkStart w:id="0" w:name="TANumber"/>
      <w:r w:rsidRPr="00BC3731">
        <w:t>P10_TA(2026)0</w:t>
      </w:r>
      <w:r w:rsidRPr="00BC3731" w:rsidR="00082DD3">
        <w:t>252</w:t>
      </w:r>
      <w:bookmarkEnd w:id="0"/>
    </w:p>
    <w:p w:rsidR="00344140" w:rsidRPr="00BC3731" w:rsidP="00344140" w14:paraId="4C3E1124" w14:textId="4FE27C01">
      <w:pPr>
        <w:pStyle w:val="ATHeading2"/>
      </w:pPr>
      <w:bookmarkStart w:id="1" w:name="title"/>
      <w:r w:rsidRPr="00BC3731">
        <w:t xml:space="preserve">Námietka </w:t>
      </w:r>
      <w:r w:rsidRPr="00BC3731" w:rsidR="00507EEA">
        <w:t>voči delegovanému aktu</w:t>
      </w:r>
      <w:r w:rsidRPr="00BC3731">
        <w:t xml:space="preserve">: Trajektória znižovania príspevku biopalív, </w:t>
      </w:r>
      <w:r w:rsidRPr="00BC3731">
        <w:t>biokvapalín</w:t>
      </w:r>
      <w:r w:rsidRPr="00BC3731">
        <w:t xml:space="preserve"> a</w:t>
      </w:r>
      <w:r w:rsidRPr="00BC3731" w:rsidR="00507EEA">
        <w:t xml:space="preserve"> </w:t>
      </w:r>
      <w:r w:rsidRPr="00BC3731">
        <w:t>palív z biomasy s vysokým rizikom nepriamej zmeny využívania pôdy k cieľom v oblasti energie z</w:t>
      </w:r>
      <w:r w:rsidRPr="00BC3731" w:rsidR="00507EEA">
        <w:t xml:space="preserve"> </w:t>
      </w:r>
      <w:r w:rsidRPr="00BC3731">
        <w:t>obnoviteľných zdrojov</w:t>
      </w:r>
      <w:bookmarkEnd w:id="1"/>
    </w:p>
    <w:p w:rsidR="00344140" w:rsidRPr="00BC3731" w:rsidP="00344140" w14:paraId="2C4828F6" w14:textId="77777777">
      <w:pPr>
        <w:rPr>
          <w:i/>
          <w:vanish/>
        </w:rPr>
      </w:pPr>
      <w:r>
        <w:rPr>
          <w:i/>
        </w:rPr>
        <w:fldChar w:fldCharType="begin"/>
      </w:r>
      <w:r w:rsidRPr="00BC3731">
        <w:rPr>
          <w:i/>
        </w:rPr>
        <w:instrText xml:space="preserve"> TC"(</w:instrText>
      </w:r>
      <w:bookmarkStart w:id="2" w:name="DocNumber"/>
      <w:r w:rsidRPr="00BC3731">
        <w:rPr>
          <w:i/>
        </w:rPr>
        <w:instrText>B10-0337/2026</w:instrText>
      </w:r>
      <w:bookmarkEnd w:id="2"/>
      <w:r w:rsidRPr="00BC373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44140" w:rsidRPr="00BC3731" w:rsidP="00344140" w14:paraId="32EC249C" w14:textId="77777777">
      <w:pPr>
        <w:rPr>
          <w:vanish/>
        </w:rPr>
      </w:pPr>
      <w:bookmarkStart w:id="3" w:name="PE"/>
      <w:r w:rsidRPr="00BC3731">
        <w:rPr>
          <w:vanish/>
        </w:rPr>
        <w:t>PE789.919</w:t>
      </w:r>
      <w:bookmarkEnd w:id="3"/>
    </w:p>
    <w:p w:rsidR="00344140" w:rsidRPr="00BC3731" w:rsidP="00344140" w14:paraId="71FCD7F2" w14:textId="3978174F">
      <w:pPr>
        <w:pStyle w:val="ATHeading3"/>
      </w:pPr>
      <w:bookmarkStart w:id="4" w:name="Sujet"/>
      <w:r w:rsidRPr="00BC3731">
        <w:t xml:space="preserve">Uznesenie Európskeho parlamentu z </w:t>
      </w:r>
      <w:r w:rsidRPr="00BC3731" w:rsidR="00507EEA">
        <w:t>8. júla</w:t>
      </w:r>
      <w:r w:rsidRPr="00BC3731">
        <w:t xml:space="preserve"> 2026 o delegovanom nariadení Komisie z 10. apríla 2026, ktorým sa mení delegované nariadenie Komisie (EÚ) 2019/807 s cieľom zaviesť trajektóriu postupného znižovania príspevku biopalív, </w:t>
      </w:r>
      <w:r w:rsidRPr="00BC3731">
        <w:t>biokvapalín</w:t>
      </w:r>
      <w:r w:rsidRPr="00BC3731">
        <w:t xml:space="preserve"> a palív z biomasy s vysokým rizikom nepriamej zmeny využívania pôdy k cieľom v oblasti energie z obnoviteľných zdrojov</w:t>
      </w:r>
      <w:bookmarkEnd w:id="4"/>
      <w:r w:rsidRPr="00BC3731">
        <w:t xml:space="preserve"> </w:t>
      </w:r>
      <w:bookmarkStart w:id="5" w:name="References"/>
      <w:r w:rsidRPr="00BC3731">
        <w:t>(C(2026)02306) – 2026/2680(DEA))</w:t>
      </w:r>
      <w:bookmarkEnd w:id="5"/>
    </w:p>
    <w:p w:rsidR="00714EA9" w:rsidRPr="00BC3731" w:rsidP="00714EA9" w14:paraId="3979BC70" w14:textId="77777777">
      <w:pPr>
        <w:pStyle w:val="EPComma"/>
      </w:pPr>
      <w:bookmarkStart w:id="6" w:name="TextBodyBegin"/>
      <w:bookmarkEnd w:id="6"/>
      <w:r w:rsidRPr="00BC3731">
        <w:rPr>
          <w:i/>
          <w:iCs/>
        </w:rPr>
        <w:t>Európsky parlament,</w:t>
      </w:r>
    </w:p>
    <w:p w:rsidR="00714EA9" w:rsidRPr="00BC3731" w:rsidP="00714EA9" w14:paraId="0E3EDF78" w14:textId="77777777">
      <w:pPr>
        <w:pStyle w:val="NormalHanging12a"/>
      </w:pPr>
      <w:r w:rsidRPr="00BC3731">
        <w:t>–</w:t>
      </w:r>
      <w:r w:rsidRPr="00BC3731">
        <w:tab/>
        <w:t>so zreteľom na delegované nariadenie Komisie (C(2026)02306),</w:t>
      </w:r>
    </w:p>
    <w:p w:rsidR="00714EA9" w:rsidRPr="00BC3731" w:rsidP="00714EA9" w14:paraId="1D0FBCB6" w14:textId="77777777">
      <w:pPr>
        <w:pStyle w:val="NormalHanging12a"/>
      </w:pPr>
      <w:r w:rsidRPr="00BC3731">
        <w:t>–</w:t>
      </w:r>
      <w:r w:rsidRPr="00BC3731">
        <w:tab/>
        <w:t>so zreteľom na článok 290 Zmluvy o fungovaní Európskej únie,</w:t>
      </w:r>
    </w:p>
    <w:p w:rsidR="00714EA9" w:rsidRPr="00BC3731" w:rsidP="00714EA9" w14:paraId="7FC75BD8" w14:textId="77777777">
      <w:pPr>
        <w:pStyle w:val="NormalHanging12a"/>
      </w:pPr>
      <w:r w:rsidRPr="00BC3731">
        <w:t>–</w:t>
      </w:r>
      <w:r w:rsidRPr="00BC3731">
        <w:tab/>
        <w:t>so zreteľom na smernicu Európskeho parlamentu a Rady (EÚ) 2018/2001 z 11. decembra 2018 o podpore využívania energie z obnoviteľných zdrojov</w:t>
      </w:r>
      <w:r>
        <w:rPr>
          <w:rStyle w:val="FootnoteReference"/>
        </w:rPr>
        <w:footnoteReference w:id="2"/>
      </w:r>
      <w:r w:rsidRPr="00BC3731">
        <w:t xml:space="preserve">, a najmä na jej článok 26 ods. 2 piaty </w:t>
      </w:r>
      <w:r w:rsidRPr="00BC3731">
        <w:t>pododsek</w:t>
      </w:r>
      <w:r w:rsidRPr="00BC3731">
        <w:t xml:space="preserve"> a článok 35 ods. 7,</w:t>
      </w:r>
    </w:p>
    <w:p w:rsidR="00714EA9" w:rsidRPr="00BC3731" w:rsidP="00714EA9" w14:paraId="1E1B637C" w14:textId="77777777">
      <w:pPr>
        <w:pStyle w:val="NormalHanging12a"/>
      </w:pPr>
      <w:r w:rsidRPr="00BC3731">
        <w:t>–</w:t>
      </w:r>
      <w:r w:rsidRPr="00BC3731">
        <w:tab/>
        <w:t xml:space="preserve">so zreteľom na delegované nariadenie Komisie (EÚ) 2019/807 z 13. marca 2019, ktorým sa dopĺňa smernica Európskeho parlamentu a Rady (EÚ) 2018/2001, pokiaľ ide o určenie surovín s vysokým rizikom nepriamej zmeny využívania pôdy, pri ktorých sa pozoruje významné rozšírenie produkčnej plochy na pôdu s vysokými zásobami uhlíka, a o certifikáciu biopalív, </w:t>
      </w:r>
      <w:r w:rsidRPr="00BC3731">
        <w:t>biokvapalín</w:t>
      </w:r>
      <w:r w:rsidRPr="00BC3731">
        <w:t xml:space="preserve"> a palív z biomasy s nízkym rizikom nepriamej zmeny využívania pôdy</w:t>
      </w:r>
      <w:r>
        <w:rPr>
          <w:rStyle w:val="FootnoteReference"/>
        </w:rPr>
        <w:footnoteReference w:id="3"/>
      </w:r>
      <w:r w:rsidRPr="00BC3731">
        <w:t>,</w:t>
      </w:r>
    </w:p>
    <w:p w:rsidR="00714EA9" w:rsidRPr="00BC3731" w:rsidP="00714EA9" w14:paraId="1BC442D2" w14:textId="77777777">
      <w:pPr>
        <w:pStyle w:val="NormalHanging12a"/>
      </w:pPr>
      <w:r w:rsidRPr="00BC3731">
        <w:t>–</w:t>
      </w:r>
      <w:r w:rsidRPr="00BC3731">
        <w:tab/>
        <w:t>so zreteľom na článok 114 ods. 3 rokovacieho poriadku,</w:t>
      </w:r>
    </w:p>
    <w:p w:rsidR="00F547D7" w:rsidRPr="00BC3731" w:rsidP="00714EA9" w14:paraId="3E698BBB" w14:textId="5A0707B8">
      <w:pPr>
        <w:pStyle w:val="NormalHanging12a"/>
      </w:pPr>
      <w:r w:rsidRPr="00BC3731">
        <w:t>–</w:t>
      </w:r>
      <w:r w:rsidRPr="00BC3731">
        <w:tab/>
        <w:t>so zreteľom na návrh uznesenia Výboru pre priemysel, výskum a energetiku,</w:t>
      </w:r>
    </w:p>
    <w:p w:rsidR="00714EA9" w:rsidRPr="00BC3731" w:rsidP="00714EA9" w14:paraId="534443A9" w14:textId="11C4DF61">
      <w:pPr>
        <w:pStyle w:val="NormalHanging12a"/>
      </w:pPr>
      <w:r w:rsidRPr="00BC3731">
        <w:t>A.</w:t>
      </w:r>
      <w:r w:rsidRPr="00BC3731">
        <w:tab/>
        <w:t xml:space="preserve">keďže smernica (EÚ) 2018/2001 s cieľom zabezpečiť, aby biopalivá započítavané do tohto cieľa prinášali skutočné prínosy, zavádza rámec na riešenie rizika nepriamej zmeny využívania pôdy, na základe ktorého sa suroviny môžu klasifikovať ako </w:t>
      </w:r>
      <w:r w:rsidRPr="00BC3731">
        <w:t>suroviny s vysokým rizikom nepriamej zmeny využívania pôdy;</w:t>
      </w:r>
    </w:p>
    <w:p w:rsidR="00714EA9" w:rsidRPr="00BC3731" w:rsidP="00714EA9" w14:paraId="7CE48E45" w14:textId="77777777">
      <w:pPr>
        <w:pStyle w:val="NormalHanging12a"/>
      </w:pPr>
      <w:r w:rsidRPr="00BC3731">
        <w:t>B.</w:t>
      </w:r>
      <w:r w:rsidRPr="00BC3731">
        <w:tab/>
        <w:t>keďže delegovaným nariadením Komisie (EÚ) 2019/807 bola stanovená metodika na určovanie surovín s vysokým rizikom nepriamej zmeny využívania pôdy, pričom sa v jeho článku 3 výslovne vyžaduje, aby sa posúdenie zakladalo na údajoch „od roku 2008“, a stanovuje sa prahová hodnota 10 % rozšírenia na pôdu s vysokými zásobami uhlíka, nad ktorou sa surovina klasifikuje ako surovina s vysokým rizikom nepriamej zmeny využívania pôdy; keďže pri uplatnení tejto metodiky a tohto základu sa v správe Komisie z roku 2019 zistilo, že v prípade sóje podiel rozšírenia na pôdu s vysokými zásobami uhlíka predstavuje 8 %, čo je menej ako kvalifikačný prah, čo znamená, že sója nebola klasifikovaná ako plodina s vysokým rizikom nepriamej zmeny využívania pôdy;</w:t>
      </w:r>
    </w:p>
    <w:p w:rsidR="00714EA9" w:rsidRPr="00BC3731" w:rsidP="00714EA9" w14:paraId="6732F223" w14:textId="77777777">
      <w:pPr>
        <w:pStyle w:val="NormalHanging12a"/>
      </w:pPr>
      <w:r w:rsidRPr="00BC3731">
        <w:t>C.</w:t>
      </w:r>
      <w:r w:rsidRPr="00BC3731">
        <w:tab/>
        <w:t>keďže Indonézia a Malajzia podali v rámci WTO žaloby (DS593 a DS600), v ktorých spochybňujú rámec Únie týkajúci sa nepriamej zmeny využívania pôdy, konkrétne klasifikáciu palmového oleja ako plodiny s vysokým rizikom nepriamej zmeny využívania pôdy a postup certifikácie pre plodinu s nízkym rizikom nepriamej zmeny využívania pôdy; keďže rozhodnutie poroty WTO z januára 2025 bolo vo všeobecnosti v prospech Únie, avšak poukázalo na konkrétne porušenia, a to na chýbajúcu včasnú aktualizáciu vedeckých údajov, nedostatky v postupe certifikácie plodín s nízkym rizikom nepriamej zmeny využívania pôdy a nesprávne oznamovanie opatrení; keďže porota kritizovala procesné nedostatky Únie, a nie jej rozhodnutie o tom, ktoré plodiny klasifikovať ako plodiny s vysokým rizikom nepriamej zmeny využívania pôdy;</w:t>
      </w:r>
    </w:p>
    <w:p w:rsidR="00714EA9" w:rsidRPr="00BC3731" w:rsidP="00714EA9" w14:paraId="28801955" w14:textId="77777777">
      <w:pPr>
        <w:pStyle w:val="NormalHanging12a"/>
      </w:pPr>
      <w:r w:rsidRPr="00BC3731">
        <w:t>D.</w:t>
      </w:r>
      <w:r w:rsidRPr="00BC3731">
        <w:tab/>
        <w:t>keďže delegovaný akt na základe aktualizovaných vedeckých údajov dopĺňa sóju do zoznamu plodín s vysokým rizikom nepriamej zmeny využívania pôdy spolu s palmovým olejom, čo znamená, že bionafta na báze sóje by sa do roku 2030 úplne prestala započítavať do cieľov EÚ v oblasti energie z obnoviteľných zdrojov;</w:t>
      </w:r>
    </w:p>
    <w:p w:rsidR="00714EA9" w:rsidRPr="00BC3731" w:rsidP="00714EA9" w14:paraId="5558ABF1" w14:textId="375C7274">
      <w:pPr>
        <w:pStyle w:val="NormalHanging12a"/>
      </w:pPr>
      <w:r w:rsidRPr="00BC3731">
        <w:t>E.</w:t>
      </w:r>
      <w:r w:rsidRPr="00BC3731">
        <w:tab/>
        <w:t xml:space="preserve">keďže </w:t>
      </w:r>
      <w:r w:rsidRPr="00BC3731" w:rsidR="00507EEA">
        <w:t>Európsky p</w:t>
      </w:r>
      <w:r w:rsidRPr="00BC3731">
        <w:t>arlament nemá námietky proti postupnému znižovaniu podielu palmového oleja, ktorého klasifikácia ako plodiny s vysokým rizikom nepriamej zmeny využívania pôdy je vedecky podložená a nesporná, ani proti náprave nedostatkov v postupe certifikácie plodiny s nízkym rizikom nepriamej zmeny využívania pôdy, pričom obidve tieto opatrenia predstavujú primerané reakcie na rozhodnutie poroty WTO a mali by byť zachované v akomkoľvek revidovanom delegovanom akte;</w:t>
      </w:r>
    </w:p>
    <w:p w:rsidR="00714EA9" w:rsidRPr="00BC3731" w:rsidP="00714EA9" w14:paraId="45C92321" w14:textId="77777777">
      <w:pPr>
        <w:pStyle w:val="NormalHanging12a"/>
      </w:pPr>
      <w:r w:rsidRPr="00BC3731">
        <w:t>F.</w:t>
      </w:r>
      <w:r w:rsidRPr="00BC3731">
        <w:tab/>
        <w:t>keďže klasifikácia sóje ako plodiny s vysokým rizikom nepriamej zmeny využívania pôdy v delegovanom akte vychádza z aktualizovaných vedeckých údajov, ktoré sa odchyľujú od referenčného roka 2008 stanoveného pre pozorovanie v článku 3 delegovaného nariadenia Komisie (EÚ) 2019/807 tým, že posúvajú pozorované obdobie na rok 2014; keďže táto zmena referenčného roka nie je stanovená v rozhodnutí poroty WTO, ktoré sa týkalo skôr včasnosti aktualizácie údajov ako výberu referenčného roka; keďže pri použití pôvodného referenčného roka 2008, ako to vyžaduje platný právny rámec, by v prípade sóje podiel rozšírenia na pôdu s vysokými zásobami uhlíka s najväčšou pravdepodobnosťou zostal pod kvalifikačnou hranicou 10 % a sója by sa preto nekvalifikovala ako surovina s vysokým rizikom nepriamej zmeny využívania pôdy;</w:t>
      </w:r>
    </w:p>
    <w:p w:rsidR="00714EA9" w:rsidRPr="00BC3731" w:rsidP="00714EA9" w14:paraId="50557604" w14:textId="77777777">
      <w:pPr>
        <w:pStyle w:val="NormalHanging12a"/>
      </w:pPr>
      <w:r w:rsidRPr="00BC3731">
        <w:t>G.</w:t>
      </w:r>
      <w:r w:rsidRPr="00BC3731">
        <w:tab/>
        <w:t xml:space="preserve">keďže aktualizované vedecké údaje, na ktorých sa zakladá klasifikácia sóje, nezohľadňujú postupy dvojitého osevu pri pestovaní sóje, pri ktorých sa sója pestuje ako druhá plodina na pôde, ktorá sa v tom istom kalendárnom roku už využila na </w:t>
      </w:r>
      <w:r w:rsidRPr="00BC3731">
        <w:t>pestovanie primárnej plodiny; keďže táto metodická medzera vedie k nadhodnoteniu rozšírenia plochy na pestovanie sóje a v dôsledku toho k nadhodnoteniu jej vypočítaného podielu rozšírenia na pôdu s vysokými zásobami uhlíka;</w:t>
      </w:r>
    </w:p>
    <w:p w:rsidR="00714EA9" w:rsidRPr="00BC3731" w:rsidP="00714EA9" w14:paraId="21B20E07" w14:textId="2BF4839C">
      <w:pPr>
        <w:pStyle w:val="NormalHanging12a"/>
      </w:pPr>
      <w:r w:rsidRPr="00BC3731">
        <w:t>H</w:t>
      </w:r>
      <w:r w:rsidRPr="00BC3731">
        <w:t>.</w:t>
      </w:r>
      <w:r w:rsidRPr="00BC3731">
        <w:tab/>
        <w:t>keďže riziko nepriamej zmeny využívania pôdy spojené s pestovaním sóje je geograficky sústredené v juhoamerickej výrobe; keďže pestovanie sóje v rámci Únie nespôsobuje odlesňovanie ani zmenu využívania pôdy, na riešenie ktorých je rámec nepriamej zmeny využívania pôdy určený; keďže Komisia nepredložila žiadne dôkazy, ktoré by preukazovali, že pestovanie sóje v rámci Únie spôsobuje nepriamu zmenu využívania pôdy; keďže pri absencii takýchto dôkazov nemá klasifikácia sóje vyrobenej v Únii ako plodiny s vysokým rizikom nepriamej zmeny využívania pôdy dostatočný vedecký základ;</w:t>
      </w:r>
      <w:r w:rsidRPr="00BC3731">
        <w:rPr>
          <w:b/>
        </w:rPr>
        <w:t xml:space="preserve"> </w:t>
      </w:r>
      <w:r w:rsidRPr="00BC3731">
        <w:t>keďže uplatňovanie globálne nerozlišujúcej klasifikácie sóje ako plodiny s vysokým rizikom nepriamej zmeny využívania pôdy, bez ohľadu na jej geografický pôvod, je neprimerané a kladie na výrobcov v Únii bremeno v podobe emisií vyplývajúcich zo zmeny využívania pôdy, za ktoré nenesú žiadnu zodpovednosť;</w:t>
      </w:r>
    </w:p>
    <w:p w:rsidR="00714EA9" w:rsidRPr="00BC3731" w:rsidP="00714EA9" w14:paraId="46D0D738" w14:textId="5E69D2A2">
      <w:pPr>
        <w:pStyle w:val="NormalHanging12a"/>
      </w:pPr>
      <w:r w:rsidRPr="00BC3731">
        <w:t>I</w:t>
      </w:r>
      <w:r w:rsidRPr="00BC3731">
        <w:t>.</w:t>
      </w:r>
      <w:r w:rsidRPr="00BC3731">
        <w:tab/>
      </w:r>
      <w:bookmarkStart w:id="8" w:name="_Hlk230337619"/>
      <w:r w:rsidRPr="00BC3731">
        <w:t>keďže Vízia Komisie pre poľnohospodárstvo a potravinárstvo zdôrazňuje potrebu vytvorenia sebestačnejšieho systému zásobovania Únie bielkovinami; keďže Únia produkuje len približne 6 % sóje, ktorú spotrebuje, v dôsledku čoho je vo veľkej miere závislá od dovozu; keďže ohlásený bielkovinový plán Komisie pre EÚ a jeho stanovené ciele sú spolu s cieľmi v oblasti otvorenej strategickej autonómie zamerané najmä na rozšírenie domáceho pestovania sóje s cieľom znížiť túto závislosť; keďže trh s biopalivami predstavuje kľúčový ekonomický stimul pre pestovanie sóje v Únii a pre odvetvie šrotovania sóje v Únii; keďže zaradenie sóje medzi plodiny s vysokým rizikom nepriamej zmeny využívania pôdy odstraňuje tento trhový stimul a je v priamom rozpore s cieľmi bielkovinového plánu EÚ a s cieľmi Únie v oblasti strategickej autonómie;</w:t>
      </w:r>
      <w:bookmarkEnd w:id="8"/>
    </w:p>
    <w:p w:rsidR="00714EA9" w:rsidRPr="00BC3731" w:rsidP="00714EA9" w14:paraId="54DD4D6B" w14:textId="1CC27E53">
      <w:pPr>
        <w:pStyle w:val="NormalHanging12a"/>
      </w:pPr>
      <w:r w:rsidRPr="00BC3731">
        <w:t>J</w:t>
      </w:r>
      <w:r w:rsidRPr="00BC3731">
        <w:t>.</w:t>
      </w:r>
      <w:r w:rsidRPr="00BC3731">
        <w:tab/>
        <w:t>keďže šrotovaním sóje vzniká sójová múčka, ktorá predstavuje hlavný produkt a dôležitý zdroj bielkovín v krmivách pre zvieratá, a sójový olej, ktorý tvorí iba približne 20 % sójového semena a používa sa okrem iného ako surovina na výrobu biopalív; keďže hlavným ekonomickým stimulom pre pestovanie a spracovanie sóje je dopyt po sójovej múčke na výrobu krmív pre zvieratá, a nie využitie sójového oleja v biopalivách; keďže pripisovanie dynamiky rozšírenia pestovania sóje predovšetkým sójovému oleju používanému v biopalivách preto skresľuje ekonomickú realitu tohto odvetvia a preceňuje vplyv nepriamej zmeny využívania pôdy súvisiaci s bionaftou na báze sóje; keďže pokles hodnoty sójového oleja v dôsledku straty odbytiska na trhu s biopalivami zhorší marže odvetvia šrotovania a zníži ekonomickú životaschopnosť domáceho šrotovania sóje; keďže by to prinútilo Úniu nahradiť až 4,8 milióna ton sójovej múčky vyrobenej na vnútornom trhu dovozom z tretích krajín, čím by sa zvýšila závislosť od dovozu bielkovín, vzrástli náklady na krmivá a došlo by k presunu priemyselnej činnosti vytvárajúcej pridanú hodnotu mimo Únie; keďže odhadované hospodárske dôsledky pre tento sektor predstavujú straty vo výške približne 36 miliónov EUR pre pestovateľov sóje v Únii, 120 miliónov EUR pre odvetvie šrotovania sóje v Únii a až 1,3 miliardy EUR pre odvetvie výroby bionafty v Únii;</w:t>
      </w:r>
    </w:p>
    <w:p w:rsidR="00714EA9" w:rsidRPr="00BC3731" w:rsidP="00714EA9" w14:paraId="48EFE60D" w14:textId="6C74F816">
      <w:pPr>
        <w:pStyle w:val="NormalHanging12a"/>
      </w:pPr>
      <w:r w:rsidRPr="00BC3731">
        <w:t>K</w:t>
      </w:r>
      <w:r w:rsidRPr="00BC3731">
        <w:t>.</w:t>
      </w:r>
      <w:r w:rsidRPr="00BC3731">
        <w:tab/>
        <w:t>keďže sója je plodina viažuca dusík, ktorá znižuje závislosť od chemických dusíkatých hnojív a pozitívne prispieva k striedaniu plodín a zdraviu pôdy; keďže obmedzenie pestovania sóje v EÚ by zvýšilo závislosť Únie od dovozu chemických hnojív, čo je v rozpore s cieľmi Únie v oblasti odolnosti dodávateľského reťazca hnojív, ktoré nabrali na naliehavosti v súvislosti s narušením dodávok v dôsledku ruskej invázie na Ukrajinu;</w:t>
      </w:r>
    </w:p>
    <w:p w:rsidR="00714EA9" w:rsidRPr="00BC3731" w:rsidP="00714EA9" w14:paraId="365954F1" w14:textId="5E5E5E33">
      <w:pPr>
        <w:pStyle w:val="NormalHanging12a"/>
      </w:pPr>
      <w:r w:rsidRPr="00BC3731">
        <w:t>L</w:t>
      </w:r>
      <w:r w:rsidRPr="00BC3731">
        <w:t>.</w:t>
      </w:r>
      <w:r w:rsidRPr="00BC3731">
        <w:tab/>
        <w:t>keďže v Dohode o čistom priemysle sa požaduje konkurencieschopné, dekarbonizované priemyselné hospodárstvo, ktoré sa opiera o širokú a diverzifikovanú škálu čistých palív a surovín; keďže obmedzenie ponuky surovín na výrobu biopalív vylúčením sóje zužuje zásobovaciu základňu Únie pre dekarbonizáciu odvetvia dopravy, zvyšuje cenovú volatilitu a zraniteľnosť dodávok a nie je v súlade s technologicky neutrálnym prístupom zameraným na zabezpečenie dodávok, ktorý si vyžadujú ciele Únie v oblasti konkurencieschopnosti;</w:t>
      </w:r>
    </w:p>
    <w:p w:rsidR="00714EA9" w:rsidRPr="00BC3731" w:rsidP="00714EA9" w14:paraId="1C1C81B0" w14:textId="6550AE41">
      <w:pPr>
        <w:pStyle w:val="NormalHanging12a"/>
      </w:pPr>
      <w:r w:rsidRPr="00BC3731">
        <w:t>M</w:t>
      </w:r>
      <w:r w:rsidRPr="00BC3731">
        <w:t>.</w:t>
      </w:r>
      <w:r w:rsidRPr="00BC3731">
        <w:tab/>
        <w:t>keďže Kompas konkurencieschopnosti označuje zníženie strategických závislostí a posilnenie priemyselných a spracovateľských kapacít Únie za kľúčové priority Únie; keďže zaradenie sóje medzi plodiny s vysokým rizikom nepriamej zmeny využívania pôdy neznižuje, ale skôr zvyšuje strategickú závislosť Únie v sektore bielkovín, ako aj v sektore biopalív;</w:t>
      </w:r>
    </w:p>
    <w:p w:rsidR="00714EA9" w:rsidRPr="00BC3731" w:rsidP="00714EA9" w14:paraId="0CA7F224" w14:textId="77777777">
      <w:pPr>
        <w:pStyle w:val="NormalHanging12a"/>
      </w:pPr>
      <w:r w:rsidRPr="00BC3731">
        <w:t>1.</w:t>
      </w:r>
      <w:r w:rsidRPr="00BC3731">
        <w:tab/>
        <w:t>vznáša námietku voči delegovanému nariadeniu Komisie;</w:t>
      </w:r>
    </w:p>
    <w:p w:rsidR="00714EA9" w:rsidRPr="00BC3731" w:rsidP="00714EA9" w14:paraId="22010135" w14:textId="77777777">
      <w:pPr>
        <w:pStyle w:val="NormalHanging12a"/>
      </w:pPr>
      <w:r w:rsidRPr="00BC3731">
        <w:t>2.</w:t>
      </w:r>
      <w:r w:rsidRPr="00BC3731">
        <w:tab/>
        <w:t>poveruje svoju predsedníčku, aby postúpila toto uznesenie Komisii a aby jej oznámila, že delegované nariadenie nemôže nadobudnúť účinnosť;</w:t>
      </w:r>
    </w:p>
    <w:p w:rsidR="00714EA9" w:rsidRPr="00BC3731" w:rsidP="00714EA9" w14:paraId="1B981597" w14:textId="77777777">
      <w:pPr>
        <w:pStyle w:val="NormalHanging12a"/>
      </w:pPr>
      <w:r w:rsidRPr="00BC3731">
        <w:t>3.</w:t>
      </w:r>
      <w:r w:rsidRPr="00BC3731">
        <w:tab/>
        <w:t>žiada Komisiu, aby bezodkladne predložila revidovaný delegovaný akt, ktorý zohľadní tieto odporúčania:</w:t>
      </w:r>
    </w:p>
    <w:p w:rsidR="00714EA9" w:rsidRPr="00BC3731" w:rsidP="00507EEA" w14:paraId="3480F256" w14:textId="77777777">
      <w:pPr>
        <w:pStyle w:val="NormalHanging12a"/>
        <w:ind w:left="1134"/>
      </w:pPr>
      <w:r w:rsidRPr="00BC3731">
        <w:t>a)</w:t>
      </w:r>
      <w:r w:rsidRPr="00BC3731">
        <w:tab/>
        <w:t>určenie stupňa rizika nepriamej zmeny využívania pôdy v prípade sóje by sa malo zakladať na údajoch „od roku 2008“, ako sa to výslovne vyžaduje v článku 3 delegovaného nariadenia Komisie (EÚ) 2019/807, a klasifikácia sóje ako plodiny s vysokým rizikom nepriamej zmeny využívania pôdy by sa mala prehodnotiť na základe tejto upravenej metodiky; ak na základe údajov od roku 2008 klesne v prípade sóje podiel rozšírenia na pôdu s vysokými zásobami uhlíka pod 10 % hranicu stanovenú v existujúcom rámci, sója by sa v revidovanom akte nemala klasifikovať ako plodina s vysokým rizikom nepriamej zmeny využívania pôdy;</w:t>
      </w:r>
    </w:p>
    <w:p w:rsidR="00714EA9" w:rsidRPr="00BC3731" w:rsidP="00082DD3" w14:paraId="51DD94B9" w14:textId="77777777">
      <w:pPr>
        <w:pStyle w:val="NormalHanging12a"/>
        <w:ind w:left="1134"/>
      </w:pPr>
      <w:r w:rsidRPr="00BC3731">
        <w:t>b)</w:t>
      </w:r>
      <w:r w:rsidRPr="00BC3731">
        <w:tab/>
        <w:t>metodika by mala byť aktualizovaná tak, aby v plnej miere zohľadňovala postupy dvojitého osevu pri pestovaní sóje, a to tak, aby rozšírenie plochy určenej na pestovanie sóje a vypočítaný podiel tohto rozšírenia na pôdu s vysokými zásobami uhlíka presne odrážali skutočnú dynamiku zmien vo využívaní pôdy;</w:t>
      </w:r>
    </w:p>
    <w:p w:rsidR="00714EA9" w:rsidRPr="00BC3731" w:rsidP="00082DD3" w14:paraId="497EE626" w14:textId="65FD3C33">
      <w:pPr>
        <w:pStyle w:val="NormalHanging12a"/>
        <w:ind w:left="1134"/>
      </w:pPr>
      <w:r w:rsidRPr="00BC3731">
        <w:t>c</w:t>
      </w:r>
      <w:r w:rsidRPr="00BC3731">
        <w:t>)</w:t>
      </w:r>
      <w:r w:rsidRPr="00BC3731">
        <w:tab/>
        <w:t>v prípade sóje vyrobenej v rámci Únie alebo v tretích krajinách s rovnocennými a overenými normami týkajúcimi sa monitorovania využívania pôdy a odlesňovania by sa malo stanoviť, že táto sója predstavuje nízke riziko nepriamej zmeny využívania pôdy, a následne by mala byť vylúčená z trajektórie postupného znižovania, a to na základe toho, že takáto produkcia nespôsobuje zmenu využívania pôdy, na ktorú sa rámec nepriamej zmeny využívania pôdy zameriava.</w:t>
      </w:r>
    </w:p>
    <w:p w:rsidR="00714EA9" w:rsidRPr="00BC3731" w:rsidP="00082DD3" w14:paraId="24502556" w14:textId="3EFB5E26">
      <w:pPr>
        <w:pStyle w:val="NormalHanging12a"/>
        <w:ind w:left="1134"/>
      </w:pPr>
      <w:r w:rsidRPr="00BC3731">
        <w:t>d</w:t>
      </w:r>
      <w:r w:rsidRPr="00BC3731">
        <w:t>)</w:t>
      </w:r>
      <w:r w:rsidRPr="00BC3731">
        <w:tab/>
        <w:t>potvrdzuje, že nemá námietky proti postupnému znižovaniu podielu biopalív na báze palmového oleja ani proti odstráneniu nedostatkov v postupe certifikácie plodín s nízkym rizikom nepriamej zmeny využívania pôdy, ktoré predstavujú primerané a nevyhnutné reakcie na rozhodnutie poroty WTO a mali by byť zachované v akomkoľvek revidovanom delegovanom akte;</w:t>
      </w:r>
    </w:p>
    <w:p w:rsidR="00B040D3" w:rsidRPr="00BC3731" w:rsidP="00B040D3" w14:paraId="31B50C71" w14:textId="7ED9E4F7">
      <w:pPr>
        <w:pStyle w:val="NormalHanging12a"/>
      </w:pPr>
      <w:r w:rsidRPr="00BC3731">
        <w:t>4.</w:t>
      </w:r>
      <w:r w:rsidRPr="00BC3731">
        <w:tab/>
        <w:t xml:space="preserve">poveruje svoju predsedníčku, aby postúpila toto uznesenie Rade a vládam </w:t>
      </w:r>
      <w:r w:rsidRPr="00BC3731">
        <w:t>a parlamentom členských štátov.</w:t>
      </w:r>
    </w:p>
    <w:p w:rsidR="00E365E1" w:rsidRPr="00BC3731" w:rsidP="00344140" w14:paraId="6B3DA00B" w14:textId="781F8289"/>
    <w:sectPr w:rsidSect="00B040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0D3" w14:paraId="274CF97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0D3" w14:paraId="5F78037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0D3" w14:paraId="630CCC2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44140" w:rsidRPr="00B040D3" w14:paraId="4B714B4B" w14:textId="77777777">
      <w:r w:rsidRPr="00B040D3">
        <w:separator/>
      </w:r>
    </w:p>
  </w:footnote>
  <w:footnote w:type="continuationSeparator" w:id="1">
    <w:p w:rsidR="00344140" w:rsidRPr="00B040D3" w14:paraId="5987F2F1" w14:textId="77777777">
      <w:r w:rsidRPr="00B040D3">
        <w:continuationSeparator/>
      </w:r>
    </w:p>
  </w:footnote>
  <w:footnote w:id="2">
    <w:p w:rsidR="00714EA9" w:rsidRPr="00B040D3" w:rsidP="00B040D3" w14:paraId="01468375" w14:textId="30CCF656">
      <w:pPr>
        <w:pStyle w:val="FootnoteText"/>
        <w:ind w:left="567" w:hanging="567"/>
        <w:rPr>
          <w:sz w:val="24"/>
          <w:lang w:val="sk-SK"/>
        </w:rPr>
      </w:pPr>
      <w:r w:rsidRPr="00B040D3">
        <w:rPr>
          <w:rStyle w:val="FootnoteReference"/>
          <w:sz w:val="24"/>
          <w:lang w:val="sk-SK"/>
        </w:rPr>
        <w:footnoteRef/>
      </w:r>
      <w:r w:rsidRPr="00B040D3" w:rsidR="00B040D3">
        <w:rPr>
          <w:sz w:val="24"/>
          <w:lang w:val="sk-SK"/>
        </w:rPr>
        <w:t xml:space="preserve"> </w:t>
      </w:r>
      <w:r w:rsidRPr="00B040D3" w:rsidR="00B040D3">
        <w:rPr>
          <w:sz w:val="24"/>
          <w:lang w:val="sk-SK"/>
        </w:rPr>
        <w:tab/>
      </w:r>
      <w:r w:rsidRPr="00B040D3">
        <w:rPr>
          <w:sz w:val="24"/>
          <w:lang w:val="sk-SK"/>
        </w:rPr>
        <w:t xml:space="preserve">Ú. v. EÚ L 328, 21.12.2018, s. 82, ELI: </w:t>
      </w:r>
      <w:bookmarkStart w:id="7" w:name="_Hlk233195462"/>
      <w:hyperlink r:id="rId1" w:history="1">
        <w:r w:rsidRPr="00B040D3">
          <w:rPr>
            <w:rStyle w:val="Hyperlink"/>
            <w:sz w:val="24"/>
            <w:lang w:val="sk-SK"/>
          </w:rPr>
          <w:t>http://data.europa.eu/eli/dir/2018/2001/oj</w:t>
        </w:r>
        <w:bookmarkEnd w:id="7"/>
      </w:hyperlink>
      <w:r w:rsidRPr="00B040D3">
        <w:rPr>
          <w:sz w:val="24"/>
          <w:lang w:val="sk-SK"/>
        </w:rPr>
        <w:t>.</w:t>
      </w:r>
    </w:p>
  </w:footnote>
  <w:footnote w:id="3">
    <w:p w:rsidR="00714EA9" w:rsidRPr="00B040D3" w:rsidP="00B040D3" w14:paraId="092DDEF9" w14:textId="7FEC94F0">
      <w:pPr>
        <w:pStyle w:val="FootnoteText"/>
        <w:ind w:left="567" w:hanging="567"/>
        <w:rPr>
          <w:sz w:val="24"/>
          <w:lang w:val="sk-SK"/>
        </w:rPr>
      </w:pPr>
      <w:r w:rsidRPr="00B040D3">
        <w:rPr>
          <w:rStyle w:val="FootnoteReference"/>
          <w:sz w:val="24"/>
          <w:lang w:val="sk-SK"/>
        </w:rPr>
        <w:footnoteRef/>
      </w:r>
      <w:r w:rsidRPr="00B040D3" w:rsidR="00B040D3">
        <w:rPr>
          <w:sz w:val="24"/>
          <w:lang w:val="sk-SK"/>
        </w:rPr>
        <w:t xml:space="preserve"> </w:t>
      </w:r>
      <w:r w:rsidRPr="00B040D3" w:rsidR="00B040D3">
        <w:rPr>
          <w:sz w:val="24"/>
          <w:lang w:val="sk-SK"/>
        </w:rPr>
        <w:tab/>
      </w:r>
      <w:r w:rsidRPr="00B040D3">
        <w:rPr>
          <w:sz w:val="24"/>
          <w:lang w:val="sk-SK"/>
        </w:rPr>
        <w:t xml:space="preserve">Ú. v. EÚ L 133, 21.5.2019, s. </w:t>
      </w:r>
      <w:r w:rsidRPr="00B040D3">
        <w:rPr>
          <w:sz w:val="24"/>
          <w:lang w:val="sk-SK"/>
        </w:rPr>
        <w:t xml:space="preserve">1, ELI: </w:t>
      </w:r>
      <w:hyperlink r:id="rId2" w:history="1">
        <w:r w:rsidRPr="00B040D3">
          <w:rPr>
            <w:rStyle w:val="Hyperlink"/>
            <w:sz w:val="24"/>
            <w:lang w:val="sk-SK"/>
          </w:rPr>
          <w:t>http://data.europa.eu/eli/reg_del/2019/807/oj</w:t>
        </w:r>
      </w:hyperlink>
      <w:r w:rsidRPr="00B040D3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0D3" w14:paraId="56D2DAF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0D3" w14:paraId="3EC67F3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0D3" w14:paraId="589C0AC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8130335">
    <w:abstractNumId w:val="9"/>
  </w:num>
  <w:num w:numId="2" w16cid:durableId="205410006">
    <w:abstractNumId w:val="9"/>
  </w:num>
  <w:num w:numId="3" w16cid:durableId="145631380">
    <w:abstractNumId w:val="7"/>
  </w:num>
  <w:num w:numId="4" w16cid:durableId="730005879">
    <w:abstractNumId w:val="7"/>
  </w:num>
  <w:num w:numId="5" w16cid:durableId="1063722810">
    <w:abstractNumId w:val="6"/>
  </w:num>
  <w:num w:numId="6" w16cid:durableId="1446998516">
    <w:abstractNumId w:val="6"/>
  </w:num>
  <w:num w:numId="7" w16cid:durableId="1611234619">
    <w:abstractNumId w:val="5"/>
  </w:num>
  <w:num w:numId="8" w16cid:durableId="610012162">
    <w:abstractNumId w:val="5"/>
  </w:num>
  <w:num w:numId="9" w16cid:durableId="1674066458">
    <w:abstractNumId w:val="4"/>
  </w:num>
  <w:num w:numId="10" w16cid:durableId="809588670">
    <w:abstractNumId w:val="4"/>
  </w:num>
  <w:num w:numId="11" w16cid:durableId="321010333">
    <w:abstractNumId w:val="8"/>
  </w:num>
  <w:num w:numId="12" w16cid:durableId="1453207593">
    <w:abstractNumId w:val="8"/>
  </w:num>
  <w:num w:numId="13" w16cid:durableId="505677731">
    <w:abstractNumId w:val="3"/>
  </w:num>
  <w:num w:numId="14" w16cid:durableId="350649418">
    <w:abstractNumId w:val="3"/>
  </w:num>
  <w:num w:numId="15" w16cid:durableId="312107168">
    <w:abstractNumId w:val="2"/>
  </w:num>
  <w:num w:numId="16" w16cid:durableId="953905714">
    <w:abstractNumId w:val="2"/>
  </w:num>
  <w:num w:numId="17" w16cid:durableId="68306216">
    <w:abstractNumId w:val="1"/>
  </w:num>
  <w:num w:numId="18" w16cid:durableId="460533308">
    <w:abstractNumId w:val="1"/>
  </w:num>
  <w:num w:numId="19" w16cid:durableId="1558275988">
    <w:abstractNumId w:val="0"/>
  </w:num>
  <w:num w:numId="20" w16cid:durableId="1242762423">
    <w:abstractNumId w:val="0"/>
  </w:num>
  <w:num w:numId="21" w16cid:durableId="1698385450">
    <w:abstractNumId w:val="9"/>
  </w:num>
  <w:num w:numId="22" w16cid:durableId="563565575">
    <w:abstractNumId w:val="7"/>
  </w:num>
  <w:num w:numId="23" w16cid:durableId="1882787717">
    <w:abstractNumId w:val="6"/>
  </w:num>
  <w:num w:numId="24" w16cid:durableId="856775917">
    <w:abstractNumId w:val="5"/>
  </w:num>
  <w:num w:numId="25" w16cid:durableId="1083988488">
    <w:abstractNumId w:val="4"/>
  </w:num>
  <w:num w:numId="26" w16cid:durableId="1901938877">
    <w:abstractNumId w:val="8"/>
  </w:num>
  <w:num w:numId="27" w16cid:durableId="360017350">
    <w:abstractNumId w:val="3"/>
  </w:num>
  <w:num w:numId="28" w16cid:durableId="760371129">
    <w:abstractNumId w:val="2"/>
  </w:num>
  <w:num w:numId="29" w16cid:durableId="1297301620">
    <w:abstractNumId w:val="1"/>
  </w:num>
  <w:num w:numId="30" w16cid:durableId="286279550">
    <w:abstractNumId w:val="0"/>
  </w:num>
  <w:num w:numId="31" w16cid:durableId="924070816">
    <w:abstractNumId w:val="9"/>
  </w:num>
  <w:num w:numId="32" w16cid:durableId="602958360">
    <w:abstractNumId w:val="7"/>
  </w:num>
  <w:num w:numId="33" w16cid:durableId="110708427">
    <w:abstractNumId w:val="6"/>
  </w:num>
  <w:num w:numId="34" w16cid:durableId="1876499529">
    <w:abstractNumId w:val="5"/>
  </w:num>
  <w:num w:numId="35" w16cid:durableId="730425837">
    <w:abstractNumId w:val="4"/>
  </w:num>
  <w:num w:numId="36" w16cid:durableId="1217163818">
    <w:abstractNumId w:val="8"/>
  </w:num>
  <w:num w:numId="37" w16cid:durableId="1259414277">
    <w:abstractNumId w:val="3"/>
  </w:num>
  <w:num w:numId="38" w16cid:durableId="1433622503">
    <w:abstractNumId w:val="2"/>
  </w:num>
  <w:num w:numId="39" w16cid:durableId="273094452">
    <w:abstractNumId w:val="1"/>
  </w:num>
  <w:num w:numId="40" w16cid:durableId="196966513">
    <w:abstractNumId w:val="0"/>
  </w:num>
  <w:num w:numId="41" w16cid:durableId="1749035888">
    <w:abstractNumId w:val="10"/>
  </w:num>
  <w:num w:numId="42" w16cid:durableId="1843276710">
    <w:abstractNumId w:val="10"/>
  </w:num>
  <w:num w:numId="43" w16cid:durableId="1471434555">
    <w:abstractNumId w:val="10"/>
  </w:num>
  <w:num w:numId="44" w16cid:durableId="657852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40"/>
    <w:rsid w:val="00002272"/>
    <w:rsid w:val="00064002"/>
    <w:rsid w:val="000677B9"/>
    <w:rsid w:val="00082DD3"/>
    <w:rsid w:val="000831BA"/>
    <w:rsid w:val="000A42CC"/>
    <w:rsid w:val="000E7DD9"/>
    <w:rsid w:val="0010095E"/>
    <w:rsid w:val="00125B37"/>
    <w:rsid w:val="00187494"/>
    <w:rsid w:val="001F32AE"/>
    <w:rsid w:val="00263328"/>
    <w:rsid w:val="002767FF"/>
    <w:rsid w:val="002B18FE"/>
    <w:rsid w:val="002B5493"/>
    <w:rsid w:val="00343214"/>
    <w:rsid w:val="00344140"/>
    <w:rsid w:val="00361C00"/>
    <w:rsid w:val="00395FA1"/>
    <w:rsid w:val="003E15D4"/>
    <w:rsid w:val="003E23C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EEA"/>
    <w:rsid w:val="00514517"/>
    <w:rsid w:val="00545827"/>
    <w:rsid w:val="00560270"/>
    <w:rsid w:val="005C2568"/>
    <w:rsid w:val="005F1B17"/>
    <w:rsid w:val="006037C0"/>
    <w:rsid w:val="006631B6"/>
    <w:rsid w:val="00680577"/>
    <w:rsid w:val="006E732B"/>
    <w:rsid w:val="006F74FA"/>
    <w:rsid w:val="00714EA9"/>
    <w:rsid w:val="00731ADD"/>
    <w:rsid w:val="00734777"/>
    <w:rsid w:val="00747932"/>
    <w:rsid w:val="00751A4A"/>
    <w:rsid w:val="00756632"/>
    <w:rsid w:val="00762C74"/>
    <w:rsid w:val="00775421"/>
    <w:rsid w:val="00786EC0"/>
    <w:rsid w:val="00792F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B6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0D3"/>
    <w:rsid w:val="00B12E95"/>
    <w:rsid w:val="00B22876"/>
    <w:rsid w:val="00B558F0"/>
    <w:rsid w:val="00BC373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7D7"/>
    <w:rsid w:val="00F74202"/>
    <w:rsid w:val="00F87713"/>
    <w:rsid w:val="00FB4360"/>
    <w:rsid w:val="00FD0C70"/>
  </w:rsids>
  <w:docVars>
    <w:docVar w:name="dvdocse" w:val="B10-0337/2026"/>
    <w:docVar w:name="dvlangue" w:val="SK"/>
    <w:docVar w:name="dvnumam" w:val="0"/>
    <w:docVar w:name="dvpe" w:val="789.919"/>
    <w:docVar w:name="dvtitre" w:val="Uznesenie Európskeho parlamentu z/zo xx. xxx 2026 o delegovanom nariadení Komisie z 10. apríla 2026, ktorým sa mení delegované nariadenie Komisie (EÚ) 2019/807 s cieľom zaviesť trajektóriu postupného znižovania príspevku biopalív, biokvapalín a palív z biomasy s vysokým rizikom nepriamej zmeny využívania pôdy k cieľom v oblasti energie z obnoviteľných zdrojov((C(2026)02306) – 2026/2680(DEA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A8C77CA"/>
  <w15:chartTrackingRefBased/>
  <w15:docId w15:val="{72C4FA5B-7237-497C-9E3C-5B156FFC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14EA9"/>
    <w:pPr>
      <w:spacing w:before="480" w:after="240"/>
    </w:pPr>
  </w:style>
  <w:style w:type="paragraph" w:customStyle="1" w:styleId="NormalHanging12a">
    <w:name w:val="NormalHanging12a"/>
    <w:basedOn w:val="Normal"/>
    <w:rsid w:val="00714EA9"/>
    <w:pPr>
      <w:spacing w:after="240"/>
      <w:ind w:left="567" w:hanging="567"/>
    </w:pPr>
  </w:style>
  <w:style w:type="character" w:styleId="Hyperlink">
    <w:name w:val="Hyperlink"/>
    <w:basedOn w:val="DefaultParagraphFont"/>
    <w:rsid w:val="00714EA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07EE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18/2001/oj" TargetMode="External" /><Relationship Id="rId2" Type="http://schemas.openxmlformats.org/officeDocument/2006/relationships/hyperlink" Target="http://data.europa.eu/eli/reg_del/2019/807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1751</Words>
  <Characters>10391</Characters>
  <Application>Microsoft Office Word</Application>
  <DocSecurity>0</DocSecurity>
  <Lines>305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2026-07-08T12:09:00Z</dcterms:created>
  <dcterms:modified xsi:type="dcterms:W3CDTF">2026-07-08T12:09:00Z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B10-0337/2026</vt:lpwstr>
  </property>
  <property fmtid="{D5CDD505-2E9C-101B-9397-08002B2CF9AE}" pid="4" name="&lt;Type&gt;">
    <vt:lpwstr>RR</vt:lpwstr>
  </property>
</Properties>
</file>