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9A60E9A" w14:textId="77777777" w:rsidTr="0010095E">
        <w:tblPrEx>
          <w:tblW w:w="9072" w:type="dxa"/>
          <w:tblLook w:val="01E0"/>
        </w:tblPrEx>
        <w:trPr>
          <w:trHeight w:hRule="exact" w:val="1418"/>
        </w:trPr>
        <w:tc>
          <w:tcPr>
            <w:tcW w:w="6804" w:type="dxa"/>
            <w:shd w:val="clear" w:color="auto" w:fill="auto"/>
            <w:vAlign w:val="center"/>
          </w:tcPr>
          <w:p w:rsidR="00751A4A" w:rsidRPr="00125AB6" w:rsidP="0010095E" w14:paraId="531AD8E5" w14:textId="2E2E08AF">
            <w:pPr>
              <w:pStyle w:val="EPName"/>
            </w:pPr>
            <w:r w:rsidRPr="00125AB6">
              <w:t>Европейски</w:t>
            </w:r>
            <w:r w:rsidRPr="00125AB6" w:rsidR="000C74FB">
              <w:t xml:space="preserve"> парламент</w:t>
            </w:r>
          </w:p>
          <w:p w:rsidR="00751A4A" w:rsidRPr="00125AB6" w:rsidP="005F1B17" w14:paraId="47FF9E9C" w14:textId="061ED4FD">
            <w:pPr>
              <w:pStyle w:val="EPTerm"/>
              <w:rPr>
                <w:rStyle w:val="HideTWBExt"/>
                <w:noProof w:val="0"/>
                <w:vanish w:val="0"/>
                <w:color w:val="auto"/>
              </w:rPr>
            </w:pPr>
            <w:r w:rsidRPr="00125AB6">
              <w:t>2024</w:t>
            </w:r>
            <w:r w:rsidRPr="00125AB6" w:rsidR="00016951">
              <w:t> – </w:t>
            </w:r>
            <w:r w:rsidRPr="00125AB6" w:rsidR="00817416">
              <w:t>202</w:t>
            </w:r>
            <w:r w:rsidRPr="00125AB6">
              <w:t>9</w:t>
            </w:r>
          </w:p>
        </w:tc>
        <w:tc>
          <w:tcPr>
            <w:tcW w:w="2268" w:type="dxa"/>
            <w:shd w:val="clear" w:color="auto" w:fill="auto"/>
          </w:tcPr>
          <w:p w:rsidR="00751A4A" w:rsidRPr="00125AB6" w:rsidP="0010095E" w14:paraId="3474A336" w14:textId="77777777">
            <w:pPr>
              <w:pStyle w:val="EPLogo"/>
            </w:pPr>
            <w:r w:rsidRPr="001A374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25AB6" w:rsidP="004C5D52" w14:paraId="728B2ECA" w14:textId="77777777">
      <w:pPr>
        <w:pStyle w:val="LineTop"/>
      </w:pPr>
    </w:p>
    <w:p w:rsidR="00680577" w:rsidRPr="00125AB6" w:rsidP="00680577" w14:paraId="608EFD88" w14:textId="77777777">
      <w:pPr>
        <w:pStyle w:val="EPBodyTA1"/>
      </w:pPr>
      <w:r w:rsidRPr="00125AB6">
        <w:t>ПРИЕТИ ТЕКСТОВЕ</w:t>
      </w:r>
    </w:p>
    <w:p w:rsidR="00D058B8" w:rsidRPr="00125AB6" w:rsidP="00D058B8" w14:paraId="68A137E0" w14:textId="77777777">
      <w:pPr>
        <w:pStyle w:val="LineBottom"/>
      </w:pPr>
    </w:p>
    <w:p w:rsidR="000C74FB" w:rsidRPr="00125AB6" w:rsidP="000C74FB" w14:paraId="0BE974AE" w14:textId="1C865835">
      <w:pPr>
        <w:pStyle w:val="ATHeading1"/>
      </w:pPr>
      <w:bookmarkStart w:id="0" w:name="TANumber"/>
      <w:r w:rsidRPr="00125AB6">
        <w:t>P10_TA(2026)0</w:t>
      </w:r>
      <w:r w:rsidRPr="009051B2" w:rsidR="00125AB6">
        <w:t>259</w:t>
      </w:r>
      <w:bookmarkEnd w:id="0"/>
    </w:p>
    <w:p w:rsidR="000C74FB" w:rsidRPr="00125AB6" w:rsidP="000C74FB" w14:paraId="162DE4B2" w14:textId="77777777">
      <w:pPr>
        <w:pStyle w:val="ATHeading2"/>
      </w:pPr>
      <w:bookmarkStart w:id="1" w:name="title"/>
      <w:r w:rsidRPr="00125AB6">
        <w:t xml:space="preserve">Доклад на Комисията относно Украйна за 2025 г. </w:t>
      </w:r>
      <w:bookmarkEnd w:id="1"/>
    </w:p>
    <w:p w:rsidR="000C74FB" w:rsidRPr="00125AB6" w:rsidP="000C74FB" w14:paraId="79AB3DF4" w14:textId="77777777">
      <w:pPr>
        <w:rPr>
          <w:i/>
          <w:vanish/>
        </w:rPr>
      </w:pPr>
      <w:r>
        <w:rPr>
          <w:i/>
        </w:rPr>
        <w:fldChar w:fldCharType="begin"/>
      </w:r>
      <w:r w:rsidRPr="00125AB6">
        <w:rPr>
          <w:i/>
        </w:rPr>
        <w:instrText xml:space="preserve"> TC"(</w:instrText>
      </w:r>
      <w:bookmarkStart w:id="2" w:name="DocNumber"/>
      <w:r w:rsidRPr="00125AB6">
        <w:rPr>
          <w:i/>
        </w:rPr>
        <w:instrText>A10-0172/2026</w:instrText>
      </w:r>
      <w:bookmarkEnd w:id="2"/>
      <w:r w:rsidRPr="00125AB6">
        <w:rPr>
          <w:i/>
        </w:rPr>
        <w:instrText xml:space="preserve"> - Докладчик: Михаел Галер)"\l3 \n&gt; \* MERGEFORMAT </w:instrText>
      </w:r>
      <w:r>
        <w:rPr>
          <w:i/>
        </w:rPr>
        <w:fldChar w:fldCharType="end"/>
      </w:r>
    </w:p>
    <w:p w:rsidR="000C74FB" w:rsidRPr="00125AB6" w:rsidP="000C74FB" w14:paraId="3974A9CF" w14:textId="77777777">
      <w:pPr>
        <w:rPr>
          <w:vanish/>
        </w:rPr>
      </w:pPr>
      <w:bookmarkStart w:id="3" w:name="Commission"/>
      <w:r w:rsidRPr="00125AB6">
        <w:rPr>
          <w:vanish/>
        </w:rPr>
        <w:t>Комисия по външни работи</w:t>
      </w:r>
      <w:bookmarkEnd w:id="3"/>
    </w:p>
    <w:p w:rsidR="000C74FB" w:rsidRPr="00125AB6" w:rsidP="000C74FB" w14:paraId="4BA340E4" w14:textId="77777777">
      <w:pPr>
        <w:rPr>
          <w:vanish/>
        </w:rPr>
      </w:pPr>
      <w:bookmarkStart w:id="4" w:name="PE"/>
      <w:r w:rsidRPr="00125AB6">
        <w:rPr>
          <w:vanish/>
        </w:rPr>
        <w:t>PE784.266</w:t>
      </w:r>
      <w:bookmarkEnd w:id="4"/>
    </w:p>
    <w:p w:rsidR="000C74FB" w:rsidRPr="00125AB6" w:rsidP="000C74FB" w14:paraId="50FD4ABC" w14:textId="345A64FA">
      <w:pPr>
        <w:pStyle w:val="ATHeading3"/>
      </w:pPr>
      <w:bookmarkStart w:id="5" w:name="Sujet"/>
      <w:r w:rsidRPr="00125AB6">
        <w:t xml:space="preserve">Резолюция на Европейския парламент от </w:t>
      </w:r>
      <w:r w:rsidRPr="00125AB6" w:rsidR="00016951">
        <w:t>8 юли</w:t>
      </w:r>
      <w:r w:rsidRPr="00125AB6">
        <w:t xml:space="preserve"> 2026 г. относно доклада на Комисията за Украйна за 2025 г.</w:t>
      </w:r>
      <w:bookmarkEnd w:id="5"/>
      <w:r w:rsidRPr="00125AB6">
        <w:t xml:space="preserve"> </w:t>
      </w:r>
      <w:bookmarkStart w:id="6" w:name="References"/>
      <w:r w:rsidRPr="00125AB6">
        <w:t>(2025/2259(INI))</w:t>
      </w:r>
      <w:bookmarkEnd w:id="6"/>
    </w:p>
    <w:p w:rsidR="00C71B48" w:rsidRPr="00125AB6" w:rsidP="00C71B48" w14:paraId="120DAC92" w14:textId="77777777">
      <w:pPr>
        <w:pStyle w:val="Normal12"/>
      </w:pPr>
      <w:r w:rsidRPr="00125AB6">
        <w:rPr>
          <w:i/>
          <w:iCs/>
        </w:rPr>
        <w:t>Европейският парламент</w:t>
      </w:r>
      <w:r w:rsidRPr="00125AB6">
        <w:t>,</w:t>
      </w:r>
    </w:p>
    <w:p w:rsidR="00C71B48" w:rsidRPr="00125AB6" w:rsidP="00C71B48" w14:paraId="31A20D85" w14:textId="77777777">
      <w:pPr>
        <w:pStyle w:val="NormalHanging"/>
      </w:pPr>
      <w:r w:rsidRPr="00125AB6">
        <w:t>–</w:t>
      </w:r>
      <w:r w:rsidRPr="00125AB6">
        <w:tab/>
        <w:t>като взе предвид предишните си резолюции относно Украйна,</w:t>
      </w:r>
    </w:p>
    <w:p w:rsidR="00C71B48" w:rsidRPr="00125AB6" w:rsidP="00C71B48" w14:paraId="30ED6ECD" w14:textId="77777777">
      <w:pPr>
        <w:pStyle w:val="NormalHanging"/>
      </w:pPr>
      <w:r w:rsidRPr="00125AB6">
        <w:t>–</w:t>
      </w:r>
      <w:r w:rsidRPr="00125AB6">
        <w:tab/>
        <w:t>като взе предвид заключенията на Европейския съвет от 24 юни 2022 г. за предоставяне на статут на страна кандидатка на Украйна, от 15 декември 2023 г. за одобряване на започването на преговори за присъединяване, както и от 20 март 2025 г.,</w:t>
      </w:r>
    </w:p>
    <w:p w:rsidR="00C71B48" w:rsidRPr="00125AB6" w:rsidP="00C71B48" w14:paraId="1FC06CE4" w14:textId="77777777">
      <w:pPr>
        <w:pStyle w:val="NormalHanging"/>
        <w:rPr>
          <w:iCs/>
        </w:rPr>
      </w:pPr>
      <w:r w:rsidRPr="00125AB6">
        <w:t>–</w:t>
      </w:r>
      <w:r w:rsidRPr="00125AB6">
        <w:tab/>
        <w:t>като взе предвид своята резолюция от 11 март 2026 г. относно стратегията на ЕС за разширяване</w:t>
      </w:r>
      <w:r>
        <w:rPr>
          <w:rStyle w:val="FootnoteReference"/>
          <w:iCs/>
        </w:rPr>
        <w:footnoteReference w:id="2"/>
      </w:r>
      <w:r w:rsidRPr="00125AB6">
        <w:t>,</w:t>
      </w:r>
    </w:p>
    <w:p w:rsidR="00C71B48" w:rsidRPr="00125AB6" w:rsidP="00C71B48" w14:paraId="341E2612" w14:textId="77777777">
      <w:pPr>
        <w:pStyle w:val="NormalHanging"/>
        <w:rPr>
          <w:iCs/>
        </w:rPr>
      </w:pPr>
      <w:r w:rsidRPr="00125AB6">
        <w:t>–</w:t>
      </w:r>
      <w:r w:rsidRPr="00125AB6">
        <w:tab/>
        <w:t>като взе предвид своята резолюция от 21 януари 2026 г. относно изпълнението на общата политика за сигурност и отбрана – годишен доклад за 2025 г.</w:t>
      </w:r>
      <w:r>
        <w:rPr>
          <w:rStyle w:val="FootnoteReference"/>
          <w:iCs/>
        </w:rPr>
        <w:footnoteReference w:id="3"/>
      </w:r>
      <w:r w:rsidRPr="00125AB6">
        <w:t>, както и резолюцията си от 11 март 2026 г. относно стратегията на ЕС за разширяване</w:t>
      </w:r>
      <w:r>
        <w:rPr>
          <w:rStyle w:val="FootnoteReference"/>
          <w:iCs/>
        </w:rPr>
        <w:footnoteReference w:id="4"/>
      </w:r>
      <w:r w:rsidRPr="00125AB6">
        <w:t>,</w:t>
      </w:r>
    </w:p>
    <w:p w:rsidR="00C71B48" w:rsidRPr="00125AB6" w:rsidP="00C71B48" w14:paraId="03A73FB5" w14:textId="77777777">
      <w:pPr>
        <w:pStyle w:val="NormalHanging"/>
        <w:rPr>
          <w:iCs/>
        </w:rPr>
      </w:pPr>
      <w:r w:rsidRPr="00125AB6">
        <w:t>–</w:t>
      </w:r>
      <w:r w:rsidRPr="00125AB6">
        <w:tab/>
        <w:t>като взе предвид механизма за Украйна и плана за Украйна,</w:t>
      </w:r>
    </w:p>
    <w:p w:rsidR="00C71B48" w:rsidRPr="00125AB6" w:rsidP="00C71B48" w14:paraId="4243BAF3" w14:textId="77777777">
      <w:pPr>
        <w:pStyle w:val="NormalHanging"/>
        <w:rPr>
          <w:iCs/>
        </w:rPr>
      </w:pPr>
      <w:r w:rsidRPr="00125AB6">
        <w:t>–</w:t>
      </w:r>
      <w:r w:rsidRPr="00125AB6">
        <w:tab/>
        <w:t xml:space="preserve">като взе предвид съвместното изявление на члена на Комисията Марта Кос и заместник министър-председателя на Украйна Тарас </w:t>
      </w:r>
      <w:r w:rsidRPr="00125AB6">
        <w:t>Качка</w:t>
      </w:r>
      <w:r w:rsidRPr="00125AB6">
        <w:t xml:space="preserve"> от 11 декември 2025 г.,</w:t>
      </w:r>
    </w:p>
    <w:p w:rsidR="00C71B48" w:rsidRPr="00125AB6" w:rsidP="00C71B48" w14:paraId="3B67DEF5" w14:textId="77777777">
      <w:pPr>
        <w:pStyle w:val="NormalHanging"/>
        <w:rPr>
          <w:iCs/>
        </w:rPr>
      </w:pPr>
      <w:r w:rsidRPr="00125AB6">
        <w:t>–</w:t>
      </w:r>
      <w:r w:rsidRPr="00125AB6">
        <w:tab/>
        <w:t>като взе предвид пътните карти на Украйна относно принципите на правовата държава, реформата на публичната администрация и функционирането на демократичните институции, както и плана за действие относно защитата на правата на лицата, принадлежащи към национални малцинства (общности) в Украйна, одобрен през май 2025 г.,</w:t>
      </w:r>
    </w:p>
    <w:p w:rsidR="00C71B48" w:rsidRPr="00125AB6" w:rsidP="00C71B48" w14:paraId="1AE13F50" w14:textId="77777777">
      <w:pPr>
        <w:pStyle w:val="NormalHanging"/>
        <w:rPr>
          <w:iCs/>
        </w:rPr>
      </w:pPr>
      <w:r w:rsidRPr="00125AB6">
        <w:t>–</w:t>
      </w:r>
      <w:r w:rsidRPr="00125AB6">
        <w:tab/>
        <w:t>като взе предвид Националната програма за хармонизиране с достиженията на правото на Съюза, приета от правителството на Украйна на 1 април 2026 г.;</w:t>
      </w:r>
    </w:p>
    <w:p w:rsidR="00C71B48" w:rsidRPr="00125AB6" w:rsidP="00C71B48" w14:paraId="4E469F87" w14:textId="36360E30">
      <w:pPr>
        <w:pStyle w:val="NormalHanging"/>
      </w:pPr>
      <w:r w:rsidRPr="00125AB6">
        <w:t>–</w:t>
      </w:r>
      <w:r w:rsidRPr="00125AB6">
        <w:tab/>
        <w:t xml:space="preserve">като взе предвид работния документ на службите на Комисията от 4 ноември 2025 г., озаглавен „Доклад за Украйна за 2025 г.“ (SWD(2025)0759), и </w:t>
      </w:r>
      <w:r w:rsidRPr="00125AB6">
        <w:t>придружаващото го съобщение на Комисията, озаглавено „Съобщение относно политиката на ЕС за разширяване за 2025 г.“ (COM(2025)0690),</w:t>
      </w:r>
    </w:p>
    <w:p w:rsidR="00C71B48" w:rsidRPr="00125AB6" w:rsidP="00C71B48" w14:paraId="0662D21E" w14:textId="77777777">
      <w:pPr>
        <w:pStyle w:val="NormalHanging"/>
      </w:pPr>
      <w:r w:rsidRPr="00125AB6">
        <w:t>–</w:t>
      </w:r>
      <w:r w:rsidRPr="00125AB6">
        <w:tab/>
        <w:t>като взе предвид член 55 от своя Правилник за дейността,</w:t>
      </w:r>
    </w:p>
    <w:p w:rsidR="00C71B48" w:rsidRPr="00125AB6" w:rsidP="00C71B48" w14:paraId="182374BC" w14:textId="77777777">
      <w:pPr>
        <w:pStyle w:val="NormalHanging"/>
      </w:pPr>
      <w:r w:rsidRPr="00125AB6">
        <w:t>–</w:t>
      </w:r>
      <w:r w:rsidRPr="00125AB6">
        <w:tab/>
        <w:t>като взе предвид доклада на комисията по външни работи (A10-0172/2026),</w:t>
      </w:r>
    </w:p>
    <w:p w:rsidR="00C71B48" w:rsidRPr="00125AB6" w:rsidP="00C71B48" w14:paraId="23420DBD" w14:textId="77777777">
      <w:pPr>
        <w:pStyle w:val="NormalHanging"/>
      </w:pPr>
      <w:r w:rsidRPr="00125AB6">
        <w:t>А.</w:t>
      </w:r>
      <w:r w:rsidRPr="00125AB6">
        <w:tab/>
        <w:t>като има предвид, че Парламентът осъжда по възможно най-категоричен начин агресивната война на Русия срещу Украйна, която представлява грубо нарушение на Устава на ООН и фундаменталните принципи на международното право и международното хуманитарно право, проявяващо се в широкоразпространени и систематични военни престъпления, престъпления срещу човечеството и насилствено депортиране на хиляди украинци на територията на Русия, и по-специално на деца – действия, за които трябва да се носи пълна отговорност и да се въздаде правосъдие; като има предвид, че Парламентът подкрепя правото на Украйна на суверенитет, независимост и териториална цялост в рамките на международно признатите ѝ граници; като има предвид, че Русия нахлу в Украйна и би могла да прекрати по всяко време бруталната война, която води срещу своята съседка;</w:t>
      </w:r>
    </w:p>
    <w:p w:rsidR="00C71B48" w:rsidRPr="00125AB6" w:rsidP="00C71B48" w14:paraId="3815E367" w14:textId="77777777">
      <w:pPr>
        <w:pStyle w:val="NormalHanging"/>
        <w:rPr>
          <w:bCs/>
          <w:iCs/>
        </w:rPr>
      </w:pPr>
      <w:r w:rsidRPr="00125AB6">
        <w:t>Б.</w:t>
      </w:r>
      <w:r w:rsidRPr="00125AB6">
        <w:tab/>
        <w:t xml:space="preserve">като има предвид, че Русия, с политическата, материалната и военната подкрепа, предоставяна от нейните съюзници, по-специално Беларус, Иран и Северна Корея, както и с подкрепа от Китай, води незаконна, </w:t>
      </w:r>
      <w:r w:rsidRPr="00125AB6">
        <w:t>непровокирана</w:t>
      </w:r>
      <w:r w:rsidRPr="00125AB6">
        <w:t xml:space="preserve"> и неоправдана пълномащабна агресивна война срещу Украйна от 24 февруари 2022 г. насам; като има предвид, че войната на Русия срещу Украйна започна през 2014 г. с незаконната окупация и анексиране на Крим и с последвалата окупация на части от Донецка и Луганска област;</w:t>
      </w:r>
    </w:p>
    <w:p w:rsidR="00C71B48" w:rsidRPr="00125AB6" w:rsidP="00C71B48" w14:paraId="3AC1B4CB" w14:textId="77777777">
      <w:pPr>
        <w:pStyle w:val="NormalHanging"/>
        <w:rPr>
          <w:bCs/>
          <w:iCs/>
        </w:rPr>
      </w:pPr>
      <w:r w:rsidRPr="00125AB6">
        <w:t>В.</w:t>
      </w:r>
      <w:r w:rsidRPr="00125AB6">
        <w:tab/>
        <w:t>като има предвид, че неотдавнашните и продължаващите нарушения от страна на Русия на суверенитета на европейски държави потвърждават, че нейните цели далеч надхвърлят границите на Украйна и представляват екзистенциална заплаха за свободата и демокрацията в Европа;</w:t>
      </w:r>
    </w:p>
    <w:p w:rsidR="00C71B48" w:rsidRPr="00125AB6" w:rsidP="00C71B48" w14:paraId="3441A970" w14:textId="1D28E040">
      <w:pPr>
        <w:pStyle w:val="NormalHanging"/>
        <w:rPr>
          <w:bCs/>
          <w:iCs/>
        </w:rPr>
      </w:pPr>
      <w:r w:rsidRPr="00125AB6">
        <w:t>Г.</w:t>
      </w:r>
      <w:r w:rsidRPr="00125AB6">
        <w:tab/>
        <w:t>като има предвид, че въпреки широкото международно осъждане и безпрецедентните санкции Русия ескалира военните си усилия чрез целенасочени нападения срещу критична енергийна инфраструктура, жилищни сгради и гражданска инфраструктура</w:t>
      </w:r>
      <w:r w:rsidRPr="004C6FF0" w:rsidR="004C6FF0">
        <w:t>, както и срещу обекти на културното и религиозното наследство, като Киевско-</w:t>
      </w:r>
      <w:r w:rsidRPr="004C6FF0" w:rsidR="004C6FF0">
        <w:t>Печерската</w:t>
      </w:r>
      <w:r w:rsidRPr="004C6FF0" w:rsidR="004C6FF0">
        <w:t xml:space="preserve"> Лавра</w:t>
      </w:r>
      <w:r w:rsidRPr="00125AB6">
        <w:t>; като има предвид, че милиони хора в Украйна неотдавна преживяха мразовитите зимни температури с ограничения в електроснабдяването, отоплението и снабдяването с течаща вода; като има предвид, че причинените от Русия през последните четири години екологични щети доведоха и до опустошителни последици за природните ресурси и за критичните екосистеми в Украйна, както и за здравето, препитанието и сигурността на нейното население;</w:t>
      </w:r>
    </w:p>
    <w:p w:rsidR="00C71B48" w:rsidRPr="00125AB6" w:rsidP="00C71B48" w14:paraId="560DF16C" w14:textId="77777777">
      <w:pPr>
        <w:pStyle w:val="NormalHanging"/>
        <w:rPr>
          <w:bCs/>
          <w:iCs/>
        </w:rPr>
      </w:pPr>
      <w:r w:rsidRPr="00125AB6">
        <w:t>Д.</w:t>
      </w:r>
      <w:r w:rsidRPr="00125AB6">
        <w:tab/>
        <w:t>като има предвид, че в резултат на руската инвазия понастоящем над 4 милиона украинци живеят в държави – членки на ЕС, посредством механизма за временна закрила, и се ползват от право на пребиваване, достъп до пазара на труда, жилищно настаняване, медицински грижи, социално подпомагане и образование за техните деца;</w:t>
      </w:r>
    </w:p>
    <w:p w:rsidR="00C71B48" w:rsidRPr="00125AB6" w:rsidP="00C71B48" w14:paraId="6FF39DDD" w14:textId="77777777">
      <w:pPr>
        <w:pStyle w:val="NormalHanging"/>
        <w:rPr>
          <w:b/>
          <w:i/>
        </w:rPr>
      </w:pPr>
      <w:r w:rsidRPr="00125AB6">
        <w:t>Е.</w:t>
      </w:r>
      <w:r w:rsidRPr="00125AB6">
        <w:tab/>
        <w:t>като има предвид, че защитавайки се срещу Русия, Украйна допринася в значителна степен за сигурността на Европейския съюз; като има предвид, че ЕС и неговите държави членки са най-големият доставчик на финансова, икономическа, военна и хуманитарна помощ за Украйна от началото на пълномащабното нахлуване; като има предвид, че от началото на агресивната война на Русия срещу Украйна ЕС и неговите държави членки са предоставили до момента военна помощ в размер на около 75 милиарда евро; като има предвид, че подкрепата за Украйна трябва също така да допринесе за укрепването на европейската отбранителна технологична и индустриална база (ЕОТИБ) и за постигането на стратегическа автономност на Съюза и не трябва да води до повишена зависимост от външни участници;</w:t>
      </w:r>
    </w:p>
    <w:p w:rsidR="00C71B48" w:rsidRPr="00125AB6" w:rsidP="00C71B48" w14:paraId="6FFC1B1F" w14:textId="77777777">
      <w:pPr>
        <w:pStyle w:val="NormalHanging"/>
        <w:rPr>
          <w:bCs/>
          <w:iCs/>
        </w:rPr>
      </w:pPr>
      <w:r w:rsidRPr="00125AB6">
        <w:t>Ж.</w:t>
      </w:r>
      <w:r w:rsidRPr="00125AB6">
        <w:tab/>
        <w:t>като има предвид, че от началото на незаконната и продължаваща окупация на части от територията на Украйна през февруари 2014 г. Руската федерация извършва постоянни и широкоразпространени нарушения на правата на човека и основните свободи във временно окупираните територии;</w:t>
      </w:r>
    </w:p>
    <w:p w:rsidR="00C71B48" w:rsidRPr="00125AB6" w:rsidP="00C71B48" w14:paraId="35A96D92" w14:textId="77777777">
      <w:pPr>
        <w:pStyle w:val="NormalHanging"/>
        <w:rPr>
          <w:bCs/>
          <w:iCs/>
        </w:rPr>
      </w:pPr>
      <w:r w:rsidRPr="00125AB6">
        <w:t>З.</w:t>
      </w:r>
      <w:r w:rsidRPr="00125AB6">
        <w:tab/>
        <w:t>като има предвид, че Украйна и международните органи са документирали стотици екзекуции на украински военнопленници от руските сили; като има предвид, че тези екзекуции представляват сериозни нарушения на международното право и правата на човека и са изрично признати за военни престъпления съгласно Женевските конвенции и Римския статут на Международния наказателен съд;</w:t>
      </w:r>
    </w:p>
    <w:p w:rsidR="00C71B48" w:rsidRPr="00125AB6" w:rsidP="00C71B48" w14:paraId="3FDD56E0" w14:textId="77777777">
      <w:pPr>
        <w:pStyle w:val="NormalHanging"/>
        <w:rPr>
          <w:bCs/>
          <w:iCs/>
        </w:rPr>
      </w:pPr>
      <w:r w:rsidRPr="00125AB6">
        <w:t>И.</w:t>
      </w:r>
      <w:r w:rsidRPr="00125AB6">
        <w:tab/>
        <w:t>като има предвид, че най-малко 20 000, а възможно и до 35 000 украински деца са били принудително депортирани в Русия и Беларус или задържани във временно окупираните украински територии;</w:t>
      </w:r>
    </w:p>
    <w:p w:rsidR="00C71B48" w:rsidRPr="00125AB6" w:rsidP="00C71B48" w14:paraId="295AAB3D" w14:textId="52CB094C">
      <w:pPr>
        <w:pStyle w:val="NormalHanging"/>
        <w:rPr>
          <w:bCs/>
          <w:iCs/>
        </w:rPr>
      </w:pPr>
      <w:r w:rsidRPr="00125AB6">
        <w:t>Й.</w:t>
      </w:r>
      <w:r w:rsidRPr="00125AB6">
        <w:tab/>
        <w:t xml:space="preserve">като има предвид, че в отговор на агресивната война на Русия в Хага бяха създадени Международният център за наказателно преследване на престъплението агресия срещу Украйна и регистърът на щетите за Украйна, а Специалният трибунал за престъплението агресия срещу Украйна е в процес на създаване; като има предвид, че Комисията прие предложение за започване на процедурата, с която Европейският съюз да стане учредителен член на Специалния трибунал; като има предвид, че Международният наказателен съд повдигна обвинения срещу Владимир Путин и Мария </w:t>
      </w:r>
      <w:r w:rsidRPr="00125AB6">
        <w:t>Лвова</w:t>
      </w:r>
      <w:r w:rsidRPr="00125AB6">
        <w:t>-Белова за военни престъпления; като има предвид, че на 14 май 2026 г. в Кишинев, Молдова, в рамките на 135-ата сесия на Комитета на министрите на Съвета на Европа, в длъжност встъпи международна комисия за исковете за Украйна; като има предвид, че международната комисия за исковете ще увеличи възможностите да се търси отговорност за международните престъпления, извършени в Украйна и срещу Украйна, както и да се отстоява правото на Украйна да получи пълни репарации за щетите, произтичащи от незаконните действия на Русия;</w:t>
      </w:r>
    </w:p>
    <w:p w:rsidR="00C71B48" w:rsidRPr="00125AB6" w:rsidP="00C71B48" w14:paraId="1668112A" w14:textId="77777777">
      <w:pPr>
        <w:pStyle w:val="NormalHanging"/>
      </w:pPr>
      <w:r w:rsidRPr="00125AB6">
        <w:t>К.</w:t>
      </w:r>
      <w:r w:rsidRPr="00125AB6">
        <w:tab/>
        <w:t>като има предвид, че Украйна прояви забележителна издръжливост и решителност по пътя си към членство в ЕС – един избор, отразяващ трайната вола на украинския народ, въпреки продължаващата руска агресивна война, която доведе до смъртта на хиляди души, нанесе дълбоки травми на оцелелите, на  семействата на жертвите, на ветераните и техните семейства и на гражданското общество, остави в развалини много градове и жизненоважна гражданска инфраструктура и доведе до продължителна окупация на части от украинската територия от руските сили;</w:t>
      </w:r>
    </w:p>
    <w:p w:rsidR="00C71B48" w:rsidRPr="00125AB6" w:rsidP="00C71B48" w14:paraId="31672F1B" w14:textId="77777777">
      <w:pPr>
        <w:pStyle w:val="NormalHanging"/>
        <w:rPr>
          <w:bCs/>
          <w:iCs/>
        </w:rPr>
      </w:pPr>
      <w:r w:rsidRPr="00125AB6">
        <w:t>Л.</w:t>
      </w:r>
      <w:r w:rsidRPr="00125AB6">
        <w:tab/>
        <w:t>като има предвид, че Украйна се бори не само за правото да живее свободно и да избира свободно в какви съюзи да участва, не само за своя суверенитет, мир, стабилност и сигурност, но и за запазването на същността на демокрацията под натиск, който заплашва самото ѝ съществуване; счита, че издръжливостта на украинската демокрация в крайна сметка ще бъде оценявана не само по способността ѝ да устоява на външна агресия, но и по готовността ѝ да защитава плурализма, приобщаването, откритостта и политическото многообразие във вътрешен план;</w:t>
      </w:r>
    </w:p>
    <w:p w:rsidR="00C71B48" w:rsidRPr="00125AB6" w:rsidP="00C71B48" w14:paraId="5E86F726" w14:textId="77777777">
      <w:pPr>
        <w:pStyle w:val="NormalHanging"/>
        <w:rPr>
          <w:bCs/>
          <w:iCs/>
        </w:rPr>
      </w:pPr>
      <w:r w:rsidRPr="00125AB6">
        <w:t>М.</w:t>
      </w:r>
      <w:r w:rsidRPr="00125AB6">
        <w:tab/>
        <w:t>като има предвид, че европейската интеграция на Украйна е стратегическа инвестиция в мира, сигурността, демокрацията и просперитета на целия континент; като има предвид, че непоколебимата подкрепа на ЕС за суверенитета, териториалната цялост и независимостта на Украйна не зависи от скоростта на европейската интеграция на страната;</w:t>
      </w:r>
    </w:p>
    <w:p w:rsidR="00C71B48" w:rsidRPr="00125AB6" w:rsidP="00C71B48" w14:paraId="7AC44C8F" w14:textId="77777777">
      <w:pPr>
        <w:pStyle w:val="NormalHanging"/>
      </w:pPr>
      <w:r w:rsidRPr="00125AB6">
        <w:t>Н.</w:t>
      </w:r>
      <w:r w:rsidRPr="00125AB6">
        <w:tab/>
        <w:t>като има предвид, че настоящите критерии от Копенхаген изискват не само официално привеждане в съответствие с правото на ЕС, но и ефективно прилагане и гаранции за основните права, демокрацията и принципите на правовата държава; като има предвид, че пътят на всяка държава към интеграция в ЕС трябва да се оценява въз основа на собствените ѝ заслуги и че нито една държава не следва да бъде съчетавана с друга или третирана като част от пакет;</w:t>
      </w:r>
    </w:p>
    <w:p w:rsidR="00C71B48" w:rsidRPr="00125AB6" w:rsidP="00C71B48" w14:paraId="57BA0F65" w14:textId="77777777">
      <w:pPr>
        <w:pStyle w:val="NormalHanging"/>
      </w:pPr>
      <w:r w:rsidRPr="00125AB6">
        <w:t>О.</w:t>
      </w:r>
      <w:r w:rsidRPr="00125AB6">
        <w:tab/>
        <w:t>като има предвид, че Украйна запазва ангажимента да приведе законодателството си в съответствие с достиженията на правото на ЕС и продължава да предприема стъпки за осъществяване на реформи въпреки водената от Русия агресивна война; като има предвид, че през 2025 г. Украйна е изпълнила 84% от изискванията на Споразумението за асоцииране между ЕС и Украйна</w:t>
      </w:r>
      <w:r>
        <w:rPr>
          <w:rStyle w:val="FootnoteReference"/>
        </w:rPr>
        <w:footnoteReference w:id="5"/>
      </w:r>
      <w:r w:rsidRPr="00125AB6">
        <w:t>;</w:t>
      </w:r>
    </w:p>
    <w:p w:rsidR="00C71B48" w:rsidRPr="00125AB6" w:rsidP="00C71B48" w14:paraId="17ED82DD" w14:textId="77777777">
      <w:pPr>
        <w:pStyle w:val="NormalHanging"/>
        <w:rPr>
          <w:bCs/>
          <w:iCs/>
        </w:rPr>
      </w:pPr>
      <w:r w:rsidRPr="00125AB6">
        <w:t>П.</w:t>
      </w:r>
      <w:r w:rsidRPr="00125AB6">
        <w:tab/>
        <w:t>като има предвид, че Комисията потвърди, че Украйна е приключила двустранния скрининг по всички преговорни глави и е готова да отвори всички преговорни клъстери, като се започне с клъстера от основополагащи въпроси;</w:t>
      </w:r>
    </w:p>
    <w:p w:rsidR="00C71B48" w:rsidRPr="00125AB6" w:rsidP="00C71B48" w14:paraId="0DC224B7" w14:textId="77777777">
      <w:pPr>
        <w:pStyle w:val="NormalHanging"/>
      </w:pPr>
      <w:r w:rsidRPr="00125AB6">
        <w:t>Р.</w:t>
      </w:r>
      <w:r w:rsidRPr="00125AB6">
        <w:tab/>
        <w:t>като има предвид, че е постигнат напредък, но са необходими повече усилия за укрепване, наред с другото, на принципите на правовата държава в Украйна и за борба с корупцията;</w:t>
      </w:r>
    </w:p>
    <w:p w:rsidR="00C71B48" w:rsidRPr="00125AB6" w:rsidP="00C71B48" w14:paraId="6C073E72" w14:textId="77777777">
      <w:pPr>
        <w:pStyle w:val="NormalHanging"/>
      </w:pPr>
      <w:r w:rsidRPr="00125AB6">
        <w:t>С.</w:t>
      </w:r>
      <w:r w:rsidRPr="00125AB6">
        <w:tab/>
        <w:t>като има предвид, че за да се гарантира прозрачното и отчетно използване на международната финансова подкрепа, на финансовата подкрепа от ЕС и на бъдещите фондове за възстановяване, са необходими стабилни, независими и добре функциониращи антикорупционни институции, както и ефективен демократичен надзор с участието на гражданското общество и социалните партньори;</w:t>
      </w:r>
    </w:p>
    <w:p w:rsidR="00C71B48" w:rsidRPr="00125AB6" w:rsidP="00C71B48" w14:paraId="6CF37D91" w14:textId="77777777">
      <w:pPr>
        <w:pStyle w:val="NormalHanging"/>
      </w:pPr>
      <w:r w:rsidRPr="00125AB6">
        <w:t>Т.</w:t>
      </w:r>
      <w:r w:rsidRPr="00125AB6">
        <w:tab/>
        <w:t xml:space="preserve">като има предвид, че включването на международни експерти в работата на комисиите за подбор на кадри за правосъдните органи спомогна да се изгради обществено доверие в съдебната система, като се укрепи независимостта на тези </w:t>
      </w:r>
      <w:r w:rsidRPr="00125AB6">
        <w:t>кадри; като има предвид, че участието на международните експерти при подбора на Висшата квалификационна комисия на съдиите приключи на 1 юни 2025 г.;</w:t>
      </w:r>
    </w:p>
    <w:p w:rsidR="00C71B48" w:rsidRPr="00125AB6" w:rsidP="00C71B48" w14:paraId="54252214" w14:textId="77777777">
      <w:pPr>
        <w:pStyle w:val="NormalHanging"/>
      </w:pPr>
      <w:r w:rsidRPr="00125AB6">
        <w:t>У.</w:t>
      </w:r>
      <w:r w:rsidRPr="00125AB6">
        <w:tab/>
        <w:t>като има предвид, че демократичните институции на Украйна показаха своята адаптивност, като демонстрираха, че дори в условията на продължаващата агресивна война на Русия и във военно положение те продължават да служат на интересите на гражданите и да изпълняват реформите, свързани с присъединяването към ЕС; като има предвид, че Парламентът приветства сигналите, че подготовката за избори може да започне след прекратяване на военното положение и при положение че условията за сигурност позволяват да се проведат избори в съответствие с международните стандарти; като има предвид, че Украйна следва да продължи да работи за защитата на своята демокрация, за осигуряване на прозрачност и баланс на правомощията;</w:t>
      </w:r>
    </w:p>
    <w:p w:rsidR="00C71B48" w:rsidRPr="00125AB6" w:rsidP="00C71B48" w14:paraId="2F994397" w14:textId="77777777">
      <w:pPr>
        <w:pStyle w:val="NormalHanging"/>
      </w:pPr>
      <w:r w:rsidRPr="00125AB6">
        <w:t>Ф.</w:t>
      </w:r>
      <w:r w:rsidRPr="00125AB6">
        <w:tab/>
        <w:t>като има предвид, че гражданското общество продължава да бъде стълб на издръжливостта и демокрацията в Украйна, въпреки че случаите на натиск срещу активисти и синдикални организации пораждат опасения и изискват действия от страна на правителството;</w:t>
      </w:r>
    </w:p>
    <w:p w:rsidR="00C71B48" w:rsidRPr="00125AB6" w:rsidP="00C71B48" w14:paraId="25C2C808" w14:textId="77777777">
      <w:pPr>
        <w:pStyle w:val="NormalHanging"/>
        <w:rPr>
          <w:bCs/>
          <w:iCs/>
        </w:rPr>
      </w:pPr>
      <w:r w:rsidRPr="00125AB6">
        <w:t>Х.</w:t>
      </w:r>
      <w:r w:rsidRPr="00125AB6">
        <w:tab/>
        <w:t>като има предвид, че интеграцията в ЕС се радва на широка подкрепа сред украинското общество и институции и продължава да бъде основна движеща сила за демократичното развитие на Украйна; като има предвид, че членството на Украйна в ЕС също така ще укрепи самия Съюз, като допринесе за неговата геополитическа издръжливост, ще увеличи икономическия му потенциал и ще засили ангажимента му към споделените ценности на демокрацията, принципите на правовата държава и свободата;</w:t>
      </w:r>
    </w:p>
    <w:p w:rsidR="00C71B48" w:rsidP="00C71B48" w14:paraId="3C809C05" w14:textId="77777777">
      <w:pPr>
        <w:pStyle w:val="NormalHanging"/>
      </w:pPr>
      <w:r w:rsidRPr="00125AB6">
        <w:t>Ц.</w:t>
      </w:r>
      <w:r w:rsidRPr="00125AB6">
        <w:tab/>
        <w:t>като има предвид, че последният доклад на Евробарометър относно разширяването показва, че 56% от гражданите на ЕС подкрепят по-нататъшното разширяване на Европейския съюз, като Украйна е най-предпочитаната държава – кандидатка за присъединяване, след като бъдат изпълнени всички критерии за членство в ЕС;</w:t>
      </w:r>
    </w:p>
    <w:p w:rsidR="004C6FF0" w:rsidRPr="00125AB6" w:rsidP="00C71B48" w14:paraId="535DE8BA" w14:textId="29200F91">
      <w:pPr>
        <w:pStyle w:val="NormalHanging"/>
        <w:rPr>
          <w:bCs/>
          <w:iCs/>
        </w:rPr>
      </w:pPr>
      <w:r>
        <w:rPr>
          <w:bCs/>
          <w:iCs/>
        </w:rPr>
        <w:t>Ч</w:t>
      </w:r>
      <w:r w:rsidRPr="004C6FF0">
        <w:rPr>
          <w:bCs/>
          <w:iCs/>
        </w:rPr>
        <w:t>.</w:t>
      </w:r>
      <w:r w:rsidRPr="004C6FF0">
        <w:rPr>
          <w:bCs/>
          <w:iCs/>
        </w:rPr>
        <w:tab/>
        <w:t xml:space="preserve">като има предвид, че съвместното изявление, подписано на 11 декември 2025 г. от члена на Комисията Марта Кос и заместник министър-председателя на Украйна Тарас </w:t>
      </w:r>
      <w:r w:rsidRPr="004C6FF0">
        <w:rPr>
          <w:bCs/>
          <w:iCs/>
        </w:rPr>
        <w:t>Качка</w:t>
      </w:r>
      <w:r w:rsidRPr="004C6FF0">
        <w:rPr>
          <w:bCs/>
          <w:iCs/>
        </w:rPr>
        <w:t xml:space="preserve"> (известно като плана Кос-</w:t>
      </w:r>
      <w:r w:rsidRPr="004C6FF0">
        <w:rPr>
          <w:bCs/>
          <w:iCs/>
        </w:rPr>
        <w:t>Качка</w:t>
      </w:r>
      <w:r w:rsidRPr="004C6FF0">
        <w:rPr>
          <w:bCs/>
          <w:iCs/>
        </w:rPr>
        <w:t>), е приоритетен план за реформи от 10 точки, който трябва да бъде изпълнен до края на 2026 г.; като има предвид, че тези реформи се отнасят до укрепването на принципите на правовата държава, съдебните процедури и независимостта на украинските институции за борба с корупцията; като има предвид, че пълното и недвусмислено изпълнение на тези стъпки ще бъде важна осезаема демонстрация на ангажимента на Украйна; като има предвид, че съответните мозъчни тръстове считат, че приблизително 15 % от плана е бил изпълнен до средата на 2026 г.;</w:t>
      </w:r>
    </w:p>
    <w:p w:rsidR="00C71B48" w:rsidRPr="00125AB6" w:rsidP="00C71B48" w14:paraId="2CEE3FBD" w14:textId="52309BD9">
      <w:pPr>
        <w:pStyle w:val="NormalHanging"/>
        <w:rPr>
          <w:bCs/>
          <w:iCs/>
        </w:rPr>
      </w:pPr>
      <w:r>
        <w:t>Ш</w:t>
      </w:r>
      <w:r w:rsidRPr="00125AB6">
        <w:t>.</w:t>
      </w:r>
      <w:r w:rsidRPr="00125AB6">
        <w:tab/>
        <w:t xml:space="preserve">като има предвид, че Русия продължава да провежда и засилва усилията си за оправдаване на агресията срещу Украйна чрез умишлено фалшифициране на исторически факти, манипулиране на исторически послания и стратегическо използване на религиозни, културни и ценностни наративи с цел изкривяване на обществения дискурс, отричане и делегитимиране на националната идентичност, държавността и суверенитета на Украйна и възпрепятстване на присъединяването ѝ към Европейския съюз; като има предвид, че подобни дейности съответстват на военната доктрина на Русия, одобрена на 25 декември 2014 г., и на последващите </w:t>
      </w:r>
      <w:r w:rsidRPr="00125AB6">
        <w:t>стратегически документи, включително Стратегията за национална сигурност на Руската федерация, утвърдена от президента Владимир Путин на 31 декември 2015 г., в които се подчертава защитата на „традиционните руски духовни и морални ценности“ срещу това, което се възприема като западно влияние; като има предвид, че този подход беше допълнително засилен в Стратегията за национална сигурност от 2021 г., в която опазването на „традиционните ценности“, насърчаването на концепцията за „Руски свят“ („</w:t>
      </w:r>
      <w:r w:rsidRPr="00125AB6">
        <w:t>Русский</w:t>
      </w:r>
      <w:r w:rsidRPr="00125AB6">
        <w:t xml:space="preserve"> мир“) и защитата на „сънародниците в чужбина“ бяха издигнати до основни приоритети на националната сигурност, като по този начин беше демонстрирано продължителното и систематично използване на културни, религиозни и цивилизационни наративи като инструменти за геополитическо влияние и оправдаване на агресията срещу Украйна;</w:t>
      </w:r>
    </w:p>
    <w:p w:rsidR="00C71B48" w:rsidRPr="00125AB6" w:rsidP="00C71B48" w14:paraId="4B0FF9EB" w14:textId="2DD7BB9C">
      <w:pPr>
        <w:pStyle w:val="NormalHanging"/>
        <w:rPr>
          <w:bCs/>
          <w:iCs/>
        </w:rPr>
      </w:pPr>
      <w:r>
        <w:t>Щ</w:t>
      </w:r>
      <w:r w:rsidRPr="00125AB6">
        <w:t>.</w:t>
      </w:r>
      <w:r w:rsidRPr="00125AB6">
        <w:tab/>
        <w:t>като има предвид, че според министерството на социалната политика на Украйна над 3 милиона украинци са признати като лица с едно или повече увреждания и се очаква този брой да нараства със 17 000 месечно, което до голяма степен се дължи на продължаващата война;</w:t>
      </w:r>
    </w:p>
    <w:p w:rsidR="00C71B48" w:rsidRPr="00125AB6" w:rsidP="00C71B48" w14:paraId="3EF3986B" w14:textId="4845191A">
      <w:pPr>
        <w:pStyle w:val="NormalHanging"/>
        <w:rPr>
          <w:bCs/>
          <w:iCs/>
        </w:rPr>
      </w:pPr>
      <w:r>
        <w:t>АА</w:t>
      </w:r>
      <w:r w:rsidRPr="00125AB6">
        <w:t>.</w:t>
      </w:r>
      <w:r w:rsidRPr="00125AB6">
        <w:tab/>
        <w:t>като има предвид, че причинените от Русия екологични щети доведоха до опустошителни последици за природните ресурси и критичните екосистеми на Украйна, както и за здравето, препитанието и сигурността на украинците; като има предвид, че екологосъобразното възстановяване е свързано с отстраняването на тези щети и извеждането на Украйна по нов път към екологична и социална устойчивост, в съответствие с екологичното законодателство в достиженията на правото на ЕС;</w:t>
      </w:r>
    </w:p>
    <w:p w:rsidR="00C71B48" w:rsidRPr="00125AB6" w:rsidP="00C71B48" w14:paraId="222B17DD" w14:textId="1DE0D496">
      <w:pPr>
        <w:pStyle w:val="NormalHanging"/>
        <w:rPr>
          <w:bCs/>
          <w:iCs/>
        </w:rPr>
      </w:pPr>
      <w:r w:rsidRPr="00125AB6">
        <w:t>А</w:t>
      </w:r>
      <w:r w:rsidR="004C6FF0">
        <w:t>Б</w:t>
      </w:r>
      <w:r w:rsidRPr="00125AB6">
        <w:t>.</w:t>
      </w:r>
      <w:r w:rsidRPr="00125AB6">
        <w:tab/>
        <w:t>като има предвид, че в проучване от 2024 г., проведено от Киевския международен институт по социология, се потвърждава, че отношението на украинското общество към ЛГБТИК+ лицата остава предимно неутрално или положително, като над 70% от анкетираните украинци подкрепят равните права за ЛГБТИК+ лицата;</w:t>
      </w:r>
    </w:p>
    <w:p w:rsidR="00C71B48" w:rsidP="00C71B48" w14:paraId="6A3F4EB3" w14:textId="554845AC">
      <w:pPr>
        <w:pStyle w:val="NormalHanging"/>
      </w:pPr>
      <w:r w:rsidRPr="00125AB6">
        <w:t>А</w:t>
      </w:r>
      <w:r w:rsidR="004C6FF0">
        <w:t>В</w:t>
      </w:r>
      <w:r w:rsidRPr="00125AB6">
        <w:t>.</w:t>
      </w:r>
      <w:r w:rsidRPr="00125AB6">
        <w:tab/>
        <w:t>като има предвид, че руската агресивна война срещу Украйна причини огромни човешки страдания и унищожение и  мащабът на опустошенията за хората прави наложително постигането на справедлив, устойчив и траен мир;</w:t>
      </w:r>
    </w:p>
    <w:p w:rsidR="004C6FF0" w:rsidP="00C71B48" w14:paraId="378C9BCC" w14:textId="79577FA3">
      <w:pPr>
        <w:pStyle w:val="NormalHanging"/>
      </w:pPr>
      <w:r w:rsidRPr="004C6FF0">
        <w:t>А</w:t>
      </w:r>
      <w:r>
        <w:t>Г</w:t>
      </w:r>
      <w:r w:rsidRPr="004C6FF0">
        <w:t>.</w:t>
      </w:r>
      <w:r w:rsidRPr="004C6FF0">
        <w:tab/>
        <w:t>като има предвид, че новият закон за обществените поръчки, който беше приет от Върховната рада на Украйна на 27 май 2026 г. и влезе в сила на 24 юни 2026 г., е широко считана за истинска реформа, приведена в съответствие със законодателството на ЕС и установяваща гаранции за прозрачност и борба с корупцията при големите търгове; като има предвид, че приемането на това законодателство освободи 3,4 милиарда щатски долара пряка бюджетна подкрепа за Украйна от Световната банка;</w:t>
      </w:r>
    </w:p>
    <w:p w:rsidR="004C6FF0" w:rsidP="00C71B48" w14:paraId="6127B084" w14:textId="765A5E9F">
      <w:pPr>
        <w:pStyle w:val="NormalHanging"/>
      </w:pPr>
      <w:r w:rsidRPr="004C6FF0">
        <w:t>А</w:t>
      </w:r>
      <w:r>
        <w:t>Д</w:t>
      </w:r>
      <w:r w:rsidRPr="004C6FF0">
        <w:t>.</w:t>
      </w:r>
      <w:r w:rsidRPr="004C6FF0">
        <w:tab/>
        <w:t>като има предвид, че на 15 юни 2026 г. ЕС започна преговори за присъединяване с Украйна и Молдова по клъстер 1: „Основополагащи въпроси“ , който се състои от: глава 23 „Съдебна система и основни права“, глава 24 „Правосъдие, свобода и сигурност“, глава 5 „Обществени поръчки“, глава 18 „Статистика“ и глава 32 „Финансов контрол“; като има предвид, че преговорите по клъстера от основополагащи въпроси са първите, които започват, и последните, които завършват, в процеса на присъединяване, и че напредъкът по този клъстер определя темпа на преговорите като цяло;</w:t>
      </w:r>
    </w:p>
    <w:p w:rsidR="004C6FF0" w:rsidP="00C71B48" w14:paraId="34B33A98" w14:textId="13796266">
      <w:pPr>
        <w:pStyle w:val="NormalHanging"/>
      </w:pPr>
      <w:r w:rsidRPr="004C6FF0">
        <w:t>А</w:t>
      </w:r>
      <w:r w:rsidR="001A3748">
        <w:t>Е</w:t>
      </w:r>
      <w:r w:rsidRPr="004C6FF0">
        <w:t>.</w:t>
      </w:r>
      <w:r w:rsidRPr="004C6FF0">
        <w:tab/>
        <w:t>като има предвид, че различни държави членки разпространиха неофициални документи относно динамиката на присъединяването на Украйна към ЕС и възможностите за укрепване на бъдещите договори за присъединяване към ЕС;</w:t>
      </w:r>
    </w:p>
    <w:p w:rsidR="004C6FF0" w:rsidRPr="00125AB6" w:rsidP="00C71B48" w14:paraId="24286A36" w14:textId="20CED76B">
      <w:pPr>
        <w:pStyle w:val="NormalHanging"/>
      </w:pPr>
      <w:r w:rsidRPr="004C6FF0">
        <w:t>А</w:t>
      </w:r>
      <w:r w:rsidR="001A3748">
        <w:t>Ж</w:t>
      </w:r>
      <w:r w:rsidRPr="004C6FF0">
        <w:t>.</w:t>
      </w:r>
      <w:r w:rsidRPr="004C6FF0">
        <w:tab/>
        <w:t xml:space="preserve">като има предвид, че в съвместен анализ на Европейската служба за външна дейност и Центъра на Украйна за борба с дезинформацията бяха установени руски стратегии и операции за чуждестранно манипулиране на информация и вмешателство (FIMI) с цел да се подкопае и еродира обществената подкрепа за процеса на присъединяване на Украйна към ЕС както в Украйна, така и в ЕС; </w:t>
      </w:r>
    </w:p>
    <w:p w:rsidR="00C71B48" w:rsidRPr="00125AB6" w:rsidP="00C71B48" w14:paraId="19BB2BEE" w14:textId="77777777">
      <w:pPr>
        <w:pStyle w:val="NormalHanging"/>
        <w:rPr>
          <w:b/>
          <w:i/>
          <w:iCs/>
        </w:rPr>
      </w:pPr>
      <w:r w:rsidRPr="00125AB6">
        <w:rPr>
          <w:b/>
          <w:i/>
        </w:rPr>
        <w:t xml:space="preserve">I. </w:t>
      </w:r>
      <w:r w:rsidRPr="00125AB6">
        <w:rPr>
          <w:b/>
          <w:i/>
        </w:rPr>
        <w:tab/>
        <w:t>Актуално положение по отношение на руската агресивна война и санкциите на ЕС</w:t>
      </w:r>
    </w:p>
    <w:p w:rsidR="00C71B48" w:rsidRPr="00125AB6" w:rsidP="00C71B48" w14:paraId="3C910973" w14:textId="77777777">
      <w:pPr>
        <w:pStyle w:val="NormalHanging12a"/>
      </w:pPr>
      <w:r w:rsidRPr="00125AB6">
        <w:t>1.</w:t>
      </w:r>
      <w:r w:rsidRPr="00125AB6">
        <w:tab/>
        <w:t>осъжда по възможно най-категоричен начин продължаващата незаконна агресивна война на Русия срещу Украйна и отново заявява непоколебимата си солидарност с народа на Украйна и подкрепата си за независимостта, суверенитета и териториалната цялост на страната в рамките на международно признатите ѝ граници; потвърждава отново своята политика да не признава никои от незаконно и временно окупираните от Русия украински територии, включително и Крим;</w:t>
      </w:r>
    </w:p>
    <w:p w:rsidR="00C71B48" w:rsidRPr="00125AB6" w:rsidP="00C71B48" w14:paraId="23245F44" w14:textId="77777777">
      <w:pPr>
        <w:pStyle w:val="NormalHanging12a"/>
      </w:pPr>
      <w:r w:rsidRPr="00125AB6">
        <w:t>2.</w:t>
      </w:r>
      <w:r w:rsidRPr="00125AB6">
        <w:tab/>
        <w:t>изисква Руската федерация незабавно и безусловно да прекрати всички военни действия в Украйна и срещу Украйна и да изтегли всичките си сили и военна техника от цялата територия на Украйна в рамките на нейните международно признати граници, включително териториалните ѝ води; подчертава, че храбрият украински народ плаща най-високата цена, за да защитава Украйна, а вследствие на това и сигурността на Европа;</w:t>
      </w:r>
    </w:p>
    <w:p w:rsidR="00C71B48" w:rsidRPr="00125AB6" w:rsidP="00C71B48" w14:paraId="4567690D" w14:textId="77777777">
      <w:pPr>
        <w:pStyle w:val="NormalHanging12a"/>
      </w:pPr>
      <w:r w:rsidRPr="00125AB6">
        <w:t>3.</w:t>
      </w:r>
      <w:r w:rsidRPr="00125AB6">
        <w:tab/>
        <w:t>изразява най-дълбока съпричастност и пълна солидарност с всички, засегнати от агресивната война на Руската федерация срещу Украйна, включително военнослужещите, ветераните, семействата на загиналите или ранените, вътрешно разселените лица, бежанците и всички цивилни лица, които понасят тежките хуманитарни, здравни, психологически, социални и икономически последици от войната;</w:t>
      </w:r>
    </w:p>
    <w:p w:rsidR="00C71B48" w:rsidRPr="00125AB6" w:rsidP="00C71B48" w14:paraId="2B35FE27" w14:textId="77777777">
      <w:pPr>
        <w:pStyle w:val="NormalHanging12a"/>
      </w:pPr>
      <w:r w:rsidRPr="00125AB6">
        <w:t>4.</w:t>
      </w:r>
      <w:r w:rsidRPr="00125AB6">
        <w:tab/>
        <w:t>осъжда широкоразпространените и системни нападения, извършвани от Руската федерация срещу украинското цивилно население, по-специално чрез атаки срещу обекти на критичната енергийна и водоснабдителна инфраструктура, които представляват груби нарушения на международното хуманитарно право;</w:t>
      </w:r>
    </w:p>
    <w:p w:rsidR="00C71B48" w:rsidRPr="00125AB6" w:rsidP="00C71B48" w14:paraId="5163DD42" w14:textId="77777777">
      <w:pPr>
        <w:pStyle w:val="NormalHanging12a"/>
      </w:pPr>
      <w:r w:rsidRPr="00125AB6">
        <w:t>5.</w:t>
      </w:r>
      <w:r w:rsidRPr="00125AB6">
        <w:tab/>
        <w:t xml:space="preserve">изразява дълбоко съжаление за тежките нарушения, извършвани срещу украинските деца и включващи убийства, малтретиране, принудително прехвърляне и депортация, както и незаконно осиновяване, промяна на личните им данни и ограничаване на контактите с техните семейства; освен това осъжда подлагането им на принудителна </w:t>
      </w:r>
      <w:r w:rsidRPr="00125AB6">
        <w:t>русификация</w:t>
      </w:r>
      <w:r w:rsidRPr="00125AB6">
        <w:t xml:space="preserve"> и на военно-патриотично обучение, военна пропаганда и милитаризиране; отправя призив за незабавно, безопасно и безусловно връщане на отвлечените деца и призовава ЕС да превърне в приоритет психичното здраве на децата, което да стане специален компонент от неговата подкрепа за възстановяване; призовава Комисията и държавите членки да засилят подкрепата за украинските органи, както и за международните и неправителствените организации в процеса на документиране на тези престъпления и идентифициране, репатриране, реинтегриране, рехабилитация и </w:t>
      </w:r>
      <w:r w:rsidRPr="00125AB6">
        <w:t>подкрепа на засегнатите деца; приветства нарастващото участие в Международната коалиция за връщане на украинските деца като ключова платформа за координирани международни действия, насочени към връщането на незаконно депортирани и насилствено прехвърлени украински деца;</w:t>
      </w:r>
    </w:p>
    <w:p w:rsidR="00C71B48" w:rsidRPr="00125AB6" w:rsidP="00C71B48" w14:paraId="7F2C0490" w14:textId="77777777">
      <w:pPr>
        <w:pStyle w:val="NormalHanging12a"/>
      </w:pPr>
      <w:r w:rsidRPr="00125AB6">
        <w:t>6.</w:t>
      </w:r>
      <w:r w:rsidRPr="00125AB6">
        <w:tab/>
        <w:t>изразява съжаление за рязкото влошаване на положението с правата на човека под руската окупация, изразяващо се например в произволни задържания и изчезвания, изтезания, принудително издаване на паспорти и мобилизация на украински граждани във временно окупираните територии, екзекуции на военнопленници и незаконни депортации; решително потвърждава неотменимото право на всички украинци, насилствено разселени в резултат на руската агресия, да се завърнат безопасно, доброволно и без предварителни условия по домовете си след пълното прекратяване на окупацията и възстановяване на териториалната цялост на Украйна;</w:t>
      </w:r>
    </w:p>
    <w:p w:rsidR="00C71B48" w:rsidRPr="00125AB6" w:rsidP="00C71B48" w14:paraId="56B8157A" w14:textId="77777777">
      <w:pPr>
        <w:pStyle w:val="NormalHanging12a"/>
      </w:pPr>
      <w:r w:rsidRPr="00125AB6">
        <w:t>7.</w:t>
      </w:r>
      <w:r w:rsidRPr="00125AB6">
        <w:tab/>
        <w:t>решително осъжда незаконното налагане от страна на Руската федерация на окупационна администрация във временно окупираните територии на Украйна, както и извършваното от нея системно незаконно присвояване на публична и частна собственост, разграбването и незаконното преместване на украински културни ценности и културно наследство, разрушаването на икономически дейности и експлоатацията на тези територии за собствените ѝ политически и икономически интереси;</w:t>
      </w:r>
    </w:p>
    <w:p w:rsidR="00C71B48" w:rsidRPr="00125AB6" w:rsidP="00C71B48" w14:paraId="6F1CCB40" w14:textId="77777777">
      <w:pPr>
        <w:pStyle w:val="NormalHanging12a"/>
      </w:pPr>
      <w:r w:rsidRPr="00125AB6">
        <w:t>8.</w:t>
      </w:r>
      <w:r w:rsidRPr="00125AB6">
        <w:tab/>
        <w:t>осъжда решително набирането от страна на Руската федерация на чуждестранни граждани, включително от трети държави, за участие в агресивната ѝ война срещу Украйна, често чрез подвеждащи практики и експлоатация на уязвимото им социално-икономическо положение; подчертава, че подобни практики съставляват трафик на хора и тежки нарушения на правата на човека; призовава ЕС и неговите държави членки, съвместно с международните партньори, да противодействат на тези практики, включително чрез санкции, повишаване на осведомеността и подкрепа за жертвите, и настоятелно призовава третите държави да предотвратяват подобно набиране на хора;</w:t>
      </w:r>
    </w:p>
    <w:p w:rsidR="00C71B48" w:rsidRPr="00125AB6" w:rsidP="00C71B48" w14:paraId="3EAE3F99" w14:textId="77777777">
      <w:pPr>
        <w:pStyle w:val="NormalHanging12a"/>
      </w:pPr>
      <w:r w:rsidRPr="00125AB6">
        <w:t>9.</w:t>
      </w:r>
      <w:r w:rsidRPr="00125AB6">
        <w:tab/>
        <w:t>осъжда нечовешкото отношение към украинските военнопленници от страна на Руската федерация, включващо изтезания и екзекуции и нарушаващо международното хуманитарно право, и призовава за тяхното незабавно и безусловно освобождаване; призовава ЕС, неговите държави членки и международната общност да задълбочат усилията си, включително чрез дипломатически и правни средства, за да гарантират спазването на международното право и да улеснят по-нататъшния обмен на пленници; призовава Международния комитет на Червения кръст да упражни изцяло своя мандат съгласно международното хуманитарно право, като осигури безпрепятствен и редовен достъп до всички места, където биват държани украински военнопленници и цивилни лица, включително задържаните; отбелязва, че Украйна продължава да изпълнява своите задължения по международното право по отношение на третирането на военнопленниците;</w:t>
      </w:r>
    </w:p>
    <w:p w:rsidR="00C71B48" w:rsidRPr="00125AB6" w:rsidP="00C71B48" w14:paraId="3DCAB968" w14:textId="77777777">
      <w:pPr>
        <w:pStyle w:val="NormalHanging12a"/>
      </w:pPr>
      <w:r w:rsidRPr="00125AB6">
        <w:t>10.</w:t>
      </w:r>
      <w:r w:rsidRPr="00125AB6">
        <w:tab/>
        <w:t xml:space="preserve">призовава Комисията и държавите членки значително да увеличат помощта в областта на здравеопазването и да гарантират, че нуждите от рехабилитация са изцяло отразени в рамките на ЕС за оказване на подкрепа; настоятелно призовава Комисията и държавите членки да запазят и при нужда да разширят подкрепата за </w:t>
      </w:r>
      <w:r w:rsidRPr="00125AB6">
        <w:t>украинските бежанци, които в момента са настанени в държавите членки, както и за вътрешно разселените лица в Украйна;</w:t>
      </w:r>
    </w:p>
    <w:p w:rsidR="00C71B48" w:rsidRPr="00125AB6" w:rsidP="00C71B48" w14:paraId="2537A90B" w14:textId="50A5C6C1">
      <w:pPr>
        <w:pStyle w:val="NormalHanging12a"/>
      </w:pPr>
      <w:r w:rsidRPr="00125AB6">
        <w:t>11.</w:t>
      </w:r>
      <w:r w:rsidRPr="00125AB6">
        <w:tab/>
        <w:t xml:space="preserve">призовава ЕС и неговите държави членки да се борят срещу руската дезинформация относно </w:t>
      </w:r>
      <w:r w:rsidRPr="00125AB6" w:rsidR="00125AB6">
        <w:t>нейната агресивна война и процеса на присъединяване на Украйна към ЕС</w:t>
      </w:r>
      <w:r w:rsidRPr="00125AB6">
        <w:t>, като изцяло ограничат дейностите, свързани с контролирани от руската държава медийни организации и техните сътрудници в държавите – членки на ЕС, допълнят съответните списъци с индивидуални санкции, търсят правна отговорност от замесените в държавно направлявана пропаганда, засилват цифровата грамотност, насърчават основаната на факти информация със специално внимание към държавите, които са конкретни цели на руската пропаганда извън Европа, и търсят отговорност от социалните медийни платформи за разпространението на вредно съдържание, прилагайки стриктно Акта за цифровите услуги</w:t>
      </w:r>
      <w:r>
        <w:rPr>
          <w:rStyle w:val="FootnoteReference"/>
        </w:rPr>
        <w:footnoteReference w:id="6"/>
      </w:r>
      <w:r w:rsidRPr="00125AB6">
        <w:t>; </w:t>
      </w:r>
    </w:p>
    <w:p w:rsidR="00C71B48" w:rsidRPr="00125AB6" w:rsidP="00C71B48" w14:paraId="635CD1CD" w14:textId="77777777">
      <w:pPr>
        <w:pStyle w:val="NormalHanging12a"/>
      </w:pPr>
      <w:r w:rsidRPr="00125AB6">
        <w:t>12.</w:t>
      </w:r>
      <w:r w:rsidRPr="00125AB6">
        <w:tab/>
        <w:t>твърдо подчертава неотменимото право на Украйна на самоотбрана в съответствие с член 51 от Устава на ООН, включително правото на Украйна, докато води отбранителни бойни действия, да нанася удари по легитимни цели на територията на агресора Русия; отбелязва с дълбока загриженост намаляването на военната помощ от САЩ с 99% през 2025 г.; поради това приветства инициативата на НАТО за списък с приоритетни изисквания за Украйна, както и мисията на НАТО за помощ и обучение в областта на сигурността за Украйна; приветства водещата роля на ЕС и неговите държави членки като основен доставчик на финансова и военна подкрепа за Украйна, включително чрез инициативите за обучение на военната мисия на ЕС за предоставяне на помощ в подкрепа на Украйна и финансирането и предоставянето на военна подкрепа, например системи за противовъздушна отбрана и способности за удари в дълбочина; призовава ЕС и неговите държави членки да увеличат помощта в защита на правото на Украйна на самоотбрана; подчертава, че достатъчната и предвидима военна помощ, включително достъпът до финансиране за производство на оръжия, подкрепата за подобно производство извън Украйна и сътрудничеството между ЕОТИБ и украинската отбранителна индустрия са от решаващо значение за ефективната съпротива на Украйна срещу руската агресия, особено в контекста на драстично намалената военна помощ от САЩ;</w:t>
      </w:r>
    </w:p>
    <w:p w:rsidR="00C71B48" w:rsidRPr="00125AB6" w:rsidP="00C71B48" w14:paraId="7AE99842" w14:textId="77777777">
      <w:pPr>
        <w:pStyle w:val="NormalHanging12a"/>
      </w:pPr>
      <w:r w:rsidRPr="00125AB6">
        <w:t>13.</w:t>
      </w:r>
      <w:r w:rsidRPr="00125AB6">
        <w:tab/>
        <w:t>отбелязва, че темпът на руското завземане на територии в Украйна се забави през 2026 г., а през април 2026 г. Украйна си върна територии, като същевременно Русия понесе особено големи загуби; изразява убеждение, че Украйна може и трябва да надделее и че изходът от конфликта не е предопределен; счита следователно, че устойчивата и засилена военна подкрепа от страна на ЕС може да окаже решаващо въздействие на бойното поле; призовава държавите членки да действат с по-голяма решителност и спешност, включително като увеличат и ускорят значително доставките и финансирането на оръжия и боеприпаси за Украйна;</w:t>
      </w:r>
    </w:p>
    <w:p w:rsidR="00C71B48" w:rsidRPr="00125AB6" w:rsidP="00C71B48" w14:paraId="6E8326AB" w14:textId="77777777">
      <w:pPr>
        <w:pStyle w:val="NormalHanging12a"/>
      </w:pPr>
      <w:r w:rsidRPr="00125AB6">
        <w:t>14.</w:t>
      </w:r>
      <w:r w:rsidRPr="00125AB6">
        <w:tab/>
        <w:t>по-специално, настоятелно призовава Германия да изпрати на Украйна ракети „</w:t>
      </w:r>
      <w:r w:rsidRPr="00125AB6">
        <w:t>Таурус</w:t>
      </w:r>
      <w:r w:rsidRPr="00125AB6">
        <w:t xml:space="preserve">“ с далечен обсег на действие и призовава другите държави членки </w:t>
      </w:r>
      <w:r w:rsidRPr="00125AB6">
        <w:t>спешно да предоставят на Украйна допълнителни способности за противовъздушна отбрана, включително системи „Пейтриът“, както и ракети за системите „Пейтриът“, SAMP/T, NASAMS, IRIS-T и HAWK;</w:t>
      </w:r>
    </w:p>
    <w:p w:rsidR="00C71B48" w:rsidRPr="00125AB6" w:rsidP="00C71B48" w14:paraId="386F505A" w14:textId="77777777">
      <w:pPr>
        <w:pStyle w:val="NormalHanging12a"/>
      </w:pPr>
      <w:r w:rsidRPr="00125AB6">
        <w:t>15.</w:t>
      </w:r>
      <w:r w:rsidRPr="00125AB6">
        <w:tab/>
        <w:t>приветства международните дипломатически усилия за прекратяване на войната и поздравява Украйна за конструктивния ѝ подход; подчертава обаче, че преговорите за мир трябва да бъдат предшествани от устойчиво спиране на огъня; изтъква, че всеки мир трябва да бъде справедлив и дълготраен и да включва пълно зачитане на суверенитета и териториалната цялост на Украйна; подчертава, че евентуалното мирно споразумение следва да не вреди на украинските и европейските стратегически интереси и да не поставя ограничения върху способността на Украйна да се защитава и да избира в какви съюзи в областта на сигурността и политиката да участва, без Русия да може да налага никакво вето по въпроса; подчертава, че то трябва да се основава на пълно зачитане на принципите на международното право, търсене на отговорност за военните престъпления, престъпленията срещу човечеството и престъплението агресия, както и на руски репарации за огромните щети, причинени в Украйна; подчертава, че подобно споразумение следва да включва ангажимент от страна на Русия незабавно да прекрати хибридната си война срещу ЕС и неговите партньори, включително Украйна, и следва също така да включва връщането на всички отвлечени украински деца и лишени от свобода украински цивилни граждани, както и пълна размяна на военнопленници, включително тленните останки на загиналите войници; подчертава, че всяко такова споразумение трябва да даде твърди и надеждни гаранции за сигурност на Украйна, които да съответстват на равнището, предвидено в член 5 от Договора от Вашингтон и в член 42, параграф 7 от Договора за Европейския съюз още в момента, в който официално свърши войната; отчита, че Украйна счита членството в ЕС за важен елемент от гаранциите за сигурност, особено в светлината на член 42, параграф 7 от Договора за ЕС;</w:t>
      </w:r>
    </w:p>
    <w:p w:rsidR="00C71B48" w:rsidRPr="00125AB6" w:rsidP="00C71B48" w14:paraId="216A6BA2" w14:textId="77777777">
      <w:pPr>
        <w:pStyle w:val="NormalHanging12a"/>
        <w:rPr>
          <w:bCs/>
          <w:iCs/>
        </w:rPr>
      </w:pPr>
      <w:r w:rsidRPr="00125AB6">
        <w:t>16.</w:t>
      </w:r>
      <w:r w:rsidRPr="00125AB6">
        <w:tab/>
        <w:t>отново заявява, че само Украйна може да определи условията на такова мирно споразумение, което да е приемливо за нейния народ; настоява, че нито едно решение по отношение на Украйна не трябва да се взема без участието на Украйна и нито един въпрос, засягащ Европа, не трябва да се решава без участието на Европа; подчертава, че всяко споразумение, имащо за цел да се прекрати агресивната война на Русия срещу Украйна, засяга далеч не само Русия и Украйна и ще има сериозни последици за европейската архитектура за сигурност като цяло; подчертава, че такова споразумение може да бъде постигнато единствено с участието на ЕС и неговите държави членки; призовава Комисията и държавите членки да проучат възможността за назначаване и предоставяне на пълни правомощия на европейски преговарящ на високо равнище, който да представлява ЕС и неговите държави членки в дипломатически преговори с точно определен мандат; призовава Комисията, Европейската служба за външна дейност и Съвета да разработят, в координация с Украйна и в консултация с държавите членки, документ със стратегически сценарий за следвоенната архитектура за сигурност и сътрудничество на европейския континент, който да отразява извлечените поуки от миналото и да съдържа потенциалните параметри на бъдещите отношения с Русия след края на войната, включително въпросите, свързани със сигурността, енергетиката, границите, отговорността и репарациите;</w:t>
      </w:r>
    </w:p>
    <w:p w:rsidR="00C71B48" w:rsidRPr="009051B2" w:rsidP="00C71B48" w14:paraId="0AAFDEA7" w14:textId="77777777">
      <w:pPr>
        <w:pStyle w:val="NormalHanging12a"/>
      </w:pPr>
      <w:r w:rsidRPr="00125AB6">
        <w:t>17.</w:t>
      </w:r>
      <w:r w:rsidRPr="00125AB6">
        <w:tab/>
        <w:t>изразява дълбоко съжаление, че до момента Русия не е показала желание за устойчив мир и използва дипломатическите си контакти със Съединените щати само като част от кампания на психологическа война за подкопаване на международната подкрепа за Украйна; във връзка с това отново заявява необходимостта от увеличаване на натиска върху Русия и осъжда частичното облекчаване на санкциите срещу Русия по решение на Съединените щати, като осъжда и позицията на Съединените щати да обвържат гаранциите за сигурност на САЩ за Украйна с оттеглянето на Украйна от Донбас; припомня, че прякото взаимодействие с Русия без упражняване на съществен натиск, публичният отказ от ключови лостове за влияние, намаляването на военната подкрепа, отказът от допълнителни санкции или премахването на вече въведени такива, изнудването на Украйна да даде преференциален достъп на американски компании при възстановяването и достъп до природни ресурси, както и опитите за принуждаване на Украйна да направи териториални отстъпки и да се откаже от законното си право на самоотбрана, са все елементи на дипломатически подход, обречен на неуспех;</w:t>
      </w:r>
    </w:p>
    <w:p w:rsidR="00125AB6" w:rsidRPr="00125AB6" w:rsidP="00C71B48" w14:paraId="2A97A99E" w14:textId="7A8AB130">
      <w:pPr>
        <w:pStyle w:val="NormalHanging12a"/>
        <w:rPr>
          <w:bCs/>
          <w:iCs/>
        </w:rPr>
      </w:pPr>
      <w:r w:rsidRPr="009051B2">
        <w:rPr>
          <w:bCs/>
          <w:iCs/>
        </w:rPr>
        <w:t>18</w:t>
      </w:r>
      <w:r w:rsidRPr="00125AB6">
        <w:rPr>
          <w:bCs/>
          <w:iCs/>
        </w:rPr>
        <w:t>.</w:t>
      </w:r>
      <w:r w:rsidRPr="00125AB6">
        <w:rPr>
          <w:bCs/>
          <w:iCs/>
        </w:rPr>
        <w:tab/>
        <w:t xml:space="preserve">приветства изявлението на лидерите на Г-7 относно Украйна от юни 2026 г., включително ангажимента за а) подкрепа за новия импулс на бойното поле и неговото ускоряване, включително чрез разглеждане на възможността за разширяване към Украйна на ползите от лицензите, за да се даде възможност за увеличаване на военното производство на Украйна, и б) увеличаване на натиска върху руската военна икономика; призовава ЕС и неговите държави членки да предприемат всички необходими стъпки, за да гарантират практическото прилагане; </w:t>
      </w:r>
    </w:p>
    <w:p w:rsidR="00C71B48" w:rsidRPr="00125AB6" w:rsidP="00C71B48" w14:paraId="17FD5402" w14:textId="02C6A9D7">
      <w:pPr>
        <w:pStyle w:val="NormalHanging12a"/>
        <w:rPr>
          <w:bCs/>
          <w:iCs/>
        </w:rPr>
      </w:pPr>
      <w:r>
        <w:t>19</w:t>
      </w:r>
      <w:r w:rsidRPr="00125AB6">
        <w:t>.</w:t>
      </w:r>
      <w:r w:rsidRPr="00125AB6">
        <w:tab/>
        <w:t>настоява, че ЕС и неговите държави членки заедно с партньорите и съюзниците трябва да допринесат за осигуряването на стабилни и правно обвързващи гаранции за сигурност за Украйна, така че да бъде възпирана по-нататъшна агресия от страна на Русия, които следва да бъдат подкрепени от обвързващи механизми за наблюдение на спазването, систематична координация на помощта и гарантиране на устойчива, дългосрочна подкрепа за суверенитета, териториалната цялост и възстановяването на Украйна; приветства заключенията от срещата на „Коалицията на желаещите“ в Париж на 6 януари 2026 г.; горещо приветства предложението за многонационални сили за сигурност за Украйна и насърчава всички държави – членки на ЕС, да обмислят задълбочено как най-добре могат да подкрепят такива сили; приветства договореността за завършване на политически и правно обвързващ ангажимент за възстановяване на мира и сигурността при бъдещо въоръжено нападение от страна на Русия, както и за ясна рамка за подкрепа за Украйна; отново отправя призив коалиция от желаещи държави – членки на ЕС, да проучи начините за създаване на ръководена от Европа интегрирана отбранителна зона за противовъздушна защита, която би могла да извършва бойни въздушни патрули над неоспорваните части на Украйна, което би спомогнало за защитата на украинското цивилно население от безразборни нападения срещу гражданска инфраструктура, би дало проактивна защита срещу неразрешени руски навлизания във въздушното пространство на ЕС и би променило баланса на силите, за да спомогне за това Русия да бъде принудена да седне на масата за преговори;</w:t>
      </w:r>
    </w:p>
    <w:p w:rsidR="00C71B48" w:rsidRPr="00125AB6" w:rsidP="00C71B48" w14:paraId="6C8C9210" w14:textId="1A6E5AC6">
      <w:pPr>
        <w:pStyle w:val="NormalHanging12a"/>
        <w:rPr>
          <w:bCs/>
          <w:iCs/>
        </w:rPr>
      </w:pPr>
      <w:r>
        <w:t>20</w:t>
      </w:r>
      <w:r w:rsidRPr="00125AB6">
        <w:t>.</w:t>
      </w:r>
      <w:r w:rsidRPr="00125AB6">
        <w:tab/>
        <w:t xml:space="preserve">призовава, с оглед на необходимостта от по-голям натиск върху Русия, за засилени и по-всеобхватни и структурни санкции срещу Русия и нейните съюзници с цел тя да бъде лишена от ресурсите, необходими за финансиране на </w:t>
      </w:r>
      <w:r w:rsidRPr="00125AB6">
        <w:t>нейната военна машина и за поддържане на агресията ѝ срещу Украйна, включително целенасочени индивидуални санкции в рамките на глобалния режим на ЕС на санкции за нарушения на правата на човека (закона „</w:t>
      </w:r>
      <w:r w:rsidRPr="00125AB6">
        <w:t>Магнитски</w:t>
      </w:r>
      <w:r w:rsidRPr="00125AB6">
        <w:t xml:space="preserve">“ на ЕС) срещу лицата, отговорни за тежки нарушения на правата на човека; призовава за по-голямо хармонизиране на списъците със санкции с тези на </w:t>
      </w:r>
      <w:r w:rsidRPr="00125AB6">
        <w:t>единомислещите</w:t>
      </w:r>
      <w:r w:rsidRPr="00125AB6">
        <w:t xml:space="preserve"> партньори; настоятелно призовава да се увеличат административният капацитет и финансовите ресурси за подобряване на съставянето, въвеждането и прилагането на санкциите на ЕС; настоява, че не следва да се отменят  никакви санкции преди да се стигне до договаряне и устойчиво прилагане на мирно споразумение; призовава Съвета и държавите членки да предприемат систематично мерки по въпроса със заобикалянето на санкциите; подчертава, че санкциите оказват явно въздействие върху руската икономика, но отново заявява, че режимът на санкции трябва да бъде по-широк и да се прилага по-строго, за да има необходимия ефект да ограничи средствата на Русия за агресивната ѝ война; поради това призовава за засилване и разширяване на санкциите, насочени към основните източници на приходи на Русия, включително, но не само, секторите на енергетиката, суровините, финансите и транспорта; призовава ЕС и държавите членки да работят в координация за забрана на търговските и стопанските дейности с Русия и Беларус, като обърнат специално внимание на стоки и технологии, които могат да имат двойна употреба, както и да забранят транзита на стоки към и от Съюза през техните територии; призовава за пълна забрана на продуктите от руска стомана</w:t>
      </w:r>
      <w:r w:rsidRPr="009051B2" w:rsidR="00125AB6">
        <w:t xml:space="preserve"> </w:t>
      </w:r>
      <w:r w:rsidRPr="00125AB6" w:rsidR="00125AB6">
        <w:t xml:space="preserve">и на износа на </w:t>
      </w:r>
      <w:r w:rsidRPr="00125AB6" w:rsidR="00125AB6">
        <w:t>диалуминиев</w:t>
      </w:r>
      <w:r w:rsidRPr="00125AB6" w:rsidR="00125AB6">
        <w:t xml:space="preserve"> </w:t>
      </w:r>
      <w:r w:rsidRPr="00125AB6" w:rsidR="00125AB6">
        <w:t>триоксид</w:t>
      </w:r>
      <w:r w:rsidRPr="00125AB6" w:rsidR="00125AB6">
        <w:t xml:space="preserve"> за Русия</w:t>
      </w:r>
      <w:r w:rsidRPr="00125AB6">
        <w:t>;</w:t>
      </w:r>
    </w:p>
    <w:p w:rsidR="00C71B48" w:rsidRPr="00125AB6" w:rsidP="00C71B48" w14:paraId="67CC58A3" w14:textId="169D2438">
      <w:pPr>
        <w:pStyle w:val="NormalHanging12a"/>
        <w:rPr>
          <w:bCs/>
          <w:iCs/>
        </w:rPr>
      </w:pPr>
      <w:r>
        <w:t>21</w:t>
      </w:r>
      <w:r w:rsidRPr="00125AB6">
        <w:t>.</w:t>
      </w:r>
      <w:r w:rsidRPr="00125AB6">
        <w:tab/>
        <w:t>призовава за увеличаване на усилията за пресичане на операциите на руския сенчест флот, които представляват значителен и нарастващ риск за морската безопасност</w:t>
      </w:r>
      <w:r w:rsidRPr="00125AB6" w:rsidR="00125AB6">
        <w:t xml:space="preserve"> </w:t>
      </w:r>
      <w:r w:rsidRPr="009051B2" w:rsidR="00125AB6">
        <w:t>и околната среда</w:t>
      </w:r>
      <w:r w:rsidRPr="00125AB6">
        <w:t>, особено в стратегически жизненоважното Балтийско море</w:t>
      </w:r>
      <w:r w:rsidRPr="00125AB6" w:rsidR="00125AB6">
        <w:t>; във връзка с това призовава за по-тясно сътрудничество между органите в държавите членки около Балтийско море, за да се гарантира ефективното спиране на операциите на сенчестия флот</w:t>
      </w:r>
      <w:r w:rsidRPr="00125AB6">
        <w:t>; настоятелно призовава държавите членки стриктно да спазват законодателството на ЕС и да прекратят целия внос на руски природен газ, включително втечнен, приходите от който системно се използват за финансиране на руската военна машина и подкопават ефективността на санкциите на ЕС и подкрепата на Съюза за Украйна;</w:t>
      </w:r>
    </w:p>
    <w:p w:rsidR="00C71B48" w:rsidRPr="00125AB6" w:rsidP="00C71B48" w14:paraId="2571438D" w14:textId="25832AFF">
      <w:pPr>
        <w:pStyle w:val="NormalHanging12a"/>
        <w:rPr>
          <w:bCs/>
          <w:iCs/>
        </w:rPr>
      </w:pPr>
      <w:bookmarkStart w:id="7" w:name="_Hlk229052168"/>
      <w:r>
        <w:t>22</w:t>
      </w:r>
      <w:r w:rsidRPr="00125AB6">
        <w:t>.</w:t>
      </w:r>
      <w:r w:rsidRPr="00125AB6">
        <w:tab/>
        <w:t>изразява съжаление относно строгите решения, взети от Международния олимпийски комитет и Международния параолимпийски комитет по отношение на свободата на изразяване на украинските спортисти по време на зимните олимпийски и параолимпийски игри в Милано/</w:t>
      </w:r>
      <w:r w:rsidRPr="00125AB6">
        <w:t>Кортина</w:t>
      </w:r>
      <w:r w:rsidRPr="00125AB6">
        <w:t xml:space="preserve"> през 2026 г., както и решението на World </w:t>
      </w:r>
      <w:r w:rsidRPr="00125AB6">
        <w:t>Aquatics</w:t>
      </w:r>
      <w:r w:rsidRPr="00125AB6">
        <w:t xml:space="preserve"> да премахне санкциите срещу руски и беларуски спортисти и решението на Биеналето във Венеция отново да приеме руски творци; подчертава факта, че спортът и културата се използват активно от руския и </w:t>
      </w:r>
      <w:r w:rsidRPr="00125AB6">
        <w:t>беларуския</w:t>
      </w:r>
      <w:r w:rsidRPr="00125AB6">
        <w:t xml:space="preserve"> режим за държавна пропаганда и за подмяна на наратива относно извършителите на тежки нарушения на правата на човека и военни престъпления; изразява солидарност с украинските спортисти, които са дискриминирани, и призовава ЕС и неговите държави членки да гарантират пълното прилагане и изпълнение на европейското право в областта на конкуренцията; призовава да не се позволява издаването на визи за ЕС на руски спортисти и творци, които не се дистанцират от агресивната война на Русия срещу Украйна;</w:t>
      </w:r>
    </w:p>
    <w:bookmarkEnd w:id="7"/>
    <w:p w:rsidR="00C71B48" w:rsidRPr="00125AB6" w:rsidP="00C71B48" w14:paraId="05394601" w14:textId="77777777">
      <w:pPr>
        <w:pStyle w:val="NormalWeb"/>
        <w:rPr>
          <w:b/>
          <w:bCs/>
          <w:i/>
          <w:iCs/>
        </w:rPr>
      </w:pPr>
      <w:r w:rsidRPr="00125AB6">
        <w:rPr>
          <w:b/>
          <w:i/>
        </w:rPr>
        <w:t>II. Дългосрочна финансова подкрепа за Украйна и военни репарации</w:t>
      </w:r>
    </w:p>
    <w:p w:rsidR="00C71B48" w:rsidRPr="00125AB6" w:rsidP="00C71B48" w14:paraId="013F364F" w14:textId="3C44FA32">
      <w:pPr>
        <w:pStyle w:val="NormalWeb"/>
        <w:ind w:left="720" w:hanging="720"/>
      </w:pPr>
      <w:r>
        <w:t>23</w:t>
      </w:r>
      <w:r w:rsidRPr="00125AB6">
        <w:t>.</w:t>
      </w:r>
      <w:r w:rsidRPr="00125AB6">
        <w:tab/>
        <w:t>приветства съобщението на Комисията от януари 2026 г., че ще предостави 90 милиарда евро критична подкрепа за бюджетните и военните нужди на Украйна през двугодишния период 2026 – 2027 г., и приветства необходимата гъвкавост, заложена в пакета в рамките на режима на дерогация, предвиден в член 13, параграф 5 от предложения регламент за създаване на заем за подкрепа на Украйна за 2026 г. и 2027 г.</w:t>
      </w:r>
      <w:r>
        <w:rPr>
          <w:rStyle w:val="FootnoteReference"/>
        </w:rPr>
        <w:footnoteReference w:id="7"/>
      </w:r>
      <w:r w:rsidRPr="00125AB6">
        <w:t>; приветства факта, че Съветът най-накрая разреши безизходното положение, което възпрепятства</w:t>
      </w:r>
      <w:r w:rsidR="00125AB6">
        <w:t>ше</w:t>
      </w:r>
      <w:r w:rsidRPr="00125AB6">
        <w:t xml:space="preserve"> привеждането в действие на заема за подкрепа на Украйна и </w:t>
      </w:r>
      <w:r w:rsidRPr="00125AB6" w:rsidR="00125AB6">
        <w:t xml:space="preserve">деблокирането </w:t>
      </w:r>
      <w:r w:rsidRPr="00125AB6">
        <w:t>на Фонда за помощ за Украйна по линия на Европейския механизъм за подкрепа на мира; призовава правителствата на Унгария, Словакия и Чешката република да преразгледат своите клаузи за неучастие и да се включат в гаранциите по заема;</w:t>
      </w:r>
      <w:r w:rsidR="00125AB6">
        <w:t xml:space="preserve"> </w:t>
      </w:r>
      <w:r w:rsidRPr="00125AB6" w:rsidR="00125AB6">
        <w:t>приветства първия транш от 3,2 милиарда евро по линия на заема за подкрепа на Украйна, който беше изплатен на Украйна на 25 юни 2026 г.;</w:t>
      </w:r>
    </w:p>
    <w:p w:rsidR="00C71B48" w:rsidRPr="00125AB6" w:rsidP="00C71B48" w14:paraId="71133309" w14:textId="3D3F15A0">
      <w:pPr>
        <w:pStyle w:val="NormalWeb"/>
        <w:ind w:left="720" w:hanging="720"/>
        <w:rPr>
          <w:bCs/>
          <w:iCs/>
        </w:rPr>
      </w:pPr>
      <w:r>
        <w:t>24</w:t>
      </w:r>
      <w:r w:rsidRPr="00125AB6">
        <w:t>.</w:t>
      </w:r>
      <w:r w:rsidRPr="00125AB6">
        <w:tab/>
        <w:t xml:space="preserve">призовава Комисията и държавите членки да възприемат по-всеобхватен, дългосрочен и стратегически подход към подкрепата за Украйна, надхвърлящ </w:t>
      </w:r>
      <w:r w:rsidRPr="00125AB6">
        <w:t>ad</w:t>
      </w:r>
      <w:r w:rsidRPr="00125AB6">
        <w:t xml:space="preserve"> </w:t>
      </w:r>
      <w:r w:rsidRPr="00125AB6">
        <w:t>hoc</w:t>
      </w:r>
      <w:r w:rsidRPr="00125AB6">
        <w:t xml:space="preserve"> мерките за помощ; подчертава необходимостта от структурирана и многопластова стратегия на ЕС, в която се съчетава </w:t>
      </w:r>
      <w:r w:rsidRPr="00125AB6">
        <w:t>устойчивa</w:t>
      </w:r>
      <w:r w:rsidRPr="00125AB6">
        <w:t xml:space="preserve"> военна, икономическа и промишлена подкрепа; призовава във връзка с това за значително увеличаване на производствения капацитет на европейската отбранителна промишленост и за създаване на координирани паневропейски механизми за обществени поръчки, за да се гарантира навременната и достатъчна доставка на боеприпаси и оборудване за Украйна;</w:t>
      </w:r>
    </w:p>
    <w:p w:rsidR="00C71B48" w:rsidRPr="00125AB6" w:rsidP="00C71B48" w14:paraId="0899E546" w14:textId="382D5D36">
      <w:pPr>
        <w:pStyle w:val="NormalWeb"/>
        <w:ind w:left="720" w:hanging="720"/>
        <w:rPr>
          <w:bCs/>
          <w:iCs/>
        </w:rPr>
      </w:pPr>
      <w:r>
        <w:t>25</w:t>
      </w:r>
      <w:r w:rsidRPr="00125AB6">
        <w:t>.</w:t>
      </w:r>
      <w:r w:rsidRPr="00125AB6">
        <w:tab/>
        <w:t>отново изразява твърдото си убеждение, че Русия трябва да плати за огромните щети, причинени в Украйна; Подчертава необходимостта от предвидима многогодишна финансова рамка за Украйна, която да помогне на страната да покрива разходите за възстановяване и отбрана по време на руската агресия, без ежегодна несигурност; изразява съжаление, че Комисията и Съветът не постигнаха съгласие по предложението на Комисията за репарационен заем</w:t>
      </w:r>
      <w:r>
        <w:rPr>
          <w:rStyle w:val="FootnoteReference"/>
          <w:bCs/>
          <w:iCs/>
        </w:rPr>
        <w:footnoteReference w:id="8"/>
      </w:r>
      <w:r w:rsidRPr="00125AB6">
        <w:t>, като се използват паричните салда, свързани с руските държавни активи, и приветства призивите на Съвета към Комисията да продължи да работи по техническите и правните аспекти на инструментите за създаване на репарационен заем въз основа на паричните салда, свързани с блокираните активи на Русия, за да се плати за отбраната на Украйна, за нейното възстановяване, както и репарациите; потвърждава необходимостта от прехвърляне на тези блокирани активи към изрично създаден субект със специална цел;</w:t>
      </w:r>
    </w:p>
    <w:p w:rsidR="00C71B48" w:rsidRPr="00125AB6" w:rsidP="00C71B48" w14:paraId="12FD56F8" w14:textId="3F5DC266">
      <w:pPr>
        <w:pStyle w:val="NormalWeb"/>
        <w:ind w:left="720" w:hanging="720"/>
        <w:rPr>
          <w:bCs/>
          <w:iCs/>
        </w:rPr>
      </w:pPr>
      <w:r>
        <w:t>26</w:t>
      </w:r>
      <w:r w:rsidRPr="00125AB6">
        <w:t>.</w:t>
      </w:r>
      <w:r w:rsidRPr="00125AB6">
        <w:tab/>
        <w:t xml:space="preserve">приветства споразумението относно Конвенцията за създаване на международна комисия за исковете за Украйна и настоятелно призовава за бързото ѝ ратифициране; приветства предложението на Комисията да започне процедурата Европейският съюз да стане учредителен член на Специалния трибунал за </w:t>
      </w:r>
      <w:r w:rsidRPr="00125AB6">
        <w:t xml:space="preserve">престъплението агресия срещу Украйна, като стъпка към гарантиране на отговорност за престъплението агресия и подкрепа на усилията за международно правосъдие; призовава за по-силна подкрепа от страна на ЕС за събирането и съхраняването на доказателства за военните престъпления на Русия в Украйна, включително за значително увеличаване на финансовата, техническата и съдебно-медицинската помощ за украинските прокурори и разследващи органи; </w:t>
      </w:r>
    </w:p>
    <w:p w:rsidR="00C71B48" w:rsidRPr="00125AB6" w:rsidP="00C71B48" w14:paraId="1BFE25D6" w14:textId="77777777">
      <w:pPr>
        <w:pStyle w:val="Normal12a"/>
        <w:rPr>
          <w:i/>
          <w:iCs/>
        </w:rPr>
      </w:pPr>
      <w:r w:rsidRPr="00125AB6">
        <w:rPr>
          <w:b/>
          <w:i/>
        </w:rPr>
        <w:t xml:space="preserve">III. Ангажимент за присъединяване към ЕС и преговори за присъединяване </w:t>
      </w:r>
    </w:p>
    <w:p w:rsidR="00C71B48" w:rsidRPr="00125AB6" w:rsidP="00C71B48" w14:paraId="7FFE4FFD" w14:textId="0AF79E79">
      <w:pPr>
        <w:pStyle w:val="NormalHanging12a"/>
      </w:pPr>
      <w:r>
        <w:t>27</w:t>
      </w:r>
      <w:r w:rsidRPr="00125AB6">
        <w:t>.</w:t>
      </w:r>
      <w:r w:rsidRPr="00125AB6">
        <w:tab/>
        <w:t>горещо приветства, че Украйна продължава да бъде ангажирана с изпълнението на изискванията за членство в ЕС, както и способността ѝ да постига напредък по пътя на присъединяването към ЕС; подчертава, че постиженията на Украйна трябва винаги да се разглеждат в контекста на продължаващата агресивна война на Русия и нейното отрицателно въздействие върху демократичните процеси и публичната администрация на Украйна;</w:t>
      </w:r>
      <w:r w:rsidRPr="00125AB6">
        <w:rPr>
          <w:b/>
          <w:i/>
        </w:rPr>
        <w:t xml:space="preserve"> </w:t>
      </w:r>
    </w:p>
    <w:p w:rsidR="00C71B48" w:rsidRPr="00125AB6" w:rsidP="00C71B48" w14:paraId="5A4FA787" w14:textId="58872C25">
      <w:pPr>
        <w:pStyle w:val="NormalHanging12a"/>
      </w:pPr>
      <w:r>
        <w:t>28</w:t>
      </w:r>
      <w:r w:rsidRPr="00125AB6">
        <w:t>.</w:t>
      </w:r>
      <w:r w:rsidRPr="00125AB6">
        <w:tab/>
        <w:t>потвърждава отново, че въпреки че процесът на разширяване на ЕС трябва да остане строго основан на заслуги, обективен и основан на критериите от Копенхаген и условията на рамката за разширяване, разширяването представлява взаимноизгодна геостратегическа инвестиция в мира, стабилността и сигурността на европейския континент, както и морално задължение; поради това подчертава, че бъдещето на Украйна е в ЕС, и признава европейската интеграция на Украйна като стратегически приоритет за Съюза;</w:t>
      </w:r>
    </w:p>
    <w:p w:rsidR="00C71B48" w:rsidRPr="00125AB6" w:rsidP="00C71B48" w14:paraId="3CDAC162" w14:textId="54B57D61">
      <w:pPr>
        <w:pStyle w:val="NormalHanging12a"/>
      </w:pPr>
      <w:r>
        <w:t>29</w:t>
      </w:r>
      <w:r w:rsidRPr="00125AB6">
        <w:t>.</w:t>
      </w:r>
      <w:r w:rsidRPr="00125AB6">
        <w:tab/>
        <w:t>приветства приемането на Националната програма на Украйна за адаптиране на украинското законодателство към правото на Европейския съюз като ключов инструмент за структурирано и прозрачно планиране на процеса на привеждане на законодателството в съответствие, включително амбициозния ѝ график за приключване на всички необходими стъпки, за да покрие критериите до края на 2027 г.;</w:t>
      </w:r>
    </w:p>
    <w:p w:rsidR="00C71B48" w:rsidRPr="00125AB6" w:rsidP="00C71B48" w14:paraId="2F399030" w14:textId="5197C855">
      <w:pPr>
        <w:pStyle w:val="NormalHanging12a"/>
      </w:pPr>
      <w:r>
        <w:t>30</w:t>
      </w:r>
      <w:r w:rsidRPr="00125AB6">
        <w:t>.</w:t>
      </w:r>
      <w:r w:rsidRPr="00125AB6">
        <w:tab/>
        <w:t>приветства приключването на процеса на скрининг за всички клъстери, като отбелязва оценките на Комисията и Съвета, че Украйна е постигнала съществен напредък към отварянето на преговорни клъстери; приветства поканата на Европейския съвет от март 2026 г. към Съвета да отвори без забавяне всички преговорни клъстери и призовава Съвета да действа незабавно, за да предприеме последващи действия във връзка с това решение като започне с клъстера за основополагащите елементи; междувременно приветства решението на Комисията и на кипърското председателство на Съвета да продължат преговорите на техническо равнище, докато се очаква започването на преговорите в бъдеще;</w:t>
      </w:r>
    </w:p>
    <w:p w:rsidR="00C71B48" w:rsidRPr="00125AB6" w:rsidP="00C71B48" w14:paraId="4E5D5522" w14:textId="46ED3367">
      <w:pPr>
        <w:pStyle w:val="NormalHanging12a"/>
      </w:pPr>
      <w:r>
        <w:t>31</w:t>
      </w:r>
      <w:r w:rsidRPr="00125AB6">
        <w:t>.</w:t>
      </w:r>
      <w:r w:rsidRPr="00125AB6">
        <w:tab/>
        <w:t>призовава настоятелно всички държави членки, и по-специално новото унгарско правителство, да спрат да налагат вето върху отварянето на преговорни клъстери и да престанат да използват перспективата за членство на Украйна в ЕС в националните си политики и политически кампании;</w:t>
      </w:r>
      <w:r w:rsidR="00125AB6">
        <w:t xml:space="preserve"> </w:t>
      </w:r>
      <w:r w:rsidRPr="00125AB6" w:rsidR="00125AB6">
        <w:t>приветства отварянето на първия основен клъстер от преговорите за присъединяване и очаква същото да се случи и по отношение на следващите клъстери</w:t>
      </w:r>
      <w:r w:rsidR="00125AB6">
        <w:t>;</w:t>
      </w:r>
    </w:p>
    <w:p w:rsidR="00C71B48" w:rsidRPr="00125AB6" w:rsidP="00C71B48" w14:paraId="6D97CF11" w14:textId="14D9DE0C">
      <w:pPr>
        <w:pStyle w:val="NormalHanging12a"/>
      </w:pPr>
      <w:r>
        <w:t>32</w:t>
      </w:r>
      <w:r w:rsidRPr="00125AB6">
        <w:t>.</w:t>
      </w:r>
      <w:r w:rsidRPr="00125AB6">
        <w:tab/>
        <w:t xml:space="preserve">съзнава, че потенциалното присъединяване на Украйна към Съюза ще има значително отражение върху бюджета; изтъква обаче, че по-голямата част от разходите за възстановяване се очаква да бъдат покрити от източници, различни </w:t>
      </w:r>
      <w:r w:rsidRPr="00125AB6">
        <w:t>от бюджета на ЕС и ще изисква, освен огромните национални усилия, принос от международни финансови институции, частни инвестиции и държави партньори; подчертава значението на запазването и по-нататъшното укрепване на обществената подкрепа в държавите членки и в Украйна за процеса на разширяване и за присъединяването на Украйна, за което се изисква целенасочена, основана на факти комуникация на равнището на ЕС и на национално равнище, включително какви мерки да бъдат взети с оглед на легитимните опасения за въздействието върху определени икономически сектори и политиките на ЕС, например общата селскостопанска политика;</w:t>
      </w:r>
    </w:p>
    <w:p w:rsidR="00C71B48" w:rsidP="00C71B48" w14:paraId="73EFB795" w14:textId="05282DDB">
      <w:pPr>
        <w:pStyle w:val="NormalHanging12a"/>
      </w:pPr>
      <w:r>
        <w:t>33</w:t>
      </w:r>
      <w:r w:rsidRPr="00125AB6">
        <w:t>.</w:t>
      </w:r>
      <w:r w:rsidRPr="00125AB6">
        <w:tab/>
        <w:t xml:space="preserve">призовава Съвета, Комисията и държавите членки да проявят максимално иновативно мислене, за да гарантират, че обсъжданията относно членството на Украйна в ЕС няма да се превърнат в отрицателен фактор при мирните преговори, за други присъединяващи се държави или за вътрешната политика на Украйна; </w:t>
      </w:r>
      <w:r w:rsidRPr="00125AB6" w:rsidR="00125AB6">
        <w:t xml:space="preserve">призовава държавите членки да се ангажират активно и конструктивно в обсъждането на предложения, насочени към постигане на напредък в европейската интеграция на Украйна, като същевременно се отразяват стратегическите интереси на ЕС, взема се предвид динамиката в държавите, които са кандидатки за присъединяване, включително опитите на Русия да подкопае обществената подкрепа за разширяването и присъединяването към ЕС, и се постига напредък по отношение на бъдещата сигурност на Украйна и на европейския континент; </w:t>
      </w:r>
      <w:r w:rsidRPr="00125AB6">
        <w:t>повтаря призива си да се повиши капацитетът на ЕС да действа посредством опростяване на процесите на вземане на решения, например като се въведе гласуване с квалифицирано мнозинство на междинните етапи от процеса на разширяване при вземането на решения за отварянето и затварянето на отделни преговорни клъстери и глави в пълно съответствие с Договорите;</w:t>
      </w:r>
    </w:p>
    <w:p w:rsidR="00125AB6" w:rsidRPr="00125AB6" w:rsidP="00C71B48" w14:paraId="65E04754" w14:textId="5685D5E1">
      <w:pPr>
        <w:pStyle w:val="NormalHanging12a"/>
      </w:pPr>
      <w:r>
        <w:t>34</w:t>
      </w:r>
      <w:r w:rsidRPr="00125AB6">
        <w:t>.</w:t>
      </w:r>
      <w:r w:rsidRPr="00125AB6">
        <w:tab/>
        <w:t xml:space="preserve">припомня вече приетата си позиция относно Волинското клане; изразява съжаление относно неотдавнашната ненужна и </w:t>
      </w:r>
      <w:r w:rsidRPr="00125AB6">
        <w:t>непровокирана</w:t>
      </w:r>
      <w:r w:rsidRPr="00125AB6">
        <w:t xml:space="preserve"> ескалация от страна на президента Володимир </w:t>
      </w:r>
      <w:r w:rsidRPr="00125AB6">
        <w:t>Зеленски</w:t>
      </w:r>
      <w:r w:rsidRPr="00125AB6">
        <w:t xml:space="preserve"> чрез преименуване на елитно военно подразделение от Въоръжените сили на Украйна на името на героите на Украинската въстаническа армия (УПА); изразява съжаление относно незачитането на чувствителните за поляците аспекти и тяхната скръб, свързани с многото десетки хиляди (според преценките) жертви на УПА и техните семейства, особено с оглед на твърдата подкрепа на Полша за борбата на Украйна срещу руската агресия; счита, че това решение подронва съседските отношения и предишните усилия за справяне с нерешените и болезнени аспекти на двустранните исторически отношения в дух на истинско и искрено помирение и не отговаря на европейските ценности; призовава за намаляване на напрежението и за добросъвестно подновяване на усилията за помирение;</w:t>
      </w:r>
    </w:p>
    <w:p w:rsidR="00C71B48" w:rsidRPr="00125AB6" w:rsidP="00C71B48" w14:paraId="4E62CB6F" w14:textId="7173E693">
      <w:pPr>
        <w:pStyle w:val="NormalHanging12a"/>
      </w:pPr>
      <w:r>
        <w:t>35</w:t>
      </w:r>
      <w:r w:rsidRPr="00125AB6">
        <w:t>.</w:t>
      </w:r>
      <w:r w:rsidRPr="00125AB6">
        <w:tab/>
        <w:t>счита, че политиката на сътрудничество и ориентираност към бъдещето на Украйна по отношение на съседните държави, включително разрешаването на двустранни спорове и историческия диалог, допринася за напредъка в процеса на присъединяване, и подчертава, че с процеса на присъединяване не следва да се злоупотребява, така че да се възпрепятства основаният на заслуги напредък по европейския път или за да останат на заден план по-широките стратегически интереси на Съюза, и че тези въпроси трябва по-скоро да се решават чрез открит диалог и истинско сътрудничество;</w:t>
      </w:r>
    </w:p>
    <w:p w:rsidR="00C71B48" w:rsidRPr="00125AB6" w:rsidP="00C71B48" w14:paraId="3F23485A" w14:textId="77777777">
      <w:pPr>
        <w:pStyle w:val="Normal12a"/>
        <w:rPr>
          <w:bCs/>
          <w:i/>
          <w:iCs/>
        </w:rPr>
      </w:pPr>
      <w:r w:rsidRPr="00125AB6">
        <w:rPr>
          <w:b/>
          <w:i/>
        </w:rPr>
        <w:t>IV. Демокрация и демократични институции</w:t>
      </w:r>
      <w:r w:rsidRPr="00125AB6">
        <w:rPr>
          <w:i/>
        </w:rPr>
        <w:t xml:space="preserve"> </w:t>
      </w:r>
    </w:p>
    <w:p w:rsidR="00C71B48" w:rsidRPr="00125AB6" w:rsidP="00C71B48" w14:paraId="479B752B" w14:textId="06618234">
      <w:pPr>
        <w:pStyle w:val="NormalHanging12a"/>
      </w:pPr>
      <w:r>
        <w:t>36</w:t>
      </w:r>
      <w:r w:rsidRPr="00125AB6">
        <w:t>.</w:t>
      </w:r>
      <w:r w:rsidRPr="00125AB6">
        <w:tab/>
        <w:t>приветства извънредните усилия на Украйна да укрепи демократичните институции по време на война; изразява загриженост обаче във връзка с неотдавнашното влошаване на отношенията между законодателната и изпълнителната власт; настоятелно призовава всички заинтересовани страни да възстановят продуктивните отношения между правителството и Върховната рада и призовава всички политически участници в Украйна, по-специално тези, които понастоящем са на власт, да насърчават политическото единство и съгласуваното и приобщаващо изготвяне на политики, като настоятелно призовава политическите сили на Украйна да останат единни по отношение на отбраната на страната и нейната интеграция в ЕС; призовава изрично украинските органи да спазват принципа на разделение на властите, многопартиен плурализъм и приобщаване, да гарантират надлежно зачитане на правомощията и правата на местните органи и местните органи на самоуправление, да съблюдават принципите на правовата държава и основните свободи, включително медийния плурализъм, в съответствие с демократичните принципи и ценности, които украинците защитават толкова решително и смело; призовава институциите на ЕС да задълбочат взаимодействието си с Върховната рада;</w:t>
      </w:r>
    </w:p>
    <w:p w:rsidR="00C71B48" w:rsidRPr="00125AB6" w:rsidP="00C71B48" w14:paraId="31EACF9C" w14:textId="65CCAE79">
      <w:pPr>
        <w:pStyle w:val="NormalHanging12a"/>
        <w:rPr>
          <w:bCs/>
          <w:iCs/>
        </w:rPr>
      </w:pPr>
      <w:r>
        <w:t>37</w:t>
      </w:r>
      <w:r w:rsidRPr="00125AB6">
        <w:t>.</w:t>
      </w:r>
      <w:r w:rsidRPr="00125AB6">
        <w:tab/>
        <w:t>повтаря ключовото значение на вътрешното политическо единство като основен стълб на дългосрочната устойчивост на Украйна срещу продължаващата агресия на Руската федерация; освен това отново повтаря колко е важно да се поддържа парламентарният плурализъм като крайъгълен камък на демократичното управление; подчертава необходимостта от конструктивно и съдържателно сътрудничество между всички парламентарни политически сили, представени във Върховната рада, за да се укрепи политическата, военната, икономическата и социалната устойчивост, както и за да се изпълнят критериите за присъединяване към ЕС;</w:t>
      </w:r>
    </w:p>
    <w:p w:rsidR="00C71B48" w:rsidRPr="00125AB6" w:rsidP="00C71B48" w14:paraId="182B571C" w14:textId="784E50E3">
      <w:pPr>
        <w:pStyle w:val="NormalHanging12a"/>
      </w:pPr>
      <w:r>
        <w:t>38</w:t>
      </w:r>
      <w:r w:rsidRPr="00125AB6">
        <w:t>.</w:t>
      </w:r>
      <w:r w:rsidRPr="00125AB6">
        <w:tab/>
        <w:t>повтаря отново ключовата роля на Върховната рада за навременното приемане на реформите; подчертава значението на зачитането и укрепването на институционалната роля на Върховната рада и подкрепя продължаващите усилия за реформи с цел подобряване на нейния капацитет в областта на законодателството, контрола върху изпълнителната власт и отчетността пред обществеността; изразява загриженост във връзка със забавянията при приемането на такива закони и призовава Върховната рада и членовете ѝ да установят ускорена процедура за бързото им приемане, като същевременно спазват парламентарния контрол върху законодателните предложения;</w:t>
      </w:r>
    </w:p>
    <w:p w:rsidR="00C71B48" w:rsidRPr="00125AB6" w:rsidP="00C71B48" w14:paraId="51B992EE" w14:textId="6F821B1C">
      <w:pPr>
        <w:pStyle w:val="NormalHanging12a"/>
      </w:pPr>
      <w:r>
        <w:t>39</w:t>
      </w:r>
      <w:r w:rsidRPr="00125AB6">
        <w:t>.</w:t>
      </w:r>
      <w:r w:rsidRPr="00125AB6">
        <w:tab/>
        <w:t>призовава настоятелно правителството на Украйна и опозицията активно да търсят начини и практически механизми, включително чрез проучване на нови подходи за широко политическо сътрудничество, за да работят заедно за напредъка на европейските реформи по пътя на Украйна към членство в ЕС; припомня своята загриженост във връзка с ограниченията върху пътуванията в чужбина на членове на Върховната рада на Украйна и отново отправя препоръката си ограниченията за пътуване в чужбина да бъдат премахнати за членове на парламента, когато тези пътувания са свързани с изпълнението на техния мандат и политически пътувания; препоръчва укрепване на законодателния капацитет на Върховната рада, за да бъде разработено по-качествено законодателство и да се противодейства на т.нар. „законодателен спам“, при който по една и съща тема се внасят множество паралелни законопроекти с ниско качество;</w:t>
      </w:r>
    </w:p>
    <w:p w:rsidR="00C71B48" w:rsidP="00C71B48" w14:paraId="5746926B" w14:textId="6D56EABE">
      <w:pPr>
        <w:pStyle w:val="NormalHanging12a"/>
      </w:pPr>
      <w:r>
        <w:t>40</w:t>
      </w:r>
      <w:r w:rsidRPr="00125AB6">
        <w:t>.</w:t>
      </w:r>
      <w:r w:rsidRPr="00125AB6">
        <w:tab/>
        <w:t xml:space="preserve">приветства продължаващото участие на Украйна в Източното партньорство и Парламентарната асамблея </w:t>
      </w:r>
      <w:r w:rsidRPr="00125AB6">
        <w:t>Евронест</w:t>
      </w:r>
      <w:r w:rsidRPr="00125AB6">
        <w:t>; приветства участието на представители на опозицията от Върховната рада в нейните заседания;</w:t>
      </w:r>
    </w:p>
    <w:p w:rsidR="00125AB6" w:rsidRPr="00125AB6" w:rsidP="00C71B48" w14:paraId="13613412" w14:textId="2B6E2018">
      <w:pPr>
        <w:pStyle w:val="NormalHanging12a"/>
      </w:pPr>
      <w:r>
        <w:t>41</w:t>
      </w:r>
      <w:r w:rsidRPr="004C6FF0" w:rsidR="004C6FF0">
        <w:t>.</w:t>
      </w:r>
      <w:r w:rsidRPr="004C6FF0" w:rsidR="004C6FF0">
        <w:tab/>
        <w:t>подчертава, че е важно да се насърчава конструктивна политическа култура и да се стимулира основаното на доверие сътрудничество между политическите партии в Украйна; отбелязва активното участие на украински парламентаристи в диалога „Жан Моне“ за мир и демокрация с Върховната рада на Украйна, като тази година се навършват 10 години от стартирането му през октомври 2016 г.; приветства този формат като устойчив и конструктивен инструмент за междупартиен диалог, който е помагал на ръководството и на всички парламентарни фракции и групи във Върховната рада да изградят консенсус относно институционалните реформи; насърчава Върховната рада да свика допълнителен кръг за консолидиране на реформите, необходими за процеса на присъединяване на Украйна;</w:t>
      </w:r>
    </w:p>
    <w:p w:rsidR="00C71B48" w:rsidRPr="00125AB6" w:rsidP="00C71B48" w14:paraId="496C0A88" w14:textId="3A7878AE">
      <w:pPr>
        <w:pStyle w:val="NormalHanging12a"/>
      </w:pPr>
      <w:r>
        <w:t>42</w:t>
      </w:r>
      <w:r w:rsidRPr="00125AB6">
        <w:t>.</w:t>
      </w:r>
      <w:r w:rsidRPr="00125AB6">
        <w:tab/>
        <w:t>признава изключителните усилия на Украйна, положени за подготовка на демократични избори, които да се проведат след отмяната на военното положение, и настоява да се предвиди подходящо време, за да се покрият необходимите стандарти и условия за свободни и честни избори; припомня, че в съответствие с широко признатите демократични принципи и конституцията на Украйна изборите не могат да се провеждат по време на война и при военно положение и че за тяхното осъществяване като цяло са необходими условия на безопасност и достатъчно време за подготовка и достъп до информация, за да се спазят международните стандарти; поради това счита, че натискът на администрацията на САЩ върху Украйна за провеждане на избори, докато агресивната война на Русия продължава и страната е в състояние на военно положение, е неподходящ, и счита, че това не обслужва целта за демократична легитимност;</w:t>
      </w:r>
    </w:p>
    <w:p w:rsidR="00C71B48" w:rsidRPr="00125AB6" w:rsidP="00C71B48" w14:paraId="50DCE051" w14:textId="3ABA7637">
      <w:pPr>
        <w:pStyle w:val="NormalHanging12a"/>
      </w:pPr>
      <w:r>
        <w:t>43</w:t>
      </w:r>
      <w:r w:rsidRPr="00125AB6">
        <w:t>.</w:t>
      </w:r>
      <w:r w:rsidRPr="00125AB6">
        <w:tab/>
        <w:t>признава важната дейност на работните групи, създадени от Върховната рада, за изготвяне на изборно законодателство за първите избори след войната; призовава ЕС и неговите държави членки да предоставят помощ за реформирането на украинското изборно законодателство, включително чрез премахване на пречките, възпрепятстващи принудително разселените лица да участват в парламентарни и президентски избори, както и да предоставят финансова подкрепа, по-специално за организирането на гласуването извън територията на Украйна; препоръчва Европейският съюз да подкрепи изцяло и да подготви дългосрочна международна мисия за наблюдение на изборите;</w:t>
      </w:r>
    </w:p>
    <w:p w:rsidR="00C71B48" w:rsidRPr="00125AB6" w:rsidP="00C71B48" w14:paraId="44966642" w14:textId="1E55EF01">
      <w:pPr>
        <w:pStyle w:val="NormalHanging12a"/>
      </w:pPr>
      <w:r>
        <w:t>44</w:t>
      </w:r>
      <w:r w:rsidRPr="00125AB6">
        <w:t>.</w:t>
      </w:r>
      <w:r w:rsidRPr="00125AB6">
        <w:tab/>
        <w:t>припомня, че агресивната война на Русия се води и в информационната сфера и остро осъжда опитите на Русия да делегитимира украинските институции; подчертава, че когнитивната война на Русия е насочена към подкопаване на обществената подкрепа за Украйна в европейските демокрации, включително като се подкрепят различни политически партии; поради това настоява Украйна да получи помощ от ЕС за противодействие на чуждестранното манипулиране на информация и вмешателство по време на следвоенните си избори, подобно на помощта, предоставяна на Република Молдова, и настоятелно призовава Украйна и ЕС да обединят силите си за тази цел;</w:t>
      </w:r>
    </w:p>
    <w:p w:rsidR="00C71B48" w:rsidRPr="00125AB6" w:rsidP="00C71B48" w14:paraId="58DDBBDB" w14:textId="61BEB6BA">
      <w:pPr>
        <w:pStyle w:val="NormalHanging12a"/>
      </w:pPr>
      <w:r>
        <w:t>45</w:t>
      </w:r>
      <w:r w:rsidRPr="00125AB6">
        <w:t>.</w:t>
      </w:r>
      <w:r w:rsidRPr="00125AB6">
        <w:tab/>
        <w:t xml:space="preserve">приветства възстановяването на излъчването на парламентарните заседания, което укрепва демократичната легитимност на Украйна; признава предизвикателствата, </w:t>
      </w:r>
      <w:r w:rsidRPr="00125AB6">
        <w:t>свързани с поддържането на плуралистична медийна среда в условията на война; подчертава, че ограниченията, въведени при такива извънредни обстоятелства, не са с постоянен характер и следва редовно да бъдат преразглеждани и, когато е целесъобразно и възможно, адаптирани в зависимост от развитието на ситуацията; подчертава, че продължителността на войната сама по себе си не оправдава неопределеното продължаване на ограниченията и че с укрепването на устойчивостта на Украйна тези мерки следва постепенно да бъдат облекчавани, като се запазват единствено мерките, които са строго необходими и пропорционални на съображенията за национална сигурност;</w:t>
      </w:r>
    </w:p>
    <w:p w:rsidR="00C71B48" w:rsidRPr="00125AB6" w:rsidP="00C71B48" w14:paraId="4D7C9E25" w14:textId="77777777">
      <w:pPr>
        <w:pStyle w:val="NormalHanging12a"/>
        <w:rPr>
          <w:b/>
          <w:bCs/>
          <w:i/>
          <w:iCs/>
        </w:rPr>
      </w:pPr>
      <w:r w:rsidRPr="00125AB6">
        <w:rPr>
          <w:b/>
          <w:i/>
        </w:rPr>
        <w:t>V. Принципи на правовата държава и съдебна реформа</w:t>
      </w:r>
    </w:p>
    <w:p w:rsidR="00C71B48" w:rsidRPr="00125AB6" w:rsidP="00C71B48" w14:paraId="40CBC643" w14:textId="6C74F4B4">
      <w:pPr>
        <w:pStyle w:val="NormalHanging12a"/>
      </w:pPr>
      <w:r>
        <w:t>46</w:t>
      </w:r>
      <w:r w:rsidRPr="00125AB6">
        <w:t>.</w:t>
      </w:r>
      <w:r w:rsidRPr="00125AB6">
        <w:tab/>
        <w:t>приветства приемането на плана от 10 точки с приоритети за реформи (т.нар. план Кос-</w:t>
      </w:r>
      <w:r w:rsidRPr="00125AB6">
        <w:t>Качка</w:t>
      </w:r>
      <w:r w:rsidRPr="00125AB6">
        <w:t>), договорен между ЕС и Украйна през декември 2025 г., като важна стъпка към укрепване на принципите на правовата държава, постигане на напредък в съдебната реформа и увеличаване на усилията за борба с корупцията; приветства продължаващата работа по изпълнението на плана и насърчава Украйна да постигне конкретни резултати във възможно най-кратък срок, като придвижи ключовите реформи отвъд етапите на обсъждане или работни групи;</w:t>
      </w:r>
      <w:r w:rsidR="004C6FF0">
        <w:t xml:space="preserve"> </w:t>
      </w:r>
      <w:r w:rsidRPr="004C6FF0" w:rsidR="004C6FF0">
        <w:t>подчертава, че равнището на изпълнение на плана в средата на 2026 г. на равнище от приблизително 15%, измерено от украинската общност на мозъчните тръстове, следва да се счита за незадоволително за Украйна;</w:t>
      </w:r>
    </w:p>
    <w:p w:rsidR="00C71B48" w:rsidRPr="00125AB6" w:rsidP="00C71B48" w14:paraId="6481C37E" w14:textId="5DDC9640">
      <w:pPr>
        <w:pStyle w:val="NormalHanging12a"/>
      </w:pPr>
      <w:r>
        <w:t>47</w:t>
      </w:r>
      <w:r w:rsidRPr="00125AB6">
        <w:t>.</w:t>
      </w:r>
      <w:r w:rsidRPr="00125AB6">
        <w:tab/>
        <w:t>подчертава значението на своевременното и цялостно прилагане на реформите, включително чрез ясно определени етапни цели, измерими показатели и ефективни механизми за мониторинг; изразява загриженост относно ограничения напредък в някои приоритетни области и настоятелно призовава украинските органи да ускорят изпълнението въз основа на ясни критерии и устойчив политически ангажимент, тъй като навременното, надеждно и ефективно изпълнение ще бъде от съществено значение за укрепването на демократичната устойчивост на Украйна и за постигането на напредък в процеса на присъединяването ѝ към ЕС;</w:t>
      </w:r>
    </w:p>
    <w:p w:rsidR="00C71B48" w:rsidRPr="00125AB6" w:rsidP="00C71B48" w14:paraId="613599BB" w14:textId="727CEEA3">
      <w:pPr>
        <w:pStyle w:val="NormalHanging12a"/>
      </w:pPr>
      <w:r>
        <w:t>48</w:t>
      </w:r>
      <w:r w:rsidRPr="00125AB6">
        <w:t>.</w:t>
      </w:r>
      <w:r w:rsidRPr="00125AB6">
        <w:tab/>
        <w:t xml:space="preserve">приветства създаването на водещата инициатива Ukraine2EU, която беше инициирана от ЕС, Литва и Дания, към която по-късно се присъединиха Швеция, Ирландия и Полша и която предоставя целенасочена помощ на украинските държавни институции в процеса на изпълнение на стъпките за присъединяване към ЕС и подготовката за членство; подчертава значението на проекти за техническа помощ като настоящия и призовава те да бъдат постоянно подкрепяни и в тях да участват повече държави членки; също така отправя похвала за усилията на организациите на гражданското общество да наблюдават изпълнението и да подпомагат по-нататъшния напредък на реформите; </w:t>
      </w:r>
    </w:p>
    <w:p w:rsidR="00C71B48" w:rsidRPr="00125AB6" w:rsidP="00C71B48" w14:paraId="6057766B" w14:textId="3DDBD7CE">
      <w:pPr>
        <w:pStyle w:val="NormalHanging12a"/>
      </w:pPr>
      <w:r>
        <w:t>49</w:t>
      </w:r>
      <w:r w:rsidRPr="00125AB6">
        <w:t>.</w:t>
      </w:r>
      <w:r w:rsidRPr="00125AB6">
        <w:tab/>
        <w:t xml:space="preserve">приветства напредъка на Украйна в съдебната реформа и борбата с корупцията и признава, че този напредък се осъществява под извънредния натиск на войната; призовава за устойчив и ускорен напредък в тези критични области, тъй като силните принципи на правовата държава дават възможност за прозрачност и отчетност в процесите на реконструкция и икономическо възстановяване и подобряват инвестиционния климат и доверието на международните партньори; приветства изпълнението на пътната карта за принципите на правовата държава, приета през май 2025 г., и подчертава, че този напредък е пряко свързан с повишаването на общественото доверие в държавните институции; </w:t>
      </w:r>
    </w:p>
    <w:p w:rsidR="00C71B48" w:rsidRPr="00125AB6" w:rsidP="00C71B48" w14:paraId="1666DEC2" w14:textId="35F2C597">
      <w:pPr>
        <w:pStyle w:val="NormalHanging12a"/>
      </w:pPr>
      <w:r>
        <w:t>50</w:t>
      </w:r>
      <w:r w:rsidRPr="00125AB6">
        <w:t>.</w:t>
      </w:r>
      <w:r w:rsidRPr="00125AB6">
        <w:tab/>
        <w:t xml:space="preserve">продължава да изразява загриженост относно неуспеха в Конституционния съд на Украйна да бъдат назначени съдии, преминали международна проверка и одобрение; призовава Върховната рада да приеме Закона за Конституционния съд в съответствие със становищата на Венецианската комисия, като гарантира прозрачна процедура за подбор с участието на международни експерти и две трети парламентарно мнозинство за назначенията; настоятелно призовава Украйна да използва наличния международен експертен опит и помощ при преобразуването на съдебната система, като същевременно признава, че институционалното подобрение изисква прилагането на по-широки мерки за укрепване на резултатите и независимостта; призовава като приоритет за 2026 г. да се осъществи напредък в цялостната реформа на националната адвокатска колегия на Украйна; </w:t>
      </w:r>
    </w:p>
    <w:p w:rsidR="00C71B48" w:rsidRPr="00125AB6" w:rsidP="00C71B48" w14:paraId="037C83EF" w14:textId="3D92FDD5">
      <w:pPr>
        <w:pStyle w:val="NormalHanging12a"/>
      </w:pPr>
      <w:r>
        <w:t>51</w:t>
      </w:r>
      <w:r w:rsidRPr="00125AB6">
        <w:t>.</w:t>
      </w:r>
      <w:r w:rsidRPr="00125AB6">
        <w:tab/>
        <w:t>призовава настоятелно Украйна да положи допълнителни усилия, за да се гарантират професионализмът и почтеността на лицата със съдебни функции; подчертава необходимостта от прозрачни назначения в съдебната система и ефективно разследване и санкциониране на корупционните престъпления на всички равнища; насърчава Украйна да реформира процедурите за подбор и освобождаване на главния прокурор и да ограничи неправомерното влияние върху отделни дела, включително чрез автоматично разпределение на делата и ограничаване на достъпа до материалите по тях; насърчава съдебната система да продължи да инвестира в нови технологии с цел преодоляване на недостига на персонал и високата натовареност; поздравява съдебната система за това, че продължава да работи при трудни условия, както и гражданското общество на Украйна за наблюдението на прилагането на реформите в областта на принципите на правовата държава;</w:t>
      </w:r>
    </w:p>
    <w:p w:rsidR="00C71B48" w:rsidRPr="00125AB6" w:rsidP="00C71B48" w14:paraId="5ADE17ED" w14:textId="4B20B543">
      <w:pPr>
        <w:pStyle w:val="NormalHanging12a"/>
      </w:pPr>
      <w:r>
        <w:t>52</w:t>
      </w:r>
      <w:r w:rsidRPr="00125AB6">
        <w:t>.</w:t>
      </w:r>
      <w:r w:rsidRPr="00125AB6">
        <w:tab/>
        <w:t xml:space="preserve">призовава за реформа на Службата за сигурност (СБУ) и Държавното бюро за разследване (ДБР) въз основа на инициативата на президента </w:t>
      </w:r>
      <w:r w:rsidRPr="00125AB6">
        <w:t>Зеленски</w:t>
      </w:r>
      <w:r w:rsidRPr="00125AB6">
        <w:t xml:space="preserve">, обявена на 2 януари 2026 г., по-специално като се обърне внимание на концентрирането на СБУ върху контраразузнаването, борбата с тероризма и други източници на заплахи за сигурността, както и на потенциала за злоупотреба с власт и отстояване на правата на човека; оценява усилията, предприети за реформиране на тези институции по време на война; изразява съжаление обаче, че проектозаконът за реформата на Държавното бюро за разследване не беше приет на пленарното заседание на Върховната рада до края на април 2026 г.; признава приноса на консултативната мисия на ЕС в Украйна за важната ѝ работа по европейската интеграция, включително в областта на реформата на сектора за сигурност, принципите на правовата държава и отчетността; </w:t>
      </w:r>
    </w:p>
    <w:p w:rsidR="00C71B48" w:rsidRPr="00125AB6" w:rsidP="00C71B48" w14:paraId="1548D078" w14:textId="40D69FDC">
      <w:pPr>
        <w:pStyle w:val="NormalHanging12a"/>
      </w:pPr>
      <w:r>
        <w:t>53</w:t>
      </w:r>
      <w:r w:rsidRPr="00125AB6">
        <w:t>.</w:t>
      </w:r>
      <w:r w:rsidRPr="00125AB6">
        <w:tab/>
        <w:t xml:space="preserve">призовава за преглед на Наказателно-процесуалния кодекс и свързаното с него законодателство, за да се осигури бързо и висококачествено правосъдие, по-специално чрез преглед на разпоредбите, които предвиждат автоматично приключване на разследванията поради изтичането на сроковете за досъдебно разследване и съкратените срокове за разследване, което застрашава ефективните разследвания по сложни наказателни дела, включително дела за корупция по високите етажи на властта; също така настоятелно призовава украинските органи да разгледат практиките на предварително задържане и злоупотребите с процесуалните права; насърчава по-голямата прозрачност при достъпа до публичните регистри, като същевременно признава нуждите от сигурност по време на война; приветства въвеждането на нов закон за лобирането; </w:t>
      </w:r>
    </w:p>
    <w:p w:rsidR="00C71B48" w:rsidP="00C71B48" w14:paraId="25723841" w14:textId="04BF9092">
      <w:pPr>
        <w:pStyle w:val="NormalHanging12a"/>
      </w:pPr>
      <w:r>
        <w:t>54</w:t>
      </w:r>
      <w:r w:rsidRPr="00125AB6">
        <w:t>.</w:t>
      </w:r>
      <w:r w:rsidRPr="00125AB6">
        <w:tab/>
        <w:t>призовава настоятелно украинските органи да се въздържат от всякакви политически мотивирани съдебни производства и от въвеждане на лични санкции срещу представители на опозицията и лидери на организации на гражданското общество; подчертава, че подобни практики пораждат риск от подкопаване на демократичните стандарти и общественото доверие;</w:t>
      </w:r>
    </w:p>
    <w:p w:rsidR="004C6FF0" w:rsidRPr="00125AB6" w:rsidP="00C71B48" w14:paraId="17004E6D" w14:textId="08838AE0">
      <w:pPr>
        <w:pStyle w:val="NormalHanging12a"/>
      </w:pPr>
      <w:r>
        <w:t>55</w:t>
      </w:r>
      <w:r w:rsidRPr="004C6FF0">
        <w:t>.</w:t>
      </w:r>
      <w:r w:rsidRPr="004C6FF0">
        <w:tab/>
        <w:t>призовава украинските органи да премахнат от националното законодателство нарушенията на общопризнатите европейски и международни стандарти за парламентарна независимост, като свободния представителен мандат, разделението на властите и принципа на правна сигурност, доколкото при тях става дума за погрешното приравняване на член на парламента на Украйна със статута на публично длъжностно лице; подчертава, че членът на парламента на Украйна упражнява представителен мандат и не принадлежи към никаква административна йерархия, не се назначава на длъжност, не изпълнява официални функции и следователно не може да бъде определен в националното законодателство като публично длъжностно лице;</w:t>
      </w:r>
    </w:p>
    <w:p w:rsidR="00C71B48" w:rsidRPr="00125AB6" w:rsidP="00C71B48" w14:paraId="29E4D2FB" w14:textId="77777777">
      <w:pPr>
        <w:pStyle w:val="NormalHanging12a"/>
        <w:rPr>
          <w:b/>
          <w:bCs/>
          <w:i/>
          <w:iCs/>
        </w:rPr>
      </w:pPr>
      <w:r w:rsidRPr="00125AB6">
        <w:rPr>
          <w:b/>
          <w:i/>
        </w:rPr>
        <w:t>VI. Борба с корупцията</w:t>
      </w:r>
    </w:p>
    <w:p w:rsidR="00C71B48" w:rsidRPr="00125AB6" w:rsidP="00C71B48" w14:paraId="4A7EB7F5" w14:textId="4419D5C1">
      <w:pPr>
        <w:pStyle w:val="NormalHanging12a"/>
        <w:rPr>
          <w:bCs/>
          <w:iCs/>
        </w:rPr>
      </w:pPr>
      <w:r>
        <w:t>56</w:t>
      </w:r>
      <w:r w:rsidRPr="00125AB6">
        <w:t>.</w:t>
      </w:r>
      <w:r w:rsidRPr="00125AB6">
        <w:tab/>
        <w:t>приветства напредъка на специализираните агенции за борба с корупцията при разкриването и наказателното преследване на знакови случаи и приветства въвеждането на механизми за подаване на сигнали за нередности; подчертава, че неотдавнашното разкриване на корупция на високо равнище е доказателство както за необходимостта борбата с корупцията да продължава, така и за успеха на положените усилия; признава, че Украйна постигна забележителен успех в разследването и наказателното преследване на корупцията; подчертава, че особено важни продължават да бъдат стабилните и необратими резултати от разследванията, повдигнатите обвинения и окончателните осъдителни присъди по случаи на корупция по високите етажи на властта; предупреждава, че всяко отстъпление от реформите за борба с корупцията би подкопало сериозно общественото доверие и пътя на Украйна към европейска интеграция;</w:t>
      </w:r>
    </w:p>
    <w:p w:rsidR="00C71B48" w:rsidRPr="00125AB6" w:rsidP="00C71B48" w14:paraId="7A64047F" w14:textId="2E2A271B">
      <w:pPr>
        <w:pStyle w:val="NormalHanging12a"/>
        <w:rPr>
          <w:bCs/>
          <w:iCs/>
        </w:rPr>
      </w:pPr>
      <w:r>
        <w:t>57</w:t>
      </w:r>
      <w:r w:rsidRPr="00125AB6">
        <w:t>.</w:t>
      </w:r>
      <w:r w:rsidRPr="00125AB6">
        <w:tab/>
        <w:t xml:space="preserve">приветства мащабното набиране на нови служители в Националното антикорупционно бюро на Украйна (НАБУ) и Специализираната прокуратура за борба с корупцията (СПБК); приветства освен това одобряването на стратегията за развитие на НАБУ и започването на работа по стратегията за институционално развитие на СПБК; </w:t>
      </w:r>
    </w:p>
    <w:p w:rsidR="00C71B48" w:rsidRPr="00125AB6" w:rsidP="00C71B48" w14:paraId="6A0D7BD0" w14:textId="222AF00E">
      <w:pPr>
        <w:pStyle w:val="NormalHanging12a"/>
        <w:rPr>
          <w:bCs/>
          <w:iCs/>
        </w:rPr>
      </w:pPr>
      <w:r>
        <w:t>58</w:t>
      </w:r>
      <w:r w:rsidRPr="00125AB6">
        <w:t>.</w:t>
      </w:r>
      <w:r w:rsidRPr="00125AB6">
        <w:tab/>
        <w:t>подчертава ключовата работа, извършена от ключови институции за борба с корупцията, като НАБУ, както и усилията на гражданското общество за запазване на независимостта на органите за борба с корупцията и за повишаване на тяхната ефективност; приветства назначаването на международните членове на комисията за подбор на Специализираната прокуратура за борба с корупцията, като същевременно изразява загриженост относно етичните въпроси, повдигнати във връзка с един от украинските членове; приветства съществения напредък, постигнат при интервюирането на кандидати за Висшия съд за борба с корупцията в рамките на строг, независим, приобщаващ и прозрачен процес, воден от Обществения съвет на международните експерти и Висшата квалификационна комисия на съдиите;</w:t>
      </w:r>
    </w:p>
    <w:p w:rsidR="00C71B48" w:rsidRPr="00125AB6" w:rsidP="00C71B48" w14:paraId="2253C82F" w14:textId="64481A3B">
      <w:pPr>
        <w:pStyle w:val="NormalHanging12a"/>
        <w:rPr>
          <w:bCs/>
          <w:iCs/>
        </w:rPr>
      </w:pPr>
      <w:r>
        <w:t>59</w:t>
      </w:r>
      <w:r w:rsidRPr="00125AB6">
        <w:t>.</w:t>
      </w:r>
      <w:r w:rsidRPr="00125AB6">
        <w:tab/>
        <w:t xml:space="preserve">Настоява украинските органи да гарантират институционалната и оперативната независимост на Националното антикорупционно бюро на Украйна и </w:t>
      </w:r>
      <w:r w:rsidRPr="00125AB6">
        <w:t xml:space="preserve">Специализираната прокуратура за борба с корупцията; осъжда всякаква политическа намеса, </w:t>
      </w:r>
      <w:r w:rsidRPr="00125AB6">
        <w:t>инструментализиране</w:t>
      </w:r>
      <w:r w:rsidRPr="00125AB6">
        <w:t xml:space="preserve"> или сплашване, насочени срещу институциите за борба с корупцията, включително необосновани проверки, наказателни преследвания или оперативни ограничения, и изисква незабавно прекратяване на неправомерния натиск от страна на службите за сигурност и разузнаване, включително Службата за сигурност на Украйна (СБУ); подчертава, че гарантирането на независимостта на Националното антикорупционно бюро на Украйна и Специализираната прокуратура за борба с корупцията е основна предпоставка за прилагането на принципите на правовата държава, процеса на присъединяване на Украйна към ЕС и надеждното използване на международната подкрепа; </w:t>
      </w:r>
    </w:p>
    <w:p w:rsidR="00C71B48" w:rsidRPr="00125AB6" w:rsidP="00C71B48" w14:paraId="033382F4" w14:textId="3D233EC6">
      <w:pPr>
        <w:pStyle w:val="NormalHanging12a"/>
        <w:rPr>
          <w:bCs/>
          <w:iCs/>
        </w:rPr>
      </w:pPr>
      <w:r>
        <w:t>60</w:t>
      </w:r>
      <w:r w:rsidRPr="00125AB6">
        <w:t>.</w:t>
      </w:r>
      <w:r w:rsidRPr="00125AB6">
        <w:tab/>
        <w:t>повтаря отново необходимостта Националната агенция за предотвратяване на корупцията да подобри процедурите си за проверка на декларациите за имущество и да съсредоточи усилията си върху висши длъжностни лица в области с висок риск; призовава настоятелно Украйна да приложи изцяло реформата на Агенцията за възстановяване и управление на активи, включително необходимите ѝ подзаконови актове; изразява съжаление, че правоприлагащите органи, различни от специализираните органи за борба с корупцията, са постигнали ограничен напредък в подобряването на резултатите си по антикорупционни дела;</w:t>
      </w:r>
    </w:p>
    <w:p w:rsidR="00C71B48" w:rsidRPr="00125AB6" w:rsidP="00C71B48" w14:paraId="6A336FE1" w14:textId="0C2BF6A4">
      <w:pPr>
        <w:pStyle w:val="NormalHanging12a"/>
        <w:rPr>
          <w:bCs/>
          <w:iCs/>
        </w:rPr>
      </w:pPr>
      <w:r>
        <w:t>61</w:t>
      </w:r>
      <w:r w:rsidRPr="00125AB6">
        <w:t>.</w:t>
      </w:r>
      <w:r w:rsidRPr="00125AB6">
        <w:tab/>
        <w:t>приветства членството на Украйна в работната група на Организацията за икономическо сътрудничество и развитие (ОИСР) по въпросите на подкупите като положителна стъпка към пълноправно членство и като допълнително потвърждение за ангажимента на държавата към международните стандарти за прозрачност и добро управление; признава напредъка на Украйна в прилагането на законодателството за борба с подкупите по отношение на международните сделки като признак за интеграцията на държавата в глобалната общност на отговорните икономически субекти и насърчава Украйна да продължи да полага усилия, за да поддържа своя напредък;</w:t>
      </w:r>
    </w:p>
    <w:p w:rsidR="00C71B48" w:rsidRPr="00125AB6" w:rsidP="00C71B48" w14:paraId="5257EF25" w14:textId="0DA1BAB6">
      <w:pPr>
        <w:pStyle w:val="NormalHanging12a"/>
        <w:rPr>
          <w:bCs/>
          <w:iCs/>
        </w:rPr>
      </w:pPr>
      <w:r>
        <w:t>62</w:t>
      </w:r>
      <w:r w:rsidRPr="00125AB6">
        <w:t>.</w:t>
      </w:r>
      <w:r w:rsidRPr="00125AB6">
        <w:tab/>
        <w:t>повтаря отново значението на непрекъснатата борба срещу организираната престъпност; призовава настоятелно Украйна да положи допълнителни усилия да засили борбата с измамите, включително онлайн измамите;</w:t>
      </w:r>
    </w:p>
    <w:p w:rsidR="00C71B48" w:rsidRPr="00125AB6" w:rsidP="00C71B48" w14:paraId="127E3835" w14:textId="77777777">
      <w:pPr>
        <w:pStyle w:val="Normal12a"/>
        <w:rPr>
          <w:i/>
          <w:iCs/>
        </w:rPr>
      </w:pPr>
      <w:r w:rsidRPr="00125AB6">
        <w:rPr>
          <w:b/>
          <w:i/>
        </w:rPr>
        <w:t>VII. Основни свободи и права на човека</w:t>
      </w:r>
    </w:p>
    <w:p w:rsidR="00C71B48" w:rsidRPr="00125AB6" w:rsidP="00C71B48" w14:paraId="0F3F13F6" w14:textId="10849663">
      <w:pPr>
        <w:pStyle w:val="NormalHanging12a"/>
      </w:pPr>
      <w:r>
        <w:t>63</w:t>
      </w:r>
      <w:r w:rsidRPr="00125AB6">
        <w:t>.</w:t>
      </w:r>
      <w:r w:rsidRPr="00125AB6">
        <w:tab/>
        <w:t xml:space="preserve">приветства ангажимента на Украйна за отстояване на основните права въпреки продължаващата руска агресия и приветства по-специално плана за действие за националните малцинства; насърчава Украйна да поддържа структуриран и конструктивен диалог със съседните държави членки по отношение на правата на лицата, принадлежащи към национални малцинства, в съответствие с европейските стандарти и препоръките на Венецианската комисия; оценява усилията на украинските органи за осъществяване на реформа на образователната система и изразява надежда, че разпоредбите на Закона за образованието, които ще влязат в сила през 2027 г., няма да подкопаят правото на малцинствата на образование на техния майчин език; </w:t>
      </w:r>
    </w:p>
    <w:p w:rsidR="00C71B48" w:rsidRPr="00125AB6" w:rsidP="00C71B48" w14:paraId="01ED7B85" w14:textId="498A0544">
      <w:pPr>
        <w:pStyle w:val="NormalHanging12a"/>
      </w:pPr>
      <w:r>
        <w:t>64</w:t>
      </w:r>
      <w:r w:rsidRPr="00125AB6">
        <w:t>.</w:t>
      </w:r>
      <w:r w:rsidRPr="00125AB6">
        <w:tab/>
        <w:t xml:space="preserve">призовава Украйна да гарантира продължаване на подкрепата за свободата на изразяване и независимостта на медиите; призовава Украйна да гарантира, че ограниченията на военното положение са строго необходими и пропорционални; </w:t>
      </w:r>
      <w:r w:rsidRPr="00125AB6">
        <w:t xml:space="preserve">призовава за бързо, независимо и ефективно разследване на случаите на сплашване и пряк тормоз, както и на непреки форми на натиск върху журналисти и медийни институции; припомня, че адекватното финансиране играе решаваща роля за гарантиране на независимостта на обществените медии, което им дава възможност да изпълняват своята роля, както е установена в украинското законодателство, и призовава украинските органи да гарантират, че съдържанието, създавано от публично финансираните медии, отразява политическия и обществения плурализъм в Украйна; </w:t>
      </w:r>
    </w:p>
    <w:p w:rsidR="00C71B48" w:rsidRPr="00125AB6" w:rsidP="00C71B48" w14:paraId="0EA844CF" w14:textId="4EF8EF79">
      <w:pPr>
        <w:pStyle w:val="NormalHanging12a"/>
      </w:pPr>
      <w:r>
        <w:t>65</w:t>
      </w:r>
      <w:r w:rsidRPr="00125AB6">
        <w:t>.</w:t>
      </w:r>
      <w:r w:rsidRPr="00125AB6">
        <w:tab/>
        <w:t xml:space="preserve">насърчава приемането на законопроект № 13597 за засилване на правната защита срещу дискриминация, престъпления от омраза и реч на омразата на основания раса, цвят на кожата, политически, религиозни и други убеждения, пол, сексуална ориентация, полова идентичност, националност, етнически, социален или чуждестранен произход, възраст, здравословно състояние, увреждане, семейно и имуществено положение, семейни права и задължения, място на пребиваване, език, професия или други основания, в съответствие с ангажиментите на Украйна по Споразумението за асоцииране и процеса на присъединяване към ЕС; </w:t>
      </w:r>
    </w:p>
    <w:p w:rsidR="00C71B48" w:rsidRPr="00125AB6" w:rsidP="00C71B48" w14:paraId="6864621C" w14:textId="3F07D2C5">
      <w:pPr>
        <w:pStyle w:val="NormalHanging12a"/>
      </w:pPr>
      <w:r>
        <w:t>66</w:t>
      </w:r>
      <w:r w:rsidRPr="00125AB6">
        <w:t>.</w:t>
      </w:r>
      <w:r w:rsidRPr="00125AB6">
        <w:tab/>
        <w:t xml:space="preserve">приветства продължаващите усилия на Украйна да модернизира гражданското си законодателство; подчертава, че е важно да се гарантира, че всички подобни реформи са напълно съобразени с европейските стандарти за равенство и недискриминация, включително защитата на правата на жените и ЛГБТИК+ лицата; приветства неотдавнашното решение на Върховния съд на Украйна, с което еднополова двойка се признава за фактическо семейство; призовава за приемане на законопроект № 9103 относно правното признаване на гражданските партньорства в Украйна; </w:t>
      </w:r>
    </w:p>
    <w:p w:rsidR="00C71B48" w:rsidRPr="00125AB6" w:rsidP="00C71B48" w14:paraId="6E14C3C1" w14:textId="2A2D92EE">
      <w:pPr>
        <w:pStyle w:val="NormalHanging12a"/>
      </w:pPr>
      <w:r>
        <w:t>67</w:t>
      </w:r>
      <w:r w:rsidRPr="00125AB6">
        <w:t>.</w:t>
      </w:r>
      <w:r w:rsidRPr="00125AB6">
        <w:tab/>
        <w:t xml:space="preserve">приветства контрола и застъпничеството на украинското гражданско общество, довели до обещание от страна на украинските законодатели да оттеглят </w:t>
      </w:r>
      <w:r w:rsidRPr="00125AB6">
        <w:t>проектоизмененията</w:t>
      </w:r>
      <w:r w:rsidRPr="00125AB6">
        <w:t xml:space="preserve"> в Семейния кодекс, с които би се позволило на съдилищата да одобряват в изключителни случаи детски бракове за момичета на възраст 14 години; призовава настоятелно украинския парламент да гарантира, че тези разпоредби действително ще бъдат окончателно оттеглени; </w:t>
      </w:r>
    </w:p>
    <w:p w:rsidR="00C71B48" w:rsidRPr="00125AB6" w:rsidP="00C71B48" w14:paraId="2DA6BF6C" w14:textId="316A7341">
      <w:pPr>
        <w:pStyle w:val="NormalHanging12a"/>
      </w:pPr>
      <w:r>
        <w:t>68</w:t>
      </w:r>
      <w:r w:rsidRPr="00125AB6">
        <w:t>.</w:t>
      </w:r>
      <w:r w:rsidRPr="00125AB6">
        <w:tab/>
        <w:t xml:space="preserve">призовава Украйна да пристъпи към приемането на спряното законодателство относно защитата на личните данни; </w:t>
      </w:r>
    </w:p>
    <w:p w:rsidR="00C71B48" w:rsidRPr="00125AB6" w:rsidP="00C71B48" w14:paraId="710A52E5" w14:textId="5BD44054">
      <w:pPr>
        <w:pStyle w:val="NormalHanging12a"/>
      </w:pPr>
      <w:r>
        <w:t>69</w:t>
      </w:r>
      <w:r w:rsidRPr="00125AB6">
        <w:t>.</w:t>
      </w:r>
      <w:r w:rsidRPr="00125AB6">
        <w:tab/>
        <w:t>приветства приемането на стратегия за деинституционализация, както и работата по реформите в сферата на услугите за достъпност и рехабилитация; подчертава обаче необходимостта бързо да се приеме законодателство относно рехабилитацията на лицата с увреждания, като същевременно се гарантира, че тези приобщаващи реформи достигат до местно и общностно равнище;</w:t>
      </w:r>
    </w:p>
    <w:p w:rsidR="00C71B48" w:rsidRPr="00125AB6" w:rsidP="00C71B48" w14:paraId="341B1207" w14:textId="78B4CDCC">
      <w:pPr>
        <w:pStyle w:val="NormalHanging12a"/>
        <w:rPr>
          <w:b/>
          <w:i/>
        </w:rPr>
      </w:pPr>
      <w:r>
        <w:t>70</w:t>
      </w:r>
      <w:r w:rsidRPr="00125AB6">
        <w:t>.</w:t>
      </w:r>
      <w:r w:rsidRPr="00125AB6">
        <w:rPr>
          <w:b/>
          <w:i/>
        </w:rPr>
        <w:tab/>
      </w:r>
      <w:r w:rsidRPr="00125AB6">
        <w:t>отбелязва приемането на закона, който ще позволи на православните енории в Украйна да се отделят от юрисдикцията на Московската патриаршия и да определят свободно новата си йерархична принадлежност; отбелязва, че през август 2024 г. румънските православни енории в Украйна са подали искане за признаване на религиозното сдружение „Румънска православна църква в Украйна“, към което могат да се присъединят румънските православни енории, които се отделят от юрисдикцията на Московската патриаршия; призовава украинските органи без по-нататъшно забавяне да регистрират религиозното сдружение „Румънска православна църква в Украйна“;</w:t>
      </w:r>
    </w:p>
    <w:p w:rsidR="00C71B48" w:rsidRPr="00125AB6" w:rsidP="00C71B48" w14:paraId="0D8F73AF" w14:textId="77777777">
      <w:pPr>
        <w:pStyle w:val="NormalHanging12a"/>
        <w:rPr>
          <w:b/>
          <w:bCs/>
          <w:i/>
          <w:iCs/>
        </w:rPr>
      </w:pPr>
      <w:r w:rsidRPr="00125AB6">
        <w:rPr>
          <w:b/>
          <w:i/>
        </w:rPr>
        <w:t>VIII. Роля на гражданското общество</w:t>
      </w:r>
    </w:p>
    <w:p w:rsidR="00C71B48" w:rsidRPr="00125AB6" w:rsidP="00C71B48" w14:paraId="5355AB95" w14:textId="4B4811E8">
      <w:pPr>
        <w:pStyle w:val="NormalHanging12a"/>
      </w:pPr>
      <w:r>
        <w:t>71</w:t>
      </w:r>
      <w:r w:rsidRPr="00125AB6">
        <w:t>.</w:t>
      </w:r>
      <w:r w:rsidRPr="00125AB6">
        <w:tab/>
        <w:t>приветства украинското гражданско общество за това, че продължава да бъде активно въпреки военновременните трудности; настоятелно призовава всички украински органи да гарантират системните и смислени консултации с гражданското общество и социалните партньори, да гарантират, че техните мнения се вземат надлежно предвид, както и да противодействат на всякакви форми на политически натиск върху организациите на гражданското общество; призовава Украйна да приеме Закона за гражданските жалби, за да се гарантира добро управление и участие на гражданите; признава значението на гражданското общество за повишаване на устойчивостта на украинския народ по време на войната и подчертава ключовата му роля в устойчивото следвоенно възстановяване на Украйна;</w:t>
      </w:r>
    </w:p>
    <w:p w:rsidR="00C71B48" w:rsidRPr="00125AB6" w:rsidP="00C71B48" w14:paraId="18A45703" w14:textId="26E3C26E">
      <w:pPr>
        <w:pStyle w:val="NormalHanging12a"/>
      </w:pPr>
      <w:r>
        <w:t>72</w:t>
      </w:r>
      <w:r w:rsidRPr="00125AB6">
        <w:t>.</w:t>
      </w:r>
      <w:r w:rsidRPr="00125AB6">
        <w:tab/>
        <w:t>приветства използването на цифрови инструменти на демокрацията, включително електронни петиции и отворени писма, и подкрепя установяването на по-структурирани и институционализирани форми на гражданско участие, включително за общностите на диаспорите;</w:t>
      </w:r>
    </w:p>
    <w:p w:rsidR="00C71B48" w:rsidRPr="00125AB6" w:rsidP="00C71B48" w14:paraId="73AAC66F" w14:textId="0AA6C4F0">
      <w:pPr>
        <w:pStyle w:val="NormalHanging12a"/>
      </w:pPr>
      <w:r>
        <w:t>73</w:t>
      </w:r>
      <w:r w:rsidRPr="00125AB6">
        <w:t>.</w:t>
      </w:r>
      <w:r w:rsidRPr="00125AB6">
        <w:tab/>
        <w:t>призовава Комисията систематично да включва гражданското общество и други релевантни обществени организации и институции в Украйна в разработването и мониторинга на финансовата подкрепа от ЕС и реформите;</w:t>
      </w:r>
    </w:p>
    <w:p w:rsidR="00C71B48" w:rsidRPr="00125AB6" w:rsidP="00C71B48" w14:paraId="798B80F0" w14:textId="3ADDEFE6">
      <w:pPr>
        <w:pStyle w:val="Normal12a"/>
        <w:ind w:left="567" w:hanging="567"/>
        <w:rPr>
          <w:bCs/>
        </w:rPr>
      </w:pPr>
      <w:r>
        <w:t>74</w:t>
      </w:r>
      <w:r w:rsidRPr="00125AB6">
        <w:t>.</w:t>
      </w:r>
      <w:r w:rsidRPr="00125AB6">
        <w:tab/>
        <w:t xml:space="preserve">приветства приноса на европейските и международните неправителствени организации за обмена на опит и за подкрепата на украинското гражданско общество, по-специално тяхната ангажираност за противодействие на руските кампании за дезинформация, насочени срещу Украйна и украинците в ЕС; призовава да бъде допълнително засилено сътрудничеството с тези организации с цел защита на основните права, укрепване на устойчивостта на информацията и подкрепа на надежден обществен дискурс; </w:t>
      </w:r>
    </w:p>
    <w:p w:rsidR="00C71B48" w:rsidRPr="00125AB6" w:rsidP="00C71B48" w14:paraId="77DE77B0" w14:textId="77777777">
      <w:pPr>
        <w:pStyle w:val="Normal12a"/>
        <w:rPr>
          <w:i/>
          <w:iCs/>
        </w:rPr>
      </w:pPr>
      <w:r w:rsidRPr="00125AB6">
        <w:rPr>
          <w:b/>
          <w:i/>
        </w:rPr>
        <w:t>IX. Интеграция на единния пазар</w:t>
      </w:r>
    </w:p>
    <w:p w:rsidR="00C71B48" w:rsidRPr="00125AB6" w:rsidP="00C71B48" w14:paraId="2CA2888F" w14:textId="6F4913AF">
      <w:pPr>
        <w:pStyle w:val="NormalHanging12a"/>
        <w:rPr>
          <w:bCs/>
          <w:iCs/>
        </w:rPr>
      </w:pPr>
      <w:r>
        <w:t>75</w:t>
      </w:r>
      <w:r w:rsidRPr="00125AB6">
        <w:t>.</w:t>
      </w:r>
      <w:r w:rsidRPr="00125AB6">
        <w:tab/>
        <w:t>подчертава колко е важно да се ускори постепенната интеграция на Украйна в единния пазар на ЕС, което носи икономически ползи и за двете страни – както за Украйна, така и за държавите членки; подчертава, че това е ключов елемент от икономическата подкрепа на ЕС за противодействие на руската агресия и подготвя украинската промишленост да работи в условията на единния пазар на ЕС; препоръчва Украйна да следва 10-те приоритета, очертани в плана за приоритетно действие на задълбочената и всеобхватна зона за свободна търговия между ЕС и Украйна;</w:t>
      </w:r>
    </w:p>
    <w:p w:rsidR="00C71B48" w:rsidRPr="00125AB6" w:rsidP="00C71B48" w14:paraId="725DA5E5" w14:textId="61850534">
      <w:pPr>
        <w:pStyle w:val="NormalHanging12a"/>
        <w:rPr>
          <w:bCs/>
          <w:iCs/>
        </w:rPr>
      </w:pPr>
      <w:r>
        <w:t>76</w:t>
      </w:r>
      <w:r w:rsidRPr="00125AB6">
        <w:t>.</w:t>
      </w:r>
      <w:r w:rsidRPr="00125AB6">
        <w:tab/>
        <w:t>призовава Комисията и държавите членки да вземат предвид тясната връзка между възстановяването и бъдещата интеграция на Украйна в единния пазар на ЕС; подчертава, че планът за възстановяване следва да включва мерки за насърчаване на регулаторното сближаване и подкрепа за инвестиции в критична инфраструктура, транспортни мрежи и железопътни връзки, чрез което да се улесни постигането на съответствие със стандартите на единния пазар и да се засили търговското и икономическото сътрудничество с държавите членки;</w:t>
      </w:r>
    </w:p>
    <w:p w:rsidR="00C71B48" w:rsidRPr="00125AB6" w:rsidP="00C71B48" w14:paraId="0DB23B21" w14:textId="472573A2">
      <w:pPr>
        <w:pStyle w:val="NormalHanging12a"/>
        <w:rPr>
          <w:bCs/>
          <w:iCs/>
        </w:rPr>
      </w:pPr>
      <w:r>
        <w:t>77</w:t>
      </w:r>
      <w:r w:rsidRPr="00125AB6">
        <w:t>.</w:t>
      </w:r>
      <w:r w:rsidRPr="00125AB6">
        <w:tab/>
        <w:t>приветства факта, че Украйна се присъедини към зоната „роуминг като у дома“ на ЕС през януари 2026 г., което предоставя на украинското население една от най-осезаемите и незабавни ползи от процеса на присъединяване;</w:t>
      </w:r>
    </w:p>
    <w:p w:rsidR="00C71B48" w:rsidRPr="00125AB6" w:rsidP="00C71B48" w14:paraId="09931B10" w14:textId="02D1DC3B">
      <w:pPr>
        <w:pStyle w:val="NormalHanging12a"/>
      </w:pPr>
      <w:r>
        <w:t>78</w:t>
      </w:r>
      <w:r w:rsidRPr="00125AB6">
        <w:t>.</w:t>
      </w:r>
      <w:r w:rsidRPr="00125AB6">
        <w:tab/>
        <w:t>приветства по-интензивните усилия на Украйна да приведе позициите си в съответствие с тези на ЕС и Световната търговска организация; насърчава тясното координиране с ЕС по отношение на международните търговски преговори, по-специално с оглед на постепенното интегриране на Украйна в единния пазар на ЕС и засилването на участието ѝ в глобалните вериги за създаване на стойност;</w:t>
      </w:r>
    </w:p>
    <w:p w:rsidR="00C71B48" w:rsidRPr="00125AB6" w:rsidP="00C71B48" w14:paraId="6B81DF85" w14:textId="77777777"/>
    <w:p w:rsidR="00C71B48" w:rsidRPr="00125AB6" w:rsidP="00C71B48" w14:paraId="7068DFAF" w14:textId="77777777">
      <w:pPr>
        <w:pStyle w:val="NormalHanging12a"/>
        <w:rPr>
          <w:b/>
          <w:bCs/>
          <w:i/>
          <w:iCs/>
        </w:rPr>
      </w:pPr>
      <w:r w:rsidRPr="00125AB6">
        <w:rPr>
          <w:b/>
          <w:i/>
        </w:rPr>
        <w:t>X. Сътрудничество в областта на отбраната</w:t>
      </w:r>
    </w:p>
    <w:p w:rsidR="00C71B48" w:rsidRPr="00125AB6" w:rsidP="00C71B48" w14:paraId="025A2BD9" w14:textId="47FA76C2">
      <w:pPr>
        <w:pStyle w:val="NormalHanging12a"/>
      </w:pPr>
      <w:r>
        <w:t>79</w:t>
      </w:r>
      <w:r w:rsidRPr="00125AB6">
        <w:t>.</w:t>
      </w:r>
      <w:r w:rsidRPr="00125AB6">
        <w:tab/>
        <w:t>признава, че отбранителната промишленост на Украйна се превърна в жизненоважен и допълващ компонент на европейската сигурност, особено по отношение на производствения капацитет за безпилотни летателни апарати, изпитаните в бойни действия иновации в областта на безпилотните системи, електронната война и софтуера за бойното поле;</w:t>
      </w:r>
    </w:p>
    <w:p w:rsidR="00C71B48" w:rsidRPr="00125AB6" w:rsidP="00C71B48" w14:paraId="5850CD44" w14:textId="6EAADA93">
      <w:pPr>
        <w:pStyle w:val="NormalHanging12a"/>
        <w:rPr>
          <w:iCs/>
        </w:rPr>
      </w:pPr>
      <w:r>
        <w:t>80</w:t>
      </w:r>
      <w:r w:rsidRPr="00125AB6">
        <w:t>.</w:t>
      </w:r>
      <w:r w:rsidRPr="00125AB6">
        <w:tab/>
        <w:t xml:space="preserve">поради това приветства засиленото сътрудничество по въпросите на сигурността и отбраната между Украйна и ЕС и неговите държави членки, по-специално чрез Европейския механизъм за подкрепа на мира, и призовава за засилено сътрудничество в рамките на инструмента „Мерки за сигурността на Европа“ (SAFE) и Програмата за европейската отбранителна промишленост (ПЕОП), за да се отговори на критичните отбранителни нужди на Украйна и да се улесни интегрирането на отбранителната промишленост на Украйна в промишлената екосистема на ЕС; подчертава значението на присъединяването на Украйна към Европейския фонд за отбрана като асоциирана държава и призовава за бързото провеждане на необходимите преговори; приветства създаването на работната група ЕС – Украйна за промишлено сътрудничество в областта на отбраната и инициативата </w:t>
      </w:r>
      <w:r w:rsidRPr="00125AB6">
        <w:t>BraveTech</w:t>
      </w:r>
      <w:r w:rsidRPr="00125AB6">
        <w:t xml:space="preserve"> EU; призовава ЕС да подкрепи интеграцията на отбранителна технологична и индустриална база (ОТИБ) на Украйна в европейската отбранителна технологична и индустриална база, по-специално чрез Програмата за европейската отбранителна промишленост и бъдещия Европейски фонд за конкурентоспособност; признава, че украинският експертен опит на бойното поле беше демонстриран отново в Близкия изток при защитата на държавите от Персийския залив; отново отбелязва, че Украйна разполага с най-опитните военни сили в Европа;</w:t>
      </w:r>
    </w:p>
    <w:p w:rsidR="00C71B48" w:rsidRPr="00125AB6" w:rsidP="00C71B48" w14:paraId="2EDF94B4" w14:textId="2B90320A">
      <w:pPr>
        <w:pStyle w:val="NormalHanging12a"/>
        <w:rPr>
          <w:bCs/>
          <w:iCs/>
        </w:rPr>
      </w:pPr>
      <w:r>
        <w:t>81</w:t>
      </w:r>
      <w:r w:rsidRPr="00125AB6">
        <w:t>.</w:t>
      </w:r>
      <w:r w:rsidRPr="00125AB6">
        <w:tab/>
        <w:t>подчертава стратегическото значение на организирането на редовни съвместни военни учения и постепенното интегриране на Украйна в рамките на обученията и операциите, ръководени от ЕС, като средство за повишаване на готовността, оперативната съвместимост с европейските сили и съответствието със стандартите на НАТО; призовава освен това да се увеличат съвместните инициативи за инвестиции между Съюза и Украйна в сектора на отбранителната промишленост, включително съвместното разработване и производство на военно оборудване, което би засилило способностите на Украйна за самоотбрана; призовава за устойчиви мерки за укрепване на връзката между украинската и европейската отбранителна технологична и индустриална база, намаляване на стратегическите зависимости и допринасяне за дългосрочната сигурност и стабилност на европейския континент;</w:t>
      </w:r>
    </w:p>
    <w:p w:rsidR="00C71B48" w:rsidRPr="00125AB6" w:rsidP="00C71B48" w14:paraId="5258968E" w14:textId="55DC6E31">
      <w:pPr>
        <w:pStyle w:val="NormalHanging12a"/>
        <w:rPr>
          <w:bCs/>
          <w:iCs/>
        </w:rPr>
      </w:pPr>
      <w:r>
        <w:t>82</w:t>
      </w:r>
      <w:r w:rsidRPr="00125AB6">
        <w:t>.</w:t>
      </w:r>
      <w:r w:rsidRPr="00125AB6">
        <w:tab/>
        <w:t>подчертава стратегическото значение на повишаването на военната мобилност с цел подкрепа на отбраната и устойчивостта на Украйна, което ще гарантира бързото разполагане на оборудване и хуманитарна помощ за украинските сили; подчертава ключовата роля на черноморските крайбрежни държави и държавите от източната граница за обезпечаването на сигурни транзитни маршрути, предварително разполагане на материали и съвместна оперативна координация с Украйна; призовава Комисията и държавите членки да подсилят инфраструктурата, оперативната съвместимост и логистичните рамки в тези региони, включително чрез съвместни учения и целенасочени инвестиции, за да бъдат повишени оперативните способности на Украйна, да бъде подсилена нейната териториална цялост и да бъде възпряна по-нататъшна агресия;</w:t>
      </w:r>
    </w:p>
    <w:p w:rsidR="00C71B48" w:rsidRPr="00125AB6" w:rsidP="00C71B48" w14:paraId="2B94A545" w14:textId="047C2F5D">
      <w:pPr>
        <w:pStyle w:val="NormalHanging12a"/>
        <w:rPr>
          <w:bCs/>
          <w:iCs/>
        </w:rPr>
      </w:pPr>
      <w:r>
        <w:t>83</w:t>
      </w:r>
      <w:r w:rsidRPr="00125AB6">
        <w:t>.</w:t>
      </w:r>
      <w:r w:rsidRPr="00125AB6">
        <w:tab/>
        <w:t>приветства приемането на стратегията на Украйна за политика по отношение на ветераните до 2030 г.; подчертава значението на ефективната реинтеграция на украинските ветерани от войната в гражданския живот като важен компонент на дългосрочното възстановяване и социалното сближаване на Украйна; отбелязва нарастващия брой ветерани с увреждания и необходимостта да бъде засилено прилагането на политики за достъпност и правата на лицата с увреждания; призовава ЕС и неговите държави членки да продължат да подкрепят Украйна в това отношение; признава стратегическата стойност на опита на украинските ветерани за европейската сигурност и отбрана, включително тяхното уникално ноу-хау в съвременната война, като противодействие на безпилотни системи, медицина на бойното поле и евакуация на ранени при конфликти с висока интензивност; подчертава, че е необходимо да се предотврати възможността те да станат уязвими към социална маргинализация и враждебни манипулации, включително от страна на Руската федерация;</w:t>
      </w:r>
    </w:p>
    <w:p w:rsidR="00C71B48" w:rsidRPr="00125AB6" w:rsidP="00C71B48" w14:paraId="00952030" w14:textId="2B31A2EE">
      <w:pPr>
        <w:pStyle w:val="NormalHanging12a"/>
        <w:rPr>
          <w:bCs/>
          <w:iCs/>
        </w:rPr>
      </w:pPr>
      <w:r>
        <w:t>84</w:t>
      </w:r>
      <w:r w:rsidRPr="00125AB6">
        <w:t>.</w:t>
      </w:r>
      <w:r w:rsidRPr="00125AB6">
        <w:tab/>
        <w:t>призовава Комисията да разработи подходящи рамки за интегриране на уникалния военен опит на Украйна в областта на гражданската защита, устойчивостта на критичната инфраструктура, борбата с дезинформацията и управлението в условията на пълномащабна военна агресия в политиките на Съюза за готовност, устойчивост и сигурност;</w:t>
      </w:r>
    </w:p>
    <w:p w:rsidR="00C71B48" w:rsidRPr="00125AB6" w:rsidP="00C71B48" w14:paraId="740075ED" w14:textId="2A445B61">
      <w:pPr>
        <w:pStyle w:val="NormalHanging12a"/>
        <w:rPr>
          <w:bCs/>
          <w:iCs/>
        </w:rPr>
      </w:pPr>
      <w:r>
        <w:t>85</w:t>
      </w:r>
      <w:r w:rsidRPr="00125AB6">
        <w:t>.</w:t>
      </w:r>
      <w:r w:rsidRPr="00125AB6">
        <w:tab/>
        <w:t>признава значителната политическа, финансова, хуманитарна и военна помощ, предоставена на Украйна от държави извън ЕС и международни партньори от началото на пълномащабното нашествие на Руската федерация през 2022 г.; подчертава, че тази широка коалиция за подкрепа отразява споделен ангажимент за спазване на международното право и принципите, залегнали в Устава на Организацията на обединените нации; във връзка с това изтъква важния принос на Съединените щати, които са предоставили над 66,9 милиарда щатски долара военна помощ; освен това подчертава важната роля на Обединеното кралство, Канада, Япония, Норвегия, Нова Зеландия и Австралия, които се присъединиха към международните санкции срещу Руската федерация и допринесоха за подкрепата на военните сили на Украйна и обучението на персонал, както и за хуманитарната и макрофинансовата помощ за Украйна;  признава важната помощ, предоставена от Турция, включително военната и хуманитарната подкрепа и дипломатическите усилия; освен това отчита хуманитарната помощ, предоставена от Република Молдова, която показа регионална солидарност в контекста на продължаващата агресия на Русия;</w:t>
      </w:r>
    </w:p>
    <w:p w:rsidR="00C71B48" w:rsidRPr="00125AB6" w:rsidP="00C71B48" w14:paraId="50B8F08C" w14:textId="77777777">
      <w:pPr>
        <w:pStyle w:val="NormalHanging12a"/>
        <w:rPr>
          <w:b/>
          <w:i/>
          <w:iCs/>
        </w:rPr>
      </w:pPr>
      <w:r w:rsidRPr="00125AB6">
        <w:rPr>
          <w:b/>
          <w:i/>
        </w:rPr>
        <w:t>XI. Регионално сътрудничество и добросъседски отношения</w:t>
      </w:r>
    </w:p>
    <w:p w:rsidR="00C71B48" w:rsidRPr="00125AB6" w:rsidP="00C71B48" w14:paraId="61F0FC01" w14:textId="1B7266B1">
      <w:pPr>
        <w:pStyle w:val="NormalHanging12a"/>
        <w:rPr>
          <w:bCs/>
          <w:iCs/>
        </w:rPr>
      </w:pPr>
      <w:r>
        <w:t>86</w:t>
      </w:r>
      <w:r w:rsidRPr="00125AB6">
        <w:t>.</w:t>
      </w:r>
      <w:r w:rsidRPr="00125AB6">
        <w:tab/>
        <w:t>приветства разрешаването на спора между Украйна и Унгария (и Словакия) относно прекъснатите доставки на руски нефт по тръбопровода „Дружба“; подчертава, че в резултат на спора не е имало недостиг на доставки в Унгария или Словакия, като се имат предвид леснодостъпните алтернативни възможности за транспорт чрез газопровода „</w:t>
      </w:r>
      <w:r w:rsidRPr="00125AB6">
        <w:t>Адрия</w:t>
      </w:r>
      <w:r w:rsidRPr="00125AB6">
        <w:t>“, които имат допълнителната полза да не спонсорират руската икономика; отбелязва, че унгарските компании са увеличили вноса на енергия от Русия от началото на руската агресия срещу Украйна в противоречие с политиките на ЕС; отбелязва, че цените на горивата в Унгария са над средните за Европа и че аргументите за увеличени разходи чрез тръбопровода „</w:t>
      </w:r>
      <w:r w:rsidRPr="00125AB6">
        <w:t>Адрия</w:t>
      </w:r>
      <w:r w:rsidRPr="00125AB6">
        <w:t xml:space="preserve">“ са измислени; </w:t>
      </w:r>
    </w:p>
    <w:p w:rsidR="00C71B48" w:rsidRPr="00125AB6" w:rsidP="00C71B48" w14:paraId="7500A7B3" w14:textId="0EDA4E99">
      <w:pPr>
        <w:pStyle w:val="NormalHanging12a"/>
        <w:rPr>
          <w:bCs/>
          <w:iCs/>
        </w:rPr>
      </w:pPr>
      <w:r>
        <w:t>87</w:t>
      </w:r>
      <w:r w:rsidRPr="00125AB6">
        <w:t>.</w:t>
      </w:r>
      <w:r w:rsidRPr="00125AB6">
        <w:tab/>
        <w:t xml:space="preserve">подчертава задължението на всички държави членки, не само на унгарското и словашкото правителство, да премахнат постепенно зависимостта си от руските енергийни доставки и инфраструктура; </w:t>
      </w:r>
    </w:p>
    <w:p w:rsidR="00C71B48" w:rsidRPr="00125AB6" w:rsidP="00C71B48" w14:paraId="352E691A" w14:textId="68060332">
      <w:pPr>
        <w:pStyle w:val="NormalHanging12a"/>
        <w:rPr>
          <w:bCs/>
          <w:iCs/>
        </w:rPr>
      </w:pPr>
      <w:r>
        <w:t>88</w:t>
      </w:r>
      <w:r w:rsidRPr="00125AB6">
        <w:t>.</w:t>
      </w:r>
      <w:r w:rsidRPr="00125AB6">
        <w:tab/>
        <w:t>осъжда предходните действия на унгарските правоприлагащи органи за задържане на служители на украинската банка „</w:t>
      </w:r>
      <w:r w:rsidRPr="00125AB6">
        <w:t>Ощадбанк</w:t>
      </w:r>
      <w:r w:rsidRPr="00125AB6">
        <w:t>“ и изземването на парични средства и злато, което е било предварително надлежно разрешено от унгарските митнически органи; приветства неотдавнашното разрешаване на спора;</w:t>
      </w:r>
    </w:p>
    <w:p w:rsidR="00C71B48" w:rsidRPr="00125AB6" w:rsidP="00C71B48" w14:paraId="5082D3A6" w14:textId="77777777">
      <w:pPr>
        <w:pStyle w:val="NormalHanging12a"/>
        <w:rPr>
          <w:i/>
          <w:iCs/>
        </w:rPr>
      </w:pPr>
      <w:r w:rsidRPr="00125AB6">
        <w:rPr>
          <w:b/>
          <w:i/>
        </w:rPr>
        <w:t>XII. Социално-икономически реформи</w:t>
      </w:r>
    </w:p>
    <w:p w:rsidR="00C71B48" w:rsidRPr="00125AB6" w:rsidP="00C71B48" w14:paraId="45FE72E7" w14:textId="49B5772C">
      <w:pPr>
        <w:pStyle w:val="NormalHanging12a"/>
      </w:pPr>
      <w:r>
        <w:t>89</w:t>
      </w:r>
      <w:r w:rsidRPr="00125AB6">
        <w:t>.</w:t>
      </w:r>
      <w:r w:rsidRPr="00125AB6">
        <w:tab/>
        <w:t>приветства приемането от страна на Украйна на реформа за публичната администрация и текущото практическо интегриране на Украйна в управленските структури на ЕС, както и в икономическите и регулаторните рамки и рамките за сигурност; насърчава украинското правителство да възприеме системен подход към реформата на публичната администрация и управлението на публичните финанси, като осигури съобразяване със съществуващата пътна карта, и да подобри ефикасността; приветства приемането на Стратегията за реформа на системата за управление на публичните финанси за периода 2026 – 2030 г. и насърчава бързото финализиране и приемане на Стратегията за реформа на публичната администрация за периода 2026 – 2030 г.; приветства успеха на програмата „</w:t>
      </w:r>
      <w:r w:rsidRPr="00125AB6">
        <w:t>Create</w:t>
      </w:r>
      <w:r w:rsidRPr="00125AB6">
        <w:t xml:space="preserve"> </w:t>
      </w:r>
      <w:r w:rsidRPr="00125AB6">
        <w:t>Ukraine</w:t>
      </w:r>
      <w:r w:rsidRPr="00125AB6">
        <w:t>“, изградена въз основа на опита на Литва, която помага за млади украинци с ценен международен опит да се включат в публичния сектор на Украйна; насърчава разширяването на тази и сходни инициативи с цел привличане на специалисти обратно в Украйна и подпомагане на процеса на присъединяване към ЕС и възстановяването след войната;</w:t>
      </w:r>
    </w:p>
    <w:p w:rsidR="00C71B48" w:rsidRPr="00125AB6" w:rsidP="00C71B48" w14:paraId="4D8ADB76" w14:textId="51A99CF0">
      <w:pPr>
        <w:pStyle w:val="NormalHanging12a"/>
        <w:rPr>
          <w:bCs/>
          <w:iCs/>
        </w:rPr>
      </w:pPr>
      <w:r>
        <w:t>90</w:t>
      </w:r>
      <w:r w:rsidRPr="00125AB6">
        <w:t>.</w:t>
      </w:r>
      <w:r w:rsidRPr="00125AB6">
        <w:tab/>
        <w:t>приветства напредъка в реформата на Бюрото за икономическа сигурност на Украйна и нейната Агенция за отнемане и управление на активи; приветства освен това назначаването на ръководителя на Държавната митническа служба на Украйна и подчертава, че е важно да се постигне напредък в митническата реформа;</w:t>
      </w:r>
    </w:p>
    <w:p w:rsidR="00C71B48" w:rsidRPr="00125AB6" w:rsidP="00C71B48" w14:paraId="63122C03" w14:textId="72F687BD">
      <w:pPr>
        <w:pStyle w:val="NormalHanging12a"/>
        <w:rPr>
          <w:bCs/>
          <w:iCs/>
        </w:rPr>
      </w:pPr>
      <w:r>
        <w:t>91</w:t>
      </w:r>
      <w:r w:rsidRPr="00125AB6">
        <w:t>.</w:t>
      </w:r>
      <w:r w:rsidRPr="00125AB6">
        <w:tab/>
        <w:t xml:space="preserve">отбелязва положителните констатации в последните доклади на Световната банка и Международния валутен фонд, в които се отбелязват устойчивостта на украинската икономика и напредъкът в макроикономическата стабилизация въпреки продължаващата война; приветства неотдавнашното приемане на програмата на Международния валутен фонд на стойност 1,8 милиарда щатски долара и свързаните с нея реформи; настоятелно призовава Украйна да пристъпи бързо към изпълнение на реформите; </w:t>
      </w:r>
    </w:p>
    <w:p w:rsidR="00C71B48" w:rsidRPr="00125AB6" w:rsidP="00C71B48" w14:paraId="4B2F4961" w14:textId="76C254B8">
      <w:pPr>
        <w:pStyle w:val="NormalHanging12a"/>
        <w:rPr>
          <w:bCs/>
          <w:iCs/>
        </w:rPr>
      </w:pPr>
      <w:r>
        <w:t>92</w:t>
      </w:r>
      <w:r w:rsidRPr="00125AB6">
        <w:t>.</w:t>
      </w:r>
      <w:r w:rsidRPr="00125AB6">
        <w:tab/>
        <w:t>отново призовава Украйна и държавите членки да си сътрудничат тясно с цел максимално увеличаване на потенциалното икономическо участие на украинските бежанци и диаспора, за да се гарантира устойчивост и приобщаване в текущото и бъдещото икономическо възстановяване и реконструкция на страната; призовава Комисията да направи конкретни предложения във връзка с това; отбелязва, че срокът на Директивата за временната закрила</w:t>
      </w:r>
      <w:r>
        <w:rPr>
          <w:rStyle w:val="FootnoteReference"/>
          <w:bCs/>
          <w:iCs/>
        </w:rPr>
        <w:footnoteReference w:id="9"/>
      </w:r>
      <w:r w:rsidRPr="00125AB6">
        <w:t xml:space="preserve">, която предостави правен статут на повече от 4 милиона украинци в ЕС, ще изтече през март 2027 г.; призовава ЕС, неговите държави членки и Украйна да работят за координирана и хармонизирана политика, придружена от добра комуникация, която да осигури сигурност за украинците, които се подготвят да се завърнат или обмислят законни възможности да останат в приемащите държави; </w:t>
      </w:r>
    </w:p>
    <w:p w:rsidR="00C71B48" w:rsidRPr="00125AB6" w:rsidP="00C71B48" w14:paraId="701EE35B" w14:textId="183908D0">
      <w:pPr>
        <w:pStyle w:val="NormalHanging12a"/>
        <w:rPr>
          <w:bCs/>
          <w:iCs/>
        </w:rPr>
      </w:pPr>
      <w:r>
        <w:t>93</w:t>
      </w:r>
      <w:r w:rsidRPr="00125AB6">
        <w:t>.</w:t>
      </w:r>
      <w:r w:rsidRPr="00125AB6">
        <w:tab/>
        <w:t xml:space="preserve">подчертава, че възстановяването на Украйна и съответните планове за подготовка трябва да бъдат тясно свързани с реформите за присъединяване към ЕС и да се ръководят от принципите на социална справедливост, устойчивост, прозрачност и приобщаваща ангажираност на местно равнище; подчертава освен това, че възстановяването на Украйна трябва да се основава на стабилни принципи на правовата държава, прозрачно управление и демократично приобщаване; подчертава, че съдебната реформа, усилията за борба с корупцията и подобренията в публичната администрация са не само условия за присъединяване към ЕС, но и фактори от основно значение за привличането на инвестиции и възстановяването на доверието сред партньорите и гражданите на Украйна; призовава за интегриране на чувствителни към аспектите на пола подходи във всички усилия за възстановяване, включително по-голямо представителство на жените и малцинствата в процесите на вземане на решения с цел постигане на най-голямо въздействие и дългосрочна устойчивост; </w:t>
      </w:r>
    </w:p>
    <w:p w:rsidR="00C71B48" w:rsidRPr="00125AB6" w:rsidP="00C71B48" w14:paraId="6C050115" w14:textId="5F13D1AD">
      <w:pPr>
        <w:pStyle w:val="NormalHanging12a"/>
        <w:rPr>
          <w:bCs/>
          <w:iCs/>
        </w:rPr>
      </w:pPr>
      <w:r>
        <w:t>94</w:t>
      </w:r>
      <w:r w:rsidRPr="00125AB6">
        <w:t>.</w:t>
      </w:r>
      <w:r w:rsidRPr="00125AB6">
        <w:tab/>
        <w:t>подчертава, че политиката на сближаване на ЕС, като основен инструмент за насърчаване на икономическото, социалното и териториалното единство, е от съществено значение за постигането на целите на регионалната политика на ЕС и за задълбочаването на сътрудничеството между регионите на ЕС и Украйна; призовава тази политика да бъде изцяло взета предвид в рамките на сътрудничеството между регионите и съседните държави;</w:t>
      </w:r>
    </w:p>
    <w:p w:rsidR="00C71B48" w:rsidRPr="00125AB6" w:rsidP="00C71B48" w14:paraId="1707798B" w14:textId="165FC9F1">
      <w:pPr>
        <w:pStyle w:val="NormalHanging12a"/>
        <w:rPr>
          <w:bCs/>
          <w:iCs/>
        </w:rPr>
      </w:pPr>
      <w:r>
        <w:t>95</w:t>
      </w:r>
      <w:r w:rsidRPr="00125AB6">
        <w:t>.</w:t>
      </w:r>
      <w:r w:rsidRPr="00125AB6">
        <w:tab/>
        <w:t>подчертава нарастващото значение на Украйна като стратегически партньор за Европейския съюз в снабдяването с ключови стоки и критични суровини, включително селскостопански продукти, като например зърнени култури, маслодайни семена и растителни масла, както и литий, титан и други минерални ресурси, които са от съществено значение за екологичния и цифровия преход; настоятелно призовава за прозрачност, публична отчетност и гаранции за националните интереси във всички процеси на приватизация и инвестиции; отбелязва, че значителна част от критичните ресурси се намират в територии, временно окупирани от Руската федерация; поради това подчертава необходимостта от засилена солидарност на ЕС с Украйна при защитата на нейните природни ресурси, селскостопански капацитет и териториална цялост;</w:t>
      </w:r>
    </w:p>
    <w:p w:rsidR="00C71B48" w:rsidRPr="00125AB6" w:rsidP="00C71B48" w14:paraId="14CE872A" w14:textId="7EA26B96">
      <w:pPr>
        <w:pStyle w:val="NormalHanging12a"/>
        <w:rPr>
          <w:bCs/>
          <w:iCs/>
        </w:rPr>
      </w:pPr>
      <w:r>
        <w:t>96</w:t>
      </w:r>
      <w:r w:rsidRPr="00125AB6">
        <w:t>.</w:t>
      </w:r>
      <w:r w:rsidRPr="00125AB6">
        <w:tab/>
        <w:t xml:space="preserve">приветства усилията за подобряване на тристранния социален диалог в Украйна, включително с подкрепата на подписаното неотдавна споразумение за партньорство с ЕС и Международната организация на труда (МОТ); настоява, че принципите на Европейския стълб на социалните права и всички съответни конвенции на МОТ трябва да се зачитат през целия предприсъединителен процес; призовава Украйна да продължи сближаването на трудовите стандарти, и по-специално по отношение на свободата на сдружаване и социалния диалог; подчертава необходимостта от широки консултации със синдикалните организации и гражданското общество и препоръчва да бъде използван експертният опит на Международната организация на труда в тази сфера; настоятелно призовава Украйна и Комисията да се ангажират с ключови социални партньори, включително с независимите профсъюзи, относно разработването, изпълнението и мониторинга на социално-икономическите реформи, като същевременно отчитат необходимостта от мерки за реформи за подобряване на бизнес климата и </w:t>
      </w:r>
      <w:r w:rsidRPr="00125AB6" w:rsidR="00016951">
        <w:t xml:space="preserve">функционирането на </w:t>
      </w:r>
      <w:r w:rsidRPr="00125AB6">
        <w:t xml:space="preserve">пазарната икономика; призовава за по-голям акцент върху мерките за коригиране на нарушенията на пазара и мерките за социална закрила; </w:t>
      </w:r>
    </w:p>
    <w:p w:rsidR="00C71B48" w:rsidRPr="00125AB6" w:rsidP="00C71B48" w14:paraId="52241C8A" w14:textId="38064A69">
      <w:pPr>
        <w:pStyle w:val="NormalHanging12a"/>
        <w:rPr>
          <w:bCs/>
          <w:iCs/>
        </w:rPr>
      </w:pPr>
      <w:r>
        <w:t>97</w:t>
      </w:r>
      <w:r w:rsidRPr="00125AB6">
        <w:t>.</w:t>
      </w:r>
      <w:r w:rsidRPr="00125AB6">
        <w:tab/>
        <w:t>отбелязва сведенията за държавна намеса в дейността на синдикатите, включително изземването на синдикална собственост; призовава за връщане на иззетите активи на синдикалните организации; призовава украинските органи да гарантират, че синдикалните дейци могат свободно да упражняват своя мандат, и призовава за пълна правна защита срещу антипрофсъюзни практики; настоятелно призовава Комисията и Европейската служба за външна дейност активно да наблюдават състоянието на трудовите права в Украйна, в тясно сътрудничество с Европейската конфедерация на профсъюзите (ЕКП) и МОТ;</w:t>
      </w:r>
    </w:p>
    <w:p w:rsidR="00C71B48" w:rsidRPr="00125AB6" w:rsidP="00C71B48" w14:paraId="4E67C282" w14:textId="64616DCB">
      <w:pPr>
        <w:pStyle w:val="NormalHanging12a"/>
      </w:pPr>
      <w:r>
        <w:t>98</w:t>
      </w:r>
      <w:r w:rsidRPr="00125AB6">
        <w:t>.</w:t>
      </w:r>
      <w:r w:rsidRPr="00125AB6">
        <w:tab/>
        <w:t>призовава да се полагат постоянни усилия за либерализиране на движението на капитали, включително чрез привеждане в съответствие с Регламента за единната зона за плащания в евро</w:t>
      </w:r>
      <w:r>
        <w:rPr>
          <w:rStyle w:val="FootnoteReference"/>
        </w:rPr>
        <w:footnoteReference w:id="10"/>
      </w:r>
      <w:r w:rsidRPr="00125AB6">
        <w:t>, и да се засили борбата срещу изпирането на пари и финансирането на тероризма;</w:t>
      </w:r>
    </w:p>
    <w:p w:rsidR="00C71B48" w:rsidRPr="00125AB6" w:rsidP="00C71B48" w14:paraId="7D9DD009" w14:textId="08BDE1D0">
      <w:pPr>
        <w:pStyle w:val="NormalHanging12a"/>
        <w:rPr>
          <w:bCs/>
          <w:iCs/>
        </w:rPr>
      </w:pPr>
      <w:r>
        <w:t>99</w:t>
      </w:r>
      <w:r w:rsidRPr="00125AB6">
        <w:t>.</w:t>
      </w:r>
      <w:r w:rsidRPr="00125AB6">
        <w:tab/>
        <w:t>приветства ефективното многостепенно управление на Украйна; приветства напредъка в процеса на децентрализация в съответствие с изискванията за присъединяване към ЕС; призовава за по-нататъшни реформи за предоставяне на повече правомощия на местното самоуправление в съответствие с принципите на Европейската харта за местното самоуправление;</w:t>
      </w:r>
    </w:p>
    <w:p w:rsidR="00C71B48" w:rsidRPr="00125AB6" w:rsidP="00C71B48" w14:paraId="2A42EF2B" w14:textId="778C8C9A">
      <w:pPr>
        <w:pStyle w:val="NormalHanging12a"/>
      </w:pPr>
      <w:r>
        <w:t>100</w:t>
      </w:r>
      <w:r w:rsidRPr="00125AB6">
        <w:t>.</w:t>
      </w:r>
      <w:r w:rsidRPr="00125AB6">
        <w:tab/>
        <w:t>поздравява Украйна за изпълнението на 63 от 68-те условия за реформи, очертани в плана за Украйна, които по първоначален замисъл трябваше да бъдат изпълнени след края на войната, но въпреки това бяха изпълнени по време на войната, което даде възможност за изплащането на 26,8 милиарда евро през 2025 г.; призовава да се полагат постоянни усилия за изпълнение съгласно Регламент (ЕС) 2024/792</w:t>
      </w:r>
      <w:r>
        <w:rPr>
          <w:rStyle w:val="FootnoteReference"/>
        </w:rPr>
        <w:footnoteReference w:id="11"/>
      </w:r>
      <w:r w:rsidRPr="00125AB6">
        <w:t xml:space="preserve">, </w:t>
      </w:r>
      <w:r w:rsidRPr="00125AB6">
        <w:t>по-специално за да бъде насърчена Украйна да приведе законодателството си в съответствие със законодателството на ЕС в областта на обществените поръчки;</w:t>
      </w:r>
    </w:p>
    <w:p w:rsidR="00C71B48" w:rsidRPr="00125AB6" w:rsidP="00C71B48" w14:paraId="64DE0EE0" w14:textId="65FAD7F2">
      <w:pPr>
        <w:pStyle w:val="NormalHanging12a"/>
        <w:rPr>
          <w:b/>
          <w:i/>
        </w:rPr>
      </w:pPr>
      <w:r>
        <w:t>101</w:t>
      </w:r>
      <w:r w:rsidRPr="00125AB6">
        <w:t>.</w:t>
      </w:r>
      <w:r w:rsidRPr="00125AB6">
        <w:rPr>
          <w:b/>
          <w:i/>
        </w:rPr>
        <w:tab/>
      </w:r>
      <w:r w:rsidRPr="00125AB6">
        <w:t>приветства изключително важната работа, извършвана ежедневно от украинските здравни служби, и по-специално украинските медицински сестри, по време на войната; отбелязва, че значителен дял от работещите в публичния сектор на грижите получават възнаграждение в размер на минималната работна заплата, която понастоящем възлиза на 6658 UAH нето; припомня, че действителният минимален размер за издръжка за едно лице, изчислен от Министерството на социалната политика през декември 2025 г., е бил 10 979 UAH; подчертава също така, че е необходимо да бъде въведена специфична и разумна регулация на натовареността на медицинските сестри;</w:t>
      </w:r>
    </w:p>
    <w:p w:rsidR="00C71B48" w:rsidRPr="00125AB6" w:rsidP="00C71B48" w14:paraId="35ED8171" w14:textId="77777777">
      <w:pPr>
        <w:pStyle w:val="Normal12a"/>
        <w:rPr>
          <w:i/>
          <w:iCs/>
        </w:rPr>
      </w:pPr>
      <w:r w:rsidRPr="00125AB6">
        <w:rPr>
          <w:b/>
          <w:i/>
        </w:rPr>
        <w:t>XIII. Енергетика, транспорт и устойчиво развитие</w:t>
      </w:r>
    </w:p>
    <w:p w:rsidR="00C71B48" w:rsidRPr="00125AB6" w:rsidP="00C71B48" w14:paraId="738B8C43" w14:textId="633B3D3F">
      <w:pPr>
        <w:pStyle w:val="NormalHanging12a"/>
      </w:pPr>
      <w:r>
        <w:t>102</w:t>
      </w:r>
      <w:r w:rsidRPr="00125AB6">
        <w:t>.</w:t>
      </w:r>
      <w:r w:rsidRPr="00125AB6">
        <w:tab/>
        <w:t>приветства значителния напредък, постигнат по отношение на реформите в енергийния сектор и привеждането на Украйна в съответствие с целите на Европейския зелен пакт и Пакта за чиста промишленост, и поздравява Украйна за добрия напредък в изпълнението на нейния национален план в областта на енергетиката и климата въпреки широко разпространеното разрушаване на енергийната инфраструктура на Украйна от страна на Русия; подчертава, че съгласуването с инициативите на ЕС, включително Европейския зелен пакт и Пакта за чиста промишленост, следва да вземе предвид непосредствените нужди от възстановяване, икономическата конкурентоспособност и дългосрочната енергийна сигурност на Украйна;</w:t>
      </w:r>
    </w:p>
    <w:p w:rsidR="00C71B48" w:rsidRPr="00125AB6" w:rsidP="00C71B48" w14:paraId="4B90D9BB" w14:textId="72A98E06">
      <w:pPr>
        <w:pStyle w:val="NormalHanging12a"/>
        <w:rPr>
          <w:bCs/>
          <w:iCs/>
        </w:rPr>
      </w:pPr>
      <w:r>
        <w:t>103</w:t>
      </w:r>
      <w:r w:rsidRPr="00125AB6">
        <w:t>.</w:t>
      </w:r>
      <w:r w:rsidRPr="00125AB6">
        <w:tab/>
        <w:t xml:space="preserve">призовава ЕС и държавите членки да засилят подкрепата си за енергийната система на Украйна, като подчертава, че по-голямата устойчивост на Украйна допринася пряко за по-голямата енергийна сигурност на Европа; подчертава, че устойчивата и предвидима енергийна подкрепа за Украйна е от съществено значение, за да се гарантират устойчивостта на гражданското население, икономическата стабилност и непрекъснатостта на критичните услуги в условията на продължаващи атаки и преди следващия зимен сезон; призовава Комисията да определи като приоритет реконструкцията на енергийния сектор, като премине от </w:t>
      </w:r>
      <w:r w:rsidRPr="00125AB6">
        <w:t>ad</w:t>
      </w:r>
      <w:r w:rsidRPr="00125AB6">
        <w:t xml:space="preserve"> </w:t>
      </w:r>
      <w:r w:rsidRPr="00125AB6">
        <w:t>hoc</w:t>
      </w:r>
      <w:r w:rsidRPr="00125AB6">
        <w:t xml:space="preserve"> спешна помощ към дългосрочни механизми за възстановяване, защита и модернизация на енергийния сектор;</w:t>
      </w:r>
    </w:p>
    <w:p w:rsidR="00C71B48" w:rsidRPr="00125AB6" w:rsidP="00C71B48" w14:paraId="0EFDAA49" w14:textId="6DBA6AD9">
      <w:pPr>
        <w:pStyle w:val="NormalHanging12a"/>
        <w:rPr>
          <w:bCs/>
          <w:iCs/>
        </w:rPr>
      </w:pPr>
      <w:r>
        <w:t>104</w:t>
      </w:r>
      <w:r w:rsidRPr="00125AB6">
        <w:t>.</w:t>
      </w:r>
      <w:r w:rsidRPr="00125AB6">
        <w:tab/>
        <w:t>подчертава, че Украйна има съществен потенциал като доставчик на енергия и енергоемки продукти за останалата част на Европа; призовава за ускоряване на интеграцията на Украйна в енергийния пазар на ЕС, като един от елементите, допринасящи за неговата сигурност, включително чрез регулаторна синхронизация и инвестиции във възобновяеми енергийни източници; насърчава продължаващото развитие на енергийни междусистемни връзки със съседните държави – членки на ЕС, и регионалните партньори като Република Молдова, с цел по-нататъшна интеграция в енергийния пазар на ЕС; призовава Комисията и държавите членки да засилят инвестициите в разширяването и модернизацията на трансграничните енергийни междусистемни връзки с Украйна и да продължат интеграцията и хармонизацията на преносните мрежи като ключова подготвителна стъпка към интеграцията на Украйна във вътрешния енергиен пазар на ЕС;</w:t>
      </w:r>
    </w:p>
    <w:p w:rsidR="00C71B48" w:rsidRPr="00125AB6" w:rsidP="00C71B48" w14:paraId="347A73B5" w14:textId="23A1EB9D">
      <w:pPr>
        <w:pStyle w:val="NormalHanging12a"/>
        <w:rPr>
          <w:bCs/>
          <w:iCs/>
        </w:rPr>
      </w:pPr>
      <w:r>
        <w:t>105</w:t>
      </w:r>
      <w:r w:rsidRPr="00125AB6">
        <w:t>.</w:t>
      </w:r>
      <w:r w:rsidRPr="00125AB6">
        <w:tab/>
        <w:t>отбелязва стратегическото значение на бъдещо споразумение за продажбата на два ядрени реактора тип ВВЕР-1000 от България на Украйна като пример за задълбочаване на енергийното сътрудничество и отбелязва в допълнение, че това ще допринесе за енергийната сигурност на Украйна; подчертава потенциала на проекта за укрепване на регионалната енергийна свързаност и интеграцията на украинската енергийна система в рамките на европейската; насърчава по-нататъшното развитие на съвместни инициативи в области като енергийната инфраструктура, включително електропреносните линии и съхранението на енергия, както и подобряване на интермодалните транспортни връзки, за да бъдат улеснени веригите на доставки, логистиката и търговията между двете държави и в Черноморския регион в по-широк план;</w:t>
      </w:r>
    </w:p>
    <w:p w:rsidR="00C71B48" w:rsidRPr="00125AB6" w:rsidP="00C71B48" w14:paraId="58B5C1A4" w14:textId="15D8A55A">
      <w:pPr>
        <w:pStyle w:val="NormalHanging12a"/>
        <w:rPr>
          <w:bCs/>
          <w:iCs/>
        </w:rPr>
      </w:pPr>
      <w:r>
        <w:t>106</w:t>
      </w:r>
      <w:r w:rsidRPr="00125AB6">
        <w:t>.</w:t>
      </w:r>
      <w:r w:rsidRPr="00125AB6">
        <w:tab/>
        <w:t xml:space="preserve">отбелязва призивите на Украйна за временно изключение поради непреодолима сила по отношение на прилагането на механизма за корекция на въглеродните емисии на границите или свързани мерки, с оглед на въздействието на агресивната война на Русия върху способността на Украйна да намали въглеродния отпечатък на своята промишленост; насърчава Комисията да започне консултации с цел намиране на взаимно приемливи временни решения в това отношение; </w:t>
      </w:r>
    </w:p>
    <w:p w:rsidR="00C71B48" w:rsidRPr="00125AB6" w:rsidP="00C71B48" w14:paraId="4FD29714" w14:textId="334C33D4">
      <w:pPr>
        <w:pStyle w:val="NormalHanging12a"/>
        <w:rPr>
          <w:bCs/>
          <w:iCs/>
        </w:rPr>
      </w:pPr>
      <w:r>
        <w:t>107</w:t>
      </w:r>
      <w:r w:rsidRPr="00125AB6">
        <w:t>.</w:t>
      </w:r>
      <w:r w:rsidRPr="00125AB6">
        <w:tab/>
        <w:t>настоятелно призовава Украйна да използва възстановяването, за да „изгражда отново, но по-добре“, като използва навсякъде, където е възможно, най-щадящите климата технологии и най-рентабилните и надеждни решения за енергийния сектор на Украйна, като инвестира във възобновяеми енергийни източници и енергийна ефективност и свежда до минимум въздействието върху околната среда по цялата производствена верига; приветства трайната ангажираност на Комисията в тази област за подпомагане на реформата на енергийния сектор в Украйна; призовава Комисията и украинските органи да използват по стратегически начин средствата по Механизма за Украйна, с цел да се даде приоритет на инвестициите във възобновяеми енергийни източници; призовава за постигане на напредък по изпълнението на съществуващите ангажименти съгласно плана за Украйна и пакетите за Енергийната общност, включително отделянето на регионалните енергоразпределителни дружества;</w:t>
      </w:r>
    </w:p>
    <w:p w:rsidR="00C71B48" w:rsidRPr="00125AB6" w:rsidP="00C71B48" w14:paraId="5CFAC6AF" w14:textId="0D6D2675">
      <w:pPr>
        <w:pStyle w:val="NormalHanging12a"/>
        <w:rPr>
          <w:bCs/>
          <w:iCs/>
        </w:rPr>
      </w:pPr>
      <w:r>
        <w:t>108</w:t>
      </w:r>
      <w:r w:rsidRPr="00125AB6">
        <w:t>.</w:t>
      </w:r>
      <w:r w:rsidRPr="00125AB6">
        <w:tab/>
        <w:t>приветства усилията на Украйна за привеждане на нейната транспортна политика в съответствие с достиженията на правото на ЕС и за укрепване на свързаността със Съюза; подчертава значението на изпълнението на националната транспортна стратегия и стратегията за развитие и разширяване на граничната инфраструктура с държавите – членки на ЕС, и Молдова; призовава устойчивата модернизация на железопътната, пътната, пристанищната и граничната инфраструктура да бъде ускорена в съответствие с приоритетите на трансевропейската транспортна мрежа; призовава Украйна да ускори реформата в железопътния сектор, както и привеждането му в съответствие с достиженията на правото на ЕС в областта на безопасността и оперативната съвместимост на железниците;</w:t>
      </w:r>
    </w:p>
    <w:p w:rsidR="00C71B48" w:rsidRPr="00125AB6" w:rsidP="00C71B48" w14:paraId="1BA52169" w14:textId="2F691332">
      <w:pPr>
        <w:pStyle w:val="NormalHanging12a"/>
        <w:rPr>
          <w:bCs/>
          <w:iCs/>
        </w:rPr>
      </w:pPr>
      <w:r>
        <w:t>109</w:t>
      </w:r>
      <w:r w:rsidRPr="00125AB6">
        <w:t>.</w:t>
      </w:r>
      <w:r w:rsidRPr="00125AB6">
        <w:tab/>
        <w:t xml:space="preserve">подчертава същевременно, че спазването на екологичните стандарти при изпълнението на енергийни и транспортни проекти е от ключово значение за напредъка на реформите, необходими за пътя на Украйна към членство в ЕС; подчертава, че е важно ЕС да подкрепи Украйна „да се изгради отново и по-добре“ въз основа на екологична и социална устойчивост; призовава ЕС и неговите държави членки да засилят подкрепата си за Украйна, както финансово, </w:t>
      </w:r>
      <w:r w:rsidRPr="00125AB6">
        <w:t>така и с експертен опит, с цел ускоряване на привеждането ѝ в съответствие с достиженията на правото на ЕС в областта на околната среда;</w:t>
      </w:r>
    </w:p>
    <w:p w:rsidR="00C71B48" w:rsidRPr="00125AB6" w:rsidP="00C71B48" w14:paraId="28FF79F6" w14:textId="6D1243F2">
      <w:pPr>
        <w:pStyle w:val="NormalHanging12a"/>
        <w:rPr>
          <w:bCs/>
          <w:iCs/>
        </w:rPr>
      </w:pPr>
      <w:r>
        <w:t>110</w:t>
      </w:r>
      <w:r w:rsidRPr="00125AB6">
        <w:t>.</w:t>
      </w:r>
      <w:r w:rsidRPr="00125AB6">
        <w:tab/>
        <w:t>подчертава, че Украйна продължава да се сблъсква със значителни екологични предизвикателства, които са допълнително изострени от продължаващата война; отбелязва, че продължаването на конфликта има сериозни отрицателни въздействия върху околната среда, сред които замърсяване на почвите и водите, деградация на екосистемите и увеличен натиск върху природните ресурси; изразява загриженост относно произтичащата загуба на биологично разнообразие, включително щети върху екосистемите на гори, степи и влажни зони; подчертава значението на интегрирането на опазването на околната среда и устойчивостта в усилията за възстановяване и реконструкция; призовава за засилено управление в областта на околната среда, подобрени системи за мониторинг и ефективно прилагане на процедурите за оценка на въздействието върху околната среда и стратегическа екологична оценка в съответствие с достиженията на правото на ЕС по глава 27;</w:t>
      </w:r>
    </w:p>
    <w:p w:rsidR="00C71B48" w:rsidRPr="00125AB6" w:rsidP="00C71B48" w14:paraId="6BF68A69" w14:textId="70C5927F">
      <w:pPr>
        <w:pStyle w:val="NormalHanging12a"/>
        <w:rPr>
          <w:bCs/>
          <w:iCs/>
        </w:rPr>
      </w:pPr>
      <w:r>
        <w:t>111</w:t>
      </w:r>
      <w:r w:rsidRPr="00125AB6">
        <w:t>.</w:t>
      </w:r>
      <w:r w:rsidRPr="00125AB6">
        <w:tab/>
        <w:t>изразява загриженост относно изграждането на ветроенергийни паркове в защитени високопланински райони на Карпатите в западната част на Украйна, и по-специално планираното инсталиране на 30 турбини на връх Руна; подчертава, че вятърната енергия представлява по-сигурна и устойчива алтернатива на изкопаемите горива, и призовава Украйна да развива своя значителен потенциал за вятърна енергия извън защитените територии; подчертава, че производството на екологична енергия и опазването на природата не следва да се разглеждат като взаимно изключващи се в Украйна, тъй като съществуват други територии, вече определени за развитие на енергийна инфраструктура, които не включват уникални местообитания и девствени гори и разполагат със съществуваща пътна инфраструктура;</w:t>
      </w:r>
    </w:p>
    <w:p w:rsidR="00C71B48" w:rsidRPr="00125AB6" w:rsidP="00C71B48" w14:paraId="6C28D940" w14:textId="66920E71">
      <w:pPr>
        <w:pStyle w:val="NormalHanging12a"/>
        <w:rPr>
          <w:bCs/>
          <w:iCs/>
        </w:rPr>
      </w:pPr>
      <w:r>
        <w:t>112</w:t>
      </w:r>
      <w:r w:rsidRPr="00125AB6">
        <w:t>.</w:t>
      </w:r>
      <w:r w:rsidRPr="00125AB6">
        <w:tab/>
        <w:t xml:space="preserve">изразява дълбока загриженост относно продължаващата ситуация в </w:t>
      </w:r>
      <w:r w:rsidRPr="00125AB6">
        <w:t>Запорожката</w:t>
      </w:r>
      <w:r w:rsidRPr="00125AB6">
        <w:t xml:space="preserve"> атомна електроцентрала, която остава под незаконен руски контрол и продължава да представлява значителен риск за ядрената безопасност и сигурност поради продължаващата военна дейност в близост до нея; подчертава, че ангажиментът на Международната агенция за атомна енергия, макар и съществен за гарантиране на ядрената безопасност и сигурност, следва да остане строго технически по своя характер; подчертава в този контекст, че този ангажимент следва да се изпълнява при пълно зачитане на суверенитета и териториалната цялост на Украйна и не следва да се тълкува като засягащ статута на съоръжението; потвърждава отново, че е важно да се осигури безопасна и сигурна експлоатация на централата в съответствие с международните стандарти за ядрена безопасност и под легитимната власт на Украйна;</w:t>
      </w:r>
    </w:p>
    <w:p w:rsidR="00C71B48" w:rsidRPr="00125AB6" w:rsidP="00C71B48" w14:paraId="762356DF" w14:textId="0C40EC15">
      <w:pPr>
        <w:pStyle w:val="NormalHanging12a"/>
        <w:rPr>
          <w:bCs/>
          <w:iCs/>
        </w:rPr>
      </w:pPr>
      <w:r>
        <w:t>113</w:t>
      </w:r>
      <w:r w:rsidRPr="00125AB6">
        <w:t>.</w:t>
      </w:r>
      <w:r w:rsidRPr="00125AB6">
        <w:tab/>
        <w:t>припомня, че през 2026 г. се отбелязва 40-ата годишнина от ядрената катастрофа в Чернобил, която остава една от най-тежките ядрени аварии в историята; решително осъжда целенасочените нападения на Русия срещу обекта на атомната електроцентрала в Чернобил и катастрофалните щети на нейния защитен щит, който беше изграден така, че да задържа радиоактивния материал и вече не може да изпълнява основната си функция за безопасност, което поражда сериозни рискове за ядрената безопасност; отбелязва, че разходите за ремонти се оценяват на 500 милиона евро;</w:t>
      </w:r>
    </w:p>
    <w:p w:rsidR="00C71B48" w:rsidRPr="00125AB6" w:rsidP="00C71B48" w14:paraId="44C89522" w14:textId="77777777">
      <w:pPr>
        <w:pStyle w:val="NormalCenter12a"/>
      </w:pPr>
      <w:r w:rsidRPr="00125AB6">
        <w:t>°</w:t>
      </w:r>
    </w:p>
    <w:p w:rsidR="00C71B48" w:rsidRPr="00125AB6" w:rsidP="00C71B48" w14:paraId="5E0E1763" w14:textId="77777777">
      <w:pPr>
        <w:pStyle w:val="NormalCenter12a"/>
      </w:pPr>
      <w:r w:rsidRPr="00125AB6">
        <w:t>°</w:t>
      </w:r>
      <w:r w:rsidRPr="00125AB6">
        <w:tab/>
        <w:t>°</w:t>
      </w:r>
    </w:p>
    <w:p w:rsidR="00B86EDC" w:rsidRPr="00125AB6" w:rsidP="00B86EDC" w14:paraId="5DA4093B" w14:textId="31AD8BBD">
      <w:pPr>
        <w:pStyle w:val="NormalHanging12a"/>
      </w:pPr>
      <w:r>
        <w:t>114</w:t>
      </w:r>
      <w:r w:rsidRPr="00125AB6" w:rsidR="00C71B48">
        <w:t>.</w:t>
      </w:r>
      <w:r w:rsidRPr="00125AB6" w:rsidR="00C71B48">
        <w:tab/>
        <w:t>възлага на своя председател да предаде настоящата резолюция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на правителствата и парламентите на държавите членки и на правителството и парламента на Украйна.</w:t>
      </w:r>
    </w:p>
    <w:p w:rsidR="00E365E1" w:rsidRPr="00125AB6" w:rsidP="00C71B48" w14:paraId="70DB8B5D" w14:textId="795FD2D9"/>
    <w:sectPr w:rsidSect="00B86EDC">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C74FB" w:rsidRPr="00125AB6" w14:paraId="64981B15" w14:textId="77777777">
      <w:r w:rsidRPr="00125AB6">
        <w:separator/>
      </w:r>
    </w:p>
  </w:footnote>
  <w:footnote w:type="continuationSeparator" w:id="1">
    <w:p w:rsidR="000C74FB" w:rsidRPr="00125AB6" w14:paraId="3D2FF73D" w14:textId="77777777">
      <w:r w:rsidRPr="00125AB6">
        <w:continuationSeparator/>
      </w:r>
    </w:p>
  </w:footnote>
  <w:footnote w:id="2">
    <w:p w:rsidR="00C71B48" w:rsidRPr="00125AB6" w:rsidP="00B86EDC" w14:paraId="01866EEB" w14:textId="7A1F41F7">
      <w:pPr>
        <w:pStyle w:val="FootnoteText"/>
        <w:ind w:left="567" w:hanging="567"/>
        <w:rPr>
          <w:sz w:val="24"/>
          <w:lang w:val="bg-BG"/>
        </w:rPr>
      </w:pPr>
      <w:r w:rsidRPr="00125AB6">
        <w:rPr>
          <w:rStyle w:val="FootnoteReference"/>
          <w:sz w:val="24"/>
          <w:lang w:val="bg-BG"/>
        </w:rPr>
        <w:footnoteRef/>
      </w:r>
      <w:r w:rsidRPr="00125AB6" w:rsidR="00B86EDC">
        <w:rPr>
          <w:sz w:val="24"/>
          <w:lang w:val="bg-BG"/>
        </w:rPr>
        <w:t xml:space="preserve"> </w:t>
      </w:r>
      <w:r w:rsidRPr="00125AB6" w:rsidR="00B86EDC">
        <w:rPr>
          <w:sz w:val="24"/>
          <w:lang w:val="bg-BG"/>
        </w:rPr>
        <w:tab/>
      </w:r>
      <w:r w:rsidRPr="00125AB6">
        <w:rPr>
          <w:sz w:val="24"/>
          <w:lang w:val="bg-BG"/>
        </w:rPr>
        <w:t>Приети текстове, P10_TA(2026)0077.</w:t>
      </w:r>
    </w:p>
  </w:footnote>
  <w:footnote w:id="3">
    <w:p w:rsidR="00C71B48" w:rsidRPr="00125AB6" w:rsidP="00B86EDC" w14:paraId="1D59CD5E" w14:textId="5AA5C167">
      <w:pPr>
        <w:pStyle w:val="FootnoteText"/>
        <w:ind w:left="567" w:hanging="567"/>
        <w:rPr>
          <w:sz w:val="24"/>
          <w:lang w:val="bg-BG"/>
        </w:rPr>
      </w:pPr>
      <w:r w:rsidRPr="00125AB6">
        <w:rPr>
          <w:rStyle w:val="FootnoteReference"/>
          <w:sz w:val="24"/>
          <w:lang w:val="bg-BG"/>
        </w:rPr>
        <w:footnoteRef/>
      </w:r>
      <w:r w:rsidRPr="00125AB6" w:rsidR="00B86EDC">
        <w:rPr>
          <w:sz w:val="24"/>
          <w:lang w:val="bg-BG"/>
        </w:rPr>
        <w:t xml:space="preserve"> </w:t>
      </w:r>
      <w:r w:rsidRPr="00125AB6" w:rsidR="00B86EDC">
        <w:rPr>
          <w:sz w:val="24"/>
          <w:lang w:val="bg-BG"/>
        </w:rPr>
        <w:tab/>
      </w:r>
      <w:r w:rsidRPr="00125AB6">
        <w:rPr>
          <w:sz w:val="24"/>
          <w:lang w:val="bg-BG"/>
        </w:rPr>
        <w:t>Приети текстове, P10_TA(2026)0013.</w:t>
      </w:r>
    </w:p>
  </w:footnote>
  <w:footnote w:id="4">
    <w:p w:rsidR="00C71B48" w:rsidRPr="00125AB6" w:rsidP="00B86EDC" w14:paraId="19285822" w14:textId="35A337CF">
      <w:pPr>
        <w:pStyle w:val="FootnoteText"/>
        <w:ind w:left="567" w:hanging="567"/>
        <w:rPr>
          <w:sz w:val="24"/>
          <w:lang w:val="bg-BG"/>
        </w:rPr>
      </w:pPr>
      <w:r w:rsidRPr="00125AB6">
        <w:rPr>
          <w:rStyle w:val="FootnoteReference"/>
          <w:sz w:val="24"/>
          <w:lang w:val="bg-BG"/>
        </w:rPr>
        <w:footnoteRef/>
      </w:r>
      <w:r w:rsidRPr="00125AB6" w:rsidR="00B86EDC">
        <w:rPr>
          <w:sz w:val="24"/>
          <w:lang w:val="bg-BG"/>
        </w:rPr>
        <w:t xml:space="preserve"> </w:t>
      </w:r>
      <w:r w:rsidRPr="00125AB6" w:rsidR="00B86EDC">
        <w:rPr>
          <w:sz w:val="24"/>
          <w:lang w:val="bg-BG"/>
        </w:rPr>
        <w:tab/>
      </w:r>
      <w:r w:rsidRPr="00125AB6">
        <w:rPr>
          <w:sz w:val="24"/>
          <w:lang w:val="bg-BG"/>
        </w:rPr>
        <w:t>Приети текстове, P10_TA(2026)0077.</w:t>
      </w:r>
    </w:p>
  </w:footnote>
  <w:footnote w:id="5">
    <w:p w:rsidR="00C71B48" w:rsidRPr="00125AB6" w:rsidP="00B86EDC" w14:paraId="3BC9CC2F" w14:textId="2063FFA1">
      <w:pPr>
        <w:ind w:left="567" w:hanging="567"/>
        <w:rPr>
          <w:vertAlign w:val="superscript"/>
        </w:rPr>
      </w:pPr>
      <w:r w:rsidRPr="00125AB6">
        <w:rPr>
          <w:rStyle w:val="FootnoteReference"/>
        </w:rPr>
        <w:footnoteRef/>
      </w:r>
      <w:r w:rsidRPr="00125AB6" w:rsidR="00B86EDC">
        <w:t xml:space="preserve"> </w:t>
      </w:r>
      <w:r w:rsidRPr="00125AB6" w:rsidR="00B86EDC">
        <w:tab/>
      </w:r>
      <w:r w:rsidRPr="00125AB6">
        <w:t xml:space="preserve">Споразумение за асоцииране между Европейския съюз и неговите държави членки, от една страна, и Украйна, от друга страна (ELI: </w:t>
      </w:r>
      <w:hyperlink r:id="rId1" w:history="1">
        <w:r w:rsidRPr="00125AB6">
          <w:rPr>
            <w:rStyle w:val="Hyperlink"/>
          </w:rPr>
          <w:t>http://data.europa.eu/eli/agree_internation/2014/295/oj</w:t>
        </w:r>
      </w:hyperlink>
      <w:r w:rsidRPr="00125AB6">
        <w:t>).</w:t>
      </w:r>
    </w:p>
    <w:p w:rsidR="00C71B48" w:rsidRPr="00125AB6" w:rsidP="00B86EDC" w14:paraId="47AAEF44" w14:textId="37528AAC">
      <w:pPr>
        <w:pStyle w:val="FootnoteText"/>
        <w:ind w:left="567" w:hanging="567"/>
        <w:rPr>
          <w:sz w:val="24"/>
          <w:lang w:val="bg-BG"/>
        </w:rPr>
      </w:pPr>
      <w:r w:rsidRPr="00125AB6">
        <w:rPr>
          <w:sz w:val="24"/>
          <w:lang w:val="bg-BG"/>
        </w:rPr>
        <w:t xml:space="preserve"> </w:t>
      </w:r>
      <w:r w:rsidRPr="00125AB6">
        <w:rPr>
          <w:sz w:val="24"/>
          <w:lang w:val="bg-BG"/>
        </w:rPr>
        <w:tab/>
      </w:r>
    </w:p>
  </w:footnote>
  <w:footnote w:id="6">
    <w:p w:rsidR="00C71B48" w:rsidRPr="00125AB6" w:rsidP="00B86EDC" w14:paraId="03A9F11A" w14:textId="0708190E">
      <w:pPr>
        <w:pStyle w:val="FootnoteText"/>
        <w:ind w:left="567" w:hanging="567"/>
        <w:rPr>
          <w:sz w:val="24"/>
          <w:lang w:val="bg-BG"/>
        </w:rPr>
      </w:pPr>
      <w:r w:rsidRPr="00125AB6">
        <w:rPr>
          <w:rStyle w:val="FootnoteReference"/>
          <w:sz w:val="24"/>
          <w:lang w:val="bg-BG"/>
        </w:rPr>
        <w:footnoteRef/>
      </w:r>
      <w:r w:rsidRPr="00125AB6" w:rsidR="00B86EDC">
        <w:rPr>
          <w:sz w:val="24"/>
          <w:lang w:val="bg-BG"/>
        </w:rPr>
        <w:t xml:space="preserve"> </w:t>
      </w:r>
      <w:r w:rsidRPr="00125AB6" w:rsidR="00B86EDC">
        <w:rPr>
          <w:sz w:val="24"/>
          <w:lang w:val="bg-BG"/>
        </w:rPr>
        <w:tab/>
      </w:r>
      <w:r w:rsidRPr="00125AB6">
        <w:rPr>
          <w:sz w:val="24"/>
          <w:lang w:val="bg-BG"/>
        </w:rPr>
        <w:t xml:space="preserve">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 1, ELI: </w:t>
      </w:r>
      <w:hyperlink r:id="rId2" w:history="1">
        <w:r w:rsidRPr="00125AB6">
          <w:rPr>
            <w:rStyle w:val="Hyperlink"/>
            <w:sz w:val="24"/>
            <w:lang w:val="bg-BG"/>
          </w:rPr>
          <w:t>http://data.europa.eu/eli/reg/2022/2065/oj</w:t>
        </w:r>
      </w:hyperlink>
      <w:r w:rsidRPr="00125AB6">
        <w:rPr>
          <w:sz w:val="24"/>
          <w:lang w:val="bg-BG"/>
        </w:rPr>
        <w:t>).</w:t>
      </w:r>
    </w:p>
  </w:footnote>
  <w:footnote w:id="7">
    <w:p w:rsidR="00C71B48" w:rsidRPr="00125AB6" w:rsidP="00B86EDC" w14:paraId="29932D6A" w14:textId="4A221165">
      <w:pPr>
        <w:pStyle w:val="FootnoteText"/>
        <w:ind w:left="567" w:hanging="567"/>
        <w:rPr>
          <w:sz w:val="24"/>
          <w:lang w:val="bg-BG"/>
        </w:rPr>
      </w:pPr>
      <w:r w:rsidRPr="00125AB6">
        <w:rPr>
          <w:rStyle w:val="FootnoteReference"/>
          <w:sz w:val="24"/>
          <w:lang w:val="bg-BG"/>
        </w:rPr>
        <w:footnoteRef/>
      </w:r>
      <w:r w:rsidRPr="00125AB6" w:rsidR="00B86EDC">
        <w:rPr>
          <w:sz w:val="24"/>
          <w:lang w:val="bg-BG"/>
        </w:rPr>
        <w:t xml:space="preserve"> </w:t>
      </w:r>
      <w:r w:rsidRPr="00125AB6" w:rsidR="00B86EDC">
        <w:rPr>
          <w:sz w:val="24"/>
          <w:lang w:val="bg-BG"/>
        </w:rPr>
        <w:tab/>
      </w:r>
      <w:r w:rsidRPr="00125AB6">
        <w:rPr>
          <w:sz w:val="24"/>
          <w:lang w:val="bg-BG"/>
        </w:rPr>
        <w:t>Предложение на Комисията от 14 януари 2026 г. за регламент на Европейския парламент и на Съвета за осъществяване на засилено сътрудничество за създаването на заема за подкрепа на Украйна за 2026 г. и 2027 г. (COM(2026)0020).</w:t>
      </w:r>
    </w:p>
  </w:footnote>
  <w:footnote w:id="8">
    <w:p w:rsidR="00C71B48" w:rsidRPr="00125AB6" w:rsidP="00B86EDC" w14:paraId="0E42137A" w14:textId="36569049">
      <w:pPr>
        <w:pStyle w:val="FootnoteText"/>
        <w:ind w:left="567" w:hanging="567"/>
        <w:rPr>
          <w:sz w:val="24"/>
          <w:lang w:val="bg-BG"/>
        </w:rPr>
      </w:pPr>
      <w:r w:rsidRPr="00125AB6">
        <w:rPr>
          <w:rStyle w:val="FootnoteReference"/>
          <w:sz w:val="24"/>
          <w:lang w:val="bg-BG"/>
        </w:rPr>
        <w:footnoteRef/>
      </w:r>
      <w:r w:rsidRPr="00125AB6" w:rsidR="00B86EDC">
        <w:rPr>
          <w:sz w:val="24"/>
          <w:lang w:val="bg-BG"/>
        </w:rPr>
        <w:t xml:space="preserve"> </w:t>
      </w:r>
      <w:r w:rsidRPr="00125AB6" w:rsidR="00B86EDC">
        <w:rPr>
          <w:sz w:val="24"/>
          <w:lang w:val="bg-BG"/>
        </w:rPr>
        <w:tab/>
      </w:r>
      <w:r w:rsidRPr="00125AB6">
        <w:rPr>
          <w:sz w:val="24"/>
          <w:lang w:val="bg-BG"/>
        </w:rPr>
        <w:t>Предложение на Комисията</w:t>
      </w:r>
      <w:r w:rsidRPr="00125AB6" w:rsidR="00016951">
        <w:rPr>
          <w:sz w:val="24"/>
          <w:lang w:val="bg-BG"/>
        </w:rPr>
        <w:t xml:space="preserve"> от 3 декември </w:t>
      </w:r>
      <w:r w:rsidRPr="00125AB6" w:rsidR="00016951">
        <w:rPr>
          <w:sz w:val="24"/>
          <w:lang w:val="bg-BG"/>
        </w:rPr>
        <w:t>2025 г.</w:t>
      </w:r>
      <w:r w:rsidRPr="00125AB6">
        <w:rPr>
          <w:sz w:val="24"/>
          <w:lang w:val="bg-BG"/>
        </w:rPr>
        <w:t xml:space="preserve"> за регламент на Европейския парламент и на Съвета за създаване на репарационен заем за Украйна и за изменение на Регламент (ЕС) 2024/792 на Европейския парламент и на Съвета от 29 февруари 2024 г. за създаване на механизъм за Украйна (COM(2025)3502).</w:t>
      </w:r>
    </w:p>
  </w:footnote>
  <w:footnote w:id="9">
    <w:p w:rsidR="00C71B48" w:rsidRPr="00125AB6" w:rsidP="00B86EDC" w14:paraId="17F1EC3D" w14:textId="056A2EF4">
      <w:pPr>
        <w:pStyle w:val="FootnoteText"/>
        <w:ind w:left="567" w:hanging="567"/>
        <w:rPr>
          <w:sz w:val="24"/>
          <w:lang w:val="bg-BG"/>
        </w:rPr>
      </w:pPr>
      <w:r w:rsidRPr="00125AB6">
        <w:rPr>
          <w:rStyle w:val="FootnoteReference"/>
          <w:sz w:val="24"/>
          <w:lang w:val="bg-BG"/>
        </w:rPr>
        <w:footnoteRef/>
      </w:r>
      <w:r w:rsidRPr="00125AB6" w:rsidR="00B86EDC">
        <w:rPr>
          <w:sz w:val="24"/>
          <w:lang w:val="bg-BG"/>
        </w:rPr>
        <w:t xml:space="preserve"> </w:t>
      </w:r>
      <w:r w:rsidRPr="00125AB6" w:rsidR="00B86EDC">
        <w:rPr>
          <w:sz w:val="24"/>
          <w:lang w:val="bg-BG"/>
        </w:rPr>
        <w:tab/>
      </w:r>
      <w:r w:rsidRPr="00125AB6">
        <w:rPr>
          <w:sz w:val="24"/>
          <w:lang w:val="bg-BG"/>
        </w:rPr>
        <w:t>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r w:rsidRPr="00125AB6" w:rsidR="00016951">
        <w:rPr>
          <w:sz w:val="24"/>
          <w:lang w:val="bg-BG"/>
        </w:rPr>
        <w:t>,</w:t>
      </w:r>
      <w:r w:rsidRPr="00125AB6">
        <w:rPr>
          <w:sz w:val="24"/>
          <w:lang w:val="bg-BG"/>
        </w:rPr>
        <w:t xml:space="preserve"> ELI:  </w:t>
      </w:r>
      <w:hyperlink r:id="rId3" w:history="1">
        <w:r w:rsidRPr="00125AB6">
          <w:rPr>
            <w:rStyle w:val="Hyperlink"/>
            <w:sz w:val="24"/>
            <w:lang w:val="bg-BG"/>
          </w:rPr>
          <w:t>http://data.europa.eu/eli/dir/2001/55/oj</w:t>
        </w:r>
      </w:hyperlink>
      <w:r w:rsidRPr="00125AB6">
        <w:rPr>
          <w:sz w:val="24"/>
          <w:lang w:val="bg-BG"/>
        </w:rPr>
        <w:t>).</w:t>
      </w:r>
    </w:p>
  </w:footnote>
  <w:footnote w:id="10">
    <w:p w:rsidR="009D6FD5" w:rsidRPr="00125AB6" w:rsidP="00B86EDC" w14:paraId="026A7B57" w14:textId="2E42DF94">
      <w:pPr>
        <w:pStyle w:val="FootnoteText"/>
        <w:ind w:left="567" w:hanging="567"/>
        <w:rPr>
          <w:sz w:val="24"/>
          <w:lang w:val="bg-BG"/>
        </w:rPr>
      </w:pPr>
      <w:r w:rsidRPr="009051B2">
        <w:rPr>
          <w:rStyle w:val="FootnoteReference"/>
          <w:lang w:val="bg-BG"/>
        </w:rPr>
        <w:footnoteRef/>
      </w:r>
      <w:r w:rsidRPr="00125AB6">
        <w:rPr>
          <w:sz w:val="24"/>
          <w:vertAlign w:val="superscript"/>
          <w:lang w:val="bg-BG"/>
        </w:rPr>
        <w:t xml:space="preserve"> </w:t>
      </w:r>
      <w:r w:rsidRPr="00125AB6">
        <w:rPr>
          <w:sz w:val="24"/>
          <w:vertAlign w:val="superscript"/>
          <w:lang w:val="bg-BG"/>
        </w:rPr>
        <w:tab/>
      </w:r>
      <w:r w:rsidRPr="00125AB6">
        <w:rPr>
          <w:sz w:val="24"/>
          <w:lang w:val="bg-BG"/>
        </w:rPr>
        <w:t xml:space="preserve">Регламент (ЕС) № 260/2012 на Европейския парламент и на Съвета от 14 март 2012 г. за определяне на технически и бизнес изисквания за кредитни преводи и директни дебити в евро и за изменение на Регламент (ЕО) № 924/2009 (ОВ L 94, 30.3.2012 г., стр. 22, ELI: </w:t>
      </w:r>
      <w:hyperlink r:id="rId4" w:tgtFrame="http://data.europa.eu/eli/reg/2012/260/oj" w:history="1">
        <w:r w:rsidRPr="00125AB6">
          <w:rPr>
            <w:rStyle w:val="Hyperlink"/>
            <w:sz w:val="24"/>
            <w:lang w:val="bg-BG"/>
          </w:rPr>
          <w:t>http://data.europa.eu/eli/reg/2012/260/oj</w:t>
        </w:r>
      </w:hyperlink>
      <w:r w:rsidRPr="00125AB6">
        <w:rPr>
          <w:sz w:val="24"/>
          <w:lang w:val="bg-BG"/>
        </w:rPr>
        <w:t>).</w:t>
      </w:r>
    </w:p>
  </w:footnote>
  <w:footnote w:id="11">
    <w:p w:rsidR="009D6FD5" w:rsidRPr="00B86EDC" w:rsidP="00B86EDC" w14:paraId="3A1FC889" w14:textId="46F45096">
      <w:pPr>
        <w:pStyle w:val="FootnoteText"/>
        <w:ind w:left="567" w:hanging="567"/>
        <w:rPr>
          <w:sz w:val="24"/>
          <w:lang w:val="bg-BG"/>
        </w:rPr>
      </w:pPr>
      <w:r w:rsidRPr="009051B2">
        <w:rPr>
          <w:rStyle w:val="FootnoteReference"/>
          <w:lang w:val="bg-BG"/>
        </w:rPr>
        <w:footnoteRef/>
      </w:r>
      <w:r w:rsidRPr="00125AB6">
        <w:rPr>
          <w:sz w:val="24"/>
          <w:vertAlign w:val="superscript"/>
          <w:lang w:val="bg-BG"/>
        </w:rPr>
        <w:t xml:space="preserve"> </w:t>
      </w:r>
      <w:r w:rsidRPr="00125AB6">
        <w:rPr>
          <w:sz w:val="24"/>
          <w:vertAlign w:val="superscript"/>
          <w:lang w:val="bg-BG"/>
        </w:rPr>
        <w:tab/>
      </w:r>
      <w:r w:rsidRPr="00125AB6">
        <w:rPr>
          <w:sz w:val="24"/>
          <w:lang w:val="bg-BG"/>
        </w:rPr>
        <w:t xml:space="preserve">Регламент (ЕС) 2024/792 на Европейския парламент и на Съвета от 29 февруари 2024 г. за създаване на механизъм за Украйна (ОВ L, 2024/792, 29.2.2024 г., ELI: </w:t>
      </w:r>
      <w:hyperlink r:id="rId5" w:tgtFrame="http://data.europa.eu/eli/reg/2024/792/oj" w:history="1">
        <w:r w:rsidRPr="00125AB6">
          <w:rPr>
            <w:rStyle w:val="Hyperlink"/>
            <w:sz w:val="24"/>
            <w:lang w:val="bg-BG"/>
          </w:rPr>
          <w:t>http://data.europa.eu/eli/reg/2024/792/oj</w:t>
        </w:r>
      </w:hyperlink>
      <w:r w:rsidRPr="00125AB6">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4018870">
    <w:abstractNumId w:val="9"/>
  </w:num>
  <w:num w:numId="2" w16cid:durableId="588930558">
    <w:abstractNumId w:val="9"/>
  </w:num>
  <w:num w:numId="3" w16cid:durableId="1105660681">
    <w:abstractNumId w:val="7"/>
  </w:num>
  <w:num w:numId="4" w16cid:durableId="1151601445">
    <w:abstractNumId w:val="7"/>
  </w:num>
  <w:num w:numId="5" w16cid:durableId="1877616802">
    <w:abstractNumId w:val="6"/>
  </w:num>
  <w:num w:numId="6" w16cid:durableId="882015101">
    <w:abstractNumId w:val="6"/>
  </w:num>
  <w:num w:numId="7" w16cid:durableId="435834475">
    <w:abstractNumId w:val="5"/>
  </w:num>
  <w:num w:numId="8" w16cid:durableId="1263806687">
    <w:abstractNumId w:val="5"/>
  </w:num>
  <w:num w:numId="9" w16cid:durableId="474763970">
    <w:abstractNumId w:val="4"/>
  </w:num>
  <w:num w:numId="10" w16cid:durableId="1464734761">
    <w:abstractNumId w:val="4"/>
  </w:num>
  <w:num w:numId="11" w16cid:durableId="526137680">
    <w:abstractNumId w:val="8"/>
  </w:num>
  <w:num w:numId="12" w16cid:durableId="1711765746">
    <w:abstractNumId w:val="8"/>
  </w:num>
  <w:num w:numId="13" w16cid:durableId="1098987007">
    <w:abstractNumId w:val="3"/>
  </w:num>
  <w:num w:numId="14" w16cid:durableId="1259289974">
    <w:abstractNumId w:val="3"/>
  </w:num>
  <w:num w:numId="15" w16cid:durableId="1672872891">
    <w:abstractNumId w:val="2"/>
  </w:num>
  <w:num w:numId="16" w16cid:durableId="1737632413">
    <w:abstractNumId w:val="2"/>
  </w:num>
  <w:num w:numId="17" w16cid:durableId="1151602342">
    <w:abstractNumId w:val="1"/>
  </w:num>
  <w:num w:numId="18" w16cid:durableId="866874433">
    <w:abstractNumId w:val="1"/>
  </w:num>
  <w:num w:numId="19" w16cid:durableId="1444111945">
    <w:abstractNumId w:val="0"/>
  </w:num>
  <w:num w:numId="20" w16cid:durableId="1759447741">
    <w:abstractNumId w:val="0"/>
  </w:num>
  <w:num w:numId="21" w16cid:durableId="1236940420">
    <w:abstractNumId w:val="9"/>
  </w:num>
  <w:num w:numId="22" w16cid:durableId="13459986">
    <w:abstractNumId w:val="7"/>
  </w:num>
  <w:num w:numId="23" w16cid:durableId="1040400977">
    <w:abstractNumId w:val="6"/>
  </w:num>
  <w:num w:numId="24" w16cid:durableId="647128913">
    <w:abstractNumId w:val="5"/>
  </w:num>
  <w:num w:numId="25" w16cid:durableId="456723611">
    <w:abstractNumId w:val="4"/>
  </w:num>
  <w:num w:numId="26" w16cid:durableId="1536890370">
    <w:abstractNumId w:val="8"/>
  </w:num>
  <w:num w:numId="27" w16cid:durableId="1578978346">
    <w:abstractNumId w:val="3"/>
  </w:num>
  <w:num w:numId="28" w16cid:durableId="46539898">
    <w:abstractNumId w:val="2"/>
  </w:num>
  <w:num w:numId="29" w16cid:durableId="2079742246">
    <w:abstractNumId w:val="1"/>
  </w:num>
  <w:num w:numId="30" w16cid:durableId="817111626">
    <w:abstractNumId w:val="0"/>
  </w:num>
  <w:num w:numId="31" w16cid:durableId="844251661">
    <w:abstractNumId w:val="9"/>
  </w:num>
  <w:num w:numId="32" w16cid:durableId="1039427402">
    <w:abstractNumId w:val="7"/>
  </w:num>
  <w:num w:numId="33" w16cid:durableId="1398430021">
    <w:abstractNumId w:val="6"/>
  </w:num>
  <w:num w:numId="34" w16cid:durableId="575478441">
    <w:abstractNumId w:val="5"/>
  </w:num>
  <w:num w:numId="35" w16cid:durableId="1915823136">
    <w:abstractNumId w:val="4"/>
  </w:num>
  <w:num w:numId="36" w16cid:durableId="1060592218">
    <w:abstractNumId w:val="8"/>
  </w:num>
  <w:num w:numId="37" w16cid:durableId="27799671">
    <w:abstractNumId w:val="3"/>
  </w:num>
  <w:num w:numId="38" w16cid:durableId="1499540840">
    <w:abstractNumId w:val="2"/>
  </w:num>
  <w:num w:numId="39" w16cid:durableId="2111508228">
    <w:abstractNumId w:val="1"/>
  </w:num>
  <w:num w:numId="40" w16cid:durableId="2075421317">
    <w:abstractNumId w:val="0"/>
  </w:num>
  <w:num w:numId="41" w16cid:durableId="383867511">
    <w:abstractNumId w:val="10"/>
  </w:num>
  <w:num w:numId="42" w16cid:durableId="1961380993">
    <w:abstractNumId w:val="10"/>
  </w:num>
  <w:num w:numId="43" w16cid:durableId="29577058">
    <w:abstractNumId w:val="10"/>
  </w:num>
  <w:num w:numId="44" w16cid:durableId="6145987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4FB"/>
    <w:rsid w:val="00002272"/>
    <w:rsid w:val="00016951"/>
    <w:rsid w:val="00064002"/>
    <w:rsid w:val="000677B9"/>
    <w:rsid w:val="000831BA"/>
    <w:rsid w:val="000A42CC"/>
    <w:rsid w:val="000C74FB"/>
    <w:rsid w:val="000E7DD9"/>
    <w:rsid w:val="0010095E"/>
    <w:rsid w:val="00125AB6"/>
    <w:rsid w:val="00125B37"/>
    <w:rsid w:val="00187494"/>
    <w:rsid w:val="00194844"/>
    <w:rsid w:val="001A280C"/>
    <w:rsid w:val="001A374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663F"/>
    <w:rsid w:val="004C0004"/>
    <w:rsid w:val="004C5D52"/>
    <w:rsid w:val="004C6FF0"/>
    <w:rsid w:val="0050519A"/>
    <w:rsid w:val="005072A1"/>
    <w:rsid w:val="00514517"/>
    <w:rsid w:val="00545827"/>
    <w:rsid w:val="00560270"/>
    <w:rsid w:val="005779AF"/>
    <w:rsid w:val="005B74F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1B2"/>
    <w:rsid w:val="00930C23"/>
    <w:rsid w:val="0093193B"/>
    <w:rsid w:val="009509D8"/>
    <w:rsid w:val="00950B64"/>
    <w:rsid w:val="00981893"/>
    <w:rsid w:val="009D6FD5"/>
    <w:rsid w:val="00A1687D"/>
    <w:rsid w:val="00A43E52"/>
    <w:rsid w:val="00A4678D"/>
    <w:rsid w:val="00A778C7"/>
    <w:rsid w:val="00AB441E"/>
    <w:rsid w:val="00AB6293"/>
    <w:rsid w:val="00AE0928"/>
    <w:rsid w:val="00AF3B82"/>
    <w:rsid w:val="00B12E95"/>
    <w:rsid w:val="00B22876"/>
    <w:rsid w:val="00B558F0"/>
    <w:rsid w:val="00B86EDC"/>
    <w:rsid w:val="00BD48FE"/>
    <w:rsid w:val="00BD7BD8"/>
    <w:rsid w:val="00BE6ADC"/>
    <w:rsid w:val="00BF008B"/>
    <w:rsid w:val="00C05BFE"/>
    <w:rsid w:val="00C23CD4"/>
    <w:rsid w:val="00C61C0C"/>
    <w:rsid w:val="00C71B4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72/2026"/>
    <w:docVar w:name="dvlangue" w:val="BG"/>
    <w:docVar w:name="dvnumam" w:val="0"/>
    <w:docVar w:name="dvpe" w:val="784.266"/>
    <w:docVar w:name="dvrapporteur" w:val="Докладчик: "/>
    <w:docVar w:name="dvtitre" w:val="Резолюция на Европейския парламент от ... 2026 г. относно доклада на Комисията за Украйна за 2025 г.(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648D95E"/>
  <w15:chartTrackingRefBased/>
  <w15:docId w15:val="{059426CD-2024-4B8B-98D7-AB314851D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71B48"/>
    <w:pPr>
      <w:widowControl/>
      <w:spacing w:after="240"/>
    </w:pPr>
    <w:rPr>
      <w:szCs w:val="24"/>
      <w:lang w:eastAsia="en-US"/>
    </w:rPr>
  </w:style>
  <w:style w:type="paragraph" w:customStyle="1" w:styleId="NormalHanging12a">
    <w:name w:val="NormalHanging12a"/>
    <w:basedOn w:val="Normal"/>
    <w:link w:val="NormalHanging12aChar"/>
    <w:rsid w:val="00C71B48"/>
    <w:pPr>
      <w:widowControl/>
      <w:spacing w:after="240"/>
      <w:ind w:left="566" w:hanging="566"/>
    </w:pPr>
    <w:rPr>
      <w:szCs w:val="24"/>
      <w:lang w:eastAsia="en-US"/>
    </w:rPr>
  </w:style>
  <w:style w:type="paragraph" w:customStyle="1" w:styleId="Normal12">
    <w:name w:val="Normal12"/>
    <w:basedOn w:val="Normal"/>
    <w:rsid w:val="00C71B48"/>
    <w:pPr>
      <w:widowControl/>
      <w:spacing w:after="240"/>
    </w:pPr>
    <w:rPr>
      <w:szCs w:val="24"/>
      <w:lang w:eastAsia="en-US"/>
    </w:rPr>
  </w:style>
  <w:style w:type="paragraph" w:customStyle="1" w:styleId="NormalHanging">
    <w:name w:val="NormalHanging"/>
    <w:basedOn w:val="Normal"/>
    <w:rsid w:val="00C71B48"/>
    <w:pPr>
      <w:widowControl/>
      <w:spacing w:after="240"/>
      <w:ind w:left="566" w:hanging="566"/>
    </w:pPr>
    <w:rPr>
      <w:szCs w:val="24"/>
      <w:lang w:eastAsia="en-US"/>
    </w:rPr>
  </w:style>
  <w:style w:type="paragraph" w:customStyle="1" w:styleId="NormalCenter12a">
    <w:name w:val="NormalCenter12a"/>
    <w:basedOn w:val="Normal"/>
    <w:rsid w:val="00C71B48"/>
    <w:pPr>
      <w:widowControl/>
      <w:spacing w:after="240"/>
      <w:jc w:val="center"/>
    </w:pPr>
    <w:rPr>
      <w:szCs w:val="24"/>
      <w:lang w:eastAsia="en-US"/>
    </w:rPr>
  </w:style>
  <w:style w:type="character" w:styleId="Hyperlink">
    <w:name w:val="Hyperlink"/>
    <w:basedOn w:val="DefaultParagraphFont"/>
    <w:rsid w:val="00C71B48"/>
    <w:rPr>
      <w:color w:val="0000FF"/>
      <w:u w:val="single"/>
    </w:rPr>
  </w:style>
  <w:style w:type="paragraph" w:styleId="NormalWeb">
    <w:name w:val="Normal (Web)"/>
    <w:basedOn w:val="Normal"/>
    <w:uiPriority w:val="99"/>
    <w:unhideWhenUsed/>
    <w:rsid w:val="00C71B48"/>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C71B48"/>
    <w:rPr>
      <w:sz w:val="24"/>
      <w:szCs w:val="24"/>
      <w:lang w:val="bg-BG" w:eastAsia="en-US"/>
    </w:rPr>
  </w:style>
  <w:style w:type="paragraph" w:styleId="Revision">
    <w:name w:val="Revision"/>
    <w:hidden/>
    <w:uiPriority w:val="99"/>
    <w:semiHidden/>
    <w:rsid w:val="00016951"/>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13614</Words>
  <Characters>83622</Characters>
  <Application>Microsoft Office Word</Application>
  <DocSecurity>0</DocSecurity>
  <Lines>2260</Lines>
  <Paragraphs>1230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2026-08-12T04:19:00Z</dcterms:created>
  <dcterms:modified xsi:type="dcterms:W3CDTF">2026-08-12T04:19:00Z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A10-0172/2026</vt:lpwstr>
  </property>
  <property fmtid="{D5CDD505-2E9C-101B-9397-08002B2CF9AE}" pid="4" name="&lt;Type&gt;">
    <vt:lpwstr>RR</vt:lpwstr>
  </property>
</Properties>
</file>