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D2D46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DB4DEB" w:rsidP="0010095E" w14:paraId="56C61B7E" w14:textId="77777777">
            <w:pPr>
              <w:pStyle w:val="EPName"/>
            </w:pPr>
            <w:r w:rsidRPr="00DB4DEB">
              <w:t>Europski parlament</w:t>
            </w:r>
          </w:p>
          <w:p w:rsidR="00751A4A" w:rsidRPr="00DB4DEB" w:rsidP="005F1B17" w14:paraId="0919A27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4DEB">
              <w:t>2024</w:t>
            </w:r>
            <w:r w:rsidRPr="00DB4DEB" w:rsidR="00817416">
              <w:t>-202</w:t>
            </w:r>
            <w:r w:rsidRPr="00DB4DEB">
              <w:t>9</w:t>
            </w:r>
          </w:p>
        </w:tc>
        <w:tc>
          <w:tcPr>
            <w:tcW w:w="2268" w:type="dxa"/>
          </w:tcPr>
          <w:p w:rsidR="00751A4A" w:rsidRPr="00DB4DEB" w:rsidP="0010095E" w14:paraId="37799195" w14:textId="77777777">
            <w:pPr>
              <w:pStyle w:val="EPLogo"/>
            </w:pPr>
            <w:r w:rsidRPr="00DB4DE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4DEB" w:rsidP="004C5D52" w14:paraId="2C2A3926" w14:textId="77777777">
      <w:pPr>
        <w:pStyle w:val="LineTop"/>
      </w:pPr>
    </w:p>
    <w:p w:rsidR="00680577" w:rsidRPr="00DB4DEB" w:rsidP="00680577" w14:paraId="6ADF2B36" w14:textId="77777777">
      <w:pPr>
        <w:pStyle w:val="EPBodyTA1"/>
      </w:pPr>
      <w:r w:rsidRPr="00DB4DEB">
        <w:t>USVOJENI TEKSTOVI</w:t>
      </w:r>
    </w:p>
    <w:p w:rsidR="00D058B8" w:rsidRPr="00DB4DEB" w:rsidP="00D058B8" w14:paraId="0E89B09B" w14:textId="77777777">
      <w:pPr>
        <w:pStyle w:val="LineBottom"/>
      </w:pPr>
    </w:p>
    <w:p w:rsidR="00C019E4" w:rsidRPr="00DB4DEB" w:rsidP="00C019E4" w14:paraId="5348D2B2" w14:textId="3C055DC1">
      <w:pPr>
        <w:pStyle w:val="ATHeading1"/>
      </w:pPr>
      <w:bookmarkStart w:id="0" w:name="TANumber"/>
      <w:r w:rsidRPr="00DB4DEB">
        <w:t>P10_TA(2026)0</w:t>
      </w:r>
      <w:r w:rsidR="00295F34">
        <w:t>259</w:t>
      </w:r>
      <w:bookmarkEnd w:id="0"/>
    </w:p>
    <w:p w:rsidR="00C019E4" w:rsidRPr="00DB4DEB" w:rsidP="00C019E4" w14:paraId="2BC7CCD5" w14:textId="77777777">
      <w:pPr>
        <w:pStyle w:val="ATHeading2"/>
      </w:pPr>
      <w:bookmarkStart w:id="1" w:name="title"/>
      <w:r w:rsidRPr="00DB4DEB">
        <w:t>Izvješće Komisije o Ukrajini za 2025.</w:t>
      </w:r>
      <w:bookmarkEnd w:id="1"/>
    </w:p>
    <w:p w:rsidR="00C019E4" w:rsidRPr="00DB4DEB" w:rsidP="00C019E4" w14:paraId="2B09DCE0" w14:textId="77777777">
      <w:pPr>
        <w:rPr>
          <w:i/>
          <w:vanish/>
        </w:rPr>
      </w:pPr>
      <w:r>
        <w:rPr>
          <w:i/>
        </w:rPr>
        <w:fldChar w:fldCharType="begin"/>
      </w:r>
      <w:r w:rsidRPr="00DB4DEB">
        <w:rPr>
          <w:i/>
        </w:rPr>
        <w:instrText xml:space="preserve"> TC"(</w:instrText>
      </w:r>
      <w:bookmarkStart w:id="2" w:name="DocNumber"/>
      <w:r w:rsidRPr="00DB4DEB">
        <w:rPr>
          <w:i/>
        </w:rPr>
        <w:instrText>A10-0172/2026</w:instrText>
      </w:r>
      <w:bookmarkEnd w:id="2"/>
      <w:r w:rsidRPr="00DB4DEB">
        <w:rPr>
          <w:i/>
        </w:rPr>
        <w:instrText xml:space="preserve"> - Izvjestitelj: Michael </w:instrText>
      </w:r>
      <w:r w:rsidRPr="00DB4DEB">
        <w:rPr>
          <w:i/>
        </w:rPr>
        <w:instrText>Gahler</w:instrText>
      </w:r>
      <w:r w:rsidRPr="00DB4DE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019E4" w:rsidRPr="00DB4DEB" w:rsidP="00C019E4" w14:paraId="346B3A84" w14:textId="77777777">
      <w:pPr>
        <w:rPr>
          <w:vanish/>
        </w:rPr>
      </w:pPr>
      <w:bookmarkStart w:id="3" w:name="Commission"/>
      <w:r w:rsidRPr="00DB4DEB">
        <w:rPr>
          <w:vanish/>
        </w:rPr>
        <w:t>Odbor za vanjske poslove</w:t>
      </w:r>
      <w:bookmarkEnd w:id="3"/>
    </w:p>
    <w:p w:rsidR="00C019E4" w:rsidRPr="00DB4DEB" w:rsidP="00C019E4" w14:paraId="10B0BC30" w14:textId="77777777">
      <w:pPr>
        <w:rPr>
          <w:vanish/>
        </w:rPr>
      </w:pPr>
      <w:bookmarkStart w:id="4" w:name="PE"/>
      <w:r w:rsidRPr="00DB4DEB">
        <w:rPr>
          <w:vanish/>
        </w:rPr>
        <w:t>PE784.266</w:t>
      </w:r>
      <w:bookmarkEnd w:id="4"/>
    </w:p>
    <w:p w:rsidR="00C019E4" w:rsidRPr="00DB4DEB" w:rsidP="00C019E4" w14:paraId="673035EE" w14:textId="104FD930">
      <w:pPr>
        <w:pStyle w:val="ATHeading3"/>
      </w:pPr>
      <w:bookmarkStart w:id="5" w:name="Sujet"/>
      <w:r w:rsidRPr="00DB4DEB">
        <w:t xml:space="preserve">Rezolucija Europskog parlamenta od </w:t>
      </w:r>
      <w:r w:rsidR="00DB4DEB">
        <w:t>8</w:t>
      </w:r>
      <w:r w:rsidRPr="00DB4DEB">
        <w:t xml:space="preserve">. </w:t>
      </w:r>
      <w:r w:rsidR="00DB4DEB">
        <w:t xml:space="preserve">srpnja </w:t>
      </w:r>
      <w:r w:rsidRPr="00DB4DEB">
        <w:t>2026. o Izvješću Komisije o Ukrajini za 2025.</w:t>
      </w:r>
      <w:bookmarkEnd w:id="5"/>
      <w:r w:rsidRPr="00DB4DEB">
        <w:t xml:space="preserve"> </w:t>
      </w:r>
      <w:bookmarkStart w:id="6" w:name="References"/>
      <w:r w:rsidRPr="00DB4DEB">
        <w:t>(2025/2259(INI))</w:t>
      </w:r>
      <w:bookmarkEnd w:id="6"/>
    </w:p>
    <w:p w:rsidR="007D36EB" w:rsidRPr="00DB4DEB" w:rsidP="00DB4DEB" w14:paraId="67578B3A" w14:textId="77777777">
      <w:pPr>
        <w:pStyle w:val="Normal12"/>
        <w:spacing w:before="480"/>
      </w:pPr>
      <w:r w:rsidRPr="00DB4DEB">
        <w:rPr>
          <w:i/>
        </w:rPr>
        <w:t>Europski parlament</w:t>
      </w:r>
      <w:r w:rsidRPr="00DB4DEB">
        <w:t>,</w:t>
      </w:r>
    </w:p>
    <w:p w:rsidR="007D36EB" w:rsidRPr="00DB4DEB" w:rsidP="007D36EB" w14:paraId="24852BEE" w14:textId="77777777">
      <w:pPr>
        <w:pStyle w:val="NormalHanging"/>
      </w:pPr>
      <w:r w:rsidRPr="00DB4DEB">
        <w:t>–</w:t>
      </w:r>
      <w:r w:rsidRPr="00DB4DEB">
        <w:tab/>
        <w:t>uzimajući u obzir svoje prethodne rezolucije o Ukrajini,</w:t>
      </w:r>
    </w:p>
    <w:p w:rsidR="007D36EB" w:rsidRPr="003F5477" w:rsidP="007D36EB" w14:paraId="23F3069B" w14:textId="77777777">
      <w:pPr>
        <w:pStyle w:val="NormalHanging"/>
        <w:rPr>
          <w:rStyle w:val="HideTWBExt"/>
          <w:rFonts w:ascii="Times New Roman" w:hAnsi="Times New Roman" w:eastAsiaTheme="minorHAnsi"/>
          <w:iCs/>
          <w:vanish w:val="0"/>
          <w:color w:val="auto"/>
          <w:kern w:val="2"/>
          <w:sz w:val="24"/>
        </w:rPr>
      </w:pPr>
      <w:r w:rsidRPr="00DB4DEB">
        <w:t>–</w:t>
      </w:r>
      <w:r w:rsidRPr="00DB4DEB">
        <w:tab/>
        <w:t>uzimajući u obzir zaključke Europskog vijeća od 24. lipnja 2022. o dodjeli statusa zemlje kandidatkinje Ukrajini, od 15. prosinca 2023. o potvrđivanju otvaranja pristupnih pregovora i od 20. ožujka 2025.,</w:t>
      </w:r>
    </w:p>
    <w:p w:rsidR="007D36EB" w:rsidRPr="00DB4DEB" w:rsidP="007D36EB" w14:paraId="3D51242D" w14:textId="77777777">
      <w:pPr>
        <w:pStyle w:val="NormalHanging"/>
        <w:rPr>
          <w:iCs/>
        </w:rPr>
      </w:pPr>
      <w:r w:rsidRPr="00DB4DEB">
        <w:t>–</w:t>
      </w:r>
      <w:r w:rsidRPr="00DB4DEB">
        <w:tab/>
        <w:t>uzimajući u obzir svoju Rezoluciju od 11. ožujka 2026. o strategiji proširenja EU-a</w:t>
      </w:r>
      <w:r>
        <w:rPr>
          <w:rStyle w:val="FootnoteReference"/>
          <w:iCs/>
        </w:rPr>
        <w:footnoteReference w:id="2"/>
      </w:r>
      <w:r w:rsidRPr="00DB4DEB">
        <w:t>,</w:t>
      </w:r>
    </w:p>
    <w:p w:rsidR="007D36EB" w:rsidRPr="00DB4DEB" w:rsidP="007D36EB" w14:paraId="6CE5B134" w14:textId="77777777">
      <w:pPr>
        <w:pStyle w:val="NormalHanging"/>
        <w:rPr>
          <w:iCs/>
        </w:rPr>
      </w:pPr>
      <w:r w:rsidRPr="00DB4DEB">
        <w:t>–</w:t>
      </w:r>
      <w:r w:rsidRPr="00DB4DEB">
        <w:tab/>
        <w:t>uzimajući u obzir svoju Rezoluciju od 21. siječnja 2026. o provedbi zajedničke sigurnosne i obrambene politike – godišnje izvješće za 2025.</w:t>
      </w:r>
      <w:r>
        <w:rPr>
          <w:rStyle w:val="FootnoteReference"/>
          <w:iCs/>
        </w:rPr>
        <w:footnoteReference w:id="3"/>
      </w:r>
      <w:r w:rsidRPr="00DB4DEB">
        <w:t xml:space="preserve"> i Rezoluciju od 11. ožujka 2026. o strategiji proširenja EU-a</w:t>
      </w:r>
      <w:r>
        <w:rPr>
          <w:rStyle w:val="FootnoteReference"/>
          <w:iCs/>
        </w:rPr>
        <w:footnoteReference w:id="4"/>
      </w:r>
      <w:r w:rsidRPr="00DB4DEB">
        <w:t>,</w:t>
      </w:r>
    </w:p>
    <w:p w:rsidR="007D36EB" w:rsidRPr="00DB4DEB" w:rsidP="007D36EB" w14:paraId="42CC1672" w14:textId="77777777">
      <w:pPr>
        <w:pStyle w:val="NormalHanging"/>
        <w:rPr>
          <w:iCs/>
        </w:rPr>
      </w:pPr>
      <w:r w:rsidRPr="00DB4DEB">
        <w:t>–</w:t>
      </w:r>
      <w:r w:rsidRPr="00DB4DEB">
        <w:tab/>
        <w:t>uzimajući u obzir Instrument za Ukrajinu i Ukrajinski plan,</w:t>
      </w:r>
    </w:p>
    <w:p w:rsidR="007D36EB" w:rsidRPr="00DB4DEB" w:rsidP="007D36EB" w14:paraId="2A85E550" w14:textId="77777777">
      <w:pPr>
        <w:pStyle w:val="NormalHanging"/>
        <w:rPr>
          <w:iCs/>
        </w:rPr>
      </w:pPr>
      <w:r w:rsidRPr="00DB4DEB">
        <w:t>–</w:t>
      </w:r>
      <w:r w:rsidRPr="00DB4DEB">
        <w:tab/>
        <w:t xml:space="preserve">uzimajući u obzir zajedničku izjavu povjerenice Marte Kos i potpredsjednika ukrajinske vlade </w:t>
      </w:r>
      <w:r w:rsidRPr="00DB4DEB">
        <w:t>Tarasa</w:t>
      </w:r>
      <w:r w:rsidRPr="00DB4DEB">
        <w:t xml:space="preserve"> </w:t>
      </w:r>
      <w:r w:rsidRPr="00DB4DEB">
        <w:t>Kačke</w:t>
      </w:r>
      <w:r w:rsidRPr="00DB4DEB">
        <w:t xml:space="preserve"> od 11. prosinca 2025.,</w:t>
      </w:r>
    </w:p>
    <w:p w:rsidR="007D36EB" w:rsidRPr="00DB4DEB" w:rsidP="007D36EB" w14:paraId="6DBAF5FE" w14:textId="77777777">
      <w:pPr>
        <w:pStyle w:val="NormalHanging"/>
        <w:rPr>
          <w:iCs/>
        </w:rPr>
      </w:pPr>
      <w:r w:rsidRPr="00DB4DEB">
        <w:t>–</w:t>
      </w:r>
      <w:r w:rsidRPr="00DB4DEB">
        <w:tab/>
        <w:t>uzimajući u obzir planove Ukrajine u području vladavine prava, reforme javne uprave i funkcioniranja demokratskih institucija te akcijski plan za zaštitu prava pripadnika nacionalnih manjina (zajednica) u Ukrajini, odobren u svibnju 2025.,</w:t>
      </w:r>
    </w:p>
    <w:p w:rsidR="007D36EB" w:rsidRPr="00DB4DEB" w:rsidP="007D36EB" w14:paraId="387BF980" w14:textId="77777777">
      <w:pPr>
        <w:pStyle w:val="NormalHanging"/>
        <w:rPr>
          <w:iCs/>
        </w:rPr>
      </w:pPr>
      <w:r w:rsidRPr="00DB4DEB">
        <w:t>–</w:t>
      </w:r>
      <w:r w:rsidRPr="00DB4DEB">
        <w:tab/>
        <w:t>uzimajući u obzir Nacionalni program za usklađivanje s pravnom stečevinom EU-a koji je Vlada Ukrajine donijela 1. travnja 2026.,</w:t>
      </w:r>
    </w:p>
    <w:p w:rsidR="007D36EB" w:rsidRPr="00DB4DEB" w:rsidP="007D36EB" w14:paraId="071F7075" w14:textId="77777777">
      <w:pPr>
        <w:pStyle w:val="NormalHanging"/>
      </w:pPr>
      <w:r w:rsidRPr="00DB4DEB">
        <w:t>–</w:t>
      </w:r>
      <w:r w:rsidRPr="00DB4DEB">
        <w:tab/>
        <w:t>uzimajući u obzir radni dokument službi Komisije od 4. studenoga 2025. naslovljen „Izvješće o Ukrajini za 2025.” (SWD(2025)0759) i popratnu komunikaciju Komisije naslovljenu „Komunikacija o politici proširenja EU-a za 2025.” (COM(2025)0690),</w:t>
      </w:r>
    </w:p>
    <w:p w:rsidR="007D36EB" w:rsidRPr="00DB4DEB" w:rsidP="007D36EB" w14:paraId="5C29DA85" w14:textId="77777777">
      <w:pPr>
        <w:pStyle w:val="NormalHanging"/>
      </w:pPr>
      <w:r w:rsidRPr="00DB4DEB">
        <w:t>–</w:t>
      </w:r>
      <w:r w:rsidRPr="00DB4DEB">
        <w:tab/>
        <w:t>uzimajući u obzir članak 55. Poslovnika,</w:t>
      </w:r>
    </w:p>
    <w:p w:rsidR="007D36EB" w:rsidRPr="00DB4DEB" w:rsidP="007D36EB" w14:paraId="4CB10BFD" w14:textId="77777777">
      <w:pPr>
        <w:pStyle w:val="NormalHanging"/>
      </w:pPr>
      <w:r w:rsidRPr="00DB4DEB">
        <w:t>–</w:t>
      </w:r>
      <w:r w:rsidRPr="00DB4DEB">
        <w:tab/>
        <w:t>uzimajući u obzir izvješće Odbora za vanjske poslove (A10</w:t>
      </w:r>
      <w:r w:rsidRPr="00DB4DEB">
        <w:noBreakHyphen/>
        <w:t>0172/2026),</w:t>
      </w:r>
    </w:p>
    <w:p w:rsidR="007D36EB" w:rsidRPr="00DB4DEB" w:rsidP="007D36EB" w14:paraId="3F25C36D" w14:textId="77777777">
      <w:pPr>
        <w:pStyle w:val="NormalHanging"/>
      </w:pPr>
      <w:r w:rsidRPr="00DB4DEB">
        <w:t>A.</w:t>
      </w:r>
      <w:r w:rsidRPr="00DB4DEB">
        <w:tab/>
        <w:t>budući da Parlament najoštrije osuđuje ruski agresivni rat protiv Ukrajine, koji predstavlja očito kršenje Povelje UN-a i temeljnih načela međunarodnog prava i međunarodnog humanitarnog prava, koje se ogleda u raširenim i sustavnim ratnim zločinima, zločinima protiv čovječnosti, prisilnoj deportaciji tisuća , posebno djece – činovima koji zahtijevaju punu odgovornost i pravdu; budući da Parlament podupire pravo Ukrajine na suverenitet, neovisnost i teritorijalnu cjelovitost unutar njezinih međunarodno priznatih granica; budući da je Rusija napala Ukrajinu i da bi u svakom trenutku mogla zaustaviti brutalni rat koji vodi protiv svojeg susjeda;</w:t>
      </w:r>
    </w:p>
    <w:p w:rsidR="007D36EB" w:rsidRPr="00DB4DEB" w:rsidP="007D36EB" w14:paraId="26C6F043" w14:textId="77777777">
      <w:pPr>
        <w:pStyle w:val="NormalHanging"/>
        <w:rPr>
          <w:bCs/>
          <w:iCs/>
        </w:rPr>
      </w:pPr>
      <w:r w:rsidRPr="00DB4DEB">
        <w:t>B.</w:t>
      </w:r>
      <w:r w:rsidRPr="00DB4DEB">
        <w:tab/>
        <w:t xml:space="preserve">budući da Rusija, uz političku, materijalnu i vojnu potporu svojih saveznika, posebno </w:t>
      </w:r>
      <w:r w:rsidRPr="00DB4DEB">
        <w:t>Bjelarusa</w:t>
      </w:r>
      <w:r w:rsidRPr="00DB4DEB">
        <w:t xml:space="preserve">, Irana i Sjeverne Koreje te uz potporu Kine, od 24. veljače 2022. vodi nezakonitu, ničim izazvanu i neopravdanu opću ratnu agresiju na Ukrajinu; budući da je ruski rat protiv Ukrajine započeo 2014. nezakonitom okupacijom i pripojenjem Krima te naknadnom okupacijom dijelova regija Donjecka i </w:t>
      </w:r>
      <w:r w:rsidRPr="00DB4DEB">
        <w:t>Luhanska</w:t>
      </w:r>
      <w:r w:rsidRPr="00DB4DEB">
        <w:t>;</w:t>
      </w:r>
    </w:p>
    <w:p w:rsidR="007D36EB" w:rsidRPr="00DB4DEB" w:rsidP="007D36EB" w14:paraId="38FBEEA4" w14:textId="77777777">
      <w:pPr>
        <w:pStyle w:val="NormalHanging"/>
        <w:rPr>
          <w:bCs/>
          <w:iCs/>
        </w:rPr>
      </w:pPr>
      <w:r w:rsidRPr="00DB4DEB">
        <w:t>C.</w:t>
      </w:r>
      <w:r w:rsidRPr="00DB4DEB">
        <w:tab/>
        <w:t>budući da povrede suvereniteta europskih država koje je nedavno počinila Rusija, i još uvijek ih čini, potvrđuju da se njezini ciljevi ne odnose samo na Ukrajinu te da to predstavlja egzistencijalnu prijetnju slobodi i demokraciji u Europi;</w:t>
      </w:r>
    </w:p>
    <w:p w:rsidR="007D36EB" w:rsidRPr="00DB4DEB" w:rsidP="007D36EB" w14:paraId="33FEDB2D" w14:textId="06317906">
      <w:pPr>
        <w:pStyle w:val="NormalHanging"/>
        <w:rPr>
          <w:bCs/>
          <w:iCs/>
        </w:rPr>
      </w:pPr>
      <w:r w:rsidRPr="00DB4DEB">
        <w:t>D.</w:t>
      </w:r>
      <w:r w:rsidRPr="00DB4DEB">
        <w:tab/>
        <w:t>budući da Rusija unatoč raširenoj međunarodnoj osudi i dosad nezabilježenim sankcijama pojačava svoje ratno djelovanje ciljanim napadima na kritičnu energetsku infrastrukturu, stambene zgrade i civilnu infrastrukturu</w:t>
      </w:r>
      <w:r w:rsidRPr="00081F70" w:rsidR="009D6F35">
        <w:rPr>
          <w:bCs/>
          <w:iCs/>
        </w:rPr>
        <w:t xml:space="preserve">, kao i na lokalitete vjerske i kulturne baštine poput </w:t>
      </w:r>
      <w:r w:rsidRPr="00081F70" w:rsidR="009D6F35">
        <w:rPr>
          <w:bCs/>
          <w:iCs/>
        </w:rPr>
        <w:t>Kijevo-pečerske</w:t>
      </w:r>
      <w:r w:rsidRPr="00081F70" w:rsidR="009D6F35">
        <w:rPr>
          <w:bCs/>
          <w:iCs/>
        </w:rPr>
        <w:t xml:space="preserve"> </w:t>
      </w:r>
      <w:r w:rsidRPr="00081F70" w:rsidR="009D6F35">
        <w:rPr>
          <w:bCs/>
          <w:iCs/>
        </w:rPr>
        <w:t>lavre</w:t>
      </w:r>
      <w:r w:rsidRPr="00DB4DEB">
        <w:t>; budući da su milijuni ljudi u Ukrajini preživjeli nedavne vrlo niske zimske temperature uz ograničenu električnu energiju, grijanje i vodu; budući da je šteta u okolišu koju je Rusija prouzročila u posljednje četiri godine imala razorne posljedice i za ukrajinske prirodne resurse i ključne ekosustave te za zdravlje, egzistenciju i sigurnost ukrajinskog naroda;</w:t>
      </w:r>
    </w:p>
    <w:p w:rsidR="007D36EB" w:rsidRPr="00DB4DEB" w:rsidP="007D36EB" w14:paraId="532B1FC5" w14:textId="77777777">
      <w:pPr>
        <w:pStyle w:val="NormalHanging"/>
        <w:rPr>
          <w:bCs/>
          <w:iCs/>
        </w:rPr>
      </w:pPr>
      <w:r w:rsidRPr="00DB4DEB">
        <w:t>E.</w:t>
      </w:r>
      <w:r w:rsidRPr="00DB4DEB">
        <w:tab/>
        <w:t>budući da zbog ruske invazije više od četiri milijuna Ukrajinaca trenutačno živi u državama članicama EU-a u okviru mehanizma privremene zaštite i ima pravo na boravak, pristup tržištu rada, stanovanje, zdravstvenu skrb, socijalnu skrb i obrazovanje za svoju djecu;</w:t>
      </w:r>
    </w:p>
    <w:p w:rsidR="007D36EB" w:rsidRPr="00DB4DEB" w:rsidP="007D36EB" w14:paraId="386E9AEA" w14:textId="77777777">
      <w:pPr>
        <w:pStyle w:val="NormalHanging"/>
        <w:rPr>
          <w:b/>
          <w:i/>
        </w:rPr>
      </w:pPr>
      <w:r w:rsidRPr="00DB4DEB">
        <w:t>F.</w:t>
      </w:r>
      <w:r w:rsidRPr="00DB4DEB">
        <w:tab/>
        <w:t>budući da Ukrajina, braneći se od Rusije, uvelike doprinosi sigurnosti Europske unije; budući da su EU i njegove države članice najveći pružatelji financijske, gospodarske, vojne i humanitarne pomoći Ukrajini od početka opće invazije; budući da su od početka ruskog agresivnog rata na Ukrajinu, EU i njegove države članice pružili Ukrajini vojnu pomoć u iznosu od otprilike 75 milijardi EUR; budući da bi potpora Ukrajini trebala pridonijeti i jačanju europske obrambene industrijske i tehnološke baze (EDTIB) i strateškoj autonomiji Unije te da ne bi trebala povećati ovisnost o vanjskim akterima;</w:t>
      </w:r>
    </w:p>
    <w:p w:rsidR="007D36EB" w:rsidRPr="00DB4DEB" w:rsidP="007D36EB" w14:paraId="0639CE64" w14:textId="77777777">
      <w:pPr>
        <w:pStyle w:val="NormalHanging"/>
        <w:rPr>
          <w:bCs/>
          <w:iCs/>
        </w:rPr>
      </w:pPr>
      <w:r w:rsidRPr="00DB4DEB">
        <w:t>G.</w:t>
      </w:r>
      <w:r w:rsidRPr="00DB4DEB">
        <w:tab/>
        <w:t>budući da Ruska Federacija od početka nezakonite okupacije dijelova ukrajinskog teritorija u veljači 2014., koja i dalje traje, uporno provodi brojna kršenja ljudskih prava i temeljnih sloboda na privremeno okupiranim područjima;</w:t>
      </w:r>
    </w:p>
    <w:p w:rsidR="007D36EB" w:rsidRPr="00DB4DEB" w:rsidP="007D36EB" w14:paraId="72AF7B76" w14:textId="77777777">
      <w:pPr>
        <w:pStyle w:val="NormalHanging"/>
        <w:rPr>
          <w:bCs/>
          <w:iCs/>
        </w:rPr>
      </w:pPr>
      <w:r w:rsidRPr="00DB4DEB">
        <w:t>H.</w:t>
      </w:r>
      <w:r w:rsidRPr="00DB4DEB">
        <w:tab/>
        <w:t>budući da su Ukrajina i međunarodna tijela dokumentirali stotine pogubljenja ukrajinskih ratnih zarobljenika koja su počinile ruske snage; budući da takva pogubljenja predstavljaju tešku povredu međunarodnog prava i ljudskih prava te su izričito prepoznati kao ratni zločini na temelju Ženevskih konvencija i Rimskog statuta Međunarodnog kaznenog suda;</w:t>
      </w:r>
    </w:p>
    <w:p w:rsidR="007D36EB" w:rsidRPr="00DB4DEB" w:rsidP="007D36EB" w14:paraId="5120535B" w14:textId="77777777">
      <w:pPr>
        <w:pStyle w:val="NormalHanging"/>
        <w:rPr>
          <w:bCs/>
          <w:iCs/>
        </w:rPr>
      </w:pPr>
      <w:r w:rsidRPr="00DB4DEB">
        <w:t>I.</w:t>
      </w:r>
      <w:r w:rsidRPr="00DB4DEB">
        <w:tab/>
        <w:t xml:space="preserve">budući da je najmanje 20 000, a možda i do 35 000 ukrajinske djece prisilno deportirano u Rusiju i </w:t>
      </w:r>
      <w:r w:rsidRPr="00DB4DEB">
        <w:t>Bjelarus</w:t>
      </w:r>
      <w:r w:rsidRPr="00DB4DEB">
        <w:t xml:space="preserve"> ili pritvoreno na privremeno okupiranim ukrajinskim teritorijima;</w:t>
      </w:r>
    </w:p>
    <w:p w:rsidR="007D36EB" w:rsidRPr="00DB4DEB" w:rsidP="007D36EB" w14:paraId="602A9CB4" w14:textId="5B34A87B">
      <w:pPr>
        <w:pStyle w:val="NormalHanging"/>
        <w:rPr>
          <w:bCs/>
          <w:iCs/>
        </w:rPr>
      </w:pPr>
      <w:r w:rsidRPr="00DB4DEB">
        <w:t>J.</w:t>
      </w:r>
      <w:r w:rsidRPr="00DB4DEB">
        <w:tab/>
        <w:t xml:space="preserve">budući da su, kao odgovor na ruski agresivni rat, u Haagu osnovani Međunarodni centar za kazneni progon zločina agresije protiv Ukrajine i Registar štete za Ukrajinu, a Posebni sud za zločin agresije protiv Ukrajine je u postupku osnivanja; budući da je Komisija donijela prijedlog kojim se pokreće postupak da Europska unija postane jedan od članova utemeljitelja Posebnog suda; budući da je Međunarodni kazneni sud podigao optužnicu protiv Vladimira Putina i Marije Lvove-Belove za ratne zločine; budući da je Međunarodno povjerenstvo za ocjenu zahtjeva za naknadu štete za Ukrajinu osnovano na marginama 135. sjednice Odbora ministara Vijeća Europe koja je održana u Kišinjevu, u </w:t>
      </w:r>
      <w:r w:rsidRPr="00DB4DEB">
        <w:t>Moldovi</w:t>
      </w:r>
      <w:r w:rsidRPr="00DB4DEB">
        <w:t xml:space="preserve"> 14. svibnja 2026.; budući da će Međunarodno povjerenstvo za ocjenu zahtjeva za naknadu štete ojačati kapacitete za osiguravanje odgovornosti za međunarodne zločine počinjene u Ukrajini i protiv nje te za uvažavanje prava Ukrajine na punu naknadu štete nastale zbog nezakonitih postupaka Rusije;</w:t>
      </w:r>
    </w:p>
    <w:p w:rsidR="007D36EB" w:rsidRPr="00DB4DEB" w:rsidP="007D36EB" w14:paraId="5DCA8CA4" w14:textId="77777777">
      <w:pPr>
        <w:pStyle w:val="NormalHanging"/>
      </w:pPr>
      <w:r w:rsidRPr="00DB4DEB">
        <w:t>K.</w:t>
      </w:r>
      <w:r w:rsidRPr="00DB4DEB">
        <w:tab/>
        <w:t>budući da je Ukrajina pokazala iznimnu otpornost i odlučnost na svojem putu prema članstvu u EU-u, što je odluka koja odražava ustrajnu volju naroda Ukrajine, unatoč aktualnoj ruskoj ratnoj agresiji, koja je dovela do smrti tisuća ljudi, nanijela duboke traume preživjelima, obiteljima žrtava, ratnim veteranima i njihovim obiteljima te civilnom društvu i ostavila mnoge gradove i ključnu civilnu infrastrukturu u ruševinama te dovela do toga da ruske snage i dalje okupiraju dijelova njezina teritorija;</w:t>
      </w:r>
    </w:p>
    <w:p w:rsidR="007D36EB" w:rsidRPr="00DB4DEB" w:rsidP="007D36EB" w14:paraId="3E8254F5" w14:textId="77777777">
      <w:pPr>
        <w:pStyle w:val="NormalHanging"/>
        <w:rPr>
          <w:bCs/>
          <w:iCs/>
        </w:rPr>
      </w:pPr>
      <w:r w:rsidRPr="00DB4DEB">
        <w:t>L.</w:t>
      </w:r>
      <w:r w:rsidRPr="00DB4DEB">
        <w:tab/>
        <w:t xml:space="preserve">budući da se Ukrajina ne bori samo za pravo na slobodan život i slobodan izbor saveza, i ne samo za svoj suverenitet, mir, stabilnost i sigurnost, već i za očuvanje suštine demokracije pod egzistencijalnim pritiskom; budući da će se otpornost ukrajinske demokracije u konačnici ocjenjivati ne samo prema sposobnosti da se odupre vanjskoj agresiji, već i prema spremnosti da zaštiti pluralizam, </w:t>
      </w:r>
      <w:r w:rsidRPr="00DB4DEB">
        <w:t>uključivost</w:t>
      </w:r>
      <w:r w:rsidRPr="00DB4DEB">
        <w:t>, otvorenost i političku raznolikost unutar zemlje;</w:t>
      </w:r>
    </w:p>
    <w:p w:rsidR="007D36EB" w:rsidRPr="00DB4DEB" w:rsidP="007D36EB" w14:paraId="29020BA1" w14:textId="77777777">
      <w:pPr>
        <w:pStyle w:val="NormalHanging"/>
        <w:rPr>
          <w:bCs/>
          <w:iCs/>
        </w:rPr>
      </w:pPr>
      <w:r w:rsidRPr="00DB4DEB">
        <w:t>M.</w:t>
      </w:r>
      <w:r w:rsidRPr="00DB4DEB">
        <w:tab/>
        <w:t>budući da je europska integracija Ukrajine strateško ulaganje u mir, sigurnost, demokraciju i blagostanje za cijeli kontinent; budući da nepokolebljiva potpora EU-a suverenitetu, teritorijalnoj cjelovitosti i neovisnosti Ukrajine ne ovisi o brzini europske integracije te zemlje;</w:t>
      </w:r>
    </w:p>
    <w:p w:rsidR="007D36EB" w:rsidRPr="00DB4DEB" w:rsidP="007D36EB" w14:paraId="4E84E40C" w14:textId="77777777">
      <w:pPr>
        <w:pStyle w:val="NormalHanging"/>
      </w:pPr>
      <w:r w:rsidRPr="00DB4DEB">
        <w:t>N.</w:t>
      </w:r>
      <w:r w:rsidRPr="00DB4DEB">
        <w:tab/>
        <w:t xml:space="preserve">budući da trenutačni </w:t>
      </w:r>
      <w:r w:rsidRPr="00DB4DEB">
        <w:t>Kopenhaški</w:t>
      </w:r>
      <w:r w:rsidRPr="00DB4DEB">
        <w:t xml:space="preserve"> kriteriji ne zahtijevaju samo formalno usklađivanje s pravom EU-a, već i učinkovitu provedbu i jamstva temeljnih prava, demokracije i vladavine prava; budući da se put svake zemlje prema integraciji u EU mora ocijeniti na temelju vlastitih zasluga i da se nijedna zemlja ne bi trebala povezivati s drugom zemljom niti tretirati kao dio paketa;</w:t>
      </w:r>
    </w:p>
    <w:p w:rsidR="007D36EB" w:rsidRPr="00DB4DEB" w:rsidP="007D36EB" w14:paraId="5B2D81EA" w14:textId="77777777">
      <w:pPr>
        <w:pStyle w:val="NormalHanging"/>
      </w:pPr>
      <w:r w:rsidRPr="00DB4DEB">
        <w:t>O.</w:t>
      </w:r>
      <w:r w:rsidRPr="00DB4DEB">
        <w:tab/>
        <w:t xml:space="preserve">budući da je Ukrajina i dalje predana usklađivanju svojeg zakonodavstva s pravnom stečevinom EU-a te da je nastavila provoditi reforme unatoč ruskoj ratnoj agresiji; </w:t>
      </w:r>
      <w:r w:rsidRPr="00DB4DEB">
        <w:t>budući da je Ukrajina 2025. dosegla 84 % provedbe Sporazuma o pridruživanju između EU-a i Ukrajine</w:t>
      </w:r>
      <w:r>
        <w:rPr>
          <w:rStyle w:val="FootnoteReference"/>
        </w:rPr>
        <w:footnoteReference w:id="5"/>
      </w:r>
      <w:r w:rsidRPr="00DB4DEB">
        <w:t>;</w:t>
      </w:r>
    </w:p>
    <w:p w:rsidR="007D36EB" w:rsidRPr="00DB4DEB" w:rsidP="007D36EB" w14:paraId="7BDDDAE0" w14:textId="77777777">
      <w:pPr>
        <w:pStyle w:val="NormalHanging"/>
        <w:rPr>
          <w:bCs/>
          <w:iCs/>
        </w:rPr>
      </w:pPr>
      <w:r w:rsidRPr="00DB4DEB">
        <w:t>P.</w:t>
      </w:r>
      <w:r w:rsidRPr="00DB4DEB">
        <w:tab/>
        <w:t>budući da je Komisija potvrdila da je Ukrajina završila bilateralni analitički pregled svih pregovaračkih poglavlja i da je spremna otvoriti sve pregovaračke skupine, počevši od skupine o temeljnim pitanjima;</w:t>
      </w:r>
    </w:p>
    <w:p w:rsidR="007D36EB" w:rsidRPr="00DB4DEB" w:rsidP="007D36EB" w14:paraId="0922C0A9" w14:textId="77777777">
      <w:pPr>
        <w:pStyle w:val="NormalHanging"/>
      </w:pPr>
      <w:r w:rsidRPr="00DB4DEB">
        <w:t>Q.</w:t>
      </w:r>
      <w:r w:rsidRPr="00DB4DEB">
        <w:tab/>
        <w:t>budući da je postignut napredak, ali da su potrebni dodatni napori za, među ostalim, jačanje vladavine prava u Ukrajini i borbu protiv korupcije;</w:t>
      </w:r>
    </w:p>
    <w:p w:rsidR="007D36EB" w:rsidRPr="00DB4DEB" w:rsidP="007D36EB" w14:paraId="1545BB7C" w14:textId="77777777">
      <w:pPr>
        <w:pStyle w:val="NormalHanging"/>
      </w:pPr>
      <w:r w:rsidRPr="00DB4DEB">
        <w:t>R.</w:t>
      </w:r>
      <w:r w:rsidRPr="00DB4DEB">
        <w:tab/>
        <w:t>budući da su za osiguravanje transparentnog i odgovornog korištenja međunarodne financijske potpore i financijske potpore EU-a te budućih sredstava za obnovu potrebne pouzdane, neovisne i funkcionalne institucije za borbu protiv korupcije te učinkovit demokratski nadzor koji uključuje civilno društvo i socijalne partnere;</w:t>
      </w:r>
    </w:p>
    <w:p w:rsidR="007D36EB" w:rsidRPr="00DB4DEB" w:rsidP="007D36EB" w14:paraId="2F363E58" w14:textId="77777777">
      <w:pPr>
        <w:pStyle w:val="NormalHanging"/>
      </w:pPr>
      <w:r w:rsidRPr="00DB4DEB">
        <w:t>S.</w:t>
      </w:r>
      <w:r w:rsidRPr="00DB4DEB">
        <w:tab/>
        <w:t>budući da su međunarodni stručnjaci koji rade u povjerenstvima za odabir sudaca doprinijeli izgradnji povjerenja javnosti u pravosudni sustav jačanjem neovisnosti pravosuđa; budući da je sudjelovanje međunarodnih stručnjaka u odabiru Visokog povjerenstva za kvalifikacije sudaca završilo 1. lipnja 2025.;</w:t>
      </w:r>
    </w:p>
    <w:p w:rsidR="007D36EB" w:rsidRPr="00DB4DEB" w:rsidP="007D36EB" w14:paraId="4F027595" w14:textId="77777777">
      <w:pPr>
        <w:pStyle w:val="NormalHanging"/>
      </w:pPr>
      <w:r w:rsidRPr="00DB4DEB">
        <w:t>T.</w:t>
      </w:r>
      <w:r w:rsidRPr="00DB4DEB">
        <w:tab/>
        <w:t>budući da su ukrajinske demokratske institucije pokazale prilagodljivost, pokazujući da, čak i usred aktualnog ruskog agresivnog rata i tijekom izvanrednog stanja, one nastavljaju služiti interesima građana i provoditi reforme povezane s pristupanjem EU-u; budući da Parlament pozdravlja naznake da pripreme za izbore mogu započeti nakon završetka izvanrednog stanja i kad sigurnosna situacija omogući održavanje izbora u skladu s međunarodnim standardima: budući da bi Ukrajina trebala nastaviti raditi na zaštiti demokracije i osiguranju transparentnosti i ravnoteži vlasti;</w:t>
      </w:r>
    </w:p>
    <w:p w:rsidR="007D36EB" w:rsidRPr="00DB4DEB" w:rsidP="007D36EB" w14:paraId="2C65B723" w14:textId="77777777">
      <w:pPr>
        <w:pStyle w:val="NormalHanging"/>
      </w:pPr>
      <w:r w:rsidRPr="00DB4DEB">
        <w:t>U.</w:t>
      </w:r>
      <w:r w:rsidRPr="00DB4DEB">
        <w:tab/>
        <w:t>budući da je civilno društvo i dalje stup otpornosti i demokracije u Ukrajini, no zabilježeni slučajevi pritiska na aktiviste i sindikate izazivaju zabrinutost i iziskuju djelovanje vlade;</w:t>
      </w:r>
    </w:p>
    <w:p w:rsidR="007D36EB" w:rsidRPr="00DB4DEB" w:rsidP="007D36EB" w14:paraId="552F83AB" w14:textId="77777777">
      <w:pPr>
        <w:pStyle w:val="NormalHanging"/>
        <w:rPr>
          <w:bCs/>
          <w:iCs/>
        </w:rPr>
      </w:pPr>
      <w:r w:rsidRPr="00DB4DEB">
        <w:t>V.</w:t>
      </w:r>
      <w:r w:rsidRPr="00DB4DEB">
        <w:tab/>
        <w:t>budući da integracija u EU ima široku potporu u cijelom ukrajinskom društvu i institucijama te je i dalje temeljna pokretačka snaga demokratskog razvoja Ukrajine; budući da će članstvo Ukrajine u EU-u također ojačati samu Uniju jer će pridonijeti njezinoj geopolitičkoj otpornosti, povećati njezin gospodarski potencijal i ojačati njezinu predanost zajedničkim vrijednostima demokracije, vladavine prava i slobode;</w:t>
      </w:r>
    </w:p>
    <w:p w:rsidR="007D36EB" w:rsidP="007D36EB" w14:paraId="1ADB1BAD" w14:textId="77777777">
      <w:pPr>
        <w:pStyle w:val="NormalHanging"/>
      </w:pPr>
      <w:r w:rsidRPr="00DB4DEB">
        <w:t>W.</w:t>
      </w:r>
      <w:r w:rsidRPr="00DB4DEB">
        <w:tab/>
        <w:t xml:space="preserve">budući da se u najnovijem izvješću </w:t>
      </w:r>
      <w:r w:rsidRPr="00DB4DEB">
        <w:t>Eurobarometra</w:t>
      </w:r>
      <w:r w:rsidRPr="00DB4DEB">
        <w:t xml:space="preserve"> o proširenju navodi da 56 % građana EU-a podupire daljnje proširenje Europske unije, pri čemu je Ukrajina najpoželjnija kandidatkinja za pristupanje nakon što se ispune svi kriteriji za članstvo u EU-u;</w:t>
      </w:r>
    </w:p>
    <w:p w:rsidR="009D6F35" w:rsidRPr="009D6F35" w:rsidP="007D36EB" w14:paraId="1C5EF563" w14:textId="2AE0D6C3">
      <w:pPr>
        <w:pStyle w:val="NormalHanging"/>
        <w:rPr>
          <w:bCs/>
          <w:iCs/>
        </w:rPr>
      </w:pPr>
      <w:r>
        <w:rPr>
          <w:bCs/>
          <w:iCs/>
        </w:rPr>
        <w:t>X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 xml:space="preserve">budući da je zajednička izjava koju su 11. prosinca 2025. potpisali povjerenica Marta Kos i ukrajinski potpredsjednik vlade </w:t>
      </w:r>
      <w:r w:rsidRPr="00081F70">
        <w:rPr>
          <w:bCs/>
          <w:iCs/>
        </w:rPr>
        <w:t>Taras</w:t>
      </w:r>
      <w:r w:rsidRPr="00081F70">
        <w:rPr>
          <w:bCs/>
          <w:iCs/>
        </w:rPr>
        <w:t xml:space="preserve"> </w:t>
      </w:r>
      <w:r w:rsidRPr="00081F70">
        <w:rPr>
          <w:bCs/>
          <w:iCs/>
        </w:rPr>
        <w:t>Kachka</w:t>
      </w:r>
      <w:r w:rsidRPr="00081F70">
        <w:rPr>
          <w:bCs/>
          <w:iCs/>
        </w:rPr>
        <w:t xml:space="preserve"> (poznata kao plan Kos-</w:t>
      </w:r>
      <w:r w:rsidRPr="00081F70">
        <w:rPr>
          <w:bCs/>
          <w:iCs/>
        </w:rPr>
        <w:t>Kachka</w:t>
      </w:r>
      <w:r w:rsidRPr="00081F70">
        <w:rPr>
          <w:bCs/>
          <w:iCs/>
        </w:rPr>
        <w:t xml:space="preserve">) prioritetni plan reformi u deset točaka koji treba provesti do kraja 2026.; budući da se te reforme odnose na jačanje vladavine prava, pravosudnih postupaka i neovisnosti ukrajinskih institucija za borbu protiv korupcije; budući da će potpuna i nedvosmislena provedba tih koraka biti važan konkretan dokaz predanosti Ukrajine; budući da </w:t>
      </w:r>
      <w:r w:rsidRPr="00081F70">
        <w:rPr>
          <w:bCs/>
          <w:iCs/>
        </w:rPr>
        <w:t>relevantne skupine za strateško promišljanje procjenjuju da je otprilike 15 % plana provedeno do sredine 2026.;</w:t>
      </w:r>
    </w:p>
    <w:p w:rsidR="007D36EB" w:rsidRPr="00DB4DEB" w:rsidP="007D36EB" w14:paraId="62C18C8B" w14:textId="6C676F00">
      <w:pPr>
        <w:pStyle w:val="NormalHanging"/>
        <w:rPr>
          <w:bCs/>
          <w:iCs/>
        </w:rPr>
      </w:pPr>
      <w:r>
        <w:t>Y</w:t>
      </w:r>
      <w:r w:rsidRPr="00DB4DEB">
        <w:t>.</w:t>
      </w:r>
      <w:r w:rsidRPr="00DB4DEB">
        <w:tab/>
        <w:t>budući da Rusija nastavlja i pojačava napore usmjerene na opravdavanje svoje agresije na Ukrajinu namjernim krivotvorenjem povijesti, manipulacijom povijesnim narativima te strateškom upotrebom vjerskih, kulturnih i vrijednosnih narativa kojima je cilj iskrivljavanje javnog diskursa, negiranje i dovođenje u pitanje legitimnosti nacionalnog identiteta i državnosti i suvereniteta Ukrajine i sprečavanje pristupanja Ukrajine Europskoj uniji; budući da su takve aktivnosti u skladu s ruskom vojnom doktrinom odobrenom 25. prosinca 2014. i naknadnim strateškim dokumentima, uključujući Strategiju nacionalne sigurnosti Ruske Federacije koju je predsjednik Vladimir Putin odobrio 31. prosinca 2015., u kojima se naglašava zaštita „tradicionalnih ruskih duhovnih i moralnih vrijednosti” od percipiranog zapadnog utjecaja; budući da je taj pristup dodatno ojačan u Strategiji nacionalne sigurnosti iz 2021., koja je zaštitu „tradicionalnih vrijednosti”, promicanje koncepta „ruskog svijeta”(„</w:t>
      </w:r>
      <w:r w:rsidRPr="00DB4DEB">
        <w:t>Russkiy</w:t>
      </w:r>
      <w:r w:rsidRPr="00DB4DEB">
        <w:t xml:space="preserve"> Mir”) i zaštitu „sunarodnjaka u inozemstvu” uzdigla među ključne prioritete nacionalne sigurnosti, čime se pokazuje kontinuirana i sustavna upotreba kulturnih, vjerskih i civilizacijskih narativa kao alata geopolitičkog utjecaja i opravdanja agresije na Ukrajinu;</w:t>
      </w:r>
    </w:p>
    <w:p w:rsidR="007D36EB" w:rsidRPr="00DB4DEB" w:rsidP="007D36EB" w14:paraId="3639A263" w14:textId="571A318F">
      <w:pPr>
        <w:pStyle w:val="NormalHanging"/>
        <w:rPr>
          <w:bCs/>
          <w:iCs/>
        </w:rPr>
      </w:pPr>
      <w:r>
        <w:t>Z</w:t>
      </w:r>
      <w:r w:rsidRPr="00DB4DEB">
        <w:t>.</w:t>
      </w:r>
      <w:r w:rsidRPr="00DB4DEB">
        <w:tab/>
        <w:t>budući da je, prema podacima ukrajinskog Ministarstva socijalne politike, za više od tri milijuna Ukrajinaca utvrđen invaliditet ili više njih, a očekuje se da će se taj broj povećavati za 17 000 svaki mjesec, uglavnom zbog aktualnog rata;</w:t>
      </w:r>
    </w:p>
    <w:p w:rsidR="007D36EB" w:rsidRPr="00DB4DEB" w:rsidP="007D36EB" w14:paraId="5C178D66" w14:textId="22EC1DC8">
      <w:pPr>
        <w:pStyle w:val="NormalHanging"/>
        <w:rPr>
          <w:bCs/>
          <w:iCs/>
        </w:rPr>
      </w:pPr>
      <w:r>
        <w:t>AA</w:t>
      </w:r>
      <w:r w:rsidRPr="00DB4DEB">
        <w:t>.</w:t>
      </w:r>
      <w:r w:rsidRPr="00DB4DEB">
        <w:tab/>
        <w:t>budući da je šteta u okolišu koju je prouzročila Rusija dovela do razornih posljedica za ukrajinske prirodne resurse, kritične ekosustave te zdravlje, sredstva za život i sigurnost ljudi; budući da je zeleni oporavak usmjeren na otklanjanje te štete i usmjeravanje Ukrajine na novi put ekološke i socijalne održivosti usklađen sa zakonima o okolišu u pravnoj stečevini EU-a;</w:t>
      </w:r>
    </w:p>
    <w:p w:rsidR="007D36EB" w:rsidRPr="00DB4DEB" w:rsidP="007D36EB" w14:paraId="0E986F4E" w14:textId="573F4B89">
      <w:pPr>
        <w:pStyle w:val="NormalHanging"/>
        <w:rPr>
          <w:bCs/>
          <w:iCs/>
        </w:rPr>
      </w:pPr>
      <w:r w:rsidRPr="00DB4DEB">
        <w:t>A</w:t>
      </w:r>
      <w:r w:rsidR="008E43BF">
        <w:t>B</w:t>
      </w:r>
      <w:r w:rsidRPr="00DB4DEB">
        <w:t>.</w:t>
      </w:r>
      <w:r w:rsidRPr="00DB4DEB">
        <w:tab/>
        <w:t>budući da je istraživanje Kijevskog međunarodnog instituta za sociologiju iz 2024. potvrdilo da je stav ukrajinskog društva prema LGBTIQ+ osobama ostao pretežno neutralan ili pozitivan, pri čemu više od 70 % anketiranih Ukrajinaca podržava jednaka prava za LGBTIQ+ osobe;</w:t>
      </w:r>
    </w:p>
    <w:p w:rsidR="007D36EB" w:rsidP="007D36EB" w14:paraId="08F2B05F" w14:textId="3241A45B">
      <w:pPr>
        <w:pStyle w:val="NormalHanging"/>
      </w:pPr>
      <w:r w:rsidRPr="00DB4DEB">
        <w:t>A</w:t>
      </w:r>
      <w:r w:rsidR="008E43BF">
        <w:t>C</w:t>
      </w:r>
      <w:r w:rsidRPr="00DB4DEB">
        <w:t>.</w:t>
      </w:r>
      <w:r w:rsidRPr="00DB4DEB">
        <w:tab/>
        <w:t>budući da je ruska ratna agresija na Ukrajinu prouzročila ogromnu ljudski patnju i uništenje te da opseg ljudske tragedije zahtijeva pronalaženje pravednog, održivog i trajnog mira;</w:t>
      </w:r>
    </w:p>
    <w:p w:rsidR="009D6F35" w:rsidRPr="009D6F35" w:rsidP="007D36EB" w14:paraId="0A05E670" w14:textId="394BD12C">
      <w:pPr>
        <w:pStyle w:val="NormalHanging"/>
        <w:rPr>
          <w:bCs/>
          <w:iCs/>
        </w:rPr>
      </w:pPr>
      <w:r w:rsidRPr="00081F70">
        <w:rPr>
          <w:bCs/>
          <w:iCs/>
        </w:rPr>
        <w:t>A</w:t>
      </w:r>
      <w:r w:rsidR="008E43BF">
        <w:rPr>
          <w:bCs/>
          <w:iCs/>
        </w:rPr>
        <w:t>D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>budući da se novi zakon o javnoj nabavi, koji je Vrhovna rada Ukrajine donijela 27. svibnja 2026. i koji je stupio na snagu 24. lipnja 2026., općenito smatra istinskom reformom usklađenom sa zakonodavstvom EU-a kojom se uspostavljaju transparentnost i antikorupcijske zaštitne mjere za velike natječaje; budući da je donošenjem tog zakonodavstva omogućena izravna proračunska potpora Svjetske banke Ukrajini u iznosu od 3,4 milijarde USD;</w:t>
      </w:r>
    </w:p>
    <w:p w:rsidR="009D6F35" w:rsidRPr="009D6F35" w:rsidP="007D36EB" w14:paraId="69FFF7E0" w14:textId="520840F7">
      <w:pPr>
        <w:pStyle w:val="NormalHanging"/>
        <w:rPr>
          <w:bCs/>
          <w:iCs/>
        </w:rPr>
      </w:pPr>
      <w:r w:rsidRPr="00081F70">
        <w:rPr>
          <w:bCs/>
          <w:iCs/>
        </w:rPr>
        <w:t>A</w:t>
      </w:r>
      <w:r w:rsidR="008E43BF">
        <w:rPr>
          <w:bCs/>
          <w:iCs/>
        </w:rPr>
        <w:t>E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 xml:space="preserve">budući da je EU 15. lipnja 2026. otvorio pristupne pregovore s Ukrajinom i </w:t>
      </w:r>
      <w:r w:rsidRPr="00081F70">
        <w:rPr>
          <w:bCs/>
          <w:iCs/>
        </w:rPr>
        <w:t>Moldovom</w:t>
      </w:r>
      <w:r w:rsidRPr="00081F70">
        <w:rPr>
          <w:bCs/>
          <w:iCs/>
        </w:rPr>
        <w:t xml:space="preserve"> o 1. skupini poglavlja: Osnove koje se sastoje od: Poglavlja 23.: pravosuđe i temeljna prava, Poglavlja 24.: pravosuđe, sloboda i sigurnost, Poglavlja 5.: javna nabava, Poglavlja 18.: statistički podaci i Poglavlja 32.: financijska kontrola; budući da se pregovori o skupini poglavlja o temeljnim pitanjima prvi otvaraju i posljednji zaključuju u procesu pridruživanja, a napredak u okviru te skupine određuje opći tijek pregovora</w:t>
      </w:r>
      <w:r>
        <w:rPr>
          <w:bCs/>
          <w:iCs/>
        </w:rPr>
        <w:t>;</w:t>
      </w:r>
    </w:p>
    <w:p w:rsidR="009D6F35" w:rsidRPr="009D6F35" w:rsidP="007D36EB" w14:paraId="02FB8528" w14:textId="6156079F">
      <w:pPr>
        <w:pStyle w:val="NormalHanging"/>
        <w:rPr>
          <w:bCs/>
          <w:iCs/>
        </w:rPr>
      </w:pPr>
      <w:r w:rsidRPr="00081F70">
        <w:rPr>
          <w:bCs/>
          <w:iCs/>
        </w:rPr>
        <w:t>A</w:t>
      </w:r>
      <w:r w:rsidR="008E43BF">
        <w:rPr>
          <w:bCs/>
          <w:iCs/>
        </w:rPr>
        <w:t>F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>budući da su razne države članice dostavile neslužbene dokumente o dinamici pristupanja Ukrajine EU-u i mogućnostima za jačanje budućih ugovora o pristupanju EU-u;</w:t>
      </w:r>
    </w:p>
    <w:p w:rsidR="009D6F35" w:rsidRPr="009D6F35" w:rsidP="007D36EB" w14:paraId="12C2E8D1" w14:textId="31305A44">
      <w:pPr>
        <w:pStyle w:val="NormalHanging"/>
        <w:rPr>
          <w:bCs/>
          <w:iCs/>
        </w:rPr>
      </w:pPr>
      <w:r w:rsidRPr="00081F70">
        <w:rPr>
          <w:bCs/>
          <w:iCs/>
        </w:rPr>
        <w:t>A</w:t>
      </w:r>
      <w:r w:rsidR="008E43BF">
        <w:rPr>
          <w:bCs/>
          <w:iCs/>
        </w:rPr>
        <w:t>G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>budući da su zajedničkom analizom Europske službe za vanjsko djelovanje i ukrajinskog Centra za borbu protiv dezinformiranja utvrđene ruske strategije i operacije inozemnog upletanja i manipuliranja informacijama kojima se podriva i narušava javna potpora procesu pristupanja Ukrajine EU-u, i u Ukrajini i u EU-u;</w:t>
      </w:r>
    </w:p>
    <w:p w:rsidR="007D36EB" w:rsidRPr="00DB4DEB" w:rsidP="007D36EB" w14:paraId="6164E65B" w14:textId="77777777">
      <w:pPr>
        <w:pStyle w:val="NormalHanging"/>
        <w:rPr>
          <w:b/>
          <w:i/>
          <w:iCs/>
        </w:rPr>
      </w:pPr>
      <w:r w:rsidRPr="00DB4DEB">
        <w:rPr>
          <w:b/>
          <w:i/>
        </w:rPr>
        <w:t>I. Trenutačno stanje ruskog agresivnog rata i sankcija EU-a</w:t>
      </w:r>
    </w:p>
    <w:p w:rsidR="007D36EB" w:rsidRPr="00DB4DEB" w:rsidP="007D36EB" w14:paraId="76E61396" w14:textId="77777777">
      <w:pPr>
        <w:pStyle w:val="NormalHanging12a"/>
      </w:pPr>
      <w:r w:rsidRPr="00DB4DEB">
        <w:t>1.</w:t>
      </w:r>
      <w:r w:rsidRPr="00DB4DEB">
        <w:tab/>
        <w:t>najoštrije osuđuje trenutačnu nezakonitu rusku vojnu agresiju protiv Ukrajine te ponovno izražava nepokolebljivu solidarnost s ukrajinskim narodom te potporu neovisnosti, suverenitetu i teritorijalnoj cjelovitosti zemlje unutar njezinih međunarodno priznatih granica; ponavlja svoju politiku nepriznavanja svih nezakonito i privremeno okupiranih područja Ukrajine od strane Rusije, uključujući Krim;</w:t>
      </w:r>
    </w:p>
    <w:p w:rsidR="007D36EB" w:rsidRPr="00DB4DEB" w:rsidP="007D36EB" w14:paraId="738A5C39" w14:textId="77777777">
      <w:pPr>
        <w:pStyle w:val="NormalHanging12a"/>
      </w:pPr>
      <w:r w:rsidRPr="00DB4DEB">
        <w:t>2.</w:t>
      </w:r>
      <w:r w:rsidRPr="00DB4DEB">
        <w:tab/>
        <w:t>zahtijeva da Ruska Federacija odmah i bezuvjetno prekine sve vojne aktivnosti u Ukrajini i protiv nje te povuče sve svoje snage i vojnu opremu s cijelog državnog područja Ukrajine unutar njezinih međunarodno priznatih granica, uključujući njezino teritorijalno more; naglašava da je hrabri narod Ukrajine platio najvišu cijenu kako bi zaštitili Ukrajinu i, posljedično, sigurnost Europe;</w:t>
      </w:r>
    </w:p>
    <w:p w:rsidR="007D36EB" w:rsidRPr="00DB4DEB" w:rsidP="007D36EB" w14:paraId="1E00E4EE" w14:textId="77777777">
      <w:pPr>
        <w:pStyle w:val="NormalHanging12a"/>
      </w:pPr>
      <w:r w:rsidRPr="00DB4DEB">
        <w:t>3.</w:t>
      </w:r>
      <w:r w:rsidRPr="00DB4DEB">
        <w:tab/>
        <w:t>izražava najdublju sućut i punu solidarnost sa svima pogođenima agresivnim ratom Ruske Federacije protiv Ukrajine, uključujući pripadnike oružanih snaga, veterane, obitelji poginulih ili ozlijeđenih, interno raseljene osobe, izbjeglice i sve civile koji trpe teške humanitarne, zdravstvene, psihološke, socijalne i ekonomske posljedice rata;</w:t>
      </w:r>
    </w:p>
    <w:p w:rsidR="007D36EB" w:rsidRPr="00DB4DEB" w:rsidP="007D36EB" w14:paraId="235B396E" w14:textId="77777777">
      <w:pPr>
        <w:pStyle w:val="NormalHanging12a"/>
      </w:pPr>
      <w:r w:rsidRPr="00DB4DEB">
        <w:t>4.</w:t>
      </w:r>
      <w:r w:rsidRPr="00DB4DEB">
        <w:tab/>
        <w:t>osuđuje raširene i sustavne napade Ruske Federacije na ukrajinsko civilno stanovništvo, posebno napade na kritičnu energetsku i vodnu infrastrukturu, koji predstavljaju očito kršenje međunarodnog humanitarnog prava;</w:t>
      </w:r>
    </w:p>
    <w:p w:rsidR="007D36EB" w:rsidRPr="00DB4DEB" w:rsidP="007D36EB" w14:paraId="7DB708EC" w14:textId="77777777">
      <w:pPr>
        <w:pStyle w:val="NormalHanging12a"/>
      </w:pPr>
      <w:r w:rsidRPr="00DB4DEB">
        <w:t>5.</w:t>
      </w:r>
      <w:r w:rsidRPr="00DB4DEB">
        <w:tab/>
        <w:t xml:space="preserve">oštro osuđuje teška kršenja prava ukrajinske djece, uključujući ubojstva, zlostavljanje, prisilni transfer i deportaciju, kao i nezakonito posvajanje, izmjenu njihovih osobnih podataka i ograničavanje kontakta s njihovim obiteljima; osuđuje i njihovo prisilno </w:t>
      </w:r>
      <w:r w:rsidRPr="00DB4DEB">
        <w:t>rusificiranje</w:t>
      </w:r>
      <w:r w:rsidRPr="00DB4DEB">
        <w:t xml:space="preserve"> i izloženost vojno-domoljubnoj obuci, ratnoj propagandi i militarizaciji; poziva na hitan, siguran i bezuvjetan povratak otete djece i poziva EU da prednost da mentalnom zdravlju djece kao posebnoj komponenti svoje potpore oporavku; poziva Komisiju i države članice da povećaju potporu ukrajinskim vlastima te međunarodnim i nevladinim organizacijama u dokumentiranju tih zločina i identificiranju pogođene djece te njihovom povratku u domovinu, reintegraciji, rehabilitaciji, kao i pružanju potpore toj djeci; pozdravlja sve veći angažman u Međunarodnoj koaliciji za povratak ukrajinske djece, kao ključnoj platformi za koordinirano međunarodno djelovanje usmjereno na povratak nezakonito deportirane i prisilno premještene ukrajinske djece;</w:t>
      </w:r>
    </w:p>
    <w:p w:rsidR="007D36EB" w:rsidRPr="00DB4DEB" w:rsidP="007D36EB" w14:paraId="71DE4F60" w14:textId="77777777">
      <w:pPr>
        <w:pStyle w:val="NormalHanging12a"/>
      </w:pPr>
      <w:r w:rsidRPr="00DB4DEB">
        <w:t>6.</w:t>
      </w:r>
      <w:r w:rsidRPr="00DB4DEB">
        <w:tab/>
        <w:t>osuđuje drastično pogoršanje stanja ljudskih prava u područjima pod ruskom okupacijom, poput proizvoljnih pritvaranja i nestanaka, mučenja, prisilnog nametanja ruskih putovnica i mobilizacije ukrajinskih građana na privremeno okupiranim područjima, pogubljenja ratnih zarobljenika i nezakonitih deportacija; odlučno ponavlja neotuđivo pravo svih Ukrajinaca koji su prisilno raseljeni zbog ruske agresije da se sigurno, dobrovoljno i bez preduvjeta vrate svojim domovima nakon potpunog okončanja okupacije i obnove teritorijalnog integriteta Ukrajine;</w:t>
      </w:r>
    </w:p>
    <w:p w:rsidR="007D36EB" w:rsidRPr="00DB4DEB" w:rsidP="007D36EB" w14:paraId="789809A3" w14:textId="77777777">
      <w:pPr>
        <w:pStyle w:val="NormalHanging12a"/>
      </w:pPr>
      <w:r w:rsidRPr="00DB4DEB">
        <w:t>7.</w:t>
      </w:r>
      <w:r w:rsidRPr="00DB4DEB">
        <w:tab/>
        <w:t>oštro osuđuje nezakonito nametanje okupacijske uprave Ruske Federacije na privremeno okupiranim područjima Ukrajine, kao i sustavno i nezakonito prisvajanje javne i privatne imovine, krađu i uklanjanje ukrajinske kulturne imovine i baštine, uništavanje gospodarskih aktivnosti i iskorištavanje tih područja za vlastite političke i gospodarske interese;</w:t>
      </w:r>
    </w:p>
    <w:p w:rsidR="007D36EB" w:rsidRPr="00DB4DEB" w:rsidP="007D36EB" w14:paraId="7BB6A47A" w14:textId="77777777">
      <w:pPr>
        <w:pStyle w:val="NormalHanging12a"/>
      </w:pPr>
      <w:r w:rsidRPr="00DB4DEB">
        <w:t>8.</w:t>
      </w:r>
      <w:r w:rsidRPr="00DB4DEB">
        <w:tab/>
        <w:t>oštro osuđuje regrutiranje stranih državljana od strane Ruske Federacije, među ostalim iz trećih zemalja za sudjelovanje u njezinu agresivnom ratu protiv Ukrajine, često putem prijevarnih praksi i iskorištavanja ranjivih socioekonomskih uvjeta; naglašava da takve prakse predstavljaju trgovinu ljudima i teška kršenja ljudskih prava; poziva EU i njegove države članice da se, zajedno s međunarodnim partnerima, suprotstave tim praksama, primjerice sankcijama, informiranjem i pružanjem potpore žrtvama, te potiče treće zemlje da spriječe takvo regrutiranje;</w:t>
      </w:r>
    </w:p>
    <w:p w:rsidR="007D36EB" w:rsidRPr="00DB4DEB" w:rsidP="007D36EB" w14:paraId="28D0DCAD" w14:textId="77777777">
      <w:pPr>
        <w:pStyle w:val="NormalHanging12a"/>
      </w:pPr>
      <w:r w:rsidRPr="00DB4DEB">
        <w:t>9.</w:t>
      </w:r>
      <w:r w:rsidRPr="00DB4DEB">
        <w:tab/>
        <w:t>osuđuje nehumano postupanje Ruske Federacije s ukrajinskim ratnim zarobljenicima, uključujući mučenje i pogubljenja, čime krši međunarodno humanitarno pravo i poziva na njihovo hitno i bezuvjetno oslobađanje; poziva EU, njegove države članice i međunarodnu zajednicu da pojačaju napore, među ostalim diplomatskim i pravnim sredstvima, kako bi osigurali poštovanje međunarodnog prava i olakšali daljnju razmjenu zatvorenika; poziva Međunarodni odbor Crvenog križa da u potpunosti izvrši svoj mandat u skladu s međunarodnim humanitarnim pravom, osiguravajući neometan i redovit pristup svim mjestima gdje se drže ukrajinski ratni zarobljenici i civili, uključujući one koji se nalaze u pritvoru; napominje da, kad je riječ o postupanju s ratnim zarobljenicima, Ukrajina i dalje ispunjava svoje obveze iz međunarodnog prava;</w:t>
      </w:r>
    </w:p>
    <w:p w:rsidR="007D36EB" w:rsidRPr="00DB4DEB" w:rsidP="007D36EB" w14:paraId="6FAE922A" w14:textId="77777777">
      <w:pPr>
        <w:pStyle w:val="NormalHanging12a"/>
      </w:pPr>
      <w:r w:rsidRPr="00DB4DEB">
        <w:t>10.</w:t>
      </w:r>
      <w:r w:rsidRPr="00DB4DEB">
        <w:tab/>
        <w:t>poziva Komisiju i države članice da uvelike povećaju zdravstvenu pomoć i osiguraju da se potrebe za rehabilitacijom u potpunosti odražavaju u okvirima potpore EU-a; poziva Komisiju i države članice da održe i, prema potrebi, prošire potporu ukrajinskim izbjeglicama koje su trenutačno smještene u državama članicama, kao i interno raseljenim osobama unutar Ukrajine;</w:t>
      </w:r>
    </w:p>
    <w:p w:rsidR="007D36EB" w:rsidRPr="00DB4DEB" w:rsidP="007D36EB" w14:paraId="172A53BD" w14:textId="291381E5">
      <w:pPr>
        <w:pStyle w:val="NormalHanging12a"/>
      </w:pPr>
      <w:r w:rsidRPr="00DB4DEB">
        <w:t>11.</w:t>
      </w:r>
      <w:r w:rsidRPr="00DB4DEB">
        <w:tab/>
        <w:t xml:space="preserve">poziva EU i države članice da se bore protiv ruskih dezinformacija o </w:t>
      </w:r>
      <w:r w:rsidRPr="00081F70" w:rsidR="003C48A4">
        <w:rPr>
          <w:bCs/>
          <w:iCs/>
        </w:rPr>
        <w:t>ratnoj agresiji i procesu pristupanja Ukrajine EU-u,</w:t>
      </w:r>
      <w:r w:rsidRPr="003C48A4">
        <w:rPr>
          <w:bCs/>
          <w:iCs/>
        </w:rPr>
        <w:t xml:space="preserve"> </w:t>
      </w:r>
      <w:r w:rsidRPr="00DB4DEB">
        <w:t>potpunim ograničavanjem aktivnosti povezanih s ruskim državnim medijskim organizacijama i njihovim suradnicima u državama članicama EU-a, proširenjem relevantnih pojedinačnih popisa sankcija, traženjem pravne odgovornosti za suučesnike u državnoj propagandi, jačanjem digitalne pismenosti, promicanjem informacija temeljenih na činjenicama s posebnom pozornosti posvećenoj državama izvan Europe koje su na meti ruske propagande i pozivanjem platformi društvenih medija na odgovornost za širenje štetnog sadržaja strogom provedbom Akta o digitalnim uslugama</w:t>
      </w:r>
      <w:r>
        <w:rPr>
          <w:rStyle w:val="FootnoteReference"/>
        </w:rPr>
        <w:footnoteReference w:id="6"/>
      </w:r>
      <w:r w:rsidRPr="00DB4DEB">
        <w:t>;</w:t>
      </w:r>
    </w:p>
    <w:p w:rsidR="007D36EB" w:rsidRPr="00DB4DEB" w:rsidP="007D36EB" w14:paraId="4DDB4483" w14:textId="77777777">
      <w:pPr>
        <w:pStyle w:val="NormalHanging12a"/>
      </w:pPr>
      <w:r w:rsidRPr="00DB4DEB">
        <w:t>12.</w:t>
      </w:r>
      <w:r w:rsidRPr="00DB4DEB">
        <w:tab/>
        <w:t xml:space="preserve">izričito naglašava neotuđivo pravo Ukrajine na samoobranu, u skladu s člankom 51. Povelje UN-a, uključujući pravo Ukrajine da, dok sudjeluje u obrambenoj borbi, napada legitimne mete na državnom području agresora u Rusiji; s dubokom zabrinutošću primjećuje smanjenje američke vojne pomoći za 99 % u 2025.; stoga pohvaljuje inicijativu NATO-a za popis prioritetnih zahtjeva za Ukrajinu, kao i misiju NATO-a za sigurnosnu pomoć i osposobljavanje za Ukrajinu; pozdravlja </w:t>
      </w:r>
      <w:r w:rsidRPr="00DB4DEB">
        <w:t>predvodništvo</w:t>
      </w:r>
      <w:r w:rsidRPr="00DB4DEB">
        <w:t xml:space="preserve"> EU-a i njegovih država članica kao glavnog pružatelja financijske i vojne potpore Ukrajini, </w:t>
      </w:r>
      <w:r w:rsidRPr="00DB4DEB">
        <w:t>među ostalim inicijativama za osposobljavanje misije EU-a za vojnu pomoć za potporu Ukrajini te financiranjem i pružanjem vojne potpore, kao što su sustavi protuzračne obrane i kapaciteti za duboke napade; poziva EU i njegove države članice da povećaju pomoć za podupiranje prava Ukrajine na samoobranu; ističe da je dostatna i predvidljiva vojna pomoć, uključujući pristup financiranju proizvodnje oružja, potpora za takvu proizvodnju izvan Ukrajine i suradnja između EDTIB-a i ukrajinske vojne industrije ključna za učinkovit otpor Ukrajine ruskoj agresiji, posebno s obzirom na drastično smanjenu američku vojnu pomoć;</w:t>
      </w:r>
    </w:p>
    <w:p w:rsidR="007D36EB" w:rsidRPr="00DB4DEB" w:rsidP="007D36EB" w14:paraId="6FE04109" w14:textId="77777777">
      <w:pPr>
        <w:pStyle w:val="NormalHanging12a"/>
      </w:pPr>
      <w:r w:rsidRPr="00DB4DEB">
        <w:t>13.</w:t>
      </w:r>
      <w:r w:rsidRPr="00DB4DEB">
        <w:tab/>
        <w:t>konstatira da se tempo ruskih teritorijalnih dobitaka u Ukrajini usporio 2026. i da je Ukrajina u travnju 2026. ponovno vratila teritorij, dok je Rusija pretrpjela posebno velike gubitke; uvjeren je da Ukrajina može i mora pobijediti i da ishod sukoba nije unaprijed određen; stoga smatra da održiva i pojačana vojna potpora EU-a može imati odlučujući utjecaj na bojišnici; poziva države članice da djeluju s većom odlučnošću i hitnošću, uključujući znatno povećanje i ubrzavanje isporuke i financiranja oružja i streljiva Ukrajini;</w:t>
      </w:r>
    </w:p>
    <w:p w:rsidR="007D36EB" w:rsidRPr="00DB4DEB" w:rsidP="007D36EB" w14:paraId="092BE23F" w14:textId="77777777">
      <w:pPr>
        <w:pStyle w:val="NormalHanging12a"/>
      </w:pPr>
      <w:r w:rsidRPr="00DB4DEB">
        <w:t>14.</w:t>
      </w:r>
      <w:r w:rsidRPr="00DB4DEB">
        <w:tab/>
        <w:t>posebno potiče Njemačku da Ukrajini pošalje projektile dalekog dometa Taurus i poziva druge države članice da Ukrajini hitno osiguraju dodatne kapacitete protuzračne obrane, uključujući sustave Patriot, kao i projektile za sustave Patriot, SAMP/T, NASAMS, IRIS-T i HAWK;</w:t>
      </w:r>
    </w:p>
    <w:p w:rsidR="007D36EB" w:rsidRPr="00DB4DEB" w:rsidP="007D36EB" w14:paraId="7393349E" w14:textId="77777777">
      <w:pPr>
        <w:pStyle w:val="NormalHanging12a"/>
      </w:pPr>
      <w:r w:rsidRPr="00DB4DEB">
        <w:t>15.</w:t>
      </w:r>
      <w:r w:rsidRPr="00DB4DEB">
        <w:tab/>
        <w:t xml:space="preserve">pozdravlja međunarodne diplomatske napore usmjerene na okončanje rata te pohvaljuje konstruktivan pristup Ukrajine; no naglašava da mirovnim pregovorima mora prethoditi održiv prekid vatre; ističe da svaki mir mora biti pravedan i održiv, uz potpuno poštovanje suvereniteta i teritorijalne cjelovitosti Ukrajine; naglašava da nijedan mirovni sporazum ne bi </w:t>
      </w:r>
      <w:r w:rsidRPr="00DB4DEB">
        <w:t>smio</w:t>
      </w:r>
      <w:r w:rsidRPr="00DB4DEB">
        <w:t xml:space="preserve"> naštetiti ukrajinskim i europskim strateškim interesima niti ograničiti sposobnost Ukrajine da se brani i odabere svoje sigurnosne i političke saveze bez ruskog veta; naglašava da se on mora temeljiti na potpunom poštovanju načela međunarodnog prava, preuzimanju odgovornosti za ratne zločine, zločine protiv čovječnosti i zločin agresije te ruskoj odšteti za golemu štetu prouzročenu u Ukrajini; naglašava da bi to trebalo uključivati obvezu Rusije da odmah prekine hibridno ratovanje protiv EU-a i njegovih partnera, uključujući Ukrajinu, te da bi trebalo uključivati i povratak sve otete ukrajinske djece i zatočenih ukrajinskih civila te potpunu razmjenu ratnih zarobljenika, uključujući posmrtne ostatke poginulih vojnika; naglašava da bi svaki takav sporazum trebao pružiti čvrsta i vjerodostojna sigurnosna jamstva za Ukrajinu, na razini onih iz članka 5. Ugovora iz Washingtona i članka 42. stavka 7. Ugovora o Europskoj uniji, čim prestane ratno stanje; uviđa da Ukrajina smatra pristupanje EU-u važnim elementom sigurnosnih jamstava, među ostalim, u svjetlu članka 42. stavka 7. Ugovora o Europskoj uniji;</w:t>
      </w:r>
    </w:p>
    <w:p w:rsidR="007D36EB" w:rsidRPr="00DB4DEB" w:rsidP="007D36EB" w14:paraId="71569844" w14:textId="77777777">
      <w:pPr>
        <w:pStyle w:val="NormalHanging12a"/>
        <w:rPr>
          <w:bCs/>
          <w:iCs/>
        </w:rPr>
      </w:pPr>
      <w:r w:rsidRPr="00DB4DEB">
        <w:t>16.</w:t>
      </w:r>
      <w:r w:rsidRPr="00DB4DEB">
        <w:tab/>
        <w:t xml:space="preserve">ponavlja da samo Ukrajina može odrediti uvjete mirovnog sporazuma koji je prihvatljiv njezinu narodu; ustraje u tome da se o Ukrajini ne bi trebalo odlučivati bez sudjelovanja Ukrajine, kao ni o Europi bez sudjelovanja Europe; potvrđuje da je svaki sporazum usmjeren na okončanje ruskog agresivnog rata protiv Ukrajine pitanje koje nadilazi Rusiju i Ukrajinu te ima dalekosežne posljedice za europski sigurnosni poredak u cjelini; naglašava da se svaki takav sporazum može postići samo uz sudjelovanje EU-a i njegovih država članica; poziva Komisiju i države članice da istraže mogućnost imenovanja i dodjelom punih ovlasti visokom europskom pregovaraču da predstavlja EU i njegove države članice u diplomatskim pregovorima u skladu s precizno utvrđenim mandatom; poziva Komisiju, Europsku službu za vanjsko djelovanje i Vijeće da u koordinaciji s Ukrajinom i uz savjetovanje s državama članicama izrade dokument </w:t>
      </w:r>
      <w:r w:rsidRPr="00DB4DEB">
        <w:t>o strateškom scenariju za poslijeratnu strukturu sigurnosti i suradnje na europskom kontinentu, koji bi odražavao pouke izvučene iz prošlosti i sadržavao potencijalne parametre budućih odnosa s Rusijom nakon završetka rata, uključujući pitanja sigurnosti, energije, granica, odgovornosti i odštete;</w:t>
      </w:r>
    </w:p>
    <w:p w:rsidR="007D36EB" w:rsidP="007D36EB" w14:paraId="221C671C" w14:textId="77777777">
      <w:pPr>
        <w:pStyle w:val="NormalHanging12a"/>
      </w:pPr>
      <w:r w:rsidRPr="00DB4DEB">
        <w:t>17.</w:t>
      </w:r>
      <w:r w:rsidRPr="00DB4DEB">
        <w:tab/>
        <w:t xml:space="preserve">duboko žali zbog toga što Rusija nije pokazala spremnost na održivi mir i da svoje diplomatske kontakte sa Sjedinjenim Državama koristi samo kao dio kampanje psihološkog ratovanja kako bi ugrozila međunarodnu potporu Ukrajini; u tom pogledu ponavlja da je potrebno povećati pritisak na Rusiju i osuđuje djelomično ublažavanje sankcija protiv Rusije o kojem su odlučile Sjedinjene Američke Države, osuđuje stajalište Sjedinjenih Američkih Država prema kojem su sigurnosna jamstva SAD-a za Ukrajinu uvjetovana povlačenjem Ukrajine iz </w:t>
      </w:r>
      <w:r w:rsidRPr="00DB4DEB">
        <w:t>Donbasa</w:t>
      </w:r>
      <w:r w:rsidRPr="00DB4DEB">
        <w:t>; podsjeća na to da su izravna interakcija s Rusijom bez vršenja ciljanog pritiska, javno odricanje od važne poluge utjecaja, smanjenje vojne potpore, odbijanje provedbe dodatnih sankcija i ukidanje već utvrđenih sankcija, ucjenjivanje Ukrajine kako bi američkim poduzećima dala povlašteni pristup za obnovu i pristup prirodnim resursima te pokušaj prisiljavanja Ukrajine na teritorijalne ustupke i odricanje od svojeg legitimnog prava na samoobranu, sve elementi diplomatskog napora osuđenog na propast;</w:t>
      </w:r>
    </w:p>
    <w:p w:rsidR="003C48A4" w:rsidRPr="003C48A4" w:rsidP="007D36EB" w14:paraId="12E8B741" w14:textId="5F9BB777">
      <w:pPr>
        <w:pStyle w:val="NormalHanging12a"/>
        <w:rPr>
          <w:bCs/>
          <w:iCs/>
        </w:rPr>
      </w:pPr>
      <w:r w:rsidRPr="00081F70">
        <w:rPr>
          <w:bCs/>
          <w:iCs/>
        </w:rPr>
        <w:t>1</w:t>
      </w:r>
      <w:r>
        <w:rPr>
          <w:bCs/>
          <w:iCs/>
        </w:rPr>
        <w:t>8.</w:t>
      </w:r>
      <w:r w:rsidRPr="003C48A4">
        <w:rPr>
          <w:bCs/>
          <w:iCs/>
        </w:rPr>
        <w:tab/>
      </w:r>
      <w:r w:rsidRPr="00081F70">
        <w:rPr>
          <w:bCs/>
          <w:iCs/>
        </w:rPr>
        <w:t>pozdravlja izjavu čelnika skupine G7 o Ukrajini iz lipnja 2026., uključujući predanost a) potpori novom zamahu na bojištu i njegovom ubrzanju, među ostalim razmatranjem proširenja povlastica dozvola na Ukrajinu kako bi se omogućilo povećanje vojne proizvodnje Ukrajine i b) povećanju pritiska na rusko ratno gospodarstvo; potiče EU i njegove države članice da poduzmu sve potrebne korake kako bi se osigurala praktična provedba;</w:t>
      </w:r>
    </w:p>
    <w:p w:rsidR="007D36EB" w:rsidRPr="00DB4DEB" w:rsidP="007D36EB" w14:paraId="36AC6122" w14:textId="6C6AE8C8">
      <w:pPr>
        <w:pStyle w:val="NormalHanging12a"/>
        <w:rPr>
          <w:bCs/>
          <w:iCs/>
        </w:rPr>
      </w:pPr>
      <w:r>
        <w:t>19</w:t>
      </w:r>
      <w:r w:rsidRPr="00DB4DEB">
        <w:t>.</w:t>
      </w:r>
      <w:r w:rsidRPr="00DB4DEB">
        <w:tab/>
        <w:t>ustraje u tome da EU i njegove države članice, zajedno s partnerima i saveznicima, moraju doprinijeti čvrstim i pravno obvezujućim sigurnosnim jamstvima za Ukrajinu kako bi se odvratila daljnja ruska agresija, što bi se trebalo ojačati obvezujućim mehanizmima za praćenje usklađenosti, sustavnu koordinaciju pomoći i jamčenje održive, dugoročne potpore suverenitetu, teritorijalnom integritetu i obnovi Ukrajine; pozdravlja zaključke sa sastanka „Koalicije voljnih” održanog u Parizu 6. siječnja 2026.; snažno pozdravlja prijedlog o osnivanju multinacionalnih „mirovnih snaga” za Ukrajinu i potiče sve države članice EU-a da temeljito razmisle o tome kako najbolje mogu poduprijeti te snage; pozdravlja dogovor o finalizaciji politički i pravno obavezujućih obaveza za ponovnu uspostavu mira i sigurnosti u slučaju budućeg oružanog napada Rusije te jasan okvir za potporu Ukrajini; ponavlja svoj poziv na „koaliciju voljnih” među državama članicama EU-a kako bi se razmotrilo na koji bi se način mogla uspostaviti integrirana zona nadzora zračnog prostora pod vodstvom Europe i obrambeno usmjerena zona nadzora zračnog prostora u kojoj bi se upravljalo oružanim operacijama nadzora zračnog prostora, čime bi se doprinijelo zaštiti civilnog stanovništva u Ukrajini od proizvoljnih napada na civilnu infrastrukturu, pružila preventivna obrana od ruskih kršenja zračnog prostora država članica EU-a i pomoglo da se Rusija prisili na pregovarački stol premještanjem ravnoteže snaga;</w:t>
      </w:r>
    </w:p>
    <w:p w:rsidR="007D36EB" w:rsidRPr="00DB4DEB" w:rsidP="007D36EB" w14:paraId="0E172587" w14:textId="5C714281">
      <w:pPr>
        <w:pStyle w:val="NormalHanging12a"/>
        <w:rPr>
          <w:bCs/>
          <w:iCs/>
        </w:rPr>
      </w:pPr>
      <w:r>
        <w:t>20</w:t>
      </w:r>
      <w:r w:rsidRPr="00DB4DEB">
        <w:t>.</w:t>
      </w:r>
      <w:r w:rsidRPr="00DB4DEB">
        <w:tab/>
        <w:t xml:space="preserve">s obzirom na potrebu za većim pritiskom na Rusiju, poziva na pojačane, sveobuhvatnije i </w:t>
      </w:r>
      <w:r w:rsidRPr="00DB4DEB">
        <w:t>strukturiranije</w:t>
      </w:r>
      <w:r w:rsidRPr="00DB4DEB">
        <w:t xml:space="preserve"> sankcije protiv Rusije i njezinih saveznika kako bi joj se uskratila sredstva potrebna za financiranje njezina vojnog stroja i nastavak agresije na Ukrajinu, uključujući ciljane sankcije protiv pojedinaca u okviru globalnog režima ljudskih prava i sankcija EU-a (europski Zakon </w:t>
      </w:r>
      <w:r w:rsidRPr="00DB4DEB">
        <w:t>Magnicki</w:t>
      </w:r>
      <w:r w:rsidRPr="00DB4DEB">
        <w:t xml:space="preserve">) protiv onih koji su odgovorni za teška kršenja ljudskih prava; poziva na veće usklađivanje popisa sankcija s popisima partnera istomišljenika; odlučno poziva na povećanje administrativnih kapaciteta i financijskih </w:t>
      </w:r>
      <w:r w:rsidRPr="00DB4DEB">
        <w:t xml:space="preserve">sredstava kako bi se poboljšala izrada, provedba i izvršenje sankcija EU-a; odlučno poručuje da sankcije ne bi trebalo ukinuti prije pregovora o mirovnom sporazumu i njegove održive provedbe; potiče Vijeće i države članice da sustavno rade na rješavanju problema zaobilaženja sankcija; naglašava da sankcije jasno utječu na rusko gospodarstvo, ali ponavlja da režim sankcija mora biti širi i njegova provedba stroža kako bi imala potreban učinak ograničavanja ruskih sredstava za agresivni rat; stoga, poziva na jačanje i proširenje sankcija usmjerenih na glavne izvore prihoda Rusije, uključujući, ali ne ograničavajući se na sektore energije, sirovina, financija i prometa; poziva EU i njegove države članice da usklađeno rade na zabrani trgovinskih i komercijalnih aktivnosti s Rusijom i </w:t>
      </w:r>
      <w:r w:rsidRPr="00DB4DEB">
        <w:t>Bjelarusom</w:t>
      </w:r>
      <w:r w:rsidRPr="00DB4DEB">
        <w:t>, posvećujući posebnu pozornost robi i tehnologijama s potencijalnom dvojnom namjenom, te da zabrane provoz robe u Uniju i iz nje preko njihovih državnih područja; poziva na potpunu zabranu ruskih proizvoda od čelika</w:t>
      </w:r>
      <w:r w:rsidRPr="003C48A4" w:rsidR="003C48A4">
        <w:t xml:space="preserve"> </w:t>
      </w:r>
      <w:r w:rsidRPr="00081F70" w:rsidR="003C48A4">
        <w:rPr>
          <w:bCs/>
          <w:iCs/>
        </w:rPr>
        <w:t>i izvoza glinice u Rusiju</w:t>
      </w:r>
      <w:r w:rsidRPr="00DB4DEB">
        <w:t>;</w:t>
      </w:r>
    </w:p>
    <w:p w:rsidR="007D36EB" w:rsidRPr="00DB4DEB" w:rsidP="007D36EB" w14:paraId="29076D28" w14:textId="001146D4">
      <w:pPr>
        <w:pStyle w:val="NormalHanging12a"/>
        <w:rPr>
          <w:bCs/>
          <w:iCs/>
        </w:rPr>
      </w:pPr>
      <w:r>
        <w:t>21</w:t>
      </w:r>
      <w:r w:rsidRPr="00DB4DEB">
        <w:t>.</w:t>
      </w:r>
      <w:r w:rsidRPr="00DB4DEB">
        <w:tab/>
        <w:t>poziva na pojačane napore za razbijanje operacija ruske flote u sjeni, koje predstavljaju znatan i sve veći rizik za pomorsku sigurnost</w:t>
      </w:r>
      <w:r w:rsidR="009D6F35">
        <w:t xml:space="preserve"> i okoliš</w:t>
      </w:r>
      <w:r w:rsidRPr="00DB4DEB">
        <w:t>, posebno u strateški ključnom Baltičkom moru</w:t>
      </w:r>
      <w:r w:rsidRPr="00081F70" w:rsidR="009D6F35">
        <w:rPr>
          <w:bCs/>
          <w:iCs/>
        </w:rPr>
        <w:t>; u tom pogledu poziva na bližu suradnju među tijelima u državama članicama oko Baltičkog mora kako bi se osiguralo učinkovito zaustavljanje aktivnosti flote u sjeni</w:t>
      </w:r>
      <w:r w:rsidRPr="00DB4DEB">
        <w:t>; potiče države članice da strogo poštuju zakonodavstvo EU-a i zaustave sav uvoz ruskog ukapljenog prirodnog plina i prirodnog plina, jer se od tih prihoda neprestano financira ruski ratni stroj i ugrožava učinkovitost sankcija EU-a i potpore EU-a Ukrajini;</w:t>
      </w:r>
    </w:p>
    <w:p w:rsidR="007D36EB" w:rsidRPr="00DB4DEB" w:rsidP="007D36EB" w14:paraId="1CF36B74" w14:textId="31D6DF13">
      <w:pPr>
        <w:pStyle w:val="NormalHanging12a"/>
        <w:rPr>
          <w:bCs/>
          <w:iCs/>
        </w:rPr>
      </w:pPr>
      <w:bookmarkStart w:id="7" w:name="_Hlk229052168"/>
      <w:r>
        <w:t>22</w:t>
      </w:r>
      <w:r w:rsidRPr="00DB4DEB">
        <w:t>.</w:t>
      </w:r>
      <w:r w:rsidRPr="00DB4DEB">
        <w:tab/>
        <w:t xml:space="preserve">žali zbog strogih odluka Međunarodnog olimpijskog odbora i Međunarodnog </w:t>
      </w:r>
      <w:r w:rsidRPr="00DB4DEB">
        <w:t>paraolimpijskog</w:t>
      </w:r>
      <w:r w:rsidRPr="00DB4DEB">
        <w:t xml:space="preserve"> odbora o slobodi izražavanja ukrajinskih sportaša na Zimskim olimpijskim i </w:t>
      </w:r>
      <w:r w:rsidRPr="00DB4DEB">
        <w:t>paraolimpijskim</w:t>
      </w:r>
      <w:r w:rsidRPr="00DB4DEB">
        <w:t xml:space="preserve"> igrama u Milanu i </w:t>
      </w:r>
      <w:r w:rsidRPr="00DB4DEB">
        <w:t>Cortini</w:t>
      </w:r>
      <w:r w:rsidRPr="00DB4DEB">
        <w:t xml:space="preserve"> 2026., kao i zbog odluke organizacije World </w:t>
      </w:r>
      <w:r w:rsidRPr="00DB4DEB">
        <w:t>Aquatics</w:t>
      </w:r>
      <w:r w:rsidRPr="00DB4DEB">
        <w:t xml:space="preserve"> o ukidanju sankcija protiv ruskih i bjeloruskih sportaša te odluke Venecijanskog </w:t>
      </w:r>
      <w:r w:rsidRPr="00DB4DEB">
        <w:t>bijenalea</w:t>
      </w:r>
      <w:r w:rsidRPr="00DB4DEB">
        <w:t xml:space="preserve"> da se ponovno dopusti sudjelovanje umjetnika iz Rusije; ističe činjenicu da se ruski i bjeloruski režimi aktivno koriste sportom i kulturom za državnu propagandu i izmjenu diskursa o počiniteljima teških kršenja ljudskih prava i ratnih zločina; izražava solidarnost s diskriminiranim ukrajinskim sportašima i poziva EU i njegove države članice da osiguraju potpunu primjenu i provedbu europskog prava tržišnog natjecanja; poziva na sprečavanje izdavanja viza EU-a ruskim sportašima i umjetnicima koji se ne distanciraju od ruske ratne agresije na Ukrajinu;</w:t>
      </w:r>
    </w:p>
    <w:bookmarkEnd w:id="7"/>
    <w:p w:rsidR="007D36EB" w:rsidRPr="00DB4DEB" w:rsidP="007D36EB" w14:paraId="416E0567" w14:textId="77777777">
      <w:pPr>
        <w:pStyle w:val="NormalWeb"/>
        <w:rPr>
          <w:b/>
          <w:bCs/>
          <w:i/>
          <w:iCs/>
          <w:lang w:val="hr-HR"/>
        </w:rPr>
      </w:pPr>
      <w:r w:rsidRPr="00DB4DEB">
        <w:rPr>
          <w:b/>
          <w:i/>
          <w:lang w:val="hr-HR"/>
        </w:rPr>
        <w:t>II. Dugoročna financijska potpora Ukrajini i ratna odšteta</w:t>
      </w:r>
    </w:p>
    <w:p w:rsidR="007D36EB" w:rsidRPr="00DB4DEB" w:rsidP="007D36EB" w14:paraId="34D2061A" w14:textId="628D13D1">
      <w:pPr>
        <w:pStyle w:val="NormalWeb"/>
        <w:ind w:left="720" w:hanging="720"/>
        <w:rPr>
          <w:lang w:val="hr-HR"/>
        </w:rPr>
      </w:pPr>
      <w:r>
        <w:rPr>
          <w:lang w:val="hr-HR"/>
        </w:rPr>
        <w:t>23</w:t>
      </w:r>
      <w:r w:rsidRPr="00DB4DEB">
        <w:rPr>
          <w:lang w:val="hr-HR"/>
        </w:rPr>
        <w:t>.</w:t>
      </w:r>
      <w:r w:rsidRPr="00DB4DEB">
        <w:rPr>
          <w:lang w:val="hr-HR"/>
        </w:rPr>
        <w:tab/>
        <w:t>pohvaljuje najavu Komisije iz siječnja 2026. da će pružiti 90 milijardi EUR ključne potpore za proračunske i vojne potrebe Ukrajine u dvogodišnjem razdoblju 2026. – 2027. i pozdravlja potrebnu fleksibilnost sadržanu u paketu u okviru režima odstupanja utvrđenog u članku 13. stavku 5. predložene uredbe o uspostavi zajma za potporu Ukrajini za 2026. i 2027.</w:t>
      </w:r>
      <w:r>
        <w:rPr>
          <w:rStyle w:val="FootnoteReference"/>
          <w:lang w:val="hr-HR"/>
        </w:rPr>
        <w:footnoteReference w:id="7"/>
      </w:r>
      <w:r w:rsidRPr="00DB4DEB">
        <w:rPr>
          <w:lang w:val="hr-HR"/>
        </w:rPr>
        <w:t xml:space="preserve">; pozdravlja činjenicu da je Vijeće </w:t>
      </w:r>
      <w:r w:rsidR="003C48A4">
        <w:rPr>
          <w:lang w:val="hr-HR"/>
        </w:rPr>
        <w:t>riješilo</w:t>
      </w:r>
      <w:r w:rsidRPr="00DB4DEB">
        <w:rPr>
          <w:lang w:val="hr-HR"/>
        </w:rPr>
        <w:t xml:space="preserve"> zastoj koji sprečava operacionalizaciju zajma za potporu </w:t>
      </w:r>
      <w:r w:rsidRPr="00081F70">
        <w:rPr>
          <w:lang w:val="hr-HR"/>
        </w:rPr>
        <w:t>Ukrajini i deblokiranje Fonda</w:t>
      </w:r>
      <w:r w:rsidRPr="00DB4DEB">
        <w:rPr>
          <w:lang w:val="hr-HR"/>
        </w:rPr>
        <w:t xml:space="preserve"> za pomoć Ukrajini u okviru Europskog instrumenta mirovne pomoći; poziva vlade Mađarske, Slovačke i Češke da preispitaju svoje odluke o izuzeću i sudjeluju u jamstvima za zajam;</w:t>
      </w:r>
      <w:r w:rsidR="003C48A4">
        <w:rPr>
          <w:lang w:val="hr-HR"/>
        </w:rPr>
        <w:t xml:space="preserve"> </w:t>
      </w:r>
      <w:r w:rsidRPr="00081F70" w:rsidR="003C48A4">
        <w:rPr>
          <w:bCs/>
          <w:iCs/>
          <w:lang w:val="hr-HR" w:eastAsia="en-US"/>
        </w:rPr>
        <w:t>pozdravlja prvi obrok u iznosu od 3,2 milijarde EUR u okviru zajma za potporu Ukrajini, koji je Ukrajini isplaćen 25. lipnja 2026.;</w:t>
      </w:r>
    </w:p>
    <w:p w:rsidR="007D36EB" w:rsidRPr="00DB4DEB" w:rsidP="007D36EB" w14:paraId="7840EA6F" w14:textId="593E1995">
      <w:pPr>
        <w:pStyle w:val="NormalWeb"/>
        <w:ind w:left="720" w:hanging="720"/>
        <w:rPr>
          <w:bCs/>
          <w:iCs/>
          <w:lang w:val="hr-HR"/>
        </w:rPr>
      </w:pPr>
      <w:r>
        <w:rPr>
          <w:lang w:val="hr-HR"/>
        </w:rPr>
        <w:t>24</w:t>
      </w:r>
      <w:r w:rsidRPr="00DB4DEB">
        <w:rPr>
          <w:lang w:val="hr-HR"/>
        </w:rPr>
        <w:t>.</w:t>
      </w:r>
      <w:r w:rsidRPr="00DB4DEB">
        <w:rPr>
          <w:lang w:val="hr-HR"/>
        </w:rPr>
        <w:tab/>
        <w:t xml:space="preserve">poziva Komisiju i države članice da zauzmu sveobuhvatniji, dugoročniji i strateški pristup potpori Ukrajini, koji nadilazi ad </w:t>
      </w:r>
      <w:r w:rsidRPr="00DB4DEB">
        <w:rPr>
          <w:lang w:val="hr-HR"/>
        </w:rPr>
        <w:t>hoc</w:t>
      </w:r>
      <w:r w:rsidRPr="00DB4DEB">
        <w:rPr>
          <w:lang w:val="hr-HR"/>
        </w:rPr>
        <w:t xml:space="preserve"> mjere pomoći; naglašava potrebu za strukturiranom i višedimenzionalnom strategijom EU-a koja kombinira održivu vojnu, ekonomsku i industrijsku potporu; u tom smislu poziva na znatno povećanje europskih obrambenih proizvodnih kapaciteta i uspostavu koordiniranih, paneuropskih mehanizama nabave kako bi se osigurala pravodobna i dovoljna isporuka streljiva i opreme Ukrajini;</w:t>
      </w:r>
    </w:p>
    <w:p w:rsidR="007D36EB" w:rsidRPr="00DB4DEB" w:rsidP="007D36EB" w14:paraId="6D6EA01A" w14:textId="3E684F1B">
      <w:pPr>
        <w:pStyle w:val="NormalWeb"/>
        <w:ind w:left="720" w:hanging="720"/>
        <w:rPr>
          <w:bCs/>
          <w:iCs/>
          <w:lang w:val="hr-HR"/>
        </w:rPr>
      </w:pPr>
      <w:r>
        <w:rPr>
          <w:lang w:val="hr-HR"/>
        </w:rPr>
        <w:t>25</w:t>
      </w:r>
      <w:r w:rsidRPr="00DB4DEB">
        <w:rPr>
          <w:lang w:val="hr-HR"/>
        </w:rPr>
        <w:t>.</w:t>
      </w:r>
      <w:r w:rsidRPr="00DB4DEB">
        <w:rPr>
          <w:lang w:val="hr-HR"/>
        </w:rPr>
        <w:tab/>
        <w:t>ponavlja svoje čvrsto uvjerenje da Rusija mora platiti za golemu štetu prouzročenu u Ukrajini; ističe da je potreban predvidljiv višegodišnji financijski okvir za Ukrajinu koji će toj zemlji pomoći da pokrije troškove oporavka i obrane tijekom ruske agresije bez neizvjesnosti na godišnjoj osnovi; žali zbog toga što se Komisija i Vijeće nisu složili s prijedlogom Komisije o reparacijskom zajmu</w:t>
      </w:r>
      <w:r>
        <w:rPr>
          <w:rStyle w:val="FootnoteReference"/>
          <w:bCs/>
          <w:iCs/>
          <w:lang w:val="hr-HR"/>
        </w:rPr>
        <w:footnoteReference w:id="8"/>
      </w:r>
      <w:r w:rsidRPr="00DB4DEB">
        <w:rPr>
          <w:lang w:val="hr-HR"/>
        </w:rPr>
        <w:t xml:space="preserve"> pomoću gotovinskih salda povezanih s ruskom državnom imovinom i pozdravlja pozive Vijeća upućene Komisiji da nastavi raditi na tehničkim i pravnim aspektima instrumenata kojima se uspostavlja reparacijski zajam na temelju gotovinskih salda povezanih s imobiliziranom ruskom imovinom kako bi se platili obrana, obnova i odšteta Ukrajine; ponovno potvrđuje potrebu za prijenosom te imobilizirane imovine u poseban namjenski instrument;</w:t>
      </w:r>
    </w:p>
    <w:p w:rsidR="007D36EB" w:rsidRPr="00DB4DEB" w:rsidP="007D36EB" w14:paraId="48010858" w14:textId="42AFA0D1">
      <w:pPr>
        <w:pStyle w:val="NormalWeb"/>
        <w:ind w:left="720" w:hanging="720"/>
        <w:rPr>
          <w:bCs/>
          <w:iCs/>
          <w:lang w:val="hr-HR"/>
        </w:rPr>
      </w:pPr>
      <w:r>
        <w:rPr>
          <w:lang w:val="hr-HR"/>
        </w:rPr>
        <w:t>26</w:t>
      </w:r>
      <w:r w:rsidRPr="00DB4DEB">
        <w:rPr>
          <w:lang w:val="hr-HR"/>
        </w:rPr>
        <w:t>.</w:t>
      </w:r>
      <w:r w:rsidRPr="00DB4DEB">
        <w:rPr>
          <w:lang w:val="hr-HR"/>
        </w:rPr>
        <w:tab/>
        <w:t xml:space="preserve">pozdravlja dogovor o Konvenciji o uspostavi Međunarodnog povjerenstva za ocjenu zahtjeva za naknadu štete i poziva na njezinu brzu ratifikaciju; pozdravlja prijedlog Komisije za pokretanje postupka kojim bi EU postao jedan od članova utemeljitelja Posebnog suda za zločin agresije protiv Ukrajine, kao korak prema osiguravanju odgovornosti za zločin agresije i podržavanju napora međunarodnog pravosuđa; poziva na snažniju potporu EU-a prikupljanju i očuvanju dokaza o ruskim ratnim zločinima u Ukrajini, uključujući znatno povećanje financijske, tehničke i forenzičke pomoći ukrajinskim tužiteljima za ratne zločine i istražnim tijelima; </w:t>
      </w:r>
    </w:p>
    <w:p w:rsidR="007D36EB" w:rsidRPr="00DB4DEB" w:rsidP="007D36EB" w14:paraId="6AA9FE65" w14:textId="77777777">
      <w:pPr>
        <w:pStyle w:val="Normal12a"/>
        <w:rPr>
          <w:i/>
          <w:iCs/>
        </w:rPr>
      </w:pPr>
      <w:r w:rsidRPr="00DB4DEB">
        <w:rPr>
          <w:b/>
          <w:i/>
        </w:rPr>
        <w:t xml:space="preserve">III. Predanost pristupanju EU-u i pregovorima o pristupanju </w:t>
      </w:r>
    </w:p>
    <w:p w:rsidR="007D36EB" w:rsidRPr="00DB4DEB" w:rsidP="007D36EB" w14:paraId="16914E26" w14:textId="66B93BE1">
      <w:pPr>
        <w:pStyle w:val="NormalHanging12a"/>
      </w:pPr>
      <w:r>
        <w:t>27</w:t>
      </w:r>
      <w:r w:rsidRPr="00DB4DEB">
        <w:t>.</w:t>
      </w:r>
      <w:r w:rsidRPr="00DB4DEB">
        <w:tab/>
        <w:t>snažno pozdravlja kontinuiranu predanost Ukrajine ispunjavanju zahtjeva za članstvo u EU-u i njezinu sposobnost da ostvari napredak na putu pristupanja EU-u; naglašava da se uspješnost Ukrajine uvijek mora razmatrati u kontekstu kontinuirane ruske ratne agresije i njezina negativnog utjecaja na demokratske procese i javnu upravu u Ukrajini;</w:t>
      </w:r>
      <w:r w:rsidRPr="00DB4DEB">
        <w:rPr>
          <w:b/>
          <w:i/>
        </w:rPr>
        <w:t xml:space="preserve"> </w:t>
      </w:r>
    </w:p>
    <w:p w:rsidR="007D36EB" w:rsidRPr="00DB4DEB" w:rsidP="007D36EB" w14:paraId="5F6FB908" w14:textId="6B3B0B4A">
      <w:pPr>
        <w:pStyle w:val="NormalHanging12a"/>
      </w:pPr>
      <w:r>
        <w:t>28</w:t>
      </w:r>
      <w:r w:rsidRPr="00DB4DEB">
        <w:t>.</w:t>
      </w:r>
      <w:r w:rsidRPr="00DB4DEB">
        <w:tab/>
        <w:t xml:space="preserve">ponovno potvrđuje da, iako proces proširenja EU-a mora ostati strogo utemeljen na zaslugama, objektivan i utemeljen na </w:t>
      </w:r>
      <w:r w:rsidRPr="00DB4DEB">
        <w:t>kopenhaškim</w:t>
      </w:r>
      <w:r w:rsidRPr="00DB4DEB">
        <w:t xml:space="preserve"> kriterijima i uvjetima okvira za proširenje, proširenje predstavlja uzajamno korisno geostrateško ulaganje u mir, stabilnost i sigurnost na europskom kontinentu, kao i moralnu obvezu; stoga naglašava da je budućnost Ukrajine u Europskoj uniji i prepoznaje europsku integraciju Ukrajine kao strateški prioritet Unije;</w:t>
      </w:r>
    </w:p>
    <w:p w:rsidR="007D36EB" w:rsidRPr="00DB4DEB" w:rsidP="007D36EB" w14:paraId="5C1A4EB5" w14:textId="532D0CF1">
      <w:pPr>
        <w:pStyle w:val="NormalHanging12a"/>
      </w:pPr>
      <w:r>
        <w:t>29</w:t>
      </w:r>
      <w:r w:rsidRPr="00DB4DEB">
        <w:t>.</w:t>
      </w:r>
      <w:r w:rsidRPr="00DB4DEB">
        <w:tab/>
        <w:t>pohvaljuje donošenje ukrajinskog Nacionalnog programa za prilagodbu ukrajinskog zakonodavstva pravu Europske unije kao ključnog instrumenta za strukturirano i transparentno planiranje procesa usklađivanja zakonodavstva, uključujući vlastiti ambiciozan vremenski okvir za dovršetak svih potrebnih koraka za ispunjavanje mjerila do kraja 2027.;</w:t>
      </w:r>
    </w:p>
    <w:p w:rsidR="007D36EB" w:rsidRPr="00DB4DEB" w:rsidP="007D36EB" w14:paraId="784A57AF" w14:textId="02566B85">
      <w:pPr>
        <w:pStyle w:val="NormalHanging12a"/>
      </w:pPr>
      <w:r>
        <w:t>30</w:t>
      </w:r>
      <w:r w:rsidRPr="00DB4DEB">
        <w:t>.</w:t>
      </w:r>
      <w:r w:rsidRPr="00DB4DEB">
        <w:tab/>
        <w:t>pozdravlja dovršetak postupka analitičkog pregleda za sve klastere i prima na znanje procjene Komisije i Vijeća da je Ukrajina postigla znatan napredak prema otvaranju pregovaračkih klastera; pozdravlja poziv Europskog vijeća iz ožujka 2026. upućen Vijeću da bez odgode otvori sve pregovaračke klastere te poziva Vijeće da odmah poduzme daljnje mjere u vezi s tom odlukom, počevši od skupine poglavlja o temeljnim pitanjima; u međuvremenu, pozdravlja odluku Komisije i ciparskog predsjedanje Vijećem EU-a da nastave pregovore na tehničkoj razini u očekivanju otvaranja pregovora u budućnosti;</w:t>
      </w:r>
    </w:p>
    <w:p w:rsidR="007D36EB" w:rsidRPr="00DB4DEB" w:rsidP="007D36EB" w14:paraId="5712BDEC" w14:textId="48678B5B">
      <w:pPr>
        <w:pStyle w:val="NormalHanging12a"/>
      </w:pPr>
      <w:r>
        <w:t>31</w:t>
      </w:r>
      <w:r w:rsidRPr="00DB4DEB">
        <w:t>.</w:t>
      </w:r>
      <w:r w:rsidRPr="00DB4DEB">
        <w:tab/>
        <w:t>snažno potiče sve države članice, a posebno novu mađarsku vladu, da prestanu ulagati veto na otvaranje pregovaračkih klastera i da se prestanu služiti mogućim članstvom Ukrajine u EU-u u domaćoj politici i političkim kampanjama;</w:t>
      </w:r>
      <w:r w:rsidR="003C48A4">
        <w:t xml:space="preserve"> </w:t>
      </w:r>
      <w:r w:rsidRPr="00081F70" w:rsidR="003C48A4">
        <w:rPr>
          <w:bCs/>
          <w:iCs/>
        </w:rPr>
        <w:t>pozdravlja otvaranje prvog temeljnog skupa pristupnih pregovora i očekuje da će sljedeći skupovi slijediti taj primjer;</w:t>
      </w:r>
    </w:p>
    <w:p w:rsidR="007D36EB" w:rsidRPr="00DB4DEB" w:rsidP="007D36EB" w14:paraId="050CEF90" w14:textId="475A0B2F">
      <w:pPr>
        <w:pStyle w:val="NormalHanging12a"/>
      </w:pPr>
      <w:r>
        <w:t>32</w:t>
      </w:r>
      <w:r w:rsidRPr="00DB4DEB">
        <w:t>.</w:t>
      </w:r>
      <w:r w:rsidRPr="00DB4DEB">
        <w:tab/>
        <w:t>svjestan je da će potencijalno pristupanje Ukrajine Uniji imati znatan utjecaj na proračun; no naglašava da se očekuje da će se većina troškova obnove pokriti iz izvora koji nisu proračun EU-a te da će, uz goleme domaće napore, biti potreban i doprinos međunarodnih financijskih institucija, privatnih ulaganja i partnerskih zemalja; naglašava važnost očuvanja i daljnjeg jačanja javne potpore u državama članicama i Ukrajini procesu proširenja i pristupanju Ukrajine, za što je potrebna prilagođena komunikacija utemeljena na činjenicama na razini EU-a i nacionalnoj razini, među ostalim o tome kako riješiti legitimnu zabrinutost u pogledu učinka na određene gospodarske sektore i politike EU-a, kao što je zajednička poljoprivredna politika;</w:t>
      </w:r>
    </w:p>
    <w:p w:rsidR="007D36EB" w:rsidP="007D36EB" w14:paraId="5C4F1F35" w14:textId="646BF4D8">
      <w:pPr>
        <w:pStyle w:val="NormalHanging12a"/>
      </w:pPr>
      <w:r>
        <w:t>33</w:t>
      </w:r>
      <w:r w:rsidRPr="00DB4DEB">
        <w:t>.</w:t>
      </w:r>
      <w:r w:rsidRPr="00DB4DEB">
        <w:tab/>
        <w:t>poziva Vijeće, Komisiju i države članice da počnu razmišljati krajnje inovativno kako bi osigurali da rasprave o članstvu Ukrajine u EU-u ne postanu negativan čimbenik u mirovnim pregovorima, za druge zemlje pristupnice ili za unutarnju politiku Ukrajine;</w:t>
      </w:r>
      <w:r w:rsidRPr="00081F70" w:rsidR="003C48A4">
        <w:rPr>
          <w:bCs/>
          <w:iCs/>
        </w:rPr>
        <w:t xml:space="preserve"> poziva države članice da se aktivno i konstruktivno uključe u raspravu o prijedlozima čiji je cilj unapređenje europske integracije Ukrajine, uz istodobno odražavanje strateških interesa EU-a, uzimajući u obzir dinamiku u zemljama pristupnicama, uključujući pokušaje Rusije da ugrozi javnu potporu proširenju i pristupanju EU-u te unapređenje buduće sigurnosti Ukrajine i europskog kontinenta;</w:t>
      </w:r>
      <w:r w:rsidRPr="003C48A4">
        <w:rPr>
          <w:bCs/>
          <w:iCs/>
        </w:rPr>
        <w:t xml:space="preserve"> </w:t>
      </w:r>
      <w:r w:rsidRPr="00DB4DEB">
        <w:t>ponovo poziva da se ojača sposobnost EU-a da djeluje pojednostavnjenjem procesa donošenja odluka, kao što je uvođenje glasovanja kvalificiranom većinom u međukoracima procesa proširenja pri odlučivanju o otvaranju i zatvaranju pojedinačnih pregovaračkih klastera i poglavlja, u potpunosti u skladu s Ugovorima;</w:t>
      </w:r>
    </w:p>
    <w:p w:rsidR="003C48A4" w:rsidRPr="003C48A4" w:rsidP="007D36EB" w14:paraId="68A33D4A" w14:textId="71E2E1B0">
      <w:pPr>
        <w:pStyle w:val="NormalHanging12a"/>
        <w:rPr>
          <w:bCs/>
          <w:iCs/>
        </w:rPr>
      </w:pPr>
      <w:r w:rsidRPr="00081F70">
        <w:rPr>
          <w:bCs/>
          <w:iCs/>
        </w:rPr>
        <w:t>3</w:t>
      </w:r>
      <w:r>
        <w:rPr>
          <w:bCs/>
          <w:iCs/>
        </w:rPr>
        <w:t>4</w:t>
      </w:r>
      <w:r w:rsidRPr="00081F70">
        <w:rPr>
          <w:bCs/>
          <w:iCs/>
        </w:rPr>
        <w:t>.</w:t>
      </w:r>
      <w:r w:rsidRPr="003C48A4">
        <w:rPr>
          <w:bCs/>
          <w:iCs/>
        </w:rPr>
        <w:tab/>
      </w:r>
      <w:r w:rsidRPr="00081F70">
        <w:rPr>
          <w:bCs/>
          <w:iCs/>
        </w:rPr>
        <w:t xml:space="preserve">podsjeća na svoje prethodno usvojeno stajalište o masakru u </w:t>
      </w:r>
      <w:r w:rsidRPr="00081F70">
        <w:rPr>
          <w:bCs/>
          <w:iCs/>
        </w:rPr>
        <w:t>Voliniji</w:t>
      </w:r>
      <w:r w:rsidRPr="00081F70">
        <w:rPr>
          <w:bCs/>
          <w:iCs/>
        </w:rPr>
        <w:t xml:space="preserve">, žali zbog nedavne nepotrebne i ničim izazvane eskalacije predsjednika </w:t>
      </w:r>
      <w:r w:rsidRPr="00081F70">
        <w:rPr>
          <w:bCs/>
          <w:iCs/>
        </w:rPr>
        <w:t>Volodimira</w:t>
      </w:r>
      <w:r w:rsidRPr="00081F70">
        <w:rPr>
          <w:bCs/>
          <w:iCs/>
        </w:rPr>
        <w:t xml:space="preserve"> </w:t>
      </w:r>
      <w:r w:rsidRPr="00081F70">
        <w:rPr>
          <w:bCs/>
          <w:iCs/>
        </w:rPr>
        <w:t>Zelenskog</w:t>
      </w:r>
      <w:r w:rsidRPr="00081F70">
        <w:rPr>
          <w:bCs/>
          <w:iCs/>
        </w:rPr>
        <w:t xml:space="preserve"> preimenovanjem elitne vojne jedinice ukrajinskih oružanih snaga nakon heroja ukrajinske pobunjeničke vojske; žali zbog zanemarivanja poljskih osjetljivosti i žaljenja povezanih s procjenom ukrajinske pobunjeničke vojske da postoje deseci tisuća žrtava i njihovih obitelji, posebno u svjetlu nepokolebljive potpore Poljske borbi Ukrajine protiv ruske agresije; smatra da se tom odlukom potkopavaju susjedski odnosi i prethodni napori za rješavanje neriješenih i bolnih aspekata bilateralnih povijesnih odnosa u duhu istinskog i iskrenog pomirenja te da ona nije u skladu s europskim vrijednostima; poziva na smirivanje napetosti i ponovno ulaganje napora u dobroj vjeri prema pomirenju;</w:t>
      </w:r>
    </w:p>
    <w:p w:rsidR="007D36EB" w:rsidRPr="00DB4DEB" w:rsidP="007D36EB" w14:paraId="626D216C" w14:textId="1C9CFC74">
      <w:pPr>
        <w:pStyle w:val="NormalHanging12a"/>
      </w:pPr>
      <w:r>
        <w:t>35</w:t>
      </w:r>
      <w:r w:rsidRPr="00DB4DEB">
        <w:t>.</w:t>
      </w:r>
      <w:r w:rsidRPr="00DB4DEB">
        <w:tab/>
        <w:t xml:space="preserve">smatra da ukrajinska politika suradnje sa susjednim zemljama usmjerena na budućnost, uključujući rješavanje bilateralnih sporova i povijesni dijalog, doprinosi napretku u procesu pristupanja i naglašava da se proces pristupanja ne bi trebao zloupotrebljavati </w:t>
      </w:r>
      <w:r w:rsidRPr="00DB4DEB">
        <w:t>za ometanje napretka na europskom putu koji se temelji na zaslugama ni kako bi širi strateški planovi Unije pali u drugi plan te da se takva pitanja moraju rješavati otvorenim dijalogom i istinskom suradnjom;</w:t>
      </w:r>
    </w:p>
    <w:p w:rsidR="007D36EB" w:rsidRPr="00DB4DEB" w:rsidP="007D36EB" w14:paraId="0FA81F07" w14:textId="77777777">
      <w:pPr>
        <w:pStyle w:val="Normal12a"/>
        <w:rPr>
          <w:bCs/>
          <w:i/>
          <w:iCs/>
        </w:rPr>
      </w:pPr>
      <w:r w:rsidRPr="00DB4DEB">
        <w:rPr>
          <w:b/>
          <w:i/>
        </w:rPr>
        <w:t>IV. Demokracija i demokratske institucije</w:t>
      </w:r>
      <w:r w:rsidRPr="00DB4DEB">
        <w:rPr>
          <w:i/>
        </w:rPr>
        <w:t xml:space="preserve"> </w:t>
      </w:r>
    </w:p>
    <w:p w:rsidR="007D36EB" w:rsidRPr="00DB4DEB" w:rsidP="007D36EB" w14:paraId="3FBB0D82" w14:textId="4D8DBCE4">
      <w:pPr>
        <w:pStyle w:val="NormalHanging12a"/>
      </w:pPr>
      <w:r>
        <w:t>36</w:t>
      </w:r>
      <w:r w:rsidRPr="00DB4DEB">
        <w:t>.</w:t>
      </w:r>
      <w:r w:rsidRPr="00DB4DEB">
        <w:tab/>
        <w:t>pohvaljuje iznimne napore Ukrajine da ojača demokratske institucije u ratno doba; međutim, zabrinut je zbog nedavnog pogoršanja odnosa između zakonodavne i izvršne vlasti; snažno apelira na sve dionike da ponovno uspostave produktivne odnose između vlade i Vrhovne rade te poziva sve političke aktere u Ukrajini, posebno one koji su trenutačno na vlasti, da potiču političko jedinstvo i dosljedno, uključivo oblikovanje politika, a ukrajinske političke snage da ostanu ujedinjene oko obrane zemlje i njezina puta prema integraciji u EU; konkretno, poziva ukrajinske vlasti da poštuju načela podjele vlasti, višestranačkog pluralizma i uključenosti, uzimajući u obzir nadležnosti i prava lokalnih vlasti i lokalnih samoupravnih tijela, poštovanjem vladavine prava i temeljnih sloboda, uključujući medijski pluralizam, u skladu s demokratskim načelima i vrijednostima koje Ukrajinci toliko odlučno i hrabro brane; poziva institucije EU-a da prodube svoju suradnju s Vrhovnom radom;</w:t>
      </w:r>
    </w:p>
    <w:p w:rsidR="007D36EB" w:rsidRPr="00DB4DEB" w:rsidP="007D36EB" w14:paraId="06021663" w14:textId="51944CFF">
      <w:pPr>
        <w:pStyle w:val="NormalHanging12a"/>
        <w:rPr>
          <w:bCs/>
          <w:iCs/>
        </w:rPr>
      </w:pPr>
      <w:r>
        <w:t>37</w:t>
      </w:r>
      <w:r w:rsidRPr="00DB4DEB">
        <w:t>.</w:t>
      </w:r>
      <w:r w:rsidRPr="00DB4DEB">
        <w:tab/>
        <w:t>naglašava ključnu važnost unutarnjeg političkog jedinstva kao temeljnog stupa dugoročne otpornosti Ukrajine na kontinuiranu agresiju Ruske Federacije; nadalje, ponavlja važnost očuvanja parlamentarnog pluralizma kao temelja demokratskog upravljanja; naglašava potrebu za konstruktivnom i smislenom suradnjom svih parlamentarnih političkih snaga zastupljenih u Vrhovnoj radi, s ciljem jačanja političke, vojne, gospodarske i društvene otpornosti te provedbe kriterija za pristupanje EU-u;</w:t>
      </w:r>
    </w:p>
    <w:p w:rsidR="007D36EB" w:rsidRPr="00DB4DEB" w:rsidP="007D36EB" w14:paraId="1921857F" w14:textId="415AA821">
      <w:pPr>
        <w:pStyle w:val="NormalHanging12a"/>
      </w:pPr>
      <w:r>
        <w:t>38</w:t>
      </w:r>
      <w:r w:rsidRPr="00DB4DEB">
        <w:t>.</w:t>
      </w:r>
      <w:r w:rsidRPr="00DB4DEB">
        <w:tab/>
        <w:t>ponovno ističe ključnu ulogu Vrhovne rade u pravovremenom donošenju reformi; naglašava važnost poštovanja i jačanja institucijske uloge Vrhovne rade te podržava tekuće napore u pogledu reformi za jačanje njezinih zakonodavnih kapaciteta, nadzora izvršne vlasti i odgovornosti prema javnosti; duboko žali zbog kašnjenja u donošenju takvih zakona i poziva Vrhovnu radu i njezine zastupnike da uspostave ubrzani postupak za njihovo brzo donošenje, uz potpuno poštovanje parlamentarnog nadzora nad zakonodavnim prijedlozima;</w:t>
      </w:r>
    </w:p>
    <w:p w:rsidR="007D36EB" w:rsidRPr="00DB4DEB" w:rsidP="007D36EB" w14:paraId="360B0F16" w14:textId="4DF0DD7E">
      <w:pPr>
        <w:pStyle w:val="NormalHanging12a"/>
      </w:pPr>
      <w:r>
        <w:t>39</w:t>
      </w:r>
      <w:r w:rsidRPr="00DB4DEB">
        <w:t>.</w:t>
      </w:r>
      <w:r w:rsidRPr="00DB4DEB">
        <w:tab/>
        <w:t>potiče vladu Ukrajine i oporbu da aktivno traže načine i praktične modalitete, uključujući istraživanje novih pristupa širokoj političkoj suradnji, kako bi zajednički radili na provedbi europskih reformi na putu Ukrajine prema članstvu u EU-u; podsjeća da je zabrinut zbog ograničenja putovanja zastupnika u Vrhovnoj radi Ukrajine u inozemstvo i ponavlja preporuku da se ukinu ograničenja putovanja u inozemstvo povezanih s mandatom i političkih putovanja za zastupnike u parlamentu; preporučuje jačanje zakonodavnih kapaciteta Vrhovne rade kako bi se proizvelo kvalitetnije zakonodavstvo i suzbilo „zakonodavno zatrpavanje” paralelnim nacrtima zakona loše kvalitete o istoj temi;</w:t>
      </w:r>
    </w:p>
    <w:p w:rsidR="007D36EB" w:rsidP="007D36EB" w14:paraId="614E9070" w14:textId="2C6E0D02">
      <w:pPr>
        <w:pStyle w:val="NormalHanging12a"/>
      </w:pPr>
      <w:r>
        <w:t>40</w:t>
      </w:r>
      <w:r w:rsidRPr="00DB4DEB">
        <w:t>.</w:t>
      </w:r>
      <w:r w:rsidRPr="00DB4DEB">
        <w:tab/>
        <w:t xml:space="preserve">pozdravlja kontinuirano sudjelovanje Ukrajine u Istočnom partnerstvu i Parlamentarnoj skupštini </w:t>
      </w:r>
      <w:r w:rsidRPr="00DB4DEB">
        <w:t>Euronest</w:t>
      </w:r>
      <w:r w:rsidRPr="00DB4DEB">
        <w:t>; pozdravlja sudjelovanje članova oporbe Vrhovne rade na njezinim sastancima;</w:t>
      </w:r>
    </w:p>
    <w:p w:rsidR="003C48A4" w:rsidRPr="003C48A4" w:rsidP="007D36EB" w14:paraId="43F51758" w14:textId="6A85C4FD">
      <w:pPr>
        <w:pStyle w:val="NormalHanging12a"/>
        <w:rPr>
          <w:bCs/>
          <w:iCs/>
        </w:rPr>
      </w:pPr>
      <w:r>
        <w:rPr>
          <w:bCs/>
          <w:iCs/>
        </w:rPr>
        <w:t>41</w:t>
      </w:r>
      <w:r w:rsidRPr="00081F70">
        <w:rPr>
          <w:bCs/>
          <w:iCs/>
        </w:rPr>
        <w:t>.</w:t>
      </w:r>
      <w:r w:rsidRPr="003C48A4">
        <w:rPr>
          <w:bCs/>
          <w:iCs/>
        </w:rPr>
        <w:tab/>
      </w:r>
      <w:r w:rsidRPr="00081F70">
        <w:rPr>
          <w:bCs/>
          <w:iCs/>
        </w:rPr>
        <w:t xml:space="preserve">naglašava važnost njegovanja konstruktivne političke kulture i poticanja suradnje među političkim strankama u Ukrajini koja se temelji na povjerenju; prima na znanje aktivno sudjelovanje ukrajinskih parlamentarnih zastupnika u Dijalogu Jean </w:t>
      </w:r>
      <w:r w:rsidRPr="00081F70">
        <w:rPr>
          <w:bCs/>
          <w:iCs/>
        </w:rPr>
        <w:t>Monnet</w:t>
      </w:r>
      <w:r w:rsidRPr="00081F70">
        <w:rPr>
          <w:bCs/>
          <w:iCs/>
        </w:rPr>
        <w:t xml:space="preserve"> za mir i demokraciju s ukrajinskom </w:t>
      </w:r>
      <w:r w:rsidRPr="00081F70">
        <w:rPr>
          <w:bCs/>
          <w:iCs/>
        </w:rPr>
        <w:t>Verhovnom</w:t>
      </w:r>
      <w:r w:rsidRPr="00081F70">
        <w:rPr>
          <w:bCs/>
          <w:iCs/>
        </w:rPr>
        <w:t xml:space="preserve"> Radom te se ove godine obilježava deset godina </w:t>
      </w:r>
      <w:r w:rsidRPr="00081F70">
        <w:rPr>
          <w:bCs/>
          <w:iCs/>
        </w:rPr>
        <w:t>od njegova pokretanja u listopadu 2016.; pohvaljuje taj format kao trajan i konstruktivan instrument međustranačkog dijaloga koji je pomogao vodstvu i svim parlamentarnim frakcijama i skupinama Vrhovne rade da postignu konsenzus o institucijskim reformama; potiče Vrhovnu Radu da sazove još jedan krug pregovora kako bi se učvrstile reforme potrebne za proces pristupanja Ukrajine;</w:t>
      </w:r>
    </w:p>
    <w:p w:rsidR="007D36EB" w:rsidRPr="00DB4DEB" w:rsidP="007D36EB" w14:paraId="1E08038A" w14:textId="14F5BE3A">
      <w:pPr>
        <w:pStyle w:val="NormalHanging12a"/>
      </w:pPr>
      <w:r>
        <w:t>42</w:t>
      </w:r>
      <w:r w:rsidRPr="00DB4DEB">
        <w:t>.</w:t>
      </w:r>
      <w:r w:rsidRPr="00DB4DEB">
        <w:tab/>
        <w:t>pohvaljuje izvanredne napore koje je Ukrajina uložila u pripremu demokratskih izbora koji će se održati nakon ukidanja izvanrednog stanja i ustraje u tome da se omogući odgovarajuće vrijeme za ispunjavanje potrebnih standarda i uvjeta za slobodne i poštene izbore; podsjeća da se, u skladu s općepriznatim demokratskim načelima i ukrajinskim Ustavom, izbori ne mogu održati tijekom rata i izvanrednog stanja te da su im potrebni općenito sigurna situacija i odgovarajuće vrijeme za pripremu i pristup informacijama kako bi se ispunili međunarodni standardi; stoga smatra da je pritisak vlade SAD-a na Ukrajinu da održi izbore dok traje ruska ratna agresija i dok se ta zemlja nalazi u stanju izvanrednog stanja neprimjeren i smatra da to ne služi svrsi demokratskog legitimiteta;</w:t>
      </w:r>
    </w:p>
    <w:p w:rsidR="007D36EB" w:rsidRPr="00DB4DEB" w:rsidP="007D36EB" w14:paraId="347C795C" w14:textId="328F68E6">
      <w:pPr>
        <w:pStyle w:val="NormalHanging12a"/>
      </w:pPr>
      <w:r>
        <w:t>43</w:t>
      </w:r>
      <w:r w:rsidRPr="00DB4DEB">
        <w:t>.</w:t>
      </w:r>
      <w:r w:rsidRPr="00DB4DEB">
        <w:tab/>
        <w:t>prepoznaje važan rad radnih skupina koje je osnovala Vrhovna rada za razvoj izbornog zakonodavstva za prve poslijeratne izbore; poziva EU i njegove države članice da pruže pomoć u reformi ukrajinskog izbornog zakonodavstva, uključujući uklanjanje prepreka koje sprečavaju prisilno raseljene osobe da sudjeluju na parlamentarnim i predsjedničkim izborima te da pruže financijsku pomoć, posebno za organiziranje glasovanja izvan Ukrajine; preporučuje da Europska unija u potpunosti podrži i pripremi dugoročnu međunarodnu misiju za promatranje izbora;</w:t>
      </w:r>
    </w:p>
    <w:p w:rsidR="007D36EB" w:rsidRPr="00DB4DEB" w:rsidP="007D36EB" w14:paraId="2648890D" w14:textId="42B81160">
      <w:pPr>
        <w:pStyle w:val="NormalHanging12a"/>
      </w:pPr>
      <w:r>
        <w:t>44</w:t>
      </w:r>
      <w:r w:rsidRPr="00DB4DEB">
        <w:t>.</w:t>
      </w:r>
      <w:r w:rsidRPr="00DB4DEB">
        <w:tab/>
        <w:t xml:space="preserve">podsjeća da se ruska ratna agresija vodi i u informacijskoj sferi te oštro osuđuje ruske pokušaje </w:t>
      </w:r>
      <w:r w:rsidRPr="00DB4DEB">
        <w:t>delegitimizacije</w:t>
      </w:r>
      <w:r w:rsidRPr="00DB4DEB">
        <w:t xml:space="preserve"> ukrajinskih institucija; ističe da je rusko kognitivno ratovanje usmjereno na potporu Ukrajini u europskim demokracijama, među ostalim podržavanjem različitih političkih stranaka; stoga ustraje u tome da Ukrajina primi pomoć EU-a u borbi protiv inozemnog upletanja i manipuliranja informacijama tijekom poslijeratnih izbora, slično pomoći koja se pruža Republici </w:t>
      </w:r>
      <w:r w:rsidRPr="00DB4DEB">
        <w:t>Moldovi</w:t>
      </w:r>
      <w:r w:rsidRPr="00DB4DEB">
        <w:t>, te potiče Ukrajinu i EU da udruže snage u tu svrhu;</w:t>
      </w:r>
    </w:p>
    <w:p w:rsidR="007D36EB" w:rsidRPr="00DB4DEB" w:rsidP="007D36EB" w14:paraId="47BE8E44" w14:textId="2A7F7734">
      <w:pPr>
        <w:pStyle w:val="NormalHanging12a"/>
      </w:pPr>
      <w:r>
        <w:t>45</w:t>
      </w:r>
      <w:r w:rsidRPr="00DB4DEB">
        <w:t>.</w:t>
      </w:r>
      <w:r w:rsidRPr="00DB4DEB">
        <w:tab/>
        <w:t>pozdravlja vraćanje televizijskih prijenosa parlamentarnih zasjedanja, čime je ojačan demokratski legitimitet Ukrajine; svjestan je izazova održavanja pluralističkih medija u ratnim uvjetima; naglašava da bilo kakva ograničenja uvedena u takvim izvanrednim okolnostima nisu trajne prirode te da ih treba redovito preispitivati i prilagođavati, gdje je to primjereno i izvedivo, u skladu s razvojem situacije; naglašava da produljenje rata samo po sebi ne opravdava neograničeno nastavljanje ograničenja te da bi, kako otpornost Ukrajine jača, takve mjere trebalo postupno ublažavati i na snazi ostaviti samo one koje su strogo potrebne i proporcionalne nacionalnoj sigurnosnoj situaciji;</w:t>
      </w:r>
    </w:p>
    <w:p w:rsidR="007D36EB" w:rsidRPr="00DB4DEB" w:rsidP="007D36EB" w14:paraId="746498AC" w14:textId="77777777">
      <w:pPr>
        <w:pStyle w:val="NormalHanging12a"/>
        <w:rPr>
          <w:b/>
          <w:bCs/>
          <w:i/>
          <w:iCs/>
        </w:rPr>
      </w:pPr>
      <w:r w:rsidRPr="00DB4DEB">
        <w:rPr>
          <w:b/>
          <w:i/>
        </w:rPr>
        <w:t>V. Vladavina prava i reforme pravosuđa</w:t>
      </w:r>
    </w:p>
    <w:p w:rsidR="007D36EB" w:rsidRPr="00DB4DEB" w:rsidP="007D36EB" w14:paraId="5241F3BF" w14:textId="770CCBDF">
      <w:pPr>
        <w:pStyle w:val="NormalHanging12a"/>
      </w:pPr>
      <w:r>
        <w:t>46</w:t>
      </w:r>
      <w:r w:rsidRPr="00DB4DEB">
        <w:t>.</w:t>
      </w:r>
      <w:r w:rsidRPr="00DB4DEB">
        <w:tab/>
        <w:t>pohvaljuje donošenje prioritetnog plana reforme u deset točaka (tzv. plan Kos-</w:t>
      </w:r>
      <w:r w:rsidRPr="00DB4DEB">
        <w:t>Kachka</w:t>
      </w:r>
      <w:r w:rsidRPr="00DB4DEB">
        <w:t>) koji su EU i Ukrajina dogovorili u prosincu 2025. kao važan korak prema jačanju vladavine prava, postizanju napretka u reformi pravosuđa i poboljšanju antikorupcijskih djelovanja; pozdravlja tekući rad na provedbi plana Kos-</w:t>
      </w:r>
      <w:r w:rsidRPr="00DB4DEB">
        <w:t>Kachka</w:t>
      </w:r>
      <w:r w:rsidRPr="00DB4DEB">
        <w:t xml:space="preserve"> i potiče Ukrajinu da što prije ostvari konkretne rezultate izvan okvira rasprava ili radnih skupina;</w:t>
      </w:r>
      <w:r w:rsidR="009D6F35">
        <w:t xml:space="preserve"> </w:t>
      </w:r>
      <w:r w:rsidRPr="00081F70" w:rsidR="009D6F35">
        <w:rPr>
          <w:bCs/>
          <w:iCs/>
        </w:rPr>
        <w:t>ističe da bi se razina provedbe plana sredinom 2026. na razini od približno 15 %, koju je izmjerila ukrajinska zajednica skupina za strateško promišljanje, trebala smatrati nezadovoljavajućom za Ukrajinu;</w:t>
      </w:r>
    </w:p>
    <w:p w:rsidR="007D36EB" w:rsidRPr="00DB4DEB" w:rsidP="007D36EB" w14:paraId="4730CA91" w14:textId="40F61CE1">
      <w:pPr>
        <w:pStyle w:val="NormalHanging12a"/>
      </w:pPr>
      <w:r>
        <w:t>47</w:t>
      </w:r>
      <w:r w:rsidRPr="00DB4DEB">
        <w:t>.</w:t>
      </w:r>
      <w:r w:rsidRPr="00DB4DEB">
        <w:tab/>
        <w:t>ističe važnost njegove pravovremene i potpune provedbe, uključujući putem jasno definiranih ključnih etapa, mjerljivih pokazatelja i učinkovitih mehanizama praćenja; izražava zabrinutost zbog ograničenog napretka u određenim prioritetnim područjima i potiče ukrajinske vlasti da ubrzaju provedbu na temelju jasnih mjerila i trajne političke predanosti jer će pravodobna, vjerodostojna i učinkovita provedba biti ključna za jačanje demokratske otpornosti Ukrajine i napredak njezina procesa pristupanja EU-u;</w:t>
      </w:r>
    </w:p>
    <w:p w:rsidR="007D36EB" w:rsidRPr="00DB4DEB" w:rsidP="007D36EB" w14:paraId="35D7F0E5" w14:textId="3CBEA8BF">
      <w:pPr>
        <w:pStyle w:val="NormalHanging12a"/>
      </w:pPr>
      <w:r>
        <w:t>48</w:t>
      </w:r>
      <w:r w:rsidRPr="00DB4DEB">
        <w:t>.</w:t>
      </w:r>
      <w:r w:rsidRPr="00DB4DEB">
        <w:tab/>
        <w:t xml:space="preserve">pozdravlja uspostavu vodeće inicijative Ukraine2EU, koju su pokrenuli EU, Litva i Danska, a kasnije su joj se pridružile Švedska, Irska i Poljska, za pružanje ciljane pomoći ukrajinskim državnim institucijama u snalaženju u koracima za dovršetak procesa pristupanja EU-u i pripremu za članstvo u EU-u; ističe važnost projekata tehničke pomoći poput ovoga i poziva na to da ih se kontinuirano podupire i da se uključi više država članica; također hvali napore koje organizacije civilnog društva ulažu u praćenje provedbe i pružanje potpore daljnjem napredovanju reformi; </w:t>
      </w:r>
    </w:p>
    <w:p w:rsidR="007D36EB" w:rsidRPr="00DB4DEB" w:rsidP="007D36EB" w14:paraId="38416153" w14:textId="795C8C63">
      <w:pPr>
        <w:pStyle w:val="NormalHanging12a"/>
      </w:pPr>
      <w:r>
        <w:t>49</w:t>
      </w:r>
      <w:r w:rsidRPr="00DB4DEB">
        <w:t>.</w:t>
      </w:r>
      <w:r w:rsidRPr="00DB4DEB">
        <w:tab/>
        <w:t xml:space="preserve">pozdravlja napredak Ukrajine u reformi pravosuđa i borbi protiv korupcije te uviđa da se takav napredak ostvaruje pod izvanrednim pritiskom rata; poziva na kontinuiran i ubrzan napredak u tim ključnim područjima jer snažna vladavina prava omogućuje transparentnost i odgovornost u procesima obnove i gospodarskog oporavka te poboljšava ulagačku klimu i povjerenje međunarodnih partnera; pozdravlja provedbu plana za vladavinu prava donesenog u svibnju 2025. i naglašava da je taj napredak izravno povezan s povećanjem povjerenja javnosti u državne institucije; </w:t>
      </w:r>
    </w:p>
    <w:p w:rsidR="007D36EB" w:rsidRPr="00DB4DEB" w:rsidP="007D36EB" w14:paraId="3F3F88B7" w14:textId="6E82AC78">
      <w:pPr>
        <w:pStyle w:val="NormalHanging12a"/>
      </w:pPr>
      <w:r>
        <w:t>50</w:t>
      </w:r>
      <w:r w:rsidRPr="00DB4DEB">
        <w:t>.</w:t>
      </w:r>
      <w:r w:rsidRPr="00DB4DEB">
        <w:tab/>
        <w:t xml:space="preserve">i dalje je zabrinut zbog neuspjeha u imenovanju međunarodno provjerenih sudaca ukrajinskog Ustavnog suda; poziva Vrhovnu radu da donese Zakon o Ustavnom sudu u skladu s mišljenjima Venecijanske komisije te da osigura transparentan postupak odabira uz sudjelovanje međunarodnih stručnjaka i dvotrećinsku parlamentarnu većinu za imenovanja; potiče Ukrajinu da iskoristi dostupno međunarodno stručno znanje i pomoć u transformaciji pravosuđa, priznajući pritom da institucijsko poboljšanje zahtijeva provedbu mjera za jačanje uspješnosti i neovisnosti; poziva na to da prioritet za 2026. bude postizanje napretka sveobuhvatne reforme Nacionalne odvjetničke komore Ukrajine; </w:t>
      </w:r>
    </w:p>
    <w:p w:rsidR="007D36EB" w:rsidRPr="00DB4DEB" w:rsidP="007D36EB" w14:paraId="036CACFA" w14:textId="261F7733">
      <w:pPr>
        <w:pStyle w:val="NormalHanging12a"/>
      </w:pPr>
      <w:r>
        <w:t>51</w:t>
      </w:r>
      <w:r w:rsidRPr="00DB4DEB">
        <w:t>.</w:t>
      </w:r>
      <w:r w:rsidRPr="00DB4DEB">
        <w:tab/>
        <w:t>potiče Ukrajinu da uloži dodatne napore u osiguravanje profesionalnosti i integriteta nositelja pravosudnih dužnosti; ističe potrebu za transparentnim imenovanjima u pravosuđu te učinkovitom istragom i sankcioniranjem kaznenih djela korupcije na svim razinama; potiče Ukrajinu da provede reformu postupka izbora i razrješavanja glavnog tužitelja te da ograniči neprimjeren utjecaj na pojedinačne slučajeve, među ostalim, automatskom dodjelom predmeta i ograničenim pristupom spisima predmeta; potiče pravosuđe da nastavi ulagati u nove tehnologije kako bi se prevladao nedostatak osoblja i veliko opterećenje poslom; pohvaljuje pravosuđe za nastavak rada u izazovnim uvjetima i ukrajinsko civilno društvo za praćenje provedbe reformi u području vladavine prava;</w:t>
      </w:r>
    </w:p>
    <w:p w:rsidR="007D36EB" w:rsidRPr="00DB4DEB" w:rsidP="007D36EB" w14:paraId="7B3493C9" w14:textId="202C9FE5">
      <w:pPr>
        <w:pStyle w:val="NormalHanging12a"/>
      </w:pPr>
      <w:r>
        <w:t>52</w:t>
      </w:r>
      <w:r w:rsidRPr="00DB4DEB">
        <w:t>.</w:t>
      </w:r>
      <w:r w:rsidRPr="00DB4DEB">
        <w:tab/>
        <w:t xml:space="preserve">poziva na reformu ukrajinske sigurnosne službe (SSU) i Državnog istražnog ureda (SBI), koja će se temeljiti na inicijativi predsjednika </w:t>
      </w:r>
      <w:r w:rsidRPr="00DB4DEB">
        <w:t>Zelenskog</w:t>
      </w:r>
      <w:r w:rsidRPr="00DB4DEB">
        <w:t xml:space="preserve"> najavljenoj 2. siječnja 2026., s posebnim fokusom SSU-a na protuobavještajne poslove, borbu protiv terorizma i druge izvore sigurnosnih prijetnji, moguće zlouporabe ovlasti i poštovanje ljudskih prava; cijeni napore uložene u reformu tih institucija tijekom rata; međutim, žali zbog toga što nacrt zakona o reformi SBI-ja nije donesen na plenarnoj sjednici Vrhovne rade do kraja travnja 2026.; uvažava doprinos Savjetodavne misije </w:t>
      </w:r>
      <w:r w:rsidRPr="00DB4DEB">
        <w:t xml:space="preserve">EU-a u Ukrajini važnom radu na europskim integracijama, uključujući reformu u području sigurnosti, vladavine prava i odgovornosti; </w:t>
      </w:r>
    </w:p>
    <w:p w:rsidR="007D36EB" w:rsidRPr="00DB4DEB" w:rsidP="007D36EB" w14:paraId="2B16833A" w14:textId="6AFEC8CA">
      <w:pPr>
        <w:pStyle w:val="NormalHanging12a"/>
      </w:pPr>
      <w:r>
        <w:t>53</w:t>
      </w:r>
      <w:r w:rsidRPr="00DB4DEB">
        <w:t>.</w:t>
      </w:r>
      <w:r w:rsidRPr="00DB4DEB">
        <w:tab/>
        <w:t xml:space="preserve">poziva na reviziju Zakona o kaznenom postupku i povezanog zakonodavstva kako bi se osigurala brza i visokokvalitetna pravda, posebno revizijom odredbi kojima se predviđa automatsko zaključenje istraga zbog isteka rokova za istragu prije suđenja i skraćenih rokova za istragu, čime se ugrožavaju učinkovite istrage složenih kaznenih predmeta, uključujući slučajeve korupcije na visokoj razini; također potiče ukrajinske vlasti da riješe problem praksi pritvora prije suđenja i zlouporabe </w:t>
      </w:r>
      <w:r w:rsidRPr="00DB4DEB">
        <w:t>postupovnih</w:t>
      </w:r>
      <w:r w:rsidRPr="00DB4DEB">
        <w:t xml:space="preserve"> prava; potiče veću transparentnost u pristupu javnim evidencijama, istodobno uvažavajući sigurnosne razloge u ratnom razdoblju; pozdravlja donošenje novog zakona o lobiranju; </w:t>
      </w:r>
    </w:p>
    <w:p w:rsidR="007D36EB" w:rsidP="007D36EB" w14:paraId="19B50FA1" w14:textId="4B69DADA">
      <w:pPr>
        <w:pStyle w:val="NormalHanging12a"/>
      </w:pPr>
      <w:r>
        <w:t>54</w:t>
      </w:r>
      <w:r w:rsidRPr="00DB4DEB">
        <w:t>.</w:t>
      </w:r>
      <w:r w:rsidRPr="00DB4DEB">
        <w:tab/>
        <w:t>snažno potiče ukrajinske vlasti da se suzdrže od bilo kakvih politički motiviranih sudskih postupaka i uvođenja osobnih sankcija protiv čelnika i predstavnika oporbe i organizacija civilnog društva; naglašava da takve prakse mogu narušiti demokratske standarde i povjerenje javnosti;</w:t>
      </w:r>
    </w:p>
    <w:p w:rsidR="009D6F35" w:rsidRPr="009D6F35" w:rsidP="007D36EB" w14:paraId="28FAA706" w14:textId="7CC3E3C5">
      <w:pPr>
        <w:pStyle w:val="NormalHanging12a"/>
        <w:rPr>
          <w:bCs/>
          <w:iCs/>
        </w:rPr>
      </w:pPr>
      <w:r>
        <w:rPr>
          <w:bCs/>
          <w:iCs/>
        </w:rPr>
        <w:t>55</w:t>
      </w:r>
      <w:r w:rsidRPr="00081F70">
        <w:rPr>
          <w:bCs/>
          <w:iCs/>
        </w:rPr>
        <w:t>.</w:t>
      </w:r>
      <w:r w:rsidRPr="009D6F35">
        <w:rPr>
          <w:bCs/>
          <w:iCs/>
        </w:rPr>
        <w:tab/>
      </w:r>
      <w:r w:rsidRPr="00081F70">
        <w:rPr>
          <w:bCs/>
          <w:iCs/>
        </w:rPr>
        <w:t>poziva ukrajinske vlasti da iz nacionalnog zakonodavstva uklone kršenja općepriznatih europskih i međunarodnih standarda parlamentarne neovisnosti, kao što su mandat slobodnog zastupnika, dioba vlasti i načelo pravne sigurnosti, u mjeri u kojoj se odnose na pogrešno izjednačavanje zastupnika u ukrajinskom parlamentu sa statusom javnog dužnosnika; naglašava da zastupnik u ukrajinskom parlamentu ima predstavnički mandat i ne pripada nijednoj administrativnoj hijerarhiji, nije imenovan na dužnost, ne obavlja službene funkcije te se stoga u nacionalnom zakonodavstvu ne može definirati kao javni dužnosnik;</w:t>
      </w:r>
    </w:p>
    <w:p w:rsidR="007D36EB" w:rsidRPr="00DB4DEB" w:rsidP="007D36EB" w14:paraId="522558DF" w14:textId="77777777">
      <w:pPr>
        <w:pStyle w:val="NormalHanging12a"/>
        <w:rPr>
          <w:b/>
          <w:bCs/>
          <w:i/>
          <w:iCs/>
        </w:rPr>
      </w:pPr>
      <w:r w:rsidRPr="00DB4DEB">
        <w:rPr>
          <w:b/>
          <w:i/>
        </w:rPr>
        <w:t>VI. Borba protiv korupcije</w:t>
      </w:r>
    </w:p>
    <w:p w:rsidR="007D36EB" w:rsidRPr="00DB4DEB" w:rsidP="007D36EB" w14:paraId="7DCF447D" w14:textId="36FDC592">
      <w:pPr>
        <w:pStyle w:val="NormalHanging12a"/>
        <w:rPr>
          <w:bCs/>
          <w:iCs/>
        </w:rPr>
      </w:pPr>
      <w:r>
        <w:t>56</w:t>
      </w:r>
      <w:r w:rsidRPr="00DB4DEB">
        <w:t>.</w:t>
      </w:r>
      <w:r w:rsidRPr="00DB4DEB">
        <w:tab/>
        <w:t xml:space="preserve">pozdravlja napredak specijaliziranih agencija za borbu protiv korupcije u otkrivanju i progonu </w:t>
      </w:r>
      <w:r w:rsidRPr="00DB4DEB">
        <w:t>visokoprofiliranih</w:t>
      </w:r>
      <w:r w:rsidRPr="00DB4DEB">
        <w:t xml:space="preserve"> slučajeva i pohvaljuje provedbu mehanizama za zviždače; ističe da nedavno otkrivanje korupcije na visokoj razini dokazuje i potrebu za daljnjom borbom protiv korupcije i uspjeh napora u tom smjeru; uviđa da je Ukrajina postigla izniman uspjeh u istragama i kaznenom progonu korupcije; naglašava da su uspješni i neponištivi rezultati u pogledu istraga, kaznenog progona i pravomoćnih presuda u slučajevima korupcije na visokoj razini i dalje ključni; upozorava da bi svako nazadovanje u antikorupcijskim reformama ozbiljno ugrozilo povjerenje javnosti i put Ukrajine prema europskoj integraciji;</w:t>
      </w:r>
    </w:p>
    <w:p w:rsidR="007D36EB" w:rsidRPr="00DB4DEB" w:rsidP="007D36EB" w14:paraId="13837BAE" w14:textId="40914CDA">
      <w:pPr>
        <w:pStyle w:val="NormalHanging12a"/>
        <w:rPr>
          <w:bCs/>
          <w:iCs/>
        </w:rPr>
      </w:pPr>
      <w:r>
        <w:t>57</w:t>
      </w:r>
      <w:r w:rsidRPr="00DB4DEB">
        <w:t>.</w:t>
      </w:r>
      <w:r w:rsidRPr="00DB4DEB">
        <w:tab/>
        <w:t xml:space="preserve">pozdravlja zapošljavanje brojnih novih zaposlenika u Nacionalnom uredu za borbu protiv korupcije Ukrajine (NABU) i Specijaliziranom uredu tužitelja za borbu protiv korupcije (SAPO); nadalje, pozdravlja odobrenje strategije razvoja NABU-a i početak rada na strategiji institucionalnog razvoja SAPO-a; </w:t>
      </w:r>
    </w:p>
    <w:p w:rsidR="007D36EB" w:rsidRPr="00DB4DEB" w:rsidP="007D36EB" w14:paraId="362C76E3" w14:textId="213E26BB">
      <w:pPr>
        <w:pStyle w:val="NormalHanging12a"/>
        <w:rPr>
          <w:bCs/>
          <w:iCs/>
        </w:rPr>
      </w:pPr>
      <w:r>
        <w:t>58</w:t>
      </w:r>
      <w:r w:rsidRPr="00DB4DEB">
        <w:t>.</w:t>
      </w:r>
      <w:r w:rsidRPr="00DB4DEB">
        <w:tab/>
        <w:t xml:space="preserve">ističe ključni rad najvažnijih antikorupcijskih institucija poput NABU-a, kao i napore civilnog društva u održavanju neovisnosti tijela za borbu protiv korupcije i povećanju učinkovitosti rješavanja tih problema; pozdravlja imenovanje međunarodnih članova komisije za SAPO i istodobno izražava zabrinutost zbog etičkih pitanja o jednom od ukrajinskih članova; pozdravlja veliki napredak postignut u intervjuiranju kandidata u okviru rigoroznog, neovisnog, </w:t>
      </w:r>
      <w:r w:rsidRPr="00DB4DEB">
        <w:t>uključivog</w:t>
      </w:r>
      <w:r w:rsidRPr="00DB4DEB">
        <w:t xml:space="preserve"> i transparentnog postupka za Visoki antikorupcijski sud koji provode Javno vijeće međunarodnih stručnjaka i Visoko povjerenstvo za kvalifikacije sudaca;</w:t>
      </w:r>
    </w:p>
    <w:p w:rsidR="007D36EB" w:rsidRPr="00DB4DEB" w:rsidP="007D36EB" w14:paraId="62D9B08A" w14:textId="68609E1C">
      <w:pPr>
        <w:pStyle w:val="NormalHanging12a"/>
        <w:rPr>
          <w:bCs/>
          <w:iCs/>
        </w:rPr>
      </w:pPr>
      <w:r>
        <w:t>59</w:t>
      </w:r>
      <w:r w:rsidRPr="00DB4DEB">
        <w:t>.</w:t>
      </w:r>
      <w:r w:rsidRPr="00DB4DEB">
        <w:tab/>
        <w:t xml:space="preserve">ustraje u tome da ukrajinske vlasti zajamče institucionalnu i operativnu neovisnost NABU-a i SAPO-a; osuđuje svako političko upletanje, </w:t>
      </w:r>
      <w:r w:rsidRPr="00DB4DEB">
        <w:t>instrumentalizaciju</w:t>
      </w:r>
      <w:r w:rsidRPr="00DB4DEB">
        <w:t xml:space="preserve"> ili zastrašivanje usmjereno na institucije za borbu protiv korupcije, uključujući neopravdane inspekcije, kaznene progone ili operativna ograničenja, te zahtijeva trenutačni prekid nepotrebnog pritiska sigurnosnih i obavještajnih službi, uključujući SSU; naglašava da je zaštita NABU-a i SAPO-a ključni preduvjet za vladavinu prava, proces pristupanja Ukrajine EU-u i vjerodostojno korištenje međunarodne potpore; </w:t>
      </w:r>
    </w:p>
    <w:p w:rsidR="007D36EB" w:rsidRPr="00DB4DEB" w:rsidP="007D36EB" w14:paraId="54568250" w14:textId="5D9E91A1">
      <w:pPr>
        <w:pStyle w:val="NormalHanging12a"/>
        <w:rPr>
          <w:bCs/>
          <w:iCs/>
        </w:rPr>
      </w:pPr>
      <w:r>
        <w:t>60</w:t>
      </w:r>
      <w:r w:rsidRPr="00DB4DEB">
        <w:t>.</w:t>
      </w:r>
      <w:r w:rsidRPr="00DB4DEB">
        <w:tab/>
        <w:t>ponovno ističe da je potrebno da Nacionalna agencija za sprečavanje korupcije poboljša postupke provjere imovinskih kartica i usmjeri napore na visoke dužnosnike u utvrđenim područjima visokog rizika; potiče Ukrajinu da u potpunosti provede reformu Agencije za povrat imovine i upravljanje njome, uključujući njezine potrebne podzakonske akte; žali zbog toga što su tijela za izvršavanje zakonodavstva, osim specijaliziranih tijela za borbu protiv korupcije, postigla ograničen napredak u poboljšanju svojih rezultata u slučajevima borbe protiv korupcije;</w:t>
      </w:r>
    </w:p>
    <w:p w:rsidR="007D36EB" w:rsidRPr="00DB4DEB" w:rsidP="007D36EB" w14:paraId="15D20B49" w14:textId="2745B830">
      <w:pPr>
        <w:pStyle w:val="NormalHanging12a"/>
        <w:rPr>
          <w:bCs/>
          <w:iCs/>
        </w:rPr>
      </w:pPr>
      <w:r>
        <w:t>61</w:t>
      </w:r>
      <w:r w:rsidRPr="00DB4DEB">
        <w:t>.</w:t>
      </w:r>
      <w:r w:rsidRPr="00DB4DEB">
        <w:tab/>
        <w:t>pozdravlja članstvo Ukrajine u Radnoj skupini Organizacije za gospodarsku suradnju i razvoj (OECD) kao pozitivan korak prema punopravnom članstvu i kao daljnju potvrdu predanosti Ukrajine međunarodnim standardima transparentnosti i dobrog upravljanja; prima na znanje napredak Ukrajine u provedbi zakonodavstva o borbi protiv mita u međunarodnim transakcijama kao znak zemlje koja se integrira u globalnu zajednicu odgovornih gospodarskih aktera te je potiče da nastavi ulagati napore kako bi se održao taj napredak;</w:t>
      </w:r>
    </w:p>
    <w:p w:rsidR="007D36EB" w:rsidRPr="00DB4DEB" w:rsidP="007D36EB" w14:paraId="3607A94A" w14:textId="38B7D617">
      <w:pPr>
        <w:pStyle w:val="NormalHanging12a"/>
        <w:rPr>
          <w:bCs/>
          <w:iCs/>
        </w:rPr>
      </w:pPr>
      <w:r>
        <w:t>62</w:t>
      </w:r>
      <w:r w:rsidRPr="00DB4DEB">
        <w:t>.</w:t>
      </w:r>
      <w:r w:rsidRPr="00DB4DEB">
        <w:tab/>
        <w:t>ponovno naglašava važnost kontinuirane borbe protiv organiziranog kriminala; poziva Ukrajinu da poduzme dodatne napore za jačanje borbe protiv prijevara i internetskih prijevara;</w:t>
      </w:r>
    </w:p>
    <w:p w:rsidR="007D36EB" w:rsidRPr="00DB4DEB" w:rsidP="007D36EB" w14:paraId="5EF65772" w14:textId="77777777">
      <w:pPr>
        <w:pStyle w:val="Normal12a"/>
        <w:rPr>
          <w:i/>
          <w:iCs/>
        </w:rPr>
      </w:pPr>
      <w:r w:rsidRPr="00DB4DEB">
        <w:rPr>
          <w:b/>
          <w:i/>
        </w:rPr>
        <w:t>VII. Temeljne slobode i ljudska prava</w:t>
      </w:r>
    </w:p>
    <w:p w:rsidR="007D36EB" w:rsidRPr="00DB4DEB" w:rsidP="007D36EB" w14:paraId="2B8588E8" w14:textId="7F9D0339">
      <w:pPr>
        <w:pStyle w:val="NormalHanging12a"/>
      </w:pPr>
      <w:r>
        <w:t>63</w:t>
      </w:r>
      <w:r w:rsidRPr="00DB4DEB">
        <w:t>.</w:t>
      </w:r>
      <w:r w:rsidRPr="00DB4DEB">
        <w:tab/>
        <w:t xml:space="preserve">pohvaljuje predanost Ukrajine poštovanju temeljnih prava unatoč aktualnoj ruskoj agresiji, a posebno pohvaljuje akcijski plan nacionalnih manjina; potiče Ukrajinu da vodi strukturirani i konstruktivni dijalog sa susjednim državama članicama u pogledu prava pripadnika nacionalnih manjina, u skladu s europskim standardima i preporukama Venecijanske komisije; cijeni napore koje su ukrajinske vlasti uložile u reformu obrazovnog sustava i izražava nadu da odredbe zakona o obrazovanju koji će stupiti na snagu 2027. neće ugroziti pravo manjina da se školuju na materinskom jeziku; </w:t>
      </w:r>
    </w:p>
    <w:p w:rsidR="007D36EB" w:rsidRPr="00DB4DEB" w:rsidP="007D36EB" w14:paraId="3CE1F39D" w14:textId="45919DDD">
      <w:pPr>
        <w:pStyle w:val="NormalHanging12a"/>
      </w:pPr>
      <w:r>
        <w:t>64</w:t>
      </w:r>
      <w:r w:rsidRPr="00DB4DEB">
        <w:t>.</w:t>
      </w:r>
      <w:r w:rsidRPr="00DB4DEB">
        <w:tab/>
        <w:t xml:space="preserve">poziva Ukrajinu da osigura kontinuiranu potporu slobodi izražavanja i neovisnosti medija; poziva Ukrajinu da osigura da su ograničenja izvanrednog stanja strogo nužna i razmjerna; poziva na brzu, neovisnu i učinkovitu istragu slučajeva zastrašivanja i izravnog uznemiravanja, kao i neizravnih oblika pritiska na novinare i medijske kuće; podsjeća na ključnu ulogu odgovarajućeg financiranja u osiguravanju neovisnosti javne radiotelevizije, čime joj se omogućuje da ispunjava svoju ulogu kako je utvrđeno u ukrajinskom zakonodavstvu, te poziva ukrajinske vlasti da osiguraju da je sadržaj koji proizvode javno financirani mediji reprezentativan za politički i društveni pluralizam Ukrajine; </w:t>
      </w:r>
    </w:p>
    <w:p w:rsidR="007D36EB" w:rsidRPr="00DB4DEB" w:rsidP="007D36EB" w14:paraId="434BA4E1" w14:textId="7E62005F">
      <w:pPr>
        <w:pStyle w:val="NormalHanging12a"/>
      </w:pPr>
      <w:r>
        <w:t>65</w:t>
      </w:r>
      <w:r w:rsidRPr="00DB4DEB">
        <w:t>.</w:t>
      </w:r>
      <w:r w:rsidRPr="00DB4DEB">
        <w:tab/>
        <w:t xml:space="preserve">potiče donošenje zakona br. 13597 kojim se jača pravna zaštita od diskriminacije, zločina iz mržnje i govora mržnje na temelju rase, boje kože, političkih, vjerskih i drugih uvjerenja, spola, seksualne orijentacije, rodnog identiteta, nacionalnosti, etničkog, socijalnog ili stranog podrijetla, dobi, zdravstvenog stanja, invaliditeta, </w:t>
      </w:r>
      <w:r w:rsidRPr="00DB4DEB">
        <w:t xml:space="preserve">obiteljskog i imovinskog statusa, obiteljskih prava i obveza, mjesta boravišta, jezika, zanimanja ili na drugim osnovama, u skladu s obvezama Ukrajine iz Sporazuma o pridruživanju i procesa pristupanja EU-u; </w:t>
      </w:r>
    </w:p>
    <w:p w:rsidR="007D36EB" w:rsidRPr="00DB4DEB" w:rsidP="007D36EB" w14:paraId="48011338" w14:textId="10B53B98">
      <w:pPr>
        <w:pStyle w:val="NormalHanging12a"/>
      </w:pPr>
      <w:r>
        <w:t>66</w:t>
      </w:r>
      <w:r w:rsidRPr="00DB4DEB">
        <w:t>.</w:t>
      </w:r>
      <w:r w:rsidRPr="00DB4DEB">
        <w:tab/>
        <w:t xml:space="preserve">pozdravlja kontinuirane napore Ukrajine da modernizira svoje građansko zakonodavstvo; naglašava važnost osiguravanja da takve reforme budu u potpunosti u skladu sa standardima EU-a o jednakosti i nediskriminaciji, uključujući zaštitu prava žena i LGBTIQ+ osoba; pozdravlja nedavnu presudu Vrhovnog suda Ukrajine kojom se istospolni par priznaje kao de facto obitelj; poziva na donošenje nacrta zakona br. 9103 o pravnom priznavanju građanskih partnerstava u Ukrajini; </w:t>
      </w:r>
    </w:p>
    <w:p w:rsidR="007D36EB" w:rsidRPr="00DB4DEB" w:rsidP="007D36EB" w14:paraId="6C4B301F" w14:textId="13BBEC18">
      <w:pPr>
        <w:pStyle w:val="NormalHanging12a"/>
      </w:pPr>
      <w:r>
        <w:t>67</w:t>
      </w:r>
      <w:r w:rsidRPr="00DB4DEB">
        <w:t>.</w:t>
      </w:r>
      <w:r w:rsidRPr="00DB4DEB">
        <w:tab/>
        <w:t xml:space="preserve">pohvaljuje nadzor i zagovaranje ukrajinskog civilnog društva koji su rezultirali obećanjem ukrajinskih zakonodavaca da će povući nacrt izmjena Obiteljskog zakona kojima bi se sudovima omogućilo da u iznimnim slučajevima odobre brak s djevojčicama u dobi od 14 godina; potiče Vrhovnu radu da osigura da se te odredbe doista trajno povuku; </w:t>
      </w:r>
    </w:p>
    <w:p w:rsidR="007D36EB" w:rsidRPr="00DB4DEB" w:rsidP="007D36EB" w14:paraId="1B81FADE" w14:textId="2B5D1F33">
      <w:pPr>
        <w:pStyle w:val="NormalHanging12a"/>
      </w:pPr>
      <w:r>
        <w:t>68</w:t>
      </w:r>
      <w:r w:rsidRPr="00DB4DEB">
        <w:t>.</w:t>
      </w:r>
      <w:r w:rsidRPr="00DB4DEB">
        <w:tab/>
        <w:t xml:space="preserve">poziva Ukrajinu da nastavi sa zaustavljenim postupkom donošenja zakonodavstva o zaštiti osobnih podataka; </w:t>
      </w:r>
    </w:p>
    <w:p w:rsidR="007D36EB" w:rsidRPr="00DB4DEB" w:rsidP="007D36EB" w14:paraId="6481D5D0" w14:textId="2E82B022">
      <w:pPr>
        <w:pStyle w:val="NormalHanging12a"/>
      </w:pPr>
      <w:r>
        <w:t>69</w:t>
      </w:r>
      <w:r w:rsidRPr="00DB4DEB">
        <w:t>.</w:t>
      </w:r>
      <w:r w:rsidRPr="00DB4DEB">
        <w:tab/>
        <w:t xml:space="preserve">pozdravlja donošenje strategije o </w:t>
      </w:r>
      <w:r w:rsidRPr="00DB4DEB">
        <w:t>deinstitucionalizaciji</w:t>
      </w:r>
      <w:r w:rsidRPr="00DB4DEB">
        <w:t xml:space="preserve"> i rad na reformi usluga pristupačnosti i rehabilitacije; međutim, naglašava potrebu za brzim donošenjem zakonodavstva o rehabilitaciji osoba s invaliditetom, uz istodobno osiguravanje da takve </w:t>
      </w:r>
      <w:r w:rsidRPr="00DB4DEB">
        <w:t>uključive</w:t>
      </w:r>
      <w:r w:rsidRPr="00DB4DEB">
        <w:t xml:space="preserve"> reforme dosegnu lokalnu i društvenu razinu;</w:t>
      </w:r>
    </w:p>
    <w:p w:rsidR="007D36EB" w:rsidRPr="00DB4DEB" w:rsidP="007D36EB" w14:paraId="63F46B1F" w14:textId="66ABE290">
      <w:pPr>
        <w:pStyle w:val="NormalHanging12a"/>
        <w:rPr>
          <w:b/>
          <w:i/>
        </w:rPr>
      </w:pPr>
      <w:r>
        <w:t>70</w:t>
      </w:r>
      <w:r w:rsidRPr="00DB4DEB">
        <w:t>.</w:t>
      </w:r>
      <w:r w:rsidRPr="00DB4DEB">
        <w:rPr>
          <w:b/>
          <w:i/>
        </w:rPr>
        <w:tab/>
      </w:r>
      <w:r w:rsidRPr="00DB4DEB">
        <w:t>prima na znanje donošenje zakona kojim će se pravoslavnim parohijama iz Ukrajine omogućiti da se odvoje od jurisdikcije Moskovskog patrijarhata i da slobodno odluče o svojoj novoj hijerarhiji; napominje da su u kolovozu 2024. rumunjske pravoslavne parohije u Ukrajini podnijele zahtjev za priznavanje vjerske udruge „Rumunjska pravoslavna crkva u Ukrajini”, kojoj se mogu pripojiti one parohije koje se odvajaju od Moskovskog patrijarhata; poziva ukrajinske vlasti da bez daljnje odgode registriraju vjersku udrugu „Rumunjska pravoslavna crkva u Ukrajini”;</w:t>
      </w:r>
    </w:p>
    <w:p w:rsidR="007D36EB" w:rsidRPr="00DB4DEB" w:rsidP="007D36EB" w14:paraId="32BE66F2" w14:textId="77777777">
      <w:pPr>
        <w:pStyle w:val="NormalHanging12a"/>
        <w:rPr>
          <w:b/>
          <w:bCs/>
          <w:i/>
          <w:iCs/>
        </w:rPr>
      </w:pPr>
      <w:r w:rsidRPr="00DB4DEB">
        <w:rPr>
          <w:b/>
          <w:i/>
        </w:rPr>
        <w:t>VIII. Uloga civilnog društva</w:t>
      </w:r>
    </w:p>
    <w:p w:rsidR="007D36EB" w:rsidRPr="00DB4DEB" w:rsidP="007D36EB" w14:paraId="4D800DDB" w14:textId="6B1FA2D3">
      <w:pPr>
        <w:pStyle w:val="NormalHanging12a"/>
      </w:pPr>
      <w:r>
        <w:t>71</w:t>
      </w:r>
      <w:r w:rsidRPr="00DB4DEB">
        <w:t>.</w:t>
      </w:r>
      <w:r w:rsidRPr="00DB4DEB">
        <w:tab/>
        <w:t>pohvaljuje ukrajinsko civilno društvo zbog toga što je i dalje aktivno unatoč ratnoj patnji; potiče sve ukrajinske vlasti da osiguraju sustavno i konstruktivno savjetovanje s civilnim društvom i socijalnim partnerima te da osiguraju da se njihovi doprinosi propisno uzmu u obzir i da se bore protiv svih oblika političkog pritiska na organizacije civilnog društva; poziva Ukrajinu da donese Zakon o žalbenom postupku građana kako bi se osiguralo dobro upravljanje i sudjelovanje građana; prepoznaje važnost civilnog društva za jačanje otpornosti ukrajinskog naroda tijekom rata i naglašava ključnu ulogu koju civilno društvo treba imati u održivom poslijeratnom oporavku Ukrajine;</w:t>
      </w:r>
    </w:p>
    <w:p w:rsidR="007D36EB" w:rsidRPr="00DB4DEB" w:rsidP="007D36EB" w14:paraId="44A07063" w14:textId="37B663CD">
      <w:pPr>
        <w:pStyle w:val="NormalHanging12a"/>
      </w:pPr>
      <w:r>
        <w:t>72</w:t>
      </w:r>
      <w:r w:rsidRPr="00DB4DEB">
        <w:t>.</w:t>
      </w:r>
      <w:r w:rsidRPr="00DB4DEB">
        <w:tab/>
        <w:t xml:space="preserve">pozdravlja korištenje instrumenata digitalne demokracije, uključujući elektroničke peticije i otvorena pisma, te podupire </w:t>
      </w:r>
      <w:r w:rsidRPr="00DB4DEB">
        <w:t>strukturiranije</w:t>
      </w:r>
      <w:r w:rsidRPr="00DB4DEB">
        <w:t xml:space="preserve"> i </w:t>
      </w:r>
      <w:r w:rsidRPr="00DB4DEB">
        <w:t>institucionaliziranije</w:t>
      </w:r>
      <w:r w:rsidRPr="00DB4DEB">
        <w:t xml:space="preserve"> oblike građanskog angažmana, među ostalim, i za dijasporu;</w:t>
      </w:r>
    </w:p>
    <w:p w:rsidR="007D36EB" w:rsidRPr="00DB4DEB" w:rsidP="007D36EB" w14:paraId="5A045A08" w14:textId="6B1F7FB8">
      <w:pPr>
        <w:pStyle w:val="NormalHanging12a"/>
      </w:pPr>
      <w:r>
        <w:t>73</w:t>
      </w:r>
      <w:r w:rsidRPr="00DB4DEB">
        <w:t>.</w:t>
      </w:r>
      <w:r w:rsidRPr="00DB4DEB">
        <w:tab/>
        <w:t>poziva Komisiju da civilno društvo i druge relevantne društvene organizacije i institucije u Ukrajini sustavno uključi u osmišljavanje i praćenje financijske potpore i reformi EU-a;</w:t>
      </w:r>
    </w:p>
    <w:p w:rsidR="007D36EB" w:rsidRPr="00DB4DEB" w:rsidP="007D36EB" w14:paraId="73FEDD77" w14:textId="3273A44A">
      <w:pPr>
        <w:pStyle w:val="Normal12a"/>
        <w:ind w:left="567" w:hanging="567"/>
        <w:rPr>
          <w:bCs/>
        </w:rPr>
      </w:pPr>
      <w:r>
        <w:t>74</w:t>
      </w:r>
      <w:r w:rsidRPr="00DB4DEB">
        <w:t>.</w:t>
      </w:r>
      <w:r w:rsidRPr="00DB4DEB">
        <w:tab/>
        <w:t xml:space="preserve">pozdravlja doprinos europskih i međunarodnih nevladinih organizacija u razmjeni iskustava s ukrajinskim civilnim društvom i u potpori civilnom društvu, posebno njihov angažman u suzbijanju ruskih dezinformacijskih kampanja usmjerenih protiv Ukrajine i Ukrajinaca u EU-u; poziva na daljnje jačanje suradnje s tim organizacijama kako bi se zaštitila temeljna prava, ojačala otpornost informacija i podržao vjerodostojan javni diskurs; </w:t>
      </w:r>
    </w:p>
    <w:p w:rsidR="007D36EB" w:rsidRPr="00DB4DEB" w:rsidP="007D36EB" w14:paraId="1383020A" w14:textId="77777777">
      <w:pPr>
        <w:pStyle w:val="Normal12a"/>
        <w:rPr>
          <w:i/>
          <w:iCs/>
        </w:rPr>
      </w:pPr>
      <w:r w:rsidRPr="00DB4DEB">
        <w:rPr>
          <w:b/>
          <w:i/>
        </w:rPr>
        <w:t>IX. Integracija u jedinstveno tržište</w:t>
      </w:r>
    </w:p>
    <w:p w:rsidR="007D36EB" w:rsidRPr="00DB4DEB" w:rsidP="007D36EB" w14:paraId="23F1EB03" w14:textId="19727AD5">
      <w:pPr>
        <w:pStyle w:val="NormalHanging12a"/>
        <w:rPr>
          <w:bCs/>
          <w:iCs/>
        </w:rPr>
      </w:pPr>
      <w:r>
        <w:t>75</w:t>
      </w:r>
      <w:r w:rsidRPr="00DB4DEB">
        <w:t>.</w:t>
      </w:r>
      <w:r w:rsidRPr="00DB4DEB">
        <w:tab/>
        <w:t>naglašava važnost ubrzavanja postupne integracije Ukrajine u jedinstveno tržište EU-a, što donosi ekonomske koristi objema stranama, kako Ukrajini tako i državama članicama; naglašava da je to ključan element gospodarske potpore EU-a u borbi protiv ruske agresije i pripremi ukrajinske industrije za poslovanje u uvjetima jedinstvenog tržišta EU-a; preporučuje da Ukrajina slijedi deset prioriteta navedenih u prioritetnom akcijskom planu detaljnog i sveobuhvatnog područja slobodne trgovine između EU-a i Ukrajine;</w:t>
      </w:r>
    </w:p>
    <w:p w:rsidR="007D36EB" w:rsidRPr="00DB4DEB" w:rsidP="007D36EB" w14:paraId="12D1A078" w14:textId="57DF0FF3">
      <w:pPr>
        <w:pStyle w:val="NormalHanging12a"/>
        <w:rPr>
          <w:bCs/>
          <w:iCs/>
        </w:rPr>
      </w:pPr>
      <w:r>
        <w:t>76</w:t>
      </w:r>
      <w:r w:rsidRPr="00DB4DEB">
        <w:t>.</w:t>
      </w:r>
      <w:r w:rsidRPr="00DB4DEB">
        <w:tab/>
        <w:t>poziva Komisiju i države članice da u obzir uzmu bliske veze između obnove i potencijalne integracije Ukrajine u jedinstveno tržište EU-a; naglašava da bi plan obnove trebao uključivati mjere za poticanje regulatornog usklađivanja i potporu ulaganjima u kritičnu infrastrukturu, prometne mreže i željezničke veze, čime bi se olakšala usklađenost sa standardima jedinstvenog tržišta i poboljšala trgovinska i gospodarska suradnja s državama članicama;</w:t>
      </w:r>
    </w:p>
    <w:p w:rsidR="007D36EB" w:rsidRPr="00DB4DEB" w:rsidP="007D36EB" w14:paraId="0F05CEEC" w14:textId="2373BD90">
      <w:pPr>
        <w:pStyle w:val="NormalHanging12a"/>
        <w:rPr>
          <w:bCs/>
          <w:iCs/>
        </w:rPr>
      </w:pPr>
      <w:r>
        <w:t>77</w:t>
      </w:r>
      <w:r w:rsidRPr="00DB4DEB">
        <w:t>.</w:t>
      </w:r>
      <w:r w:rsidRPr="00DB4DEB">
        <w:tab/>
        <w:t>pozdravlja činjenicu da se Ukrajina pridružila EU-ovu području „roaminga kao kod kuće” u siječnju 2026., što će ukrajinskom stanovništvu pružiti jednu od najkonkretnijih koristi procesa pristupanja njihove zemlje EU-u koju mogu odmah osjetiti;</w:t>
      </w:r>
    </w:p>
    <w:p w:rsidR="007D36EB" w:rsidRPr="00DB4DEB" w:rsidP="007D36EB" w14:paraId="6CDFF778" w14:textId="2A3C0073">
      <w:pPr>
        <w:pStyle w:val="NormalHanging12a"/>
      </w:pPr>
      <w:r>
        <w:t>78</w:t>
      </w:r>
      <w:r w:rsidRPr="00DB4DEB">
        <w:t>.</w:t>
      </w:r>
      <w:r w:rsidRPr="00DB4DEB">
        <w:tab/>
        <w:t>pozdravlja povećane napore Ukrajine da uskladi svoja stajališta s EU-om i Svjetskom trgovinskom organizacijom; potiče blisku koordinaciju s EU-om u međunarodnim trgovinskim pregovorima, posebno s ciljem postupne integracije Ukrajine u jedinstveno tržište EU-a i jačanja njezina sudjelovanja u globalnim lancima vrijednosti;</w:t>
      </w:r>
    </w:p>
    <w:p w:rsidR="007D36EB" w:rsidRPr="00DB4DEB" w:rsidP="007D36EB" w14:paraId="67259839" w14:textId="77777777">
      <w:pPr>
        <w:pStyle w:val="NormalHanging12a"/>
        <w:rPr>
          <w:b/>
          <w:bCs/>
          <w:i/>
          <w:iCs/>
        </w:rPr>
      </w:pPr>
      <w:r w:rsidRPr="00DB4DEB">
        <w:rPr>
          <w:b/>
          <w:i/>
        </w:rPr>
        <w:t>X. Suradnja u području obrane</w:t>
      </w:r>
    </w:p>
    <w:p w:rsidR="007D36EB" w:rsidRPr="00DB4DEB" w:rsidP="007D36EB" w14:paraId="284DB69F" w14:textId="5AEA0C06">
      <w:pPr>
        <w:pStyle w:val="NormalHanging12a"/>
      </w:pPr>
      <w:r>
        <w:t>79</w:t>
      </w:r>
      <w:r w:rsidRPr="00DB4DEB">
        <w:t>.</w:t>
      </w:r>
      <w:r w:rsidRPr="00DB4DEB">
        <w:tab/>
        <w:t>potvrđuje da je ukrajinska obrambena industrija postala ključna i komplementarna sastavnica europske sigurnosti, posebno u pogledu kapaciteta za proizvodnju bespilotnih letjelica, inovacija u bespilotnim sustavima koje su testirane u borbi, elektroničkog ratovanja i softvera koji se koristi na bojištu;</w:t>
      </w:r>
    </w:p>
    <w:p w:rsidR="007D36EB" w:rsidRPr="00DB4DEB" w:rsidP="007D36EB" w14:paraId="4863CB87" w14:textId="5FDC309F">
      <w:pPr>
        <w:pStyle w:val="NormalHanging12a"/>
        <w:rPr>
          <w:iCs/>
        </w:rPr>
      </w:pPr>
      <w:r>
        <w:t>80</w:t>
      </w:r>
      <w:r w:rsidRPr="00DB4DEB">
        <w:t>.</w:t>
      </w:r>
      <w:r w:rsidRPr="00DB4DEB">
        <w:tab/>
        <w:t xml:space="preserve">stoga pozdravlja pojačanu suradnju u sigurnosnim i obrambenim pitanjima između Ukrajine i EU-a te njegovih država članica, posebno putem Europskog instrumenta mirovne pomoći, te poziva na pojačanu suradnju u okviru Instrumenta za sigurnosne mjere za Europu (SAFE) i Programa za europsku obrambenu industriju (EDIP) kako bi se zadovoljile ključne obrambene potrebe Ukrajine i olakšala integracija ukrajinske obrambene industrije u industrijski ekosustav EU-a; ističe važnost pristupanja Ukrajine Europskom fondu za obranu kao pridružene zemlje i poziva na brzo provođenje potrebnih pregovora; pozdravlja osnivanje Radne skupine EU-a i Ukrajine za obrambeno-industrijsku suradnju i inicijative EU-a </w:t>
      </w:r>
      <w:r w:rsidRPr="00DB4DEB">
        <w:t>BraveTechEU</w:t>
      </w:r>
      <w:r w:rsidRPr="00DB4DEB">
        <w:t xml:space="preserve">; poziva EU da podrži integraciju ukrajinske obrambene tehnološke i industrijske baze u europsku obrambenu tehnološku i industrijsku bazu (EDTIB), među ostalim putem programa EDIP i budućeg Europskog fonda za konkurentnost; priznaje da je ukrajinska stručnost na bojnom polju </w:t>
      </w:r>
      <w:r w:rsidRPr="00DB4DEB">
        <w:t>još jednom dokazana na Bliskom istoku tijekom obrane zaljevskih država; ponovno ističe da Ukrajina ima najiskusniju vojsku u Europi;</w:t>
      </w:r>
    </w:p>
    <w:p w:rsidR="007D36EB" w:rsidRPr="00DB4DEB" w:rsidP="007D36EB" w14:paraId="3783C4BF" w14:textId="1D4239ED">
      <w:pPr>
        <w:pStyle w:val="NormalHanging12a"/>
        <w:rPr>
          <w:bCs/>
          <w:iCs/>
        </w:rPr>
      </w:pPr>
      <w:r>
        <w:t>81</w:t>
      </w:r>
      <w:r w:rsidRPr="00DB4DEB">
        <w:t>.</w:t>
      </w:r>
      <w:r w:rsidRPr="00DB4DEB">
        <w:tab/>
        <w:t>ističe stratešku važnost organizacije redovitih zajedničkih vojnih vježbi i postupne integracije Ukrajine u okvire za obuku i operacije pod vodstvom EU-a, kao sredstva za poboljšavanje spremnosti i interoperabilnosti s europskim snagama te usklađenosti sa standardima NATO-a; osim toga, poziva na povećane zajedničke investicijske inicijative između Unije i Ukrajine u obrambeno-industrijskom sektoru, uključujući zajednički razvoj i proizvodnju vojne opreme, što bi ojačalo ukrajinske sposobnosti samoobrane; poziva na trajne mjere za jačanje veza između ukrajinskih i europskih obrambenih tehnoloških i industrijskih baza, smanjenje strateških ovisnosti i doprinos dugoročnoj sigurnosti i stabilnosti na europskom kontinentu;</w:t>
      </w:r>
    </w:p>
    <w:p w:rsidR="007D36EB" w:rsidRPr="00DB4DEB" w:rsidP="007D36EB" w14:paraId="551FB0E5" w14:textId="10B4FDBC">
      <w:pPr>
        <w:pStyle w:val="NormalHanging12a"/>
        <w:rPr>
          <w:bCs/>
          <w:iCs/>
        </w:rPr>
      </w:pPr>
      <w:r>
        <w:t>82</w:t>
      </w:r>
      <w:r w:rsidRPr="00DB4DEB">
        <w:t>.</w:t>
      </w:r>
      <w:r w:rsidRPr="00DB4DEB">
        <w:tab/>
        <w:t>ističe stratešku važnost jačanja vojne mobilnosti za potporu obrani i otpornosti Ukrajine, osiguravajući brzo raspoređivanje opreme i humanitarne pomoći ukrajinskim snagama; naglašava ključnu ulogu crnomorskih obalnih država i zemalja istočne granice u organiziranju sigurnih tranzitnih ruta, prethodnom razmještaju materijala i zajedničkoj operativnoj koordinaciji s Ukrajinom; poziva Komisiju i države članice da ojačaju infrastrukturu, interoperabilnost i logističke okvire u tim regijama, uključujući zajedničke vježbe i ciljana ulaganja, kako bi se poboljšale operativne sposobnosti Ukrajine, ojačao njezin teritorijalni integritet i spriječila daljnja agresija;</w:t>
      </w:r>
    </w:p>
    <w:p w:rsidR="007D36EB" w:rsidRPr="00DB4DEB" w:rsidP="007D36EB" w14:paraId="3BD23568" w14:textId="0A76D776">
      <w:pPr>
        <w:pStyle w:val="NormalHanging12a"/>
        <w:rPr>
          <w:bCs/>
          <w:iCs/>
        </w:rPr>
      </w:pPr>
      <w:r>
        <w:t>83</w:t>
      </w:r>
      <w:r w:rsidRPr="00DB4DEB">
        <w:t>.</w:t>
      </w:r>
      <w:r w:rsidRPr="00DB4DEB">
        <w:tab/>
        <w:t>pozdravlja donošenje Ukrajinske strategije politike za veterane do 2030.; naglašava važnost učinkovite reintegracije ukrajinskih ratnih veterana u civilni život kao važne komponente dugoročnog oporavka i društvene kohezije Ukrajine; ističe sve veći broj veterana s invaliditetom i potrebu za jačanjem provedbe politika pristupačnosti i prava osoba s invaliditetom; poziva EU i njegove države članice da pruže dodatnu pomoć Ukrajini u tom pogledu; prepoznaje stratešku vrijednost iskustva ukrajinskih veterana za europsku sigurnost i obranu, uključujući njihovo jedinstveno znanje o modernom ratovanju, kao što je borba protiv bespilotnih sustava, pružanje liječničke pomoći na bojištu i evakuacija ranjenika u sukobima visokog intenziteta; naglašava da je potrebno spriječiti njihovu izloženost socijalnoj marginalizaciji i neprijateljskoj manipulaciji, među ostalim, i od strane Ruske Federacije;</w:t>
      </w:r>
    </w:p>
    <w:p w:rsidR="007D36EB" w:rsidRPr="00DB4DEB" w:rsidP="007D36EB" w14:paraId="0A57A60F" w14:textId="0C348C42">
      <w:pPr>
        <w:pStyle w:val="NormalHanging12a"/>
        <w:rPr>
          <w:bCs/>
          <w:iCs/>
        </w:rPr>
      </w:pPr>
      <w:r>
        <w:t>84</w:t>
      </w:r>
      <w:r w:rsidRPr="00DB4DEB">
        <w:t>.</w:t>
      </w:r>
      <w:r w:rsidRPr="00DB4DEB">
        <w:tab/>
        <w:t>poziva Komisiju da razvije odgovarajuće okvire za integraciju jedinstvenog ratnog iskustva Ukrajine u području civilne zaštite, otpornosti kritične infrastrukture, borbe protiv dezinformacija i upravljanja u okviru sveobuhvatne vojne agresije u politike pripravnosti, otpornosti i sigurnosti Unije;</w:t>
      </w:r>
    </w:p>
    <w:p w:rsidR="007D36EB" w:rsidRPr="00DB4DEB" w:rsidP="007D36EB" w14:paraId="5F8A47AB" w14:textId="56F570E7">
      <w:pPr>
        <w:pStyle w:val="NormalHanging12a"/>
        <w:rPr>
          <w:bCs/>
          <w:iCs/>
        </w:rPr>
      </w:pPr>
      <w:r>
        <w:t>85</w:t>
      </w:r>
      <w:r w:rsidRPr="00DB4DEB">
        <w:t>.</w:t>
      </w:r>
      <w:r w:rsidRPr="00DB4DEB">
        <w:tab/>
        <w:t xml:space="preserve">prima na znanje znatnu političku, financijsku, humanitarnu i vojnu pomoć koju od početka opće invazije Ruske Federacije 2022. Ukrajini pružaju treće zemlje i međunarodni partneri; ističe da ta široka koalicija za potporu odražava zajedničku predanost poštovanju međunarodnog prava i načela sadržanih u Povelji Ujedinjenih naroda; u tom pogledu ističe važan doprinos Sjedinjenih Američkih Država, koje su osigurale više od 66,9 milijardi USD vojne pomoći; nadalje ističe važnu ulogu Ujedinjene Kraljevine, Kanade, Japana, Norveške, Novog Zelanda i Australije, koji su se uskladili s međunarodnim sankcijama protiv Ruske Federacije i doprinijeli podupiranju ukrajinske vojske i osposobljavanju osoblja, kao i humanitarnoj i makrofinancijskoj pomoći Ukrajini; prepoznaje važnu pomoć koju pruža Turska, među ostalim vojnu i humanitarnu potporu te diplomatske napore; nadalje prima na znanje humanitarnu pomoć koju pruža Republika </w:t>
      </w:r>
      <w:r w:rsidRPr="00DB4DEB">
        <w:t>Moldova</w:t>
      </w:r>
      <w:r w:rsidRPr="00DB4DEB">
        <w:t>, koja je uslijed kontinuirane ruske agresije pokazala regionalnu solidarnost;</w:t>
      </w:r>
    </w:p>
    <w:p w:rsidR="007D36EB" w:rsidRPr="00DB4DEB" w:rsidP="007D36EB" w14:paraId="56EC4A21" w14:textId="77777777">
      <w:pPr>
        <w:pStyle w:val="NormalHanging12a"/>
        <w:rPr>
          <w:b/>
          <w:i/>
          <w:iCs/>
        </w:rPr>
      </w:pPr>
      <w:r w:rsidRPr="00DB4DEB">
        <w:rPr>
          <w:b/>
          <w:i/>
        </w:rPr>
        <w:t>XI. Regionalna suradnja i dobrosusjedski odnosi</w:t>
      </w:r>
    </w:p>
    <w:p w:rsidR="007D36EB" w:rsidRPr="00DB4DEB" w:rsidP="007D36EB" w14:paraId="41E4BA1E" w14:textId="20F93F36">
      <w:pPr>
        <w:pStyle w:val="NormalHanging12a"/>
        <w:rPr>
          <w:bCs/>
          <w:iCs/>
        </w:rPr>
      </w:pPr>
      <w:r>
        <w:t>86</w:t>
      </w:r>
      <w:r w:rsidRPr="00DB4DEB">
        <w:t>.</w:t>
      </w:r>
      <w:r w:rsidRPr="00DB4DEB">
        <w:tab/>
        <w:t xml:space="preserve">pozdravlja rješavanje spora između Ukrajine i Mađarske (i Slovačke) oko prekida isporuke ruske nafte putem naftovoda Družba; ističe da zbog spora nije došlo do nestašice u opskrbi u Mađarskoj ili Slovačkoj, s obzirom na lako dostupne alternativne mogućnosti prijevoza putem plinovoda Adria koje imaju tu prednost da se njima ne podupire rusko gospodarstvo; primjećuje da su mađarska poduzeća povećala uvoz ruske energije od početka ruske agresije na Ukrajinu, suprotno politikama EU-a; primjećuje da su cijene goriva u Mađarskoj iznad europskog prosjeka i da su argumenti o povećanim troškovima prijevoza naftovodom Adria bili izmišljeni; </w:t>
      </w:r>
    </w:p>
    <w:p w:rsidR="007D36EB" w:rsidRPr="00DB4DEB" w:rsidP="007D36EB" w14:paraId="7EC4DA79" w14:textId="14FAC6AC">
      <w:pPr>
        <w:pStyle w:val="NormalHanging12a"/>
        <w:rPr>
          <w:bCs/>
          <w:iCs/>
        </w:rPr>
      </w:pPr>
      <w:r>
        <w:t>87</w:t>
      </w:r>
      <w:r w:rsidRPr="00DB4DEB">
        <w:t>.</w:t>
      </w:r>
      <w:r w:rsidRPr="00DB4DEB">
        <w:tab/>
        <w:t xml:space="preserve">naglašava obvezu svih država članica, a ne samo mađarskih i slovačkih vlada, da postupno ukinu ovisnost o isporuci energije iz Rusije i o ruskoj energetskoj infrastrukturi; </w:t>
      </w:r>
    </w:p>
    <w:p w:rsidR="007D36EB" w:rsidRPr="00DB4DEB" w:rsidP="007D36EB" w14:paraId="60FE6265" w14:textId="73A475F8">
      <w:pPr>
        <w:pStyle w:val="NormalHanging12a"/>
        <w:rPr>
          <w:bCs/>
          <w:iCs/>
        </w:rPr>
      </w:pPr>
      <w:r>
        <w:t>88</w:t>
      </w:r>
      <w:r w:rsidRPr="00DB4DEB">
        <w:t>.</w:t>
      </w:r>
      <w:r w:rsidRPr="00DB4DEB">
        <w:tab/>
        <w:t xml:space="preserve">osuđuje postupke mađarskih tijela kaznenog progona zbog pritvaranja zaposlenika ukrajinske banke </w:t>
      </w:r>
      <w:r w:rsidRPr="00DB4DEB">
        <w:t>Oschadbank</w:t>
      </w:r>
      <w:r w:rsidRPr="00DB4DEB">
        <w:t xml:space="preserve"> i zapljene gotovine i zlata, koje je mađarska carina prije toga propisno odobrila; pozdravlja nedavno rješavanje tog spora;</w:t>
      </w:r>
    </w:p>
    <w:p w:rsidR="007D36EB" w:rsidRPr="00DB4DEB" w:rsidP="007D36EB" w14:paraId="1A11A212" w14:textId="77777777">
      <w:pPr>
        <w:pStyle w:val="NormalHanging12a"/>
        <w:rPr>
          <w:i/>
          <w:iCs/>
        </w:rPr>
      </w:pPr>
      <w:r w:rsidRPr="00DB4DEB">
        <w:rPr>
          <w:b/>
          <w:i/>
        </w:rPr>
        <w:t>XII. Socioekonomske reforme</w:t>
      </w:r>
    </w:p>
    <w:p w:rsidR="007D36EB" w:rsidRPr="00DB4DEB" w:rsidP="007D36EB" w14:paraId="31835D2A" w14:textId="074EA1DC">
      <w:pPr>
        <w:pStyle w:val="NormalHanging12a"/>
      </w:pPr>
      <w:r>
        <w:t>89</w:t>
      </w:r>
      <w:r w:rsidRPr="00DB4DEB">
        <w:t>.</w:t>
      </w:r>
      <w:r w:rsidRPr="00DB4DEB">
        <w:tab/>
        <w:t xml:space="preserve">pohvaljuje Ukrajinu zbog donošenja reforme javne uprave i aktualno praktično uključivanje Ukrajine u upravljačke strukture te gospodarske, regulatorne i sigurnosne okvire EU-a; potiče ukrajinsku vladu da usvoji sustavan pristup reformi javne uprave i upravljanju javnim financijama, osiguravajući pritom usklađenost s postojećim planom, kao i da poboljša učinkovitost; pozdravlja donošenje Strategije za reformu sustava upravljanja javnim financijama za razdoblje 2026. – 2030. i potiče brzo dovršavanje i donošenje Strategije za reformu javne uprave za razdoblje 2026. – 2030.; pohvaljuje uspjeh programa </w:t>
      </w:r>
      <w:r w:rsidRPr="00DB4DEB">
        <w:t>Create</w:t>
      </w:r>
      <w:r w:rsidRPr="00DB4DEB">
        <w:t xml:space="preserve"> </w:t>
      </w:r>
      <w:r w:rsidRPr="00DB4DEB">
        <w:t>Ukraine</w:t>
      </w:r>
      <w:r w:rsidRPr="00DB4DEB">
        <w:t>, koji se temelji na iskustvu stečenom u Litvi i koji je vrijednim međunarodnim iskustvom pomogao mladim Ukrajincima da se pridruže ukrajinskom javnom sektoru; potiče širenje te inicijative i sličnih inicijativa kako bi se stručnjaci vratili u Ukrajinu i doprinijeli njezinu pristupanju EU-u i poslijeratnoj obnovi;</w:t>
      </w:r>
    </w:p>
    <w:p w:rsidR="007D36EB" w:rsidRPr="00DB4DEB" w:rsidP="007D36EB" w14:paraId="1799D8D2" w14:textId="6EA424A6">
      <w:pPr>
        <w:pStyle w:val="NormalHanging12a"/>
        <w:rPr>
          <w:bCs/>
          <w:iCs/>
        </w:rPr>
      </w:pPr>
      <w:r>
        <w:t>90</w:t>
      </w:r>
      <w:r w:rsidRPr="00DB4DEB">
        <w:t>.</w:t>
      </w:r>
      <w:r w:rsidRPr="00DB4DEB">
        <w:tab/>
        <w:t>pozdravlja napredak ostvaren u reformi ukrajinskog Ureda za gospodarsku sigurnost i njegove Agencije za povrat imovine i upravljanje njome; nadalje, pozdravlja imenovanje voditelja Državne carinske službe Ukrajine i naglašava važnost unapređenja carinske reforme;</w:t>
      </w:r>
    </w:p>
    <w:p w:rsidR="007D36EB" w:rsidRPr="00DB4DEB" w:rsidP="007D36EB" w14:paraId="041FAB7D" w14:textId="2A1EE932">
      <w:pPr>
        <w:pStyle w:val="NormalHanging12a"/>
        <w:rPr>
          <w:bCs/>
          <w:iCs/>
        </w:rPr>
      </w:pPr>
      <w:r>
        <w:t>91</w:t>
      </w:r>
      <w:r w:rsidRPr="00DB4DEB">
        <w:t>.</w:t>
      </w:r>
      <w:r w:rsidRPr="00DB4DEB">
        <w:tab/>
        <w:t xml:space="preserve">prima na znanje pozitivne nalaze sadržane u najnovijim izvješćima Svjetske banke i Međunarodnog monetarnog fonda, koji upućuju na gospodarsku otpornost Ukrajine i napredak u makroekonomskoj stabilizaciji unatoč ratu koji je u tijeku; pozdravlja nedavno donošenje programa Međunarodnog monetarnog fonda u vrijednosti od 1,8 milijardi USD i povezane reforme; potiče Ukrajinu da brzo nastavi s provedbom povezanih reformi; </w:t>
      </w:r>
    </w:p>
    <w:p w:rsidR="007D36EB" w:rsidRPr="00DB4DEB" w:rsidP="007D36EB" w14:paraId="4E027A8E" w14:textId="7EE4E46C">
      <w:pPr>
        <w:pStyle w:val="NormalHanging12a"/>
        <w:rPr>
          <w:bCs/>
          <w:iCs/>
        </w:rPr>
      </w:pPr>
      <w:r>
        <w:t>92</w:t>
      </w:r>
      <w:r w:rsidRPr="00DB4DEB">
        <w:t>.</w:t>
      </w:r>
      <w:r w:rsidRPr="00DB4DEB">
        <w:tab/>
        <w:t xml:space="preserve">ponavlja svoj poziv Ukrajini i državama članicama da blisko surađuju u cilju maksimalnog povećanja potencijalnog gospodarskog sudjelovanja ukrajinskih izbjeglica i dijaspore kako bi se osigurala otpornost i </w:t>
      </w:r>
      <w:r w:rsidRPr="00DB4DEB">
        <w:t>uključivost</w:t>
      </w:r>
      <w:r w:rsidRPr="00DB4DEB">
        <w:t xml:space="preserve"> aktualnog i budućeg gospodarskog oporavka te obnove Ukrajine; poziva Komisiju da donese konkretne </w:t>
      </w:r>
      <w:r w:rsidRPr="00DB4DEB">
        <w:t>prijedloge u tom pogledu; napominje da Direktiva o privremenoj zaštiti</w:t>
      </w:r>
      <w:r>
        <w:rPr>
          <w:rStyle w:val="FootnoteReference"/>
          <w:bCs/>
          <w:iCs/>
        </w:rPr>
        <w:footnoteReference w:id="9"/>
      </w:r>
      <w:r w:rsidRPr="00DB4DEB">
        <w:t xml:space="preserve">, na temelju koje je osiguran pravni status za više od četiri milijuna Ukrajinaca u EU-u, istječe u ožujku 2027.; poziva EU, njegove države članice i Ukrajinu da rade na koordiniranoj, usklađenoj i jasno predstavljenoj politici koja bi pružila sigurnost Ukrajincima koji se pripremaju za povratak ili razmatraju legalne načine ostanka u zemljama domaćinima; </w:t>
      </w:r>
    </w:p>
    <w:p w:rsidR="007D36EB" w:rsidRPr="00DB4DEB" w:rsidP="007D36EB" w14:paraId="50247081" w14:textId="2E1C0B75">
      <w:pPr>
        <w:pStyle w:val="NormalHanging12a"/>
        <w:rPr>
          <w:bCs/>
          <w:iCs/>
        </w:rPr>
      </w:pPr>
      <w:r>
        <w:t>93</w:t>
      </w:r>
      <w:r w:rsidRPr="00DB4DEB">
        <w:t>.</w:t>
      </w:r>
      <w:r w:rsidRPr="00DB4DEB">
        <w:tab/>
        <w:t xml:space="preserve">naglašava da obnova Ukrajine i povezani pripremni planovi moraju biti usko povezani s njezinim reformama u okviru pristupanja EU-u i vođeni načelima socijalne pravednosti, održivosti, transparentnosti i lokalne odgovornosti; nadalje, naglašava da obnova Ukrajine mora biti ukorijenjena u čvrstoj vladavini prava, transparentnom upravljanju i demokratskoj uključenosti; naglašava da reforma pravosuđa, borba protiv korupcije i poboljšanja javne uprave nisu samo uvjeti za pristupanje EU-u nego i ključni koraci za privlačenje ulaganja i obnovu povjerenja među ukrajinskim partnerima i građanima; poziva na uključivanje rodno osjetljivih pristupa u sve napore usmjerene na obnovu, uključujući veću zastupljenost žena i manjina u postupcima donošenja odluka radi postizanja najvećeg učinka i dugoročne održivosti; </w:t>
      </w:r>
    </w:p>
    <w:p w:rsidR="007D36EB" w:rsidRPr="00DB4DEB" w:rsidP="007D36EB" w14:paraId="20FCD351" w14:textId="04F043AD">
      <w:pPr>
        <w:pStyle w:val="NormalHanging12a"/>
        <w:rPr>
          <w:bCs/>
          <w:iCs/>
        </w:rPr>
      </w:pPr>
      <w:r>
        <w:t>94</w:t>
      </w:r>
      <w:r w:rsidRPr="00DB4DEB">
        <w:t>.</w:t>
      </w:r>
      <w:r w:rsidRPr="00DB4DEB">
        <w:tab/>
        <w:t>ističe da je kohezijska politika EU-a, kao glavni instrument za promicanje gospodarskog, socijalnog i teritorijalnog jedinstva, ključna za postizanje ciljeva regionalne politike EU-a i za produbljivanje suradnje između regija EU-a i Ukrajine; poziva na to da se ta politika u potpunosti uzme u obzir u okviru regionalne i susjedske suradnje;</w:t>
      </w:r>
    </w:p>
    <w:p w:rsidR="007D36EB" w:rsidRPr="00DB4DEB" w:rsidP="007D36EB" w14:paraId="1E4384B9" w14:textId="1060F1DB">
      <w:pPr>
        <w:pStyle w:val="NormalHanging12a"/>
        <w:rPr>
          <w:bCs/>
          <w:iCs/>
        </w:rPr>
      </w:pPr>
      <w:r>
        <w:t>95</w:t>
      </w:r>
      <w:r w:rsidRPr="00DB4DEB">
        <w:t>.</w:t>
      </w:r>
      <w:r w:rsidRPr="00DB4DEB">
        <w:tab/>
        <w:t>naglašava sve veću važnost Ukrajine kao strateškog partnera Europske unije u opskrbi ključnim robama i kritičnim sirovinama, uključujući poljoprivredne proizvode poput žitarica, uljarica i biljnih ulja, kao i litija, titana i drugih minerala bitnih za zelenu i digitalnu tranziciju; poziva na transparentnost, javnu odgovornost i zaštitu nacionalnih interesa u svim postupcima privatizacije i ulaganja; napominje da se znatan dio kritičnih resursa nalazi na teritorijima koje je privremeno okupirala Ruska Federacija; stoga naglašava potrebu za jačanjem solidarnosti EU-a s Ukrajinom u zaštiti njezinih prirodnih resursa, poljoprivrednih kapaciteta i teritorijalnog integriteta;</w:t>
      </w:r>
    </w:p>
    <w:p w:rsidR="007D36EB" w:rsidRPr="00DB4DEB" w:rsidP="007D36EB" w14:paraId="1F476CD3" w14:textId="722B2643">
      <w:pPr>
        <w:pStyle w:val="NormalHanging12a"/>
        <w:rPr>
          <w:bCs/>
          <w:iCs/>
        </w:rPr>
      </w:pPr>
      <w:r>
        <w:t>96</w:t>
      </w:r>
      <w:r w:rsidRPr="00DB4DEB">
        <w:t>.</w:t>
      </w:r>
      <w:r w:rsidRPr="00DB4DEB">
        <w:tab/>
        <w:t xml:space="preserve">pozdravlja napore za poboljšanje tripartitnog socijalnog dijaloga u Ukrajini, među ostalim uz podršku nedavno potpisanog sporazuma o partnerstvu s EU-om i Međunarodnom organizacijom rada (ILO); ustraje u tome da se načela europskog stupa socijalnih prava i sve relevantne konvencije Međunarodne organizacije rada moraju poštovati tijekom cijelog pretpristupnog procesa; poziva na to da Ukrajina nastavi usklađivati standarde na tržištu rada, posebice u pogledu slobode okupljanja i socijalnog dijaloga; naglašava potrebu za opsežnim savjetovanjima sa sindikatima i civilnim društvom te preporučuje da se kad je riječ o tom pitanju koristi stručno znanje Međunarodne organizacije rada; potiče Ukrajinu i Komisiju da surađuju s ključnim socijalnim partnerima, uključujući neovisne sindikate, na osmišljavanju, provedbi i praćenju socioekonomskih reformi, i da prepoznaju potrebu za reformskim mjerama za poboljšanje poslovne klime i </w:t>
      </w:r>
      <w:r w:rsidRPr="00DB4DEB" w:rsidR="005B1D2A">
        <w:t xml:space="preserve">funkcioniranja </w:t>
      </w:r>
      <w:r w:rsidRPr="00DB4DEB">
        <w:t xml:space="preserve">tržišnog gospodarstva; poziva na stavljanje većeg naglaska na mjere za ispravljanje poremećaja na tržištu i mjere socijalne zaštite; </w:t>
      </w:r>
    </w:p>
    <w:p w:rsidR="007D36EB" w:rsidRPr="00DB4DEB" w:rsidP="007D36EB" w14:paraId="1226964C" w14:textId="7C67D205">
      <w:pPr>
        <w:pStyle w:val="NormalHanging12a"/>
        <w:rPr>
          <w:bCs/>
          <w:iCs/>
        </w:rPr>
      </w:pPr>
      <w:r>
        <w:t>97</w:t>
      </w:r>
      <w:r w:rsidRPr="00DB4DEB">
        <w:t>.</w:t>
      </w:r>
      <w:r w:rsidRPr="00DB4DEB">
        <w:tab/>
        <w:t>prima na znanje izvješća o uplitanju države u sindikalna pitanja, uključujući zapljenu sindikalne imovine; poziva na povrat zaplijenjene sindikalne imovine; poziva ukrajinske vlasti da osiguraju da sindikalisti mogu slobodno izvršavati svoj mandat i poziva na potpunu pravnu zaštitu od praksi usmjerenih protiv sindikata; potiče Komisiju i Europsku službu za vanjsko djelovanje da aktivno prate stanje u pogledu radničkih prava u Ukrajini, u bliskoj suradnji s Europskom konfederacijom sindikata i Međunarodnom organizacijom rada;</w:t>
      </w:r>
    </w:p>
    <w:p w:rsidR="007D36EB" w:rsidRPr="00DB4DEB" w:rsidP="007D36EB" w14:paraId="6D60AB90" w14:textId="35F1096C">
      <w:pPr>
        <w:pStyle w:val="NormalHanging12a"/>
      </w:pPr>
      <w:r>
        <w:t>98</w:t>
      </w:r>
      <w:r w:rsidRPr="00DB4DEB">
        <w:t>.</w:t>
      </w:r>
      <w:r w:rsidRPr="00DB4DEB">
        <w:tab/>
        <w:t>poziva na stalne napore za liberalizaciju kretanja kapitala, među ostalim usklađivanjem s Uredbom o jedinstvenom području plaćanja u eurima</w:t>
      </w:r>
      <w:r>
        <w:rPr>
          <w:rStyle w:val="FootnoteReference"/>
        </w:rPr>
        <w:footnoteReference w:id="10"/>
      </w:r>
      <w:r w:rsidRPr="00DB4DEB">
        <w:t xml:space="preserve"> te na jačanje borbe protiv pranja novca i financiranja terorizma;</w:t>
      </w:r>
    </w:p>
    <w:p w:rsidR="007D36EB" w:rsidRPr="00DB4DEB" w:rsidP="007D36EB" w14:paraId="30A297DE" w14:textId="7B033498">
      <w:pPr>
        <w:pStyle w:val="NormalHanging12a"/>
        <w:rPr>
          <w:bCs/>
          <w:iCs/>
        </w:rPr>
      </w:pPr>
      <w:r>
        <w:t>99</w:t>
      </w:r>
      <w:r w:rsidRPr="00DB4DEB">
        <w:t>.</w:t>
      </w:r>
      <w:r w:rsidRPr="00DB4DEB">
        <w:tab/>
        <w:t>pohvaljuje Ukrajinu zbog učinkovitog višerazinskog upravljanja; pozdravlja napredak u unapređenju decentralizacije u skladu sa zahtjevima za pristupanje EU-u; poziva na daljnje reforme radi osnaživanja lokalne samouprave u skladu s načelima Europske povelje o lokalnoj samoupravi;</w:t>
      </w:r>
    </w:p>
    <w:p w:rsidR="007D36EB" w:rsidRPr="00DB4DEB" w:rsidP="007D36EB" w14:paraId="68A8F07E" w14:textId="4505AC8C">
      <w:pPr>
        <w:pStyle w:val="NormalHanging12a"/>
      </w:pPr>
      <w:r>
        <w:t>100</w:t>
      </w:r>
      <w:r w:rsidRPr="00DB4DEB">
        <w:t>.</w:t>
      </w:r>
      <w:r w:rsidRPr="00DB4DEB">
        <w:tab/>
        <w:t>pohvaljuje Ukrajinu zbog toga što je ispunila 63 od 68 reformskih uvjeta navedenih u Ukrajinskom planu, koji se prvo trebao provoditi nakon završetka rata, no ipak je proveden tijekom rata, čime je omogućena isplata 26,8 milijardi EUR 2025.; poziva na kontinuirane napore u provedbi u skladu s Uredbom (EU) 2024/792</w:t>
      </w:r>
      <w:r>
        <w:rPr>
          <w:rStyle w:val="FootnoteReference"/>
        </w:rPr>
        <w:footnoteReference w:id="11"/>
      </w:r>
      <w:r w:rsidRPr="00DB4DEB">
        <w:t>, posebno kako bi se Ukrajinu potaknulo da se uskladi sa zakonodavstvom EU-a o javnoj nabavi;</w:t>
      </w:r>
    </w:p>
    <w:p w:rsidR="007D36EB" w:rsidRPr="00DB4DEB" w:rsidP="007D36EB" w14:paraId="341F119A" w14:textId="05B93E1F">
      <w:pPr>
        <w:pStyle w:val="NormalHanging12a"/>
        <w:rPr>
          <w:b/>
          <w:i/>
        </w:rPr>
      </w:pPr>
      <w:r>
        <w:t>101</w:t>
      </w:r>
      <w:r w:rsidRPr="00DB4DEB">
        <w:t>.</w:t>
      </w:r>
      <w:r w:rsidRPr="00DB4DEB">
        <w:rPr>
          <w:b/>
          <w:i/>
        </w:rPr>
        <w:tab/>
      </w:r>
      <w:r w:rsidRPr="00DB4DEB">
        <w:t>pohvaljuje izniman svakodnevni rad ukrajinskog zdravstvenog sustava tijekom rata, posebno ukrajinskih medicinskih sestara; napominje da velik udio radnika u javnom sektoru pružanja usluga skrbi prima minimalnu plaću, koja trenutačno iznosi 6658 UAH neto; podsjeća da stvarni egzistencijalni minimum za jednu osobu, koji je izračunalo Ministarstvo socijalne politike u prosincu 2025., iznosi 10 979 UAH; nadalje ističe potrebu za uvođenjem konkretne i razumne regulacije radnog opterećenja medicinskih sestara;</w:t>
      </w:r>
    </w:p>
    <w:p w:rsidR="007D36EB" w:rsidRPr="00DB4DEB" w:rsidP="007D36EB" w14:paraId="26F31624" w14:textId="77777777">
      <w:pPr>
        <w:pStyle w:val="Normal12a"/>
        <w:rPr>
          <w:i/>
          <w:iCs/>
        </w:rPr>
      </w:pPr>
      <w:r w:rsidRPr="00DB4DEB">
        <w:rPr>
          <w:b/>
          <w:i/>
        </w:rPr>
        <w:t>XIII. Energija, promet i održivi razvoj</w:t>
      </w:r>
    </w:p>
    <w:p w:rsidR="007D36EB" w:rsidRPr="00DB4DEB" w:rsidP="007D36EB" w14:paraId="56A52AB5" w14:textId="2E90D4C6">
      <w:pPr>
        <w:pStyle w:val="NormalHanging12a"/>
      </w:pPr>
      <w:r>
        <w:t>102</w:t>
      </w:r>
      <w:r w:rsidRPr="00DB4DEB">
        <w:t>.</w:t>
      </w:r>
      <w:r w:rsidRPr="00DB4DEB">
        <w:tab/>
        <w:t>pozdravlja znatan napredak postignut u reformama energetskog sektora i usklađenost Ukrajine s ciljevima europskog zelenog plana i Plana za čistu industriju te pohvaljuje Ukrajinu zbog dobrog napretka u provedbi njezina nacionalnog energetskog i klimatskog plana, unatoč tome što je Rusija uvelike uništila ukrajinsku energetsku infrastrukturu; naglašava da bi se pri usklađivanju s inicijativama EU-a, uključujući europski zeleni plan i Plan za čistu industriju, trebalo voditi računa o neposrednim potrebama Ukrajine za obnovom, gospodarskoj konkurentnosti i dugoročnoj energetskoj sigurnosti;</w:t>
      </w:r>
    </w:p>
    <w:p w:rsidR="007D36EB" w:rsidRPr="00DB4DEB" w:rsidP="007D36EB" w14:paraId="19645479" w14:textId="053F7B89">
      <w:pPr>
        <w:pStyle w:val="NormalHanging12a"/>
        <w:rPr>
          <w:bCs/>
          <w:iCs/>
        </w:rPr>
      </w:pPr>
      <w:r>
        <w:t>103</w:t>
      </w:r>
      <w:r w:rsidRPr="00DB4DEB">
        <w:t>.</w:t>
      </w:r>
      <w:r w:rsidRPr="00DB4DEB">
        <w:tab/>
        <w:t xml:space="preserve">poziva EU i njegove države članice da pojačaju potporu ukrajinskom energetskom sustavu, naglašavajući da veća otpornost u Ukrajini izravno doprinosi općoj energetskoj sigurnosti Europe; naglašava da je održiva i predvidljiva energetska potpora Ukrajini </w:t>
      </w:r>
      <w:r w:rsidRPr="00DB4DEB">
        <w:t xml:space="preserve">ključna za očuvanje civilne otpornosti, gospodarske stabilnosti i kontinuiteta ključnih usluga usred kontinuiranih napada i prije sljedeće zimske sezone; poziva Komisiju da obnovu energetskog sektora odredi kao prioritet, prelazeći s </w:t>
      </w:r>
      <w:r w:rsidRPr="00DB4DEB">
        <w:rPr>
          <w:i/>
          <w:iCs/>
        </w:rPr>
        <w:t xml:space="preserve">ad </w:t>
      </w:r>
      <w:r w:rsidRPr="00DB4DEB">
        <w:rPr>
          <w:i/>
          <w:iCs/>
        </w:rPr>
        <w:t>hoc</w:t>
      </w:r>
      <w:r w:rsidRPr="00DB4DEB">
        <w:t xml:space="preserve"> pomoći u nuždi na dugoročne mehanizme za oporavak, zaštitu i modernizaciju energetskog sektora;</w:t>
      </w:r>
    </w:p>
    <w:p w:rsidR="007D36EB" w:rsidRPr="00DB4DEB" w:rsidP="007D36EB" w14:paraId="39095CF5" w14:textId="6F72F4CF">
      <w:pPr>
        <w:pStyle w:val="NormalHanging12a"/>
        <w:rPr>
          <w:bCs/>
          <w:iCs/>
        </w:rPr>
      </w:pPr>
      <w:r>
        <w:t>104</w:t>
      </w:r>
      <w:r w:rsidRPr="00DB4DEB">
        <w:t>.</w:t>
      </w:r>
      <w:r w:rsidRPr="00DB4DEB">
        <w:tab/>
        <w:t xml:space="preserve">naglašava da Ukrajina ima znatan potencijal za dobavljanje energije i energetski intenzivnih proizvoda ostatku Europe; poziva na ubrzavanje integracije Ukrajine u energetsko tržište EU-a, kao jedan od elemenata koji doprinose sigurnosti Unije, uključujući usklađivanje propisa i ulaganja u obnovljive izvore energije; poziva na kontinuirani razvoj energetske povezanosti sa susjednim državama članicama i regionalnim partnerima EU-a kao što je Republika </w:t>
      </w:r>
      <w:r w:rsidRPr="00DB4DEB">
        <w:t>Moldova</w:t>
      </w:r>
      <w:r w:rsidRPr="00DB4DEB">
        <w:t xml:space="preserve"> u cilju daljnje integracije Ukrajine u energetsko tržište EU-a; poziva Komisiju i države članice da intenziviraju ulaganja u proširenje i modernizaciju prekograničnih energetskih veza s Ukrajinom te da dodatno integriraju i usklade prijenosne mreže kao ključni pripremni korak prema integraciji Ukrajine u unutarnje energetsko tržište EU-a;</w:t>
      </w:r>
    </w:p>
    <w:p w:rsidR="007D36EB" w:rsidRPr="00DB4DEB" w:rsidP="007D36EB" w14:paraId="373FE2EB" w14:textId="28269253">
      <w:pPr>
        <w:pStyle w:val="NormalHanging12a"/>
        <w:rPr>
          <w:bCs/>
          <w:iCs/>
        </w:rPr>
      </w:pPr>
      <w:r>
        <w:t>105</w:t>
      </w:r>
      <w:r w:rsidRPr="00DB4DEB">
        <w:t>.</w:t>
      </w:r>
      <w:r w:rsidRPr="00DB4DEB">
        <w:tab/>
        <w:t xml:space="preserve">napominje stratešku važnost budućeg dogovora o prodaji dvaju nuklearnih reaktora VVER-1000 iz Bugarske Ukrajini kao primjer produbljenja energetske suradnje te nadalje napominje da će to doprinijeti energetskoj sigurnosti Ukrajine; ističe potencijal tog projekta za jačanje regionalne energetske povezanosti i integraciju ukrajinskog energetskog sustava u energetski sustav EU-a; potiče daljnji razvoj zajedničkih inicijativa u područjima kao što je energetska infrastruktura, uključujući dalekovode i pohranu energije, kao i unapređenje </w:t>
      </w:r>
      <w:r w:rsidRPr="00DB4DEB">
        <w:t>intermodalnih</w:t>
      </w:r>
      <w:r w:rsidRPr="00DB4DEB">
        <w:t xml:space="preserve"> prometnih veza, s ciljem olakšavanja lanaca opskrbe, logistike i trgovine između tih dviju država i u široj crnomorskoj regiji;</w:t>
      </w:r>
    </w:p>
    <w:p w:rsidR="007D36EB" w:rsidRPr="00DB4DEB" w:rsidP="007D36EB" w14:paraId="28F128E4" w14:textId="6AC84DFF">
      <w:pPr>
        <w:pStyle w:val="NormalHanging12a"/>
        <w:rPr>
          <w:bCs/>
          <w:iCs/>
        </w:rPr>
      </w:pPr>
      <w:r>
        <w:t>106</w:t>
      </w:r>
      <w:r w:rsidRPr="00DB4DEB">
        <w:t>.</w:t>
      </w:r>
      <w:r w:rsidRPr="00DB4DEB">
        <w:tab/>
        <w:t xml:space="preserve">prima na znanje pozive Ukrajine za privremeno izuzeće zbog više sile od uvođenja mehanizma za ugljičnu prilagodbu na granicama ili srodnih mjera kako bi se u obzir uzeo utjecaj ruske ratne agresije na sposobnost Ukrajine da smanji ugljični otisak svojih industrija; potiče Komisiju da se uključi u savjetovanja s ciljem utvrđivanja uzajamno prihvatljivih privremenih rješenja u tom pogledu; </w:t>
      </w:r>
    </w:p>
    <w:p w:rsidR="007D36EB" w:rsidRPr="00DB4DEB" w:rsidP="007D36EB" w14:paraId="46BA6C4C" w14:textId="2165134B">
      <w:pPr>
        <w:pStyle w:val="NormalHanging12a"/>
        <w:rPr>
          <w:bCs/>
          <w:iCs/>
        </w:rPr>
      </w:pPr>
      <w:r>
        <w:t>107</w:t>
      </w:r>
      <w:r w:rsidRPr="00DB4DEB">
        <w:t>.</w:t>
      </w:r>
      <w:r w:rsidRPr="00DB4DEB">
        <w:tab/>
        <w:t>poziva Ukrajinu da obnovu iskoristi za bolju ponovnu izgradnju, koristeći se klimatski najprihvatljivijim i troškovno najučinkovitijim i najpouzdanijim rješenjima za energetski sektor Ukrajine, gdje god je to moguće, ulažući u obnovljive izvore energije i energetsku učinkovitost te svodeći utjecaj na okoliš u cijelom proizvodnom lancu na najmanju moguću mjeru; pozdravlja kontinuirani angažman Komisije u tom području kako bi se poduprla reforma ukrajinskog energetskog sektora; poziva Komisiju i ukrajinske vlasti da se strateški koriste sredstvima u okviru Instrumenta za Ukrajinu kako bi prednost dale ulaganjima u obnovljive izvore energije; poziva na unapređenje provedbe postojećih obveza u okviru Ukrajinskog plana i paketa Energetske zajednice, uključujući razdvajanje regionalnih poduzeća za distribuciju energije;</w:t>
      </w:r>
    </w:p>
    <w:p w:rsidR="007D36EB" w:rsidRPr="00DB4DEB" w:rsidP="007D36EB" w14:paraId="78D985A9" w14:textId="3DA1EE33">
      <w:pPr>
        <w:pStyle w:val="NormalHanging12a"/>
        <w:rPr>
          <w:bCs/>
          <w:iCs/>
        </w:rPr>
      </w:pPr>
      <w:r>
        <w:t>108</w:t>
      </w:r>
      <w:r w:rsidRPr="00DB4DEB">
        <w:t>.</w:t>
      </w:r>
      <w:r w:rsidRPr="00DB4DEB">
        <w:tab/>
        <w:t xml:space="preserve">pozdravlja napore Ukrajine da uskladi svoju prometnu politiku s pravnom stečevinom EU-a i ojača povezanost s Unijom; naglašava važnost provedbe nacionalne prometne strategije i strategije za razvoj i proširenje granične infrastrukture s državama članicama EU-a i </w:t>
      </w:r>
      <w:r w:rsidRPr="00DB4DEB">
        <w:t>Moldovom</w:t>
      </w:r>
      <w:r w:rsidRPr="00DB4DEB">
        <w:t>; poziva na ubrzavanje održive modernizacije željezničke, cestovne, lučke i granične infrastrukture u skladu s prioritetima transeuropske prometne mreže (TEN-T); poziva Ukrajinu da ubrza reformu željeznica, uključujući usklađivanje s pravnom stečevinom EU-a u području sigurnosti i interoperabilnosti željeznica;</w:t>
      </w:r>
    </w:p>
    <w:p w:rsidR="007D36EB" w:rsidRPr="00DB4DEB" w:rsidP="007D36EB" w14:paraId="4BE98D5E" w14:textId="083BFF16">
      <w:pPr>
        <w:pStyle w:val="NormalHanging12a"/>
        <w:rPr>
          <w:bCs/>
          <w:iCs/>
        </w:rPr>
      </w:pPr>
      <w:r>
        <w:t>109</w:t>
      </w:r>
      <w:r w:rsidRPr="00DB4DEB">
        <w:t>.</w:t>
      </w:r>
      <w:r w:rsidRPr="00DB4DEB">
        <w:tab/>
        <w:t xml:space="preserve">istodobno ističe da je usklađenost s okolišnim standardima u provedbi energetskih i prometnih projekata od ključne važnosti za napredak programa reformi na putu </w:t>
      </w:r>
      <w:r w:rsidRPr="00DB4DEB">
        <w:t>Ukrajine prema članstvu u EU-u; naglašava da je važno da EU pruži potporu Ukrajini kako bi se ona bolje izgradila iz temelja okolišne i socijalne održivosti; poziva EU i njegove države članice da pojačaju potporu Ukrajini, i u financijskom obliku i u obliku stručnog znanja, kako bi se ubrzalo njezino usklađivanje s pravnom stečevinom EU-a u području zaštite okoliša;</w:t>
      </w:r>
    </w:p>
    <w:p w:rsidR="007D36EB" w:rsidRPr="00DB4DEB" w:rsidP="007D36EB" w14:paraId="59E13B6B" w14:textId="00B59955">
      <w:pPr>
        <w:pStyle w:val="NormalHanging12a"/>
        <w:rPr>
          <w:bCs/>
          <w:iCs/>
        </w:rPr>
      </w:pPr>
      <w:r>
        <w:t>110</w:t>
      </w:r>
      <w:r w:rsidRPr="00DB4DEB">
        <w:t>.</w:t>
      </w:r>
      <w:r w:rsidRPr="00DB4DEB">
        <w:tab/>
        <w:t>ističe da se Ukrajina i dalje suočava sa znatnim okolišnim izazovima, koje je dodatno pogoršao rat koji je u tijeku; napominje da produljenje sukoba i dalje ima ozbiljan negativni utjecaj na okoliš, uključujući onečišćenje tla i vode, degradaciju ekosustava i povećan pritisak na prirodne resurse; izražava zabrinutost zbog posljedičnog gubitka bioraznolikosti, uključujući štetu u šumskim, stepskim i močvarnim ekosustavima; naglašava važnost integriranja zaštite okoliša i održivosti u rad na oporavku i obnovi; poziva na ojačano upravljanje okolišem, poboljšane sustave praćenja i učinkovitu provedbu postupaka procjene utjecaja na okoliš i strateške procjene utjecaja na okoliš, u skladu s pravnom stečevinom EU-a u Poglavlju 27.;</w:t>
      </w:r>
    </w:p>
    <w:p w:rsidR="007D36EB" w:rsidRPr="00DB4DEB" w:rsidP="007D36EB" w14:paraId="30B163C5" w14:textId="51C7F70B">
      <w:pPr>
        <w:pStyle w:val="NormalHanging12a"/>
        <w:rPr>
          <w:bCs/>
          <w:iCs/>
        </w:rPr>
      </w:pPr>
      <w:r>
        <w:t>111</w:t>
      </w:r>
      <w:r w:rsidRPr="00DB4DEB">
        <w:t>.</w:t>
      </w:r>
      <w:r w:rsidRPr="00DB4DEB">
        <w:tab/>
        <w:t>izražava zabrinutost zbog izgradnje vjetroelektrana u zaštićenim planinskim područjima Karpata na zapadu Ukrajine, posebno zbog planirane izgradnje 30 turbina na planini Runa; naglašava da energija vjetra pruža sigurniju i održiviju alternativu fosilnim gorivima i poziva Ukrajinu da ostvari svoj visoki potencijal iskorištavanja energije vjetra izvan zaštićenih područja; ističe da proizvodnja zelene energije i očuvanje prirode ne moraju biti međusobno isključivi u Ukrajini jer postoje druga područja koja su već namijenjena razvoju energetske infrastrukture, bez jedinstvenih staništa i primarnih šuma, te s postojećim pristupnim cestama;</w:t>
      </w:r>
    </w:p>
    <w:p w:rsidR="007D36EB" w:rsidRPr="00DB4DEB" w:rsidP="007D36EB" w14:paraId="204D45A0" w14:textId="7F5D3E6E">
      <w:pPr>
        <w:pStyle w:val="NormalHanging12a"/>
        <w:rPr>
          <w:bCs/>
          <w:iCs/>
        </w:rPr>
      </w:pPr>
      <w:r>
        <w:t>112</w:t>
      </w:r>
      <w:r w:rsidRPr="00DB4DEB">
        <w:t>.</w:t>
      </w:r>
      <w:r w:rsidRPr="00DB4DEB">
        <w:tab/>
        <w:t xml:space="preserve">izražava duboku zabrinutost zbog trenutačne situacije u nuklearnoj elektrani </w:t>
      </w:r>
      <w:r w:rsidRPr="00DB4DEB">
        <w:t>Zaporižja</w:t>
      </w:r>
      <w:r w:rsidRPr="00DB4DEB">
        <w:t>, koja je i dalje pod nezakonitom ruskom kontrolom te i dalje predstavlja veliki rizik za nuklearnu sigurnost i zaštitu zbog vojnih aktivnosti koje su u tijeku u njezinoj blizini; naglašava da bi angažman Međunarodne agencije za atomsku energiju, iako ključan za osiguravanje nuklearne sigurnosti i zaštite, trebao ostati isključivo tehničke prirode; u tom kontekstu ističe da bi se takav angažman trebao provoditi uz potpuno poštovanje suvereniteta i teritorijalnog integriteta Ukrajine te da se ne bi trebao tumačiti kao utjecaj na status postrojenja; ponovno ističe važnost osiguravanja sigurnog rada elektrane u skladu s međunarodnim standardima nuklearne sigurnosti i pod legitimnom vlašću Ukrajine;</w:t>
      </w:r>
    </w:p>
    <w:p w:rsidR="007D36EB" w:rsidRPr="00DB4DEB" w:rsidP="007D36EB" w14:paraId="4F74C26C" w14:textId="3730FAAC">
      <w:pPr>
        <w:pStyle w:val="NormalHanging12a"/>
        <w:rPr>
          <w:bCs/>
          <w:iCs/>
        </w:rPr>
      </w:pPr>
      <w:r>
        <w:t>113</w:t>
      </w:r>
      <w:r w:rsidRPr="00DB4DEB">
        <w:t>.</w:t>
      </w:r>
      <w:r w:rsidRPr="00DB4DEB">
        <w:tab/>
        <w:t>podsjeća da se 2026. obilježava 40. godišnjica nuklearne katastrofe u Černobilu, još uvijek jedne od najtežih nuklearnih nesreća u povijesti; oštro osuđuje ciljane ruske napade na lokaciju nuklearne elektrane u Černobilu i katastrofalnu štetu na njezinu štitu, koji je izgrađen kako bi zadržavao radioaktivni materijal i više ne može obavljati svoju glavnu sigurnosnu funkciju, što predstavlja ozbiljan rizik za nuklearnu sigurnost; napominje da se trošak popravaka procjenjuje na 500 milijuna EUR;</w:t>
      </w:r>
    </w:p>
    <w:p w:rsidR="007D36EB" w:rsidRPr="00DB4DEB" w:rsidP="007D36EB" w14:paraId="4D538505" w14:textId="77777777">
      <w:pPr>
        <w:pStyle w:val="NormalCenter12a"/>
      </w:pPr>
      <w:r w:rsidRPr="00DB4DEB">
        <w:t>°</w:t>
      </w:r>
    </w:p>
    <w:p w:rsidR="007D36EB" w:rsidRPr="00DB4DEB" w:rsidP="007D36EB" w14:paraId="1822FE37" w14:textId="77777777">
      <w:pPr>
        <w:pStyle w:val="NormalCenter12a"/>
      </w:pPr>
      <w:r w:rsidRPr="00DB4DEB">
        <w:t>°</w:t>
      </w:r>
      <w:r w:rsidRPr="00DB4DEB">
        <w:tab/>
        <w:t>°</w:t>
      </w:r>
    </w:p>
    <w:p w:rsidR="00E365E1" w:rsidRPr="00DB4DEB" w:rsidP="00DB4DEB" w14:paraId="262BFDC2" w14:textId="6D0D63EF">
      <w:pPr>
        <w:pStyle w:val="NormalHanging12a"/>
      </w:pPr>
      <w:r>
        <w:t>114</w:t>
      </w:r>
      <w:r w:rsidRPr="00DB4DEB" w:rsidR="007D36EB">
        <w:t>.</w:t>
      </w:r>
      <w:r w:rsidRPr="00DB4DEB" w:rsidR="007D36EB">
        <w:tab/>
        <w:t>nalaže svojoj predsjednici da ovu Rezoluciju proslijedi Vijeću, Komisiji, potpredsjednici Komisije / visokoj predstavnici Unije za vanjske poslove i sigurnosnu politiku, vladama i parlamentima država članica te vladi i parlamentu Ukrajine.</w:t>
      </w:r>
    </w:p>
    <w:sectPr w:rsidSect="006E18D3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130EA" w:rsidRPr="006E18D3" w14:paraId="35B7D0CC" w14:textId="77777777">
      <w:r w:rsidRPr="006E18D3">
        <w:separator/>
      </w:r>
    </w:p>
  </w:footnote>
  <w:footnote w:type="continuationSeparator" w:id="1">
    <w:p w:rsidR="00F130EA" w:rsidRPr="006E18D3" w14:paraId="7E11A711" w14:textId="77777777">
      <w:r w:rsidRPr="006E18D3">
        <w:continuationSeparator/>
      </w:r>
    </w:p>
  </w:footnote>
  <w:footnote w:id="2">
    <w:p w:rsidR="007D36EB" w:rsidRPr="006E18D3" w:rsidP="006E18D3" w14:paraId="3B74D5CE" w14:textId="2B29332D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Usvojeni tekstovi, P10_TA(2026)0077.</w:t>
      </w:r>
    </w:p>
  </w:footnote>
  <w:footnote w:id="3">
    <w:p w:rsidR="007D36EB" w:rsidRPr="006E18D3" w:rsidP="006E18D3" w14:paraId="0C3B0D2A" w14:textId="336F155F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Usvojeni tekstovi, P10_TA(2026)0013.</w:t>
      </w:r>
    </w:p>
  </w:footnote>
  <w:footnote w:id="4">
    <w:p w:rsidR="007D36EB" w:rsidRPr="006E18D3" w:rsidP="006E18D3" w14:paraId="5074C91E" w14:textId="06FF5F9D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Usvojeni tekstovi, P10_TA(2026)0077.</w:t>
      </w:r>
    </w:p>
  </w:footnote>
  <w:footnote w:id="5">
    <w:p w:rsidR="007D36EB" w:rsidRPr="006E18D3" w:rsidP="00DB4DEB" w14:paraId="5E32921E" w14:textId="39F7D43E">
      <w:pPr>
        <w:ind w:left="567" w:hanging="567"/>
      </w:pPr>
      <w:r w:rsidRPr="006E18D3">
        <w:rPr>
          <w:rStyle w:val="FootnoteReference"/>
        </w:rPr>
        <w:footnoteRef/>
      </w:r>
      <w:r w:rsidRPr="006E18D3" w:rsidR="006E18D3">
        <w:t xml:space="preserve"> </w:t>
      </w:r>
      <w:r w:rsidRPr="006E18D3" w:rsidR="006E18D3">
        <w:tab/>
      </w:r>
      <w:r w:rsidRPr="006E18D3">
        <w:t xml:space="preserve">Sporazum o strateškom partnerstvu između Europske unije i njezinih država članica, s jedne strane, i Ukrajine, s druge strane (ELI: </w:t>
      </w:r>
      <w:hyperlink r:id="rId1" w:history="1">
        <w:r w:rsidRPr="006E18D3">
          <w:rPr>
            <w:rStyle w:val="Hyperlink"/>
          </w:rPr>
          <w:t>http://data.europa.eu/eli/agree_internation/2014/295/oj</w:t>
        </w:r>
      </w:hyperlink>
      <w:r w:rsidRPr="006E18D3">
        <w:t>).</w:t>
      </w:r>
    </w:p>
  </w:footnote>
  <w:footnote w:id="6">
    <w:p w:rsidR="007D36EB" w:rsidRPr="006E18D3" w:rsidP="006E18D3" w14:paraId="551C6150" w14:textId="7609F577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 xml:space="preserve">Uredba (EU) 2022/2065 Europskog parlamenta i Vijeća od 19. listopada 2022. o jedinstvenom tržištu digitalnih usluga i izmjeni Direktive 2000/31/EZ (Akt o digitalnim uslugama) (SL L 277, 27.10.2022., str. 1., </w:t>
      </w:r>
      <w:hyperlink r:id="rId2" w:history="1">
        <w:r w:rsidRPr="006E18D3">
          <w:rPr>
            <w:rStyle w:val="Hyperlink"/>
            <w:sz w:val="24"/>
            <w:lang w:val="hr-HR"/>
          </w:rPr>
          <w:t>http://data.europa.eu/eli/reg/2022/2065/oj</w:t>
        </w:r>
      </w:hyperlink>
      <w:r w:rsidRPr="006E18D3">
        <w:rPr>
          <w:sz w:val="24"/>
          <w:lang w:val="hr-HR"/>
        </w:rPr>
        <w:t>).</w:t>
      </w:r>
    </w:p>
  </w:footnote>
  <w:footnote w:id="7">
    <w:p w:rsidR="007D36EB" w:rsidRPr="006E18D3" w:rsidP="006E18D3" w14:paraId="3CCE20CA" w14:textId="5A877EBE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Komisijin Prijedlog uredbe Europskog parlamenta i Vijeća od 14. siječnja 2026. o provedbi pojačane suradnje radi uspostave zajma za potporu Ukrajini za 2026. i 2027. (COM(2026)0020).</w:t>
      </w:r>
    </w:p>
  </w:footnote>
  <w:footnote w:id="8">
    <w:p w:rsidR="007D36EB" w:rsidRPr="006E18D3" w:rsidP="006E18D3" w14:paraId="4ACCC058" w14:textId="6E8B167A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Komisijin Prijedlog uredbe Europskog parlamenta i Vijeća od 3. prosinca 2025. o reparacijskom zajmu Ukrajini i o izmjeni Uredbe (EU) 2024/792 Europskog parlamenta i Vijeća od 29. veljače 2024. o uspostavi Instrumenta za Ukrajinu (COM(2025)3502).</w:t>
      </w:r>
    </w:p>
  </w:footnote>
  <w:footnote w:id="9">
    <w:p w:rsidR="007D36EB" w:rsidRPr="006E18D3" w:rsidP="006E18D3" w14:paraId="2BFBDD71" w14:textId="59F11544">
      <w:pPr>
        <w:pStyle w:val="FootnoteText"/>
        <w:ind w:left="567" w:hanging="567"/>
        <w:rPr>
          <w:sz w:val="24"/>
          <w:lang w:val="hr-HR"/>
        </w:rPr>
      </w:pPr>
      <w:r w:rsidRPr="006E18D3">
        <w:rPr>
          <w:rStyle w:val="FootnoteReference"/>
          <w:sz w:val="24"/>
          <w:lang w:val="hr-HR"/>
        </w:rPr>
        <w:footnoteRef/>
      </w:r>
      <w:r w:rsidRPr="006E18D3" w:rsidR="006E18D3">
        <w:rPr>
          <w:sz w:val="24"/>
          <w:lang w:val="hr-HR"/>
        </w:rPr>
        <w:t xml:space="preserve"> </w:t>
      </w:r>
      <w:r w:rsidRPr="006E18D3" w:rsidR="006E18D3">
        <w:rPr>
          <w:sz w:val="24"/>
          <w:lang w:val="hr-HR"/>
        </w:rPr>
        <w:tab/>
      </w:r>
      <w:r w:rsidRPr="006E18D3">
        <w:rPr>
          <w:sz w:val="24"/>
          <w:lang w:val="hr-HR"/>
        </w:rPr>
        <w:t>Direktiva Vijeća 2001/55/EZ od 20. srpnja 2001. o minimalnim standardima za dodjelu privremene zaštite u slučaju masovnog priljeva raseljenih osoba te o mjerama za promicanje uravnoteženih napora država članica pri prihvatu i snošenju posljedica prihvata tih osoba (SL L 212, 7.8.2001., str. 12.</w:t>
      </w:r>
      <w:r w:rsidR="005B1D2A">
        <w:rPr>
          <w:sz w:val="24"/>
          <w:lang w:val="hr-HR"/>
        </w:rPr>
        <w:t>,</w:t>
      </w:r>
      <w:r w:rsidRPr="006E18D3">
        <w:rPr>
          <w:sz w:val="24"/>
          <w:lang w:val="hr-HR"/>
        </w:rPr>
        <w:t xml:space="preserve"> ELI: </w:t>
      </w:r>
      <w:hyperlink r:id="rId3" w:history="1">
        <w:r w:rsidRPr="006E18D3">
          <w:rPr>
            <w:rStyle w:val="Hyperlink"/>
            <w:sz w:val="24"/>
            <w:lang w:val="hr-HR"/>
          </w:rPr>
          <w:t>http://data.europa.eu/eli/dir/2001/55/oj</w:t>
        </w:r>
      </w:hyperlink>
      <w:r w:rsidRPr="006E18D3">
        <w:rPr>
          <w:sz w:val="24"/>
          <w:lang w:val="hr-HR"/>
        </w:rPr>
        <w:t>).</w:t>
      </w:r>
    </w:p>
  </w:footnote>
  <w:footnote w:id="10">
    <w:p w:rsidR="00F54D4F" w:rsidRPr="006E18D3" w:rsidP="006E18D3" w14:paraId="07494AFB" w14:textId="6CC83362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6E18D3">
        <w:rPr>
          <w:sz w:val="24"/>
          <w:vertAlign w:val="superscript"/>
          <w:lang w:val="hr-HR"/>
        </w:rPr>
        <w:t xml:space="preserve"> </w:t>
      </w:r>
      <w:r w:rsidRPr="006E18D3">
        <w:rPr>
          <w:sz w:val="24"/>
          <w:vertAlign w:val="superscript"/>
          <w:lang w:val="hr-HR"/>
        </w:rPr>
        <w:tab/>
      </w:r>
      <w:r w:rsidRPr="006E18D3">
        <w:rPr>
          <w:sz w:val="24"/>
          <w:lang w:val="hr-HR"/>
        </w:rPr>
        <w:t xml:space="preserve">Uredba (EU) br. 260/2012 Europskog parlamenta i Vijeća od 14. ožujka 2012. o utvrđivanju tehničkih i poslovnih zahtjeva za kreditne transfere i izravna terećenja u eurima i o izmjeni Uredbe (EZ) br. 924/2009 (SL L 94, 30.3.2012., str. 22., ELI: </w:t>
      </w:r>
      <w:hyperlink r:id="rId4" w:tgtFrame="http://data.europa.eu/eli/reg/2012/260/oj" w:history="1">
        <w:r w:rsidRPr="006E18D3">
          <w:rPr>
            <w:rStyle w:val="Hyperlink"/>
            <w:sz w:val="24"/>
            <w:lang w:val="hr-HR"/>
          </w:rPr>
          <w:t>http://data.europa.eu/eli/reg/2012/260/oj</w:t>
        </w:r>
      </w:hyperlink>
      <w:r w:rsidRPr="006E18D3">
        <w:rPr>
          <w:sz w:val="24"/>
          <w:lang w:val="hr-HR"/>
        </w:rPr>
        <w:t>).</w:t>
      </w:r>
    </w:p>
  </w:footnote>
  <w:footnote w:id="11">
    <w:p w:rsidR="00F54D4F" w:rsidRPr="006E18D3" w:rsidP="006E18D3" w14:paraId="5164F1FC" w14:textId="5D8DDC7E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6E18D3">
        <w:rPr>
          <w:sz w:val="24"/>
          <w:vertAlign w:val="superscript"/>
          <w:lang w:val="hr-HR"/>
        </w:rPr>
        <w:t xml:space="preserve"> </w:t>
      </w:r>
      <w:r w:rsidRPr="006E18D3">
        <w:rPr>
          <w:sz w:val="24"/>
          <w:vertAlign w:val="superscript"/>
          <w:lang w:val="hr-HR"/>
        </w:rPr>
        <w:tab/>
      </w:r>
      <w:r w:rsidRPr="006E18D3">
        <w:rPr>
          <w:sz w:val="24"/>
          <w:lang w:val="hr-HR"/>
        </w:rPr>
        <w:t xml:space="preserve">Uredba (EU) 2024/792 Europskog parlamenta i Vijeća od 29. veljače 2024. o uspostavi Instrumenta za Ukrajinu (SL L, 2024/792, 29.2.2024., ELI: </w:t>
      </w:r>
      <w:hyperlink r:id="rId5" w:tgtFrame="http://data.europa.eu/eli/reg/2024/792/oj" w:history="1">
        <w:r w:rsidRPr="006E18D3">
          <w:rPr>
            <w:rStyle w:val="Hyperlink"/>
            <w:sz w:val="24"/>
            <w:lang w:val="hr-HR"/>
          </w:rPr>
          <w:t>http://data.europa.eu/eli/reg/2024/792/oj</w:t>
        </w:r>
      </w:hyperlink>
      <w:r w:rsidRPr="006E18D3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3218460">
    <w:abstractNumId w:val="9"/>
  </w:num>
  <w:num w:numId="2" w16cid:durableId="345254542">
    <w:abstractNumId w:val="9"/>
  </w:num>
  <w:num w:numId="3" w16cid:durableId="1764759470">
    <w:abstractNumId w:val="7"/>
  </w:num>
  <w:num w:numId="4" w16cid:durableId="951133987">
    <w:abstractNumId w:val="7"/>
  </w:num>
  <w:num w:numId="5" w16cid:durableId="1658459150">
    <w:abstractNumId w:val="6"/>
  </w:num>
  <w:num w:numId="6" w16cid:durableId="942416996">
    <w:abstractNumId w:val="6"/>
  </w:num>
  <w:num w:numId="7" w16cid:durableId="1486434854">
    <w:abstractNumId w:val="5"/>
  </w:num>
  <w:num w:numId="8" w16cid:durableId="1322151175">
    <w:abstractNumId w:val="5"/>
  </w:num>
  <w:num w:numId="9" w16cid:durableId="1188056938">
    <w:abstractNumId w:val="4"/>
  </w:num>
  <w:num w:numId="10" w16cid:durableId="1589804474">
    <w:abstractNumId w:val="4"/>
  </w:num>
  <w:num w:numId="11" w16cid:durableId="543444759">
    <w:abstractNumId w:val="8"/>
  </w:num>
  <w:num w:numId="12" w16cid:durableId="350835909">
    <w:abstractNumId w:val="8"/>
  </w:num>
  <w:num w:numId="13" w16cid:durableId="1531721709">
    <w:abstractNumId w:val="3"/>
  </w:num>
  <w:num w:numId="14" w16cid:durableId="1380781665">
    <w:abstractNumId w:val="3"/>
  </w:num>
  <w:num w:numId="15" w16cid:durableId="2002729451">
    <w:abstractNumId w:val="2"/>
  </w:num>
  <w:num w:numId="16" w16cid:durableId="1024358351">
    <w:abstractNumId w:val="2"/>
  </w:num>
  <w:num w:numId="17" w16cid:durableId="937785814">
    <w:abstractNumId w:val="1"/>
  </w:num>
  <w:num w:numId="18" w16cid:durableId="1698116129">
    <w:abstractNumId w:val="1"/>
  </w:num>
  <w:num w:numId="19" w16cid:durableId="1894585705">
    <w:abstractNumId w:val="0"/>
  </w:num>
  <w:num w:numId="20" w16cid:durableId="41639392">
    <w:abstractNumId w:val="0"/>
  </w:num>
  <w:num w:numId="21" w16cid:durableId="1835024336">
    <w:abstractNumId w:val="9"/>
  </w:num>
  <w:num w:numId="22" w16cid:durableId="1157497420">
    <w:abstractNumId w:val="7"/>
  </w:num>
  <w:num w:numId="23" w16cid:durableId="1986858349">
    <w:abstractNumId w:val="6"/>
  </w:num>
  <w:num w:numId="24" w16cid:durableId="1716856829">
    <w:abstractNumId w:val="5"/>
  </w:num>
  <w:num w:numId="25" w16cid:durableId="411243785">
    <w:abstractNumId w:val="4"/>
  </w:num>
  <w:num w:numId="26" w16cid:durableId="1690528561">
    <w:abstractNumId w:val="8"/>
  </w:num>
  <w:num w:numId="27" w16cid:durableId="1942566697">
    <w:abstractNumId w:val="3"/>
  </w:num>
  <w:num w:numId="28" w16cid:durableId="1199703743">
    <w:abstractNumId w:val="2"/>
  </w:num>
  <w:num w:numId="29" w16cid:durableId="1957322163">
    <w:abstractNumId w:val="1"/>
  </w:num>
  <w:num w:numId="30" w16cid:durableId="368796253">
    <w:abstractNumId w:val="0"/>
  </w:num>
  <w:num w:numId="31" w16cid:durableId="244997949">
    <w:abstractNumId w:val="9"/>
  </w:num>
  <w:num w:numId="32" w16cid:durableId="293488291">
    <w:abstractNumId w:val="7"/>
  </w:num>
  <w:num w:numId="33" w16cid:durableId="457921503">
    <w:abstractNumId w:val="6"/>
  </w:num>
  <w:num w:numId="34" w16cid:durableId="868181180">
    <w:abstractNumId w:val="5"/>
  </w:num>
  <w:num w:numId="35" w16cid:durableId="85733416">
    <w:abstractNumId w:val="4"/>
  </w:num>
  <w:num w:numId="36" w16cid:durableId="1801460320">
    <w:abstractNumId w:val="8"/>
  </w:num>
  <w:num w:numId="37" w16cid:durableId="30421657">
    <w:abstractNumId w:val="3"/>
  </w:num>
  <w:num w:numId="38" w16cid:durableId="37052525">
    <w:abstractNumId w:val="2"/>
  </w:num>
  <w:num w:numId="39" w16cid:durableId="824737358">
    <w:abstractNumId w:val="1"/>
  </w:num>
  <w:num w:numId="40" w16cid:durableId="715466615">
    <w:abstractNumId w:val="0"/>
  </w:num>
  <w:num w:numId="41" w16cid:durableId="1261110548">
    <w:abstractNumId w:val="10"/>
  </w:num>
  <w:num w:numId="42" w16cid:durableId="1726181889">
    <w:abstractNumId w:val="10"/>
  </w:num>
  <w:num w:numId="43" w16cid:durableId="993025830">
    <w:abstractNumId w:val="10"/>
  </w:num>
  <w:num w:numId="44" w16cid:durableId="133959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E4"/>
    <w:rsid w:val="00002272"/>
    <w:rsid w:val="00064002"/>
    <w:rsid w:val="000677B9"/>
    <w:rsid w:val="00081F70"/>
    <w:rsid w:val="000831BA"/>
    <w:rsid w:val="000A42CC"/>
    <w:rsid w:val="000E7DD9"/>
    <w:rsid w:val="0010095E"/>
    <w:rsid w:val="00125B37"/>
    <w:rsid w:val="00187494"/>
    <w:rsid w:val="001F32AE"/>
    <w:rsid w:val="00263160"/>
    <w:rsid w:val="002767FF"/>
    <w:rsid w:val="00295F34"/>
    <w:rsid w:val="002B18FE"/>
    <w:rsid w:val="002B5493"/>
    <w:rsid w:val="003316E6"/>
    <w:rsid w:val="00343214"/>
    <w:rsid w:val="00361C00"/>
    <w:rsid w:val="00395FA1"/>
    <w:rsid w:val="003C48A4"/>
    <w:rsid w:val="003E15D4"/>
    <w:rsid w:val="003F5477"/>
    <w:rsid w:val="00411CCE"/>
    <w:rsid w:val="0041666E"/>
    <w:rsid w:val="00421060"/>
    <w:rsid w:val="00471C19"/>
    <w:rsid w:val="00484974"/>
    <w:rsid w:val="004867E3"/>
    <w:rsid w:val="00494A28"/>
    <w:rsid w:val="004C0004"/>
    <w:rsid w:val="004C5D52"/>
    <w:rsid w:val="0050519A"/>
    <w:rsid w:val="005072A1"/>
    <w:rsid w:val="00514517"/>
    <w:rsid w:val="005200EC"/>
    <w:rsid w:val="00545827"/>
    <w:rsid w:val="00560270"/>
    <w:rsid w:val="005B1D2A"/>
    <w:rsid w:val="005C2568"/>
    <w:rsid w:val="005F1B17"/>
    <w:rsid w:val="006037C0"/>
    <w:rsid w:val="006631B6"/>
    <w:rsid w:val="00680577"/>
    <w:rsid w:val="006E18D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6EB"/>
    <w:rsid w:val="007E22AD"/>
    <w:rsid w:val="00817416"/>
    <w:rsid w:val="00842779"/>
    <w:rsid w:val="00865F67"/>
    <w:rsid w:val="00881A7B"/>
    <w:rsid w:val="008840E5"/>
    <w:rsid w:val="00887B3E"/>
    <w:rsid w:val="008C2AC6"/>
    <w:rsid w:val="008E43BF"/>
    <w:rsid w:val="00930C23"/>
    <w:rsid w:val="0093193B"/>
    <w:rsid w:val="009509D8"/>
    <w:rsid w:val="00950B64"/>
    <w:rsid w:val="00981893"/>
    <w:rsid w:val="009D6F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9E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DEB"/>
    <w:rsid w:val="00E14DB7"/>
    <w:rsid w:val="00E365E1"/>
    <w:rsid w:val="00E820A4"/>
    <w:rsid w:val="00EB006A"/>
    <w:rsid w:val="00EB4772"/>
    <w:rsid w:val="00ED169E"/>
    <w:rsid w:val="00ED4235"/>
    <w:rsid w:val="00F04346"/>
    <w:rsid w:val="00F075DC"/>
    <w:rsid w:val="00F130EA"/>
    <w:rsid w:val="00F149E9"/>
    <w:rsid w:val="00F5134D"/>
    <w:rsid w:val="00F54D4F"/>
    <w:rsid w:val="00F74202"/>
    <w:rsid w:val="00F87713"/>
    <w:rsid w:val="00FB4360"/>
    <w:rsid w:val="00FC0FBB"/>
    <w:rsid w:val="00FC469B"/>
    <w:rsid w:val="00FD0C70"/>
  </w:rsids>
  <w:docVars>
    <w:docVar w:name="dvdocse" w:val="A10-0172/2026"/>
    <w:docVar w:name="dvlangue" w:val="HR"/>
    <w:docVar w:name="dvnumam" w:val="0"/>
    <w:docVar w:name="dvpe" w:val="784.266"/>
    <w:docVar w:name="dvrapporteur" w:val="Izvjestitelj: "/>
    <w:docVar w:name="dvtitre" w:val="Rezolucija Europskog parlamenta od .... 2026. o Izvješću Komisije o Ukrajini za 2025.(2025/225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A8AFBC"/>
  <w15:chartTrackingRefBased/>
  <w15:docId w15:val="{DCC1F349-0423-4973-A78C-F8687F4D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36EB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7D36E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7D36E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Footer">
    <w:name w:val="EPFooter"/>
    <w:basedOn w:val="Normal"/>
    <w:rsid w:val="007D36EB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Normal12">
    <w:name w:val="Normal12"/>
    <w:basedOn w:val="Normal"/>
    <w:rsid w:val="007D36EB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D36E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D36E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D36EB"/>
    <w:rPr>
      <w:color w:val="0000FF"/>
      <w:u w:val="single"/>
    </w:rPr>
  </w:style>
  <w:style w:type="paragraph" w:styleId="Header">
    <w:name w:val="header"/>
    <w:basedOn w:val="Normal"/>
    <w:link w:val="HeaderChar"/>
    <w:rsid w:val="007D36EB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7D36EB"/>
    <w:rPr>
      <w:sz w:val="24"/>
      <w:szCs w:val="24"/>
      <w:lang w:val="hr-HR" w:eastAsia="en-US"/>
    </w:rPr>
  </w:style>
  <w:style w:type="paragraph" w:styleId="NormalWeb">
    <w:name w:val="Normal (Web)"/>
    <w:basedOn w:val="Normal"/>
    <w:uiPriority w:val="99"/>
    <w:unhideWhenUsed/>
    <w:rsid w:val="007D36EB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7D36EB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rsid w:val="00DB4D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B4DEB"/>
    <w:rPr>
      <w:sz w:val="24"/>
      <w:lang w:val="hr-HR"/>
    </w:rPr>
  </w:style>
  <w:style w:type="paragraph" w:styleId="Revision">
    <w:name w:val="Revision"/>
    <w:hidden/>
    <w:uiPriority w:val="99"/>
    <w:semiHidden/>
    <w:rsid w:val="0026316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95/oj" TargetMode="External" /><Relationship Id="rId2" Type="http://schemas.openxmlformats.org/officeDocument/2006/relationships/hyperlink" Target="http://data.europa.eu/eli/reg/2022/2065/oj" TargetMode="External" /><Relationship Id="rId3" Type="http://schemas.openxmlformats.org/officeDocument/2006/relationships/hyperlink" Target="http://data.europa.eu/eli/dir/2001/55/oj" TargetMode="External" /><Relationship Id="rId4" Type="http://schemas.openxmlformats.org/officeDocument/2006/relationships/hyperlink" Target="http://data.europa.eu/eli/reg/2012/260/oj" TargetMode="External" /><Relationship Id="rId5" Type="http://schemas.openxmlformats.org/officeDocument/2006/relationships/hyperlink" Target="http://data.europa.eu/eli/reg/2024/7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12532</Words>
  <Characters>71436</Characters>
  <Application>Microsoft Office Word</Application>
  <DocSecurity>0</DocSecurity>
  <Lines>595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2026-09-29T14:50:00Z</dcterms:created>
  <dcterms:modified xsi:type="dcterms:W3CDTF">2026-09-29T14:50:00Z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P10_TA(2026)0259_</vt:lpwstr>
  </property>
  <property fmtid="{D5CDD505-2E9C-101B-9397-08002B2CF9AE}" pid="4" name="&lt;Type&gt;">
    <vt:lpwstr>RR</vt:lpwstr>
  </property>
</Properties>
</file>