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61EA68" w14:textId="77777777" w:rsidTr="0010095E">
        <w:tblPrEx>
          <w:tblW w:w="9072" w:type="dxa"/>
          <w:tblLook w:val="01E0"/>
        </w:tblPrEx>
        <w:trPr>
          <w:trHeight w:hRule="exact" w:val="1418"/>
        </w:trPr>
        <w:tc>
          <w:tcPr>
            <w:tcW w:w="6804" w:type="dxa"/>
            <w:shd w:val="clear" w:color="auto" w:fill="auto"/>
            <w:vAlign w:val="center"/>
          </w:tcPr>
          <w:p w:rsidR="00751A4A" w:rsidRPr="004F1A99" w:rsidP="0010095E" w14:paraId="6A020BA6" w14:textId="77777777">
            <w:pPr>
              <w:pStyle w:val="EPName"/>
            </w:pPr>
            <w:r w:rsidRPr="004F1A99">
              <w:t>Europos Parlamentas</w:t>
            </w:r>
          </w:p>
          <w:p w:rsidR="00751A4A" w:rsidRPr="004F1A99" w:rsidP="005F1B17" w14:paraId="6B85CD5F" w14:textId="77777777">
            <w:pPr>
              <w:pStyle w:val="EPTerm"/>
              <w:rPr>
                <w:rStyle w:val="HideTWBExt"/>
                <w:noProof w:val="0"/>
                <w:vanish w:val="0"/>
                <w:color w:val="auto"/>
              </w:rPr>
            </w:pPr>
            <w:r w:rsidRPr="004F1A99">
              <w:t>2024</w:t>
            </w:r>
            <w:r w:rsidRPr="004F1A99" w:rsidR="00817416">
              <w:t>-202</w:t>
            </w:r>
            <w:r w:rsidRPr="004F1A99">
              <w:t>9</w:t>
            </w:r>
          </w:p>
        </w:tc>
        <w:tc>
          <w:tcPr>
            <w:tcW w:w="2268" w:type="dxa"/>
            <w:shd w:val="clear" w:color="auto" w:fill="auto"/>
          </w:tcPr>
          <w:p w:rsidR="00751A4A" w:rsidRPr="004F1A99" w:rsidP="0010095E" w14:paraId="0724AF33" w14:textId="77777777">
            <w:pPr>
              <w:pStyle w:val="EPLogo"/>
            </w:pPr>
            <w:r w:rsidRPr="004F1A9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F1A99" w:rsidP="004C5D52" w14:paraId="386A5812" w14:textId="77777777">
      <w:pPr>
        <w:pStyle w:val="LineTop"/>
      </w:pPr>
    </w:p>
    <w:p w:rsidR="00680577" w:rsidRPr="004F1A99" w:rsidP="00680577" w14:paraId="62C17E88" w14:textId="77777777">
      <w:pPr>
        <w:pStyle w:val="EPBodyTA1"/>
      </w:pPr>
      <w:r w:rsidRPr="004F1A99">
        <w:t>PRIIMTI TEKSTAI</w:t>
      </w:r>
    </w:p>
    <w:p w:rsidR="00D058B8" w:rsidRPr="004F1A99" w:rsidP="00D058B8" w14:paraId="34201900" w14:textId="77777777">
      <w:pPr>
        <w:pStyle w:val="LineBottom"/>
      </w:pPr>
    </w:p>
    <w:p w:rsidR="00493FC6" w:rsidRPr="004F1A99" w:rsidP="00493FC6" w14:paraId="4E6BD690" w14:textId="0ACB37C2">
      <w:pPr>
        <w:pStyle w:val="ATHeading1"/>
      </w:pPr>
      <w:bookmarkStart w:id="0" w:name="TANumber"/>
      <w:r w:rsidRPr="004F1A99">
        <w:t>P10_TA(2026)0</w:t>
      </w:r>
      <w:r w:rsidR="00B06ABD">
        <w:t>259</w:t>
      </w:r>
      <w:bookmarkEnd w:id="0"/>
    </w:p>
    <w:p w:rsidR="00493FC6" w:rsidRPr="004F1A99" w:rsidP="00493FC6" w14:paraId="1A1329AE" w14:textId="77777777">
      <w:pPr>
        <w:pStyle w:val="ATHeading2"/>
      </w:pPr>
      <w:bookmarkStart w:id="1" w:name="title"/>
      <w:r w:rsidRPr="004F1A99">
        <w:t>2025 m. Komisijos ataskaita dėl Ukrainos</w:t>
      </w:r>
      <w:bookmarkEnd w:id="1"/>
    </w:p>
    <w:p w:rsidR="00493FC6" w:rsidRPr="004F1A99" w:rsidP="00493FC6" w14:paraId="6C32CA1B" w14:textId="77777777">
      <w:pPr>
        <w:rPr>
          <w:i/>
          <w:vanish/>
        </w:rPr>
      </w:pPr>
      <w:r>
        <w:rPr>
          <w:i/>
        </w:rPr>
        <w:fldChar w:fldCharType="begin"/>
      </w:r>
      <w:r w:rsidRPr="004F1A99">
        <w:rPr>
          <w:i/>
        </w:rPr>
        <w:instrText xml:space="preserve"> TC"(</w:instrText>
      </w:r>
      <w:bookmarkStart w:id="2" w:name="DocNumber"/>
      <w:r w:rsidRPr="004F1A99">
        <w:rPr>
          <w:i/>
        </w:rPr>
        <w:instrText>A10-0172/2026</w:instrText>
      </w:r>
      <w:bookmarkEnd w:id="2"/>
      <w:r w:rsidRPr="004F1A99">
        <w:rPr>
          <w:i/>
        </w:rPr>
        <w:instrText xml:space="preserve"> - Pranešėjas: Michael Gahler)"\l3 \n&gt; \* MERGEFORMAT </w:instrText>
      </w:r>
      <w:r>
        <w:rPr>
          <w:i/>
        </w:rPr>
        <w:fldChar w:fldCharType="end"/>
      </w:r>
    </w:p>
    <w:p w:rsidR="00493FC6" w:rsidRPr="004F1A99" w:rsidP="00493FC6" w14:paraId="73805C1A" w14:textId="77777777">
      <w:pPr>
        <w:rPr>
          <w:vanish/>
        </w:rPr>
      </w:pPr>
      <w:bookmarkStart w:id="3" w:name="Commission"/>
      <w:r w:rsidRPr="004F1A99">
        <w:rPr>
          <w:vanish/>
        </w:rPr>
        <w:t>Užsienio reikalų komitetas</w:t>
      </w:r>
      <w:bookmarkEnd w:id="3"/>
    </w:p>
    <w:p w:rsidR="00493FC6" w:rsidRPr="004F1A99" w:rsidP="00493FC6" w14:paraId="1E5A39AC" w14:textId="77777777">
      <w:pPr>
        <w:rPr>
          <w:vanish/>
        </w:rPr>
      </w:pPr>
      <w:bookmarkStart w:id="4" w:name="PE"/>
      <w:r w:rsidRPr="004F1A99">
        <w:rPr>
          <w:vanish/>
        </w:rPr>
        <w:t>PE784.266</w:t>
      </w:r>
      <w:bookmarkEnd w:id="4"/>
    </w:p>
    <w:p w:rsidR="00493FC6" w:rsidRPr="004F1A99" w:rsidP="00493FC6" w14:paraId="06634871" w14:textId="6761F929">
      <w:pPr>
        <w:pStyle w:val="ATHeading3"/>
      </w:pPr>
      <w:bookmarkStart w:id="5" w:name="Sujet"/>
      <w:r w:rsidRPr="004F1A99">
        <w:t xml:space="preserve">2026 m. </w:t>
      </w:r>
      <w:r w:rsidR="00225518">
        <w:t>liepos</w:t>
      </w:r>
      <w:r w:rsidRPr="004F1A99" w:rsidR="00225518">
        <w:t xml:space="preserve"> </w:t>
      </w:r>
      <w:r w:rsidR="00225518">
        <w:t>8</w:t>
      </w:r>
      <w:r w:rsidRPr="004F1A99" w:rsidR="00225518">
        <w:t xml:space="preserve"> </w:t>
      </w:r>
      <w:r w:rsidRPr="004F1A99">
        <w:t>d. Europos Parlamento rezoliucija dėl 2025 m. Komisijos ataskaitos dėl Ukrainos</w:t>
      </w:r>
      <w:bookmarkEnd w:id="5"/>
      <w:r w:rsidRPr="004F1A99">
        <w:t xml:space="preserve"> </w:t>
      </w:r>
      <w:bookmarkStart w:id="6" w:name="References"/>
      <w:r w:rsidRPr="004F1A99">
        <w:t>(2025/2259(INI))</w:t>
      </w:r>
      <w:bookmarkEnd w:id="6"/>
    </w:p>
    <w:p w:rsidR="002B7104" w:rsidRPr="004F1A99" w:rsidP="002B7104" w14:paraId="2B1C4D67" w14:textId="77777777">
      <w:pPr>
        <w:pStyle w:val="Normal12"/>
      </w:pPr>
      <w:r w:rsidRPr="004F1A99">
        <w:rPr>
          <w:i/>
        </w:rPr>
        <w:t>Europos Parlamentas</w:t>
      </w:r>
      <w:r w:rsidRPr="004F1A99">
        <w:t>,</w:t>
      </w:r>
    </w:p>
    <w:p w:rsidR="002B7104" w:rsidRPr="004F1A99" w:rsidP="002B7104" w14:paraId="77D2421B" w14:textId="77777777">
      <w:pPr>
        <w:pStyle w:val="NormalHanging"/>
      </w:pPr>
      <w:r w:rsidRPr="004F1A99">
        <w:t>–</w:t>
      </w:r>
      <w:r w:rsidRPr="004F1A99">
        <w:tab/>
        <w:t>atsižvelgdamas į savo ankstesnes rezoliucijas dėl Ukrainos,</w:t>
      </w:r>
    </w:p>
    <w:p w:rsidR="002B7104" w:rsidRPr="004F1A99" w:rsidP="002B7104" w14:paraId="583EEFE8" w14:textId="77777777">
      <w:pPr>
        <w:pStyle w:val="NormalHanging"/>
        <w:rPr>
          <w:rStyle w:val="HideTWBExt"/>
          <w:rFonts w:eastAsiaTheme="minorHAnsi"/>
          <w:iCs/>
          <w:vanish w:val="0"/>
          <w:kern w:val="2"/>
        </w:rPr>
      </w:pPr>
      <w:r w:rsidRPr="004F1A99">
        <w:t>–</w:t>
      </w:r>
      <w:r w:rsidRPr="004F1A99">
        <w:tab/>
        <w:t>atsižvelgdamas į Europos Vadovų Tarybos 2022 m. birželio 24 d. išvadas dėl šalies kandidatės statuso suteikimo Ukrainai, 2023 m. gruodžio 15 d. išvadas, kuriomis pritariama, kad būtų pradėtos stojimo derybos, ir 2025 m. kovo 20 d. išvadas,</w:t>
      </w:r>
    </w:p>
    <w:p w:rsidR="002B7104" w:rsidRPr="004F1A99" w:rsidP="002B7104" w14:paraId="018678EB" w14:textId="77777777">
      <w:pPr>
        <w:pStyle w:val="NormalHanging"/>
        <w:rPr>
          <w:iCs/>
        </w:rPr>
      </w:pPr>
      <w:r w:rsidRPr="004F1A99">
        <w:t>–</w:t>
      </w:r>
      <w:r w:rsidRPr="004F1A99">
        <w:tab/>
        <w:t>atsižvelgdamas į savo 2026 m. kovo 11 d. rezoliuciją dėl ES plėtros strategijos</w:t>
      </w:r>
      <w:r>
        <w:rPr>
          <w:rStyle w:val="FootnoteReference"/>
          <w:iCs/>
        </w:rPr>
        <w:footnoteReference w:id="2"/>
      </w:r>
      <w:r w:rsidRPr="004F1A99">
        <w:t>,</w:t>
      </w:r>
    </w:p>
    <w:p w:rsidR="002B7104" w:rsidRPr="004F1A99" w:rsidP="002B7104" w14:paraId="1ED9767C" w14:textId="77777777">
      <w:pPr>
        <w:pStyle w:val="NormalHanging"/>
        <w:rPr>
          <w:iCs/>
        </w:rPr>
      </w:pPr>
      <w:r w:rsidRPr="004F1A99">
        <w:t>–</w:t>
      </w:r>
      <w:r w:rsidRPr="004F1A99">
        <w:tab/>
        <w:t>atsižvelgdamas į savo 2026 m. sausio 21 d. rezoliuciją „2025 m. metinis pranešimas dėl bendros saugumo ir gynybos politikos įgyvendinimo“</w:t>
      </w:r>
      <w:r>
        <w:rPr>
          <w:rStyle w:val="FootnoteReference"/>
          <w:iCs/>
        </w:rPr>
        <w:footnoteReference w:id="3"/>
      </w:r>
      <w:r w:rsidRPr="004F1A99">
        <w:t xml:space="preserve"> ir į savo 2026 m. kovo 11 d. rezoliuciją dėl ES plėtros strategijos</w:t>
      </w:r>
      <w:r>
        <w:rPr>
          <w:rStyle w:val="FootnoteReference"/>
          <w:iCs/>
        </w:rPr>
        <w:footnoteReference w:id="4"/>
      </w:r>
      <w:r w:rsidRPr="004F1A99">
        <w:t>,</w:t>
      </w:r>
    </w:p>
    <w:p w:rsidR="002B7104" w:rsidRPr="004F1A99" w:rsidP="002B7104" w14:paraId="17A345D9" w14:textId="77777777">
      <w:pPr>
        <w:pStyle w:val="NormalHanging"/>
        <w:rPr>
          <w:iCs/>
        </w:rPr>
      </w:pPr>
      <w:r w:rsidRPr="004F1A99">
        <w:t>–</w:t>
      </w:r>
      <w:r w:rsidRPr="004F1A99">
        <w:tab/>
        <w:t>atsižvelgdamas į Ukrainos priemonę ir Ukrainos planą,</w:t>
      </w:r>
    </w:p>
    <w:p w:rsidR="002B7104" w:rsidRPr="004F1A99" w:rsidP="002B7104" w14:paraId="6DBB49CB" w14:textId="77777777">
      <w:pPr>
        <w:pStyle w:val="NormalHanging"/>
        <w:rPr>
          <w:iCs/>
        </w:rPr>
      </w:pPr>
      <w:r w:rsidRPr="004F1A99">
        <w:t>–</w:t>
      </w:r>
      <w:r w:rsidRPr="004F1A99">
        <w:tab/>
        <w:t xml:space="preserve">atsižvelgdamas į 2025 m. gruodžio 11 d. Komisijos narės Martos </w:t>
      </w:r>
      <w:r w:rsidRPr="004F1A99">
        <w:t>Kos</w:t>
      </w:r>
      <w:r w:rsidRPr="004F1A99">
        <w:t xml:space="preserve"> ir Ukrainos ministro pirmininko pavaduotojo </w:t>
      </w:r>
      <w:r w:rsidRPr="004F1A99">
        <w:t>Taraso</w:t>
      </w:r>
      <w:r w:rsidRPr="004F1A99">
        <w:t xml:space="preserve"> </w:t>
      </w:r>
      <w:r w:rsidRPr="004F1A99">
        <w:t>Kachkos</w:t>
      </w:r>
      <w:r w:rsidRPr="004F1A99">
        <w:t xml:space="preserve"> bendrą pareiškimą,</w:t>
      </w:r>
    </w:p>
    <w:p w:rsidR="002B7104" w:rsidRPr="004F1A99" w:rsidP="002B7104" w14:paraId="450ADC88" w14:textId="77777777">
      <w:pPr>
        <w:pStyle w:val="NormalHanging"/>
        <w:rPr>
          <w:iCs/>
        </w:rPr>
      </w:pPr>
      <w:r w:rsidRPr="004F1A99">
        <w:t>–</w:t>
      </w:r>
      <w:r w:rsidRPr="004F1A99">
        <w:tab/>
        <w:t>atsižvelgdamas į Ukrainos veiksmų gaires dėl teisinės valstybės, viešojo administravimo reformos ir demokratinių institucijų veikimo, taip pat į 2025 m. gegužės mėn. patvirtintą veiksmų planą dėl tautinėms mažumoms (bendruomenėms) priklausančių asmenų teisių apsaugą Ukrainoje,</w:t>
      </w:r>
    </w:p>
    <w:p w:rsidR="002B7104" w:rsidRPr="004F1A99" w:rsidP="002B7104" w14:paraId="4CBB1F4D" w14:textId="77777777">
      <w:pPr>
        <w:pStyle w:val="NormalHanging"/>
        <w:rPr>
          <w:iCs/>
        </w:rPr>
      </w:pPr>
      <w:r w:rsidRPr="004F1A99">
        <w:t>–</w:t>
      </w:r>
      <w:r w:rsidRPr="004F1A99">
        <w:tab/>
        <w:t xml:space="preserve">atsižvelgdamas į 2026 m. balandžio 1 d. Ukrainos vyriausybės priimtą nacionalinę </w:t>
      </w:r>
      <w:r w:rsidRPr="004F1A99">
        <w:rPr>
          <w:i/>
          <w:iCs/>
        </w:rPr>
        <w:t>acquis</w:t>
      </w:r>
      <w:r w:rsidRPr="004F1A99">
        <w:t xml:space="preserve"> derinimo programą,</w:t>
      </w:r>
    </w:p>
    <w:p w:rsidR="002B7104" w:rsidRPr="004F1A99" w:rsidP="002B7104" w14:paraId="41ACBB44" w14:textId="77777777">
      <w:pPr>
        <w:pStyle w:val="NormalHanging"/>
      </w:pPr>
      <w:r w:rsidRPr="004F1A99">
        <w:t>–</w:t>
      </w:r>
      <w:r w:rsidRPr="004F1A99">
        <w:tab/>
        <w:t>atsižvelgdamas į 2025 m. lapkričio 4 d. Komisijos tarnybų darbinį dokumentą „2025 m. ataskaita dėl Ukrainos“ (SWD(2025)0759) ir prie jo pridėtą Komisijos komunikatą „2025 m. komunikatas dėl ES plėtros politikos“ (COM(2025)0690),</w:t>
      </w:r>
    </w:p>
    <w:p w:rsidR="002B7104" w:rsidRPr="004F1A99" w:rsidP="002B7104" w14:paraId="1A9907EE" w14:textId="77777777">
      <w:pPr>
        <w:pStyle w:val="NormalHanging"/>
      </w:pPr>
      <w:r w:rsidRPr="004F1A99">
        <w:t>–</w:t>
      </w:r>
      <w:r w:rsidRPr="004F1A99">
        <w:tab/>
        <w:t>atsižvelgdamas į Darbo tvarkos taisyklių 55 straipsnį,</w:t>
      </w:r>
    </w:p>
    <w:p w:rsidR="002B7104" w:rsidRPr="004F1A99" w:rsidP="002B7104" w14:paraId="7BD20256" w14:textId="77777777">
      <w:pPr>
        <w:pStyle w:val="NormalHanging"/>
      </w:pPr>
      <w:r w:rsidRPr="004F1A99">
        <w:t>–</w:t>
      </w:r>
      <w:r w:rsidRPr="004F1A99">
        <w:tab/>
        <w:t>atsižvelgdamas į Užsienio reikalų komiteto pranešimą (A10-0172/2026),</w:t>
      </w:r>
    </w:p>
    <w:p w:rsidR="002B7104" w:rsidRPr="004F1A99" w:rsidP="002B7104" w14:paraId="42B08505" w14:textId="77777777">
      <w:pPr>
        <w:pStyle w:val="NormalHanging"/>
      </w:pPr>
      <w:r w:rsidRPr="004F1A99">
        <w:t>A.</w:t>
      </w:r>
      <w:r w:rsidRPr="004F1A99">
        <w:tab/>
        <w:t>kadangi Parlamentas kuo griežčiausiai smerkia Rusijos agresijos karą prieš Ukrainą, kuris yra akivaizdus JT Chartijos ir pagrindinių tarptautinės teisės bei tarptautinės humanitarinės teisės principų pažeidimas, kurį rodo plačiai paplitę ir sistemingi karo nusikaltimai, nusikaltimai žmoniškumui, priverstinis tūkstančių ukrainiečių, ypač vaikų, deportavimas į Rusijos teritoriją, o už šiuos veiksmus turi būti sulaukta visapusiškos atskaitomybės ir teisingumo; kadangi Parlamentas remia Ukrainos teisę į suverenitetą, nepriklausomybę ir teritorinį vientisumą atsižvelgiant į tarptautiniu mastu pripažintas jos sienas; kadangi Rusija įsiveržė į Ukrainą ir ji gali bet kada sustabdyti šį žiaurų prieš savo kaimynę vykdomą karą;</w:t>
      </w:r>
    </w:p>
    <w:p w:rsidR="002B7104" w:rsidRPr="004F1A99" w:rsidP="002B7104" w14:paraId="08EBDA53" w14:textId="77777777">
      <w:pPr>
        <w:pStyle w:val="NormalHanging"/>
        <w:rPr>
          <w:bCs/>
          <w:iCs/>
        </w:rPr>
      </w:pPr>
      <w:r w:rsidRPr="004F1A99">
        <w:t>B.</w:t>
      </w:r>
      <w:r w:rsidRPr="004F1A99">
        <w:tab/>
        <w:t>kadangi Rusija, kuriai jos sąjungininkės, visų pirma Baltarusija, Iranas ir Šiaurės Korėja, o taip pat Kinija, teikia politinę, materialinę ir karinę paramą, nuo 2022 m. vasario 24 d. vykdo neteisėtą, neišprovokuotą ir nepateisinamą plataus masto agresijos karą prieš Ukrainą; kadangi Rusijos karas prieš Ukrainą prasidėjo 2014 m. neteisėta Krymo okupacija ir aneksija bei vėlesne Donecko ir Luhansko regionų dalių okupacija;</w:t>
      </w:r>
    </w:p>
    <w:p w:rsidR="002B7104" w:rsidRPr="004F1A99" w:rsidP="002B7104" w14:paraId="5B235CE5" w14:textId="77777777">
      <w:pPr>
        <w:pStyle w:val="NormalHanging"/>
        <w:rPr>
          <w:bCs/>
          <w:iCs/>
        </w:rPr>
      </w:pPr>
      <w:r w:rsidRPr="004F1A99">
        <w:t>C.</w:t>
      </w:r>
      <w:r w:rsidRPr="004F1A99">
        <w:tab/>
        <w:t>kadangi pastarojo meto Rusijos nuolat vykdomi Europos valstybių suvereniteto pažeidimai patvirtina, kad ji kėsinasi ne vien tik į Ukrainą, bet kelia egzistencinę grėsmę laisvai ir demokratinei Europai;</w:t>
      </w:r>
    </w:p>
    <w:p w:rsidR="002B7104" w:rsidRPr="004F1A99" w:rsidP="002B7104" w14:paraId="76AFA69D" w14:textId="3171EC0F">
      <w:pPr>
        <w:pStyle w:val="NormalHanging"/>
        <w:rPr>
          <w:bCs/>
          <w:iCs/>
        </w:rPr>
      </w:pPr>
      <w:r w:rsidRPr="004F1A99">
        <w:t>D.</w:t>
      </w:r>
      <w:r w:rsidRPr="004F1A99">
        <w:tab/>
      </w:r>
      <w:r w:rsidRPr="00403AE1" w:rsidR="00715155">
        <w:t xml:space="preserve">kadangi, nepaisant plataus tarptautinio pasmerkimo ir beprecedenčių sankcijų, Rusija savo karo pastangas eskaluoja vykdydama tikslinius išpuolius prieš </w:t>
      </w:r>
      <w:r w:rsidRPr="00C77F6D" w:rsidR="00715155">
        <w:t xml:space="preserve">ypatingos svarbos energetikos infrastruktūrą, gyvenamuosius pastatus ir civilinę infrastruktūrą, taip pat kultūrinio paveldo ir religinius objektus, kaip antai </w:t>
      </w:r>
      <w:r w:rsidRPr="00C77F6D" w:rsidR="00715155">
        <w:t>Kyjivo</w:t>
      </w:r>
      <w:r w:rsidRPr="00C77F6D" w:rsidR="00715155">
        <w:t xml:space="preserve"> </w:t>
      </w:r>
      <w:r w:rsidRPr="00C77F6D" w:rsidR="00715155">
        <w:t>Pečerų</w:t>
      </w:r>
      <w:r w:rsidRPr="00C77F6D" w:rsidR="00715155">
        <w:t xml:space="preserve"> </w:t>
      </w:r>
      <w:r w:rsidRPr="00C77F6D" w:rsidR="00715155">
        <w:t>laura</w:t>
      </w:r>
      <w:r w:rsidRPr="00C77F6D" w:rsidR="00715155">
        <w:t>;</w:t>
      </w:r>
      <w:r w:rsidRPr="00403AE1" w:rsidR="00715155">
        <w:t xml:space="preserve"> kadangi milijonai žmonių Ukrainoje per praėjusią žiemą išgyveno minusinę temperatūrą, neturėdami pakankamai elektros, šildymo ir tekančio vandens; kadangi per pastaruosius ketverius metus Rusijos padaryta žala aplinkai taip pat sukėlė pražūtingų padarinių Ukrainos gamtos ištekliams ir ypatingos svarbos ekosistemoms, taip pat jos žmonių sveikatai, pragyvenimo šaltiniams ir saugumui</w:t>
      </w:r>
      <w:r w:rsidRPr="004F1A99">
        <w:t>;</w:t>
      </w:r>
    </w:p>
    <w:p w:rsidR="002B7104" w:rsidRPr="004F1A99" w:rsidP="002B7104" w14:paraId="4B97C4AE" w14:textId="77777777">
      <w:pPr>
        <w:pStyle w:val="NormalHanging"/>
        <w:rPr>
          <w:bCs/>
          <w:iCs/>
        </w:rPr>
      </w:pPr>
      <w:r w:rsidRPr="004F1A99">
        <w:t>E.</w:t>
      </w:r>
      <w:r w:rsidRPr="004F1A99">
        <w:tab/>
        <w:t>kadangi dėl Rusijos invazijos daugiau kaip 4 mln. ukrainiečių šiuo metu gyvena ES valstybėse narėse pagal laikinosios apsaugos mechanizmą ir turi teisę gyventi šalyje, įsidarbinti, įgyti būstą, gauti medicininės priežiūros paslaugų, socialinę paramą ir teisę į švietimą savo vaikams;</w:t>
      </w:r>
    </w:p>
    <w:p w:rsidR="002B7104" w:rsidRPr="004F1A99" w:rsidP="002B7104" w14:paraId="18611391" w14:textId="77777777">
      <w:pPr>
        <w:pStyle w:val="NormalHanging"/>
        <w:rPr>
          <w:b/>
          <w:i/>
        </w:rPr>
      </w:pPr>
      <w:r w:rsidRPr="004F1A99">
        <w:t>F.</w:t>
      </w:r>
      <w:r w:rsidRPr="004F1A99">
        <w:tab/>
        <w:t>kadangi Ukraina, gindamasi nuo Rusijos, reikšmingai prisideda prie Europos Sąjungos saugumo; kadangi nuo plataus masto invazijos pradžios ES ir valstybės narės yra didžiausios finansinės, ekonominės, karinės ir humanitarinės pagalbos Ukrainai teikėjos; kadangi nuo Rusijos agresijos karo prieš Ukrainą pradžios ES ir valstybės narės iki šiol suteikė Ukrainai apie 75 mlrd. EUR vertės karinę pagalbą; kadangi parama Ukrainai taip pat turėtų padėti stiprinti ES gynybos technologinę ir pramoninę bazę (EGTPB) ir Sąjungos strateginį savarankiškumą ir neturėtų lemti didesnės priklausomybės nuo išorės subjektų;</w:t>
      </w:r>
    </w:p>
    <w:p w:rsidR="002B7104" w:rsidRPr="004F1A99" w:rsidP="002B7104" w14:paraId="5F3858AC" w14:textId="77777777">
      <w:pPr>
        <w:pStyle w:val="NormalHanging"/>
        <w:rPr>
          <w:bCs/>
          <w:iCs/>
        </w:rPr>
      </w:pPr>
      <w:r w:rsidRPr="004F1A99">
        <w:t>G.</w:t>
      </w:r>
      <w:r w:rsidRPr="004F1A99">
        <w:tab/>
        <w:t>kadangi nuo neteisėtos ir tebesitęsiančios Ukrainos teritorijos dalių okupacijos pradžios 2014 m. vasario mėn. Rusijos Federacija laikinai okupuotose teritorijose nuolat ir plačiai pažeidinėja žmogaus teises ir pagrindines laisves;</w:t>
      </w:r>
    </w:p>
    <w:p w:rsidR="002B7104" w:rsidRPr="004F1A99" w:rsidP="002B7104" w14:paraId="0FAEA4C4" w14:textId="77777777">
      <w:pPr>
        <w:pStyle w:val="NormalHanging"/>
        <w:rPr>
          <w:bCs/>
          <w:iCs/>
        </w:rPr>
      </w:pPr>
      <w:r w:rsidRPr="004F1A99">
        <w:t>H.</w:t>
      </w:r>
      <w:r w:rsidRPr="004F1A99">
        <w:tab/>
        <w:t xml:space="preserve">kadangi Ukraina ir tarptautinės organizacijos užfiksavo šimtus Rusijos pajėgų įvykdytų ukrainiečių karo belaisvių egzekucijų; kadangi tokios egzekucijos yra šiurkštūs </w:t>
      </w:r>
      <w:r w:rsidRPr="004F1A99">
        <w:t>tarptautinės teisės ir žmogaus teisių pažeidimai ir yra aiškiai pripažįstamos karo nusikaltimais pagal Ženevos konvencijas ir Tarptautinio baudžiamojo teismo Romos statutą;</w:t>
      </w:r>
    </w:p>
    <w:p w:rsidR="002B7104" w:rsidRPr="004F1A99" w:rsidP="002B7104" w14:paraId="39F3A45B" w14:textId="77777777">
      <w:pPr>
        <w:pStyle w:val="NormalHanging"/>
        <w:rPr>
          <w:bCs/>
          <w:iCs/>
        </w:rPr>
      </w:pPr>
      <w:r w:rsidRPr="004F1A99">
        <w:t>I.</w:t>
      </w:r>
      <w:r w:rsidRPr="004F1A99">
        <w:tab/>
        <w:t>kadangi ne mažiau kaip 20 000 (skaičius gali siekti 35 000) Ukrainos vaikų buvo priverstinai deportuoti į Rusiją ir Baltarusiją arba sulaikyti laikinai okupuotose Ukrainos teritorijose;</w:t>
      </w:r>
    </w:p>
    <w:p w:rsidR="002B7104" w:rsidRPr="004F1A99" w:rsidP="002B7104" w14:paraId="52F516E4" w14:textId="22F1E8A7">
      <w:pPr>
        <w:pStyle w:val="NormalHanging"/>
        <w:rPr>
          <w:bCs/>
          <w:iCs/>
        </w:rPr>
      </w:pPr>
      <w:r w:rsidRPr="004F1A99">
        <w:t>J.</w:t>
      </w:r>
      <w:r w:rsidRPr="004F1A99">
        <w:tab/>
        <w:t xml:space="preserve">kadangi, reaguojant į Rusijos agresijos karą, Hagoje buvo įsteigtas Tarptautinis baudžiamojo persekiojimo už agresijos nusikaltimą prieš Ukrainą centras ir agresijos prieš Ukrainą padarytos žalos registras, o šiuo metu steigiamas Specialusis tribunolas dėl agresijos nusikaltimo prieš Ukrainą; kadangi Komisija priėmė pasiūlymą pradėti Europos Sąjungos tapimo specialiojo tribunolo nare steigėja procesą; kadangi Tarptautinis baudžiamasis teismas pareiškė kaltinimus Vladimirui Putinui ir Marijai </w:t>
      </w:r>
      <w:r w:rsidRPr="004F1A99">
        <w:t>Lvovai</w:t>
      </w:r>
      <w:r w:rsidRPr="004F1A99">
        <w:t xml:space="preserve">-Belovai dėl karo nusikaltimų; kadangi 2026 m. gegužės 14 d. Kišiniove vykstant 135-ajai Europos Tarybos Ministrų Komiteto sesijai buvo iškilmingai </w:t>
      </w:r>
      <w:r w:rsidRPr="004F1A99">
        <w:t>inauguruota</w:t>
      </w:r>
      <w:r w:rsidRPr="004F1A99">
        <w:t xml:space="preserve"> Tarptautinė paraiškų dėl Ukrainos nagrinėjimo komisija; kadangi Tarptautinė paraiškų komisija stiprins gebėjimus užtikrinti atsakomybę už Ukrainoje ir prieš Ukrainą įvykdytus tarptautinius nusikaltimus ir Ukrainos teisę į visišką žalos, padarytos dėl neteisėtų Rusijos veiksmų, atlyginimą;</w:t>
      </w:r>
    </w:p>
    <w:p w:rsidR="002B7104" w:rsidRPr="004F1A99" w:rsidP="002B7104" w14:paraId="1F7C0EE2" w14:textId="77777777">
      <w:pPr>
        <w:pStyle w:val="NormalHanging"/>
      </w:pPr>
      <w:r w:rsidRPr="004F1A99">
        <w:t>K.</w:t>
      </w:r>
      <w:r w:rsidRPr="004F1A99">
        <w:tab/>
        <w:t>kadangi, nepaisant tebesitęsiančio Rusijos agresijos karo, per kurį žuvo tūkstančiai žmonių, kuris sukėlė gilias traumas išgyvenusiesiems, žuvusiųjų šeimoms, veteranams ir jų šeimoms ir pilietinei visuomenei, iš daugelio miestų ir gyvybiškai svarbios civilinės infrastruktūros teliko griuvėsiai, o dalis Ukrainos teritorijos vis dar yra okupuota Rusijos ginkluotųjų pajėgų – Ukraina demonstruoja nepaprastą atsparumą ir ryžtą siekdama narystės ES, išreikšdama tvirtą savo žmonių valią;</w:t>
      </w:r>
    </w:p>
    <w:p w:rsidR="002B7104" w:rsidRPr="004F1A99" w:rsidP="002B7104" w14:paraId="7553B6B6" w14:textId="77777777">
      <w:pPr>
        <w:pStyle w:val="NormalHanging"/>
        <w:rPr>
          <w:bCs/>
          <w:iCs/>
        </w:rPr>
      </w:pPr>
      <w:r w:rsidRPr="004F1A99">
        <w:t>L.</w:t>
      </w:r>
      <w:r w:rsidRPr="004F1A99">
        <w:tab/>
        <w:t xml:space="preserve">kadangi Ukrainos priešinimasis yra ne tik kova dėl teisės laisvai gyventi ir laisvai pasirinkti su kuo sudaryti aljansus ir ne tik dėl savo suvereniteto, taikos, stabilumo ir saugumo, bet ir dėl demokratinės santvarkos išsaugojimo patiriant egzistencinį spaudimą; kadangi Ukrainos demokratijos atsparumas galiausiai bus vertinamas ne tik pagal jos gebėjimą pasipriešinti išorės agresijai, bet ir pagal jos ryžtą apsaugoti pliuralizmą, </w:t>
      </w:r>
      <w:r w:rsidRPr="004F1A99">
        <w:t>įtraukumą</w:t>
      </w:r>
      <w:r w:rsidRPr="004F1A99">
        <w:t>, atvirumą ir politinę įvairovę šalies viduje;</w:t>
      </w:r>
    </w:p>
    <w:p w:rsidR="002B7104" w:rsidRPr="004F1A99" w:rsidP="002B7104" w14:paraId="27955051" w14:textId="77777777">
      <w:pPr>
        <w:pStyle w:val="NormalHanging"/>
        <w:rPr>
          <w:bCs/>
          <w:iCs/>
        </w:rPr>
      </w:pPr>
      <w:r w:rsidRPr="004F1A99">
        <w:t>M.</w:t>
      </w:r>
      <w:r w:rsidRPr="004F1A99">
        <w:tab/>
        <w:t>kadangi Ukrainos integracija į Europos Sąjungą yra strateginė investicija į taiką, saugumą, demokratiją ir klestėjimą visame žemyne; kadangi tvirta ES parama Ukrainos suverenitetui, teritoriniam vientisumui ir nepriklausomybei nepriklauso nuo šios šalies Europos integracijos spartos;</w:t>
      </w:r>
    </w:p>
    <w:p w:rsidR="002B7104" w:rsidRPr="004F1A99" w:rsidP="002B7104" w14:paraId="2636F1FE" w14:textId="77777777">
      <w:pPr>
        <w:pStyle w:val="NormalHanging"/>
      </w:pPr>
      <w:r w:rsidRPr="004F1A99">
        <w:t>N.</w:t>
      </w:r>
      <w:r w:rsidRPr="004F1A99">
        <w:tab/>
        <w:t>kadangi pagal dabartinius Kopenhagos kriterijus reikalaujama ne tik formalaus suderinimo su ES teise, bet ir veiksmingo pagrindinių teisių, demokratijos ir teisinės valstybės principų įgyvendinimo ir užtikrinimo; kadangi kiekvienos šalies kelias integracijos į ES link turi būti vertinamas pagal jos nuopelnus ir kad nė viena šalis neturėtų būti susieta su kita šalimi ar laikoma rinkinio dalimi;</w:t>
      </w:r>
    </w:p>
    <w:p w:rsidR="002B7104" w:rsidRPr="004F1A99" w:rsidP="002B7104" w14:paraId="24EE6A74" w14:textId="77777777">
      <w:pPr>
        <w:pStyle w:val="NormalHanging"/>
      </w:pPr>
      <w:r w:rsidRPr="004F1A99">
        <w:t>O.</w:t>
      </w:r>
      <w:r w:rsidRPr="004F1A99">
        <w:tab/>
        <w:t xml:space="preserve">kadangi Ukraina tebėra įsipareigojusi savo teisės aktus suderinti su ES </w:t>
      </w:r>
      <w:r w:rsidRPr="004F1A99">
        <w:rPr>
          <w:i/>
          <w:iCs/>
        </w:rPr>
        <w:t>acquis</w:t>
      </w:r>
      <w:r w:rsidRPr="004F1A99">
        <w:t xml:space="preserve"> ir, nepaisant Rusijos agresijos karo, toliau imasi veiksmų reformoms įgyvendinti; kadangi </w:t>
      </w:r>
      <w:r w:rsidRPr="004F1A99">
        <w:t>2025 m. Ukraina pasiekė 84 proc. ES ir Ukrainos asociacijos susitarimo įgyvendinimo lygį</w:t>
      </w:r>
      <w:r>
        <w:rPr>
          <w:rStyle w:val="FootnoteReference"/>
        </w:rPr>
        <w:footnoteReference w:id="5"/>
      </w:r>
      <w:r w:rsidRPr="004F1A99">
        <w:t>;</w:t>
      </w:r>
    </w:p>
    <w:p w:rsidR="002B7104" w:rsidRPr="004F1A99" w:rsidP="002B7104" w14:paraId="69769B10" w14:textId="77777777">
      <w:pPr>
        <w:pStyle w:val="NormalHanging"/>
        <w:rPr>
          <w:bCs/>
          <w:iCs/>
        </w:rPr>
      </w:pPr>
      <w:r w:rsidRPr="004F1A99">
        <w:t>P.</w:t>
      </w:r>
      <w:r w:rsidRPr="004F1A99">
        <w:tab/>
        <w:t>kadangi Komisija patvirtino, kad Ukraina užbaigė visų derybų skyrių dvišalio tikrinimo procesą ir yra pasirengusi atidaryti visas derybų skyrių grupes, pradedant pagrindų grupe;</w:t>
      </w:r>
    </w:p>
    <w:p w:rsidR="002B7104" w:rsidRPr="004F1A99" w:rsidP="002B7104" w14:paraId="06279420" w14:textId="77777777">
      <w:pPr>
        <w:pStyle w:val="NormalHanging"/>
      </w:pPr>
      <w:r w:rsidRPr="004F1A99">
        <w:t>Q.</w:t>
      </w:r>
      <w:r w:rsidRPr="004F1A99">
        <w:tab/>
        <w:t xml:space="preserve">kadangi padaryta pažanga, bet reikia daugiau pastangų stiprinti, </w:t>
      </w:r>
      <w:r w:rsidRPr="004F1A99">
        <w:rPr>
          <w:i/>
          <w:iCs/>
        </w:rPr>
        <w:t>inter</w:t>
      </w:r>
      <w:r w:rsidRPr="004F1A99">
        <w:rPr>
          <w:i/>
          <w:iCs/>
        </w:rPr>
        <w:t xml:space="preserve"> alia</w:t>
      </w:r>
      <w:r w:rsidRPr="004F1A99">
        <w:t>, Ukrainos teisinę valstybę ir kovoti su korupcija;</w:t>
      </w:r>
    </w:p>
    <w:p w:rsidR="002B7104" w:rsidRPr="004F1A99" w:rsidP="002B7104" w14:paraId="376A44E6" w14:textId="77777777">
      <w:pPr>
        <w:pStyle w:val="NormalHanging"/>
      </w:pPr>
      <w:r w:rsidRPr="004F1A99">
        <w:t>R.</w:t>
      </w:r>
      <w:r w:rsidRPr="004F1A99">
        <w:tab/>
        <w:t>kadangi siekiant užtikrinti skaidrų ir atskaitingą tarptautinės ir ES finansinės paramos ir būsimų atstatymo fondų naudojimą reikia tvirtų, nepriklausomų ir gerai veikiančių kovos su korupcija institucijų, taip pat veiksmingos demokratinės priežiūros, kurioje dalyvautų pilietinė visuomenė ir socialiniai partneriai;</w:t>
      </w:r>
    </w:p>
    <w:p w:rsidR="002B7104" w:rsidRPr="004F1A99" w:rsidP="002B7104" w14:paraId="02E20B04" w14:textId="77777777">
      <w:pPr>
        <w:pStyle w:val="NormalHanging"/>
      </w:pPr>
      <w:r w:rsidRPr="004F1A99">
        <w:t>S.</w:t>
      </w:r>
      <w:r w:rsidRPr="004F1A99">
        <w:tab/>
        <w:t>kadangi tarptautiniai ekspertai, dirbantys teisėjų atrankos komisijose, padėjo didinti visuomenės pasitikėjimą teismų sistema stiprindami teismų nepriklausomumą; kadangi 2025 m. birželio 1 d. baigėsi tarptautinių ekspertų dalyvavimas Ukrainos aukščiausiosios teisėjų kvalifikacinės komisijos atrankoje;</w:t>
      </w:r>
    </w:p>
    <w:p w:rsidR="002B7104" w:rsidRPr="004F1A99" w:rsidP="002B7104" w14:paraId="34CD5BAA" w14:textId="77777777">
      <w:pPr>
        <w:pStyle w:val="NormalHanging"/>
      </w:pPr>
      <w:r w:rsidRPr="004F1A99">
        <w:t>T.</w:t>
      </w:r>
      <w:r w:rsidRPr="004F1A99">
        <w:tab/>
        <w:t>kadangi Ukrainos demokratinės institucijos pademonstravo gebėjimą prisitaikyti, parodydamos, kad net vykstant Rusijos agresijos karui ir esant karo padėčiai jos toliau dirba piliečių interesų labui ir įgyvendina su stojimu į ES susijusias reformas; kadangi Parlamentas palankiai vertina požymius, kad pasirengimas rinkimams gali prasidėti, kai bus pasibaigusi karo padėtis, o saugumo padėtis bus tokia, kad bus galima surengti tarptautinius standartus atitinkančius rinkimus; kadangi Ukraina turėtų toliau dėti pastangų apsaugoti savo demokratiją, užtikrinti skaidrumą ir galių pusiausvyrą;</w:t>
      </w:r>
    </w:p>
    <w:p w:rsidR="002B7104" w:rsidRPr="004F1A99" w:rsidP="002B7104" w14:paraId="45425FFA" w14:textId="77777777">
      <w:pPr>
        <w:pStyle w:val="NormalHanging"/>
      </w:pPr>
      <w:r w:rsidRPr="004F1A99">
        <w:t>U.</w:t>
      </w:r>
      <w:r w:rsidRPr="004F1A99">
        <w:tab/>
        <w:t>kadangi pilietinė visuomenė tebėra atsparumo ir demokratijos ramstis Ukrainoje, tačiau atvejai, kai aktyvistams ir profesinėms sąjungoms daromas spaudimas, kelia susirūpinimą ir reikalauja vyriausybės veiksmų;</w:t>
      </w:r>
    </w:p>
    <w:p w:rsidR="002B7104" w:rsidRPr="004F1A99" w:rsidP="002B7104" w14:paraId="1E68D4C9" w14:textId="77777777">
      <w:pPr>
        <w:pStyle w:val="NormalHanging"/>
        <w:rPr>
          <w:bCs/>
          <w:iCs/>
        </w:rPr>
      </w:pPr>
      <w:r w:rsidRPr="004F1A99">
        <w:t>V.</w:t>
      </w:r>
      <w:r w:rsidRPr="004F1A99">
        <w:tab/>
        <w:t>kadangi visa Ukrainos visuomenė ir institucijos plačiai remia integraciją į ES, kuri tebėra pagrindinis Ukrainos demokratinį vystymąsi skatinantis veiksnys; kadangi Ukrainos narystė ES sustiprins ir pačią Sąjungą, nes prisidės prie jos geopolitinio atsparumo, padidins jos ekonominį potencialą ir sustiprins jos įsipareigojimą puoselėti bendras demokratijos, teisinės valstybės ir laisvės vertybes;</w:t>
      </w:r>
    </w:p>
    <w:p w:rsidR="002B7104" w:rsidP="002B7104" w14:paraId="36B7EA21" w14:textId="77777777">
      <w:pPr>
        <w:pStyle w:val="NormalHanging"/>
      </w:pPr>
      <w:r w:rsidRPr="004F1A99">
        <w:t>W.</w:t>
      </w:r>
      <w:r w:rsidRPr="004F1A99">
        <w:tab/>
        <w:t>kadangi naujausioje „</w:t>
      </w:r>
      <w:r w:rsidRPr="004F1A99">
        <w:t>Eurobarometro</w:t>
      </w:r>
      <w:r w:rsidRPr="004F1A99">
        <w:t>“ ataskaitoje dėl plėtros nurodoma, kad 56 proc. ES piliečių pritaria tolesnei Europos Sąjungos plėtrai, o Ukraina yra didžiausią palankumą turinti šalis kandidatė įstoti, kai tik bus įvykdyti visi narystės ES kriterijai;</w:t>
      </w:r>
    </w:p>
    <w:p w:rsidR="00715155" w:rsidRPr="00C77F6D" w:rsidP="002B7104" w14:paraId="50FADC7F" w14:textId="789AA228">
      <w:pPr>
        <w:pStyle w:val="NormalHanging"/>
        <w:rPr>
          <w:bCs/>
          <w:iCs/>
        </w:rPr>
      </w:pPr>
      <w:r>
        <w:rPr>
          <w:bCs/>
          <w:iCs/>
        </w:rPr>
        <w:t>X</w:t>
      </w:r>
      <w:r w:rsidRPr="00E51003">
        <w:rPr>
          <w:bCs/>
          <w:iCs/>
        </w:rPr>
        <w:t>.</w:t>
      </w:r>
      <w:r w:rsidRPr="00715155">
        <w:rPr>
          <w:bCs/>
          <w:iCs/>
        </w:rPr>
        <w:tab/>
      </w:r>
      <w:r w:rsidRPr="00C77F6D">
        <w:rPr>
          <w:bCs/>
          <w:iCs/>
        </w:rPr>
        <w:t xml:space="preserve">kadangi 2025 m. gruodžio 11 d. Komisijos narės Martos </w:t>
      </w:r>
      <w:r w:rsidRPr="00C77F6D">
        <w:rPr>
          <w:bCs/>
          <w:iCs/>
        </w:rPr>
        <w:t>Kos</w:t>
      </w:r>
      <w:r w:rsidRPr="00C77F6D">
        <w:rPr>
          <w:bCs/>
          <w:iCs/>
        </w:rPr>
        <w:t xml:space="preserve"> ir Ukrainos ministro pirmininko pavaduotojo </w:t>
      </w:r>
      <w:r w:rsidRPr="00C77F6D">
        <w:rPr>
          <w:bCs/>
          <w:iCs/>
        </w:rPr>
        <w:t>Taraso</w:t>
      </w:r>
      <w:r w:rsidRPr="00C77F6D">
        <w:rPr>
          <w:bCs/>
          <w:iCs/>
        </w:rPr>
        <w:t xml:space="preserve"> </w:t>
      </w:r>
      <w:r w:rsidRPr="00C77F6D">
        <w:rPr>
          <w:bCs/>
          <w:iCs/>
        </w:rPr>
        <w:t>Kachkos</w:t>
      </w:r>
      <w:r w:rsidRPr="00C77F6D">
        <w:rPr>
          <w:bCs/>
          <w:iCs/>
        </w:rPr>
        <w:t xml:space="preserve"> pasirašytas bendras pareiškimas (žinomas kaip </w:t>
      </w:r>
      <w:r w:rsidRPr="00C77F6D">
        <w:rPr>
          <w:bCs/>
          <w:iCs/>
        </w:rPr>
        <w:t>Kos</w:t>
      </w:r>
      <w:r w:rsidRPr="00C77F6D">
        <w:rPr>
          <w:bCs/>
          <w:iCs/>
        </w:rPr>
        <w:t xml:space="preserve"> ir </w:t>
      </w:r>
      <w:r w:rsidRPr="00C77F6D">
        <w:rPr>
          <w:bCs/>
          <w:iCs/>
        </w:rPr>
        <w:t>Kachkos</w:t>
      </w:r>
      <w:r w:rsidRPr="00C77F6D">
        <w:rPr>
          <w:bCs/>
          <w:iCs/>
        </w:rPr>
        <w:t xml:space="preserve"> planas) yra 10 punktų reformų prioritetų planas, kuris turi būti įgyvendintas iki 2026 m. pabaigos; kadangi šios reformos yra susijusios su teisinės valstybės, teisminių procedūrų ir Ukrainos kovos su korupcija institucijų nepriklausomumo stiprinimu; kadangi visapusiškas ir nedviprasmiškas šių veiksmų įgyvendinimas bus svarbus apčiuopiamas Ukrainos įsipareigojimo įrodymas; kadangi </w:t>
      </w:r>
      <w:r w:rsidRPr="00C77F6D">
        <w:rPr>
          <w:bCs/>
          <w:iCs/>
        </w:rPr>
        <w:t>atitinkami moksliniai institutai mano, kad iki 2026 m. vidurio buvo įgyvendinta apie 15 proc. plano;</w:t>
      </w:r>
    </w:p>
    <w:p w:rsidR="002B7104" w:rsidRPr="004F1A99" w:rsidP="002B7104" w14:paraId="489DB5ED" w14:textId="5F4BD343">
      <w:pPr>
        <w:pStyle w:val="NormalHanging"/>
        <w:rPr>
          <w:bCs/>
          <w:iCs/>
        </w:rPr>
      </w:pPr>
      <w:r>
        <w:t>Y</w:t>
      </w:r>
      <w:r w:rsidRPr="004F1A99">
        <w:t>.</w:t>
      </w:r>
      <w:r w:rsidRPr="004F1A99">
        <w:tab/>
        <w:t xml:space="preserve">kadangi Rusija toliau deda ir intensyvina pastangas, kuriomis pateisina savo agresiją prieš Ukrainą tyčia klastodama istoriją ir manipuliuodama istoriniais naratyvais, strategiškai naudodama religinius, kultūrinius ir vertybėmis grindžiamus naratyvus, kuriais siekiama iškreipti viešąjį diskursą, paneigti ir </w:t>
      </w:r>
      <w:r w:rsidRPr="004F1A99">
        <w:t>delegitimizuoti</w:t>
      </w:r>
      <w:r w:rsidRPr="004F1A99">
        <w:t xml:space="preserve"> Ukrainos nacionalinę tapatybę, valstybingumą ir suverenitetą ir užkirsti kelią Ukrainos stojimui į Europos Sąjungą; kadangi tokie veiksmai atitinka 2014 m. gruodžio 25 d. patvirtintą Rusijos karinę doktriną ir vėlesnius strateginius dokumentus, įskaitant 2015 m. gruodžio 31 d. prezidento Vladimiro Putino patvirtintą Rusijos Federacijos nacionalinę saugumo strategiją, kurioje pabrėžiama vadinamųjų tradicinių Rusijos dvasinių ir moralinių vertybių apsauga nuo įsivaizduojamos Vakarų įtakos; kadangi šis požiūris buvo dar labiau sustiprintas 2021 m. Nacionalinėje saugumo strategijoje, kurioje „tradicinių vertybių“ apsauga, sąvokos „Rusijos pasaulis“ („</w:t>
      </w:r>
      <w:r w:rsidRPr="004F1A99">
        <w:t>Russkiy</w:t>
      </w:r>
      <w:r w:rsidRPr="004F1A99">
        <w:t xml:space="preserve"> </w:t>
      </w:r>
      <w:r w:rsidRPr="004F1A99">
        <w:t>Mir</w:t>
      </w:r>
      <w:r w:rsidRPr="004F1A99">
        <w:t>“) propagavimas ir vadinamųjų tėvynainių užsienyje apsauga tapo pagrindiniais nacionalinio saugumo prioritetais, o tai rodo, kad kultūriniai, religiniai ir civilizaciniai naratyvai nuolat ir sistemingai naudojami kaip geopolitinės įtakos priemonių ir agresijos prieš Ukrainą pateisinimas;</w:t>
      </w:r>
    </w:p>
    <w:p w:rsidR="002B7104" w:rsidRPr="004F1A99" w:rsidP="002B7104" w14:paraId="655918F1" w14:textId="7AF49F8E">
      <w:pPr>
        <w:pStyle w:val="NormalHanging"/>
        <w:rPr>
          <w:bCs/>
          <w:iCs/>
        </w:rPr>
      </w:pPr>
      <w:r>
        <w:t>Z</w:t>
      </w:r>
      <w:r w:rsidRPr="004F1A99">
        <w:t>.</w:t>
      </w:r>
      <w:r w:rsidRPr="004F1A99">
        <w:tab/>
        <w:t>kadangi, remiantis Ukrainos socialinės politikos ministerijos duomenimis, daugiau kaip 3 mln. ukrainiečių turi pripažintą vieną ar daugiau negalių, ir manoma, kad šis skaičius kas mėnesį didės 17 000, daugiausia dėl vykstančio karo;</w:t>
      </w:r>
    </w:p>
    <w:p w:rsidR="002B7104" w:rsidRPr="004F1A99" w:rsidP="002B7104" w14:paraId="261EB935" w14:textId="159A1236">
      <w:pPr>
        <w:pStyle w:val="NormalHanging"/>
        <w:rPr>
          <w:bCs/>
          <w:iCs/>
        </w:rPr>
      </w:pPr>
      <w:r>
        <w:t>AA</w:t>
      </w:r>
      <w:r w:rsidRPr="004F1A99">
        <w:t>.</w:t>
      </w:r>
      <w:r w:rsidRPr="004F1A99">
        <w:tab/>
        <w:t xml:space="preserve">kadangi Rusijos sukelta žala aplinkai turėjo pražūtingų pasekmių Ukrainos gamtos ištekliams, ypatingos svarbos ekosistemoms ir žmonių sveikatai, pragyvenimo šaltiniams ir saugumui; kadangi žaliasis ekonomikos gaivinimas reiškia šios žalos ištaisymą ir naują Ukrainos kryptį siekiant aplinkos ir socialinio tvarumo, suderinto su ES </w:t>
      </w:r>
      <w:r w:rsidRPr="004F1A99">
        <w:rPr>
          <w:i/>
        </w:rPr>
        <w:t>acquis</w:t>
      </w:r>
      <w:r w:rsidRPr="004F1A99">
        <w:t xml:space="preserve"> aplinkos teisės aktais;</w:t>
      </w:r>
    </w:p>
    <w:p w:rsidR="002B7104" w:rsidRPr="004F1A99" w:rsidP="002B7104" w14:paraId="03B3F010" w14:textId="52B94C67">
      <w:pPr>
        <w:pStyle w:val="NormalHanging"/>
        <w:rPr>
          <w:bCs/>
          <w:iCs/>
        </w:rPr>
      </w:pPr>
      <w:r>
        <w:t>AB</w:t>
      </w:r>
      <w:r w:rsidRPr="004F1A99">
        <w:t>.</w:t>
      </w:r>
      <w:r w:rsidRPr="004F1A99">
        <w:tab/>
        <w:t xml:space="preserve">kadangi 2024 m. </w:t>
      </w:r>
      <w:r w:rsidRPr="004F1A99">
        <w:t>Kyjivo</w:t>
      </w:r>
      <w:r w:rsidRPr="004F1A99">
        <w:t xml:space="preserve"> tarptautinio sociologijos instituto atlikta apklausa patvirtino, kad Ukrainos visuomenės požiūris į LGBTIQ+ asmenis išliko iš esmės neutralus arba teigiamas, o daugiau kaip 70 proc. apklaustų ukrainiečių pasisako už tai, kad LGBTIQ+ asmenis turėtų lygias teises;</w:t>
      </w:r>
    </w:p>
    <w:p w:rsidR="002B7104" w:rsidP="002B7104" w14:paraId="290D4611" w14:textId="29B4DA65">
      <w:pPr>
        <w:pStyle w:val="NormalHanging"/>
      </w:pPr>
      <w:r>
        <w:t>AC</w:t>
      </w:r>
      <w:r w:rsidRPr="004F1A99">
        <w:t>.</w:t>
      </w:r>
      <w:r w:rsidRPr="004F1A99">
        <w:tab/>
        <w:t>kadangi Rusijos agresijos karas prieš Ukrainą sukėlė didžiules žmonių kančias ir destrukciją, o sunaikintų žmonių mastas toks, jog būtina siekti teisingos, tvarios ir ilgalaikės taikos;</w:t>
      </w:r>
    </w:p>
    <w:p w:rsidR="00715155" w:rsidRPr="00B04E02" w:rsidP="002B7104" w14:paraId="26F3C543" w14:textId="1A2B1967">
      <w:pPr>
        <w:pStyle w:val="NormalHanging"/>
        <w:rPr>
          <w:bCs/>
          <w:iCs/>
        </w:rPr>
      </w:pPr>
      <w:r>
        <w:rPr>
          <w:bCs/>
          <w:iCs/>
        </w:rPr>
        <w:t>AD</w:t>
      </w:r>
      <w:r w:rsidRPr="00E51003">
        <w:rPr>
          <w:bCs/>
          <w:iCs/>
        </w:rPr>
        <w:t>.</w:t>
      </w:r>
      <w:r w:rsidRPr="00B04E02">
        <w:rPr>
          <w:bCs/>
          <w:iCs/>
        </w:rPr>
        <w:tab/>
        <w:t xml:space="preserve">kadangi naujasis viešųjų pirkimų įstatymas, kurį Ukrainos Aukščiausioji </w:t>
      </w:r>
      <w:r w:rsidRPr="00B04E02">
        <w:rPr>
          <w:bCs/>
          <w:iCs/>
        </w:rPr>
        <w:t>Rada</w:t>
      </w:r>
      <w:r w:rsidRPr="00B04E02">
        <w:rPr>
          <w:bCs/>
          <w:iCs/>
        </w:rPr>
        <w:t xml:space="preserve"> priėmė 2026 m. gegužės 27 d. ir kuris įsigaliojo 2026 m. birželio 24 d., plačiai laikomas tikra reforma, suderinta su ES teisės aktais, kuria nustatomi didelių konkursų skaidrumo ir kovos su korupcija apsaugos priemonės; kadangi priėmus šį teisės aktą Pasaulio bankas Ukrainai suteikė 3,4 mlrd. JAV dolerių tiesioginę paramą biudžetui;</w:t>
      </w:r>
    </w:p>
    <w:p w:rsidR="00715155" w:rsidRPr="00B04E02" w:rsidP="002B7104" w14:paraId="2DC201A7" w14:textId="28FDD87D">
      <w:pPr>
        <w:pStyle w:val="NormalHanging"/>
        <w:rPr>
          <w:bCs/>
          <w:iCs/>
        </w:rPr>
      </w:pPr>
      <w:r w:rsidRPr="00B04E02">
        <w:rPr>
          <w:bCs/>
          <w:iCs/>
        </w:rPr>
        <w:t>AE</w:t>
      </w:r>
      <w:r w:rsidRPr="00E51003">
        <w:rPr>
          <w:bCs/>
          <w:iCs/>
        </w:rPr>
        <w:t>.</w:t>
      </w:r>
      <w:r w:rsidRPr="00B04E02">
        <w:rPr>
          <w:bCs/>
          <w:iCs/>
        </w:rPr>
        <w:tab/>
        <w:t>kadangi 2026 m. birželio 15 d. ES pradėjo stojimo derybas su Ukraina ir Moldova dėl pirmosios derybų skyrių grupės „Pagrindai“, kurią sudaro: 23 skyrius. Teismai ir pagrindinės teisės, 24 skyrius. Teisingumas, laisvė ir saugumas, 5 skyrius. Viešieji pirkimai, 18 skyrius. Statistika ir 32 skyrius. Finansų kontrolė; kadangi derybos dėl derybų skyriaus grupės „Pagrindai“ yra pirmosios, kurios turi būti pradėtos, ir paskutinės, kurios turi būti užbaigtos stojimo procese, o pažanga šioje grupėje lems bendrą derybų tempą;</w:t>
      </w:r>
    </w:p>
    <w:p w:rsidR="00715155" w:rsidRPr="00B04E02" w:rsidP="002B7104" w14:paraId="52DB8FB4" w14:textId="6520DCAC">
      <w:pPr>
        <w:pStyle w:val="NormalHanging"/>
        <w:rPr>
          <w:bCs/>
          <w:iCs/>
        </w:rPr>
      </w:pPr>
      <w:r w:rsidRPr="00B04E02">
        <w:rPr>
          <w:bCs/>
          <w:iCs/>
        </w:rPr>
        <w:t>AF</w:t>
      </w:r>
      <w:r w:rsidRPr="00E51003">
        <w:rPr>
          <w:bCs/>
          <w:iCs/>
        </w:rPr>
        <w:t>.</w:t>
      </w:r>
      <w:r w:rsidRPr="00B04E02">
        <w:rPr>
          <w:bCs/>
          <w:iCs/>
        </w:rPr>
        <w:tab/>
        <w:t>kadangi įvairios valstybės narės išplatino neoficialius dokumentus dėl Ukrainos stojimo į ES dinamikos ir variantus, kaip sustiprinti būsimas stojimo į ES sutartis;</w:t>
      </w:r>
    </w:p>
    <w:p w:rsidR="00715155" w:rsidRPr="00B04E02" w:rsidP="002B7104" w14:paraId="36DEA34A" w14:textId="06166468">
      <w:pPr>
        <w:pStyle w:val="NormalHanging"/>
        <w:rPr>
          <w:bCs/>
          <w:iCs/>
        </w:rPr>
      </w:pPr>
      <w:r w:rsidRPr="00B04E02">
        <w:rPr>
          <w:bCs/>
          <w:iCs/>
        </w:rPr>
        <w:t>AG</w:t>
      </w:r>
      <w:r w:rsidRPr="00E51003">
        <w:rPr>
          <w:bCs/>
          <w:iCs/>
        </w:rPr>
        <w:t>.</w:t>
      </w:r>
      <w:r w:rsidRPr="00B04E02">
        <w:rPr>
          <w:bCs/>
          <w:iCs/>
        </w:rPr>
        <w:tab/>
        <w:t xml:space="preserve">kadangi Europos išorės veiksmų tarnybos ir Ukrainos kovos su dezinformacija centro bendroje analizėje nustatytos Rusijos vykdomos manipuliavimo užsienio informacija ir kišimosi (FIMI) strategijos ir operacijos, kuriomis siekiama pakenkti visuomenės paramai Ukrainos stojimo į ES procesui ir ją sumažinti tiek Ukrainoje, tiek ES; </w:t>
      </w:r>
    </w:p>
    <w:p w:rsidR="002B7104" w:rsidRPr="004F1A99" w:rsidP="002B7104" w14:paraId="7D45D31D" w14:textId="77777777">
      <w:pPr>
        <w:pStyle w:val="NormalHanging"/>
        <w:rPr>
          <w:b/>
          <w:i/>
          <w:iCs/>
        </w:rPr>
      </w:pPr>
      <w:r w:rsidRPr="004F1A99">
        <w:rPr>
          <w:b/>
          <w:i/>
        </w:rPr>
        <w:t>I. Dabartinė padėtis, susijusi su Rusijos agresijos karu ir ES sankcijomis</w:t>
      </w:r>
    </w:p>
    <w:p w:rsidR="002B7104" w:rsidRPr="004F1A99" w:rsidP="002B7104" w14:paraId="7AC0F0AC" w14:textId="77777777">
      <w:pPr>
        <w:pStyle w:val="NormalHanging12a"/>
      </w:pPr>
      <w:r w:rsidRPr="004F1A99">
        <w:t>1.</w:t>
      </w:r>
      <w:r w:rsidRPr="004F1A99">
        <w:tab/>
        <w:t>kuo griežčiausiai smerkia tebesitęsiantį Rusijos agresijos karą prieš Ukrainą ir dar kartą išreiškia savo tvirtą solidarumą su Ukrainos žmonėmis ir paramą šalies nepriklausomybei, suverenitetui ir teritoriniam vientisumui pagal tarptautiniu mastu pripažintas jos sienas; dar kartą patvirtina, kad laikosi Rusijos neteisėtai ir laikinai okupuotų Ukrainos teritorijų, įskaitant Krymą, nepripažinimo politikos;</w:t>
      </w:r>
    </w:p>
    <w:p w:rsidR="002B7104" w:rsidRPr="004F1A99" w:rsidP="002B7104" w14:paraId="56DE017A" w14:textId="77777777">
      <w:pPr>
        <w:pStyle w:val="NormalHanging12a"/>
      </w:pPr>
      <w:r w:rsidRPr="004F1A99">
        <w:t>2.</w:t>
      </w:r>
      <w:r w:rsidRPr="004F1A99">
        <w:tab/>
        <w:t>reikalauja, kad Rusijos Federacija nedelsdama ir besąlygiškai nutrauktų visą karinę veiklą Ukrainoje ir prieš Ukrainą ir išvestų visas savo pajėgas ir atitrauktų karinę įrangą iš visos Ukrainos teritorijos, atsižvelgiant į tarptautiniu mastu pripažintas jos sienas, įskaitant jos teritorinę jūrą; pabrėžia, kad drąsūs Ukrainos žmonės sumokėjo didžiausią kainą, kad apgintų Ukrainą, o plačiąja prasme ir Europos saugumą;</w:t>
      </w:r>
    </w:p>
    <w:p w:rsidR="002B7104" w:rsidRPr="004F1A99" w:rsidP="002B7104" w14:paraId="1DEB7D10" w14:textId="77777777">
      <w:pPr>
        <w:pStyle w:val="NormalHanging12a"/>
      </w:pPr>
      <w:r w:rsidRPr="004F1A99">
        <w:t>3.</w:t>
      </w:r>
      <w:r w:rsidRPr="004F1A99">
        <w:tab/>
        <w:t>reiškia giliausią užuojautą ir visapusišką solidarumą su visais nuo Rusijos Federacijos agresijos karo prieš Ukrainą nukentėjusiais asmenimis, įskaitant ginkluotųjų pajėgų narius, veteranus, žuvusių ar sužeistų asmenų šeimas, šalies viduje perkeltus asmenis, pabėgėlius ir visus civilius, patiriančius sunkius humanitarinius, sveikatos, psichologinius, socialinius ir ekonominius karo padarinius;</w:t>
      </w:r>
    </w:p>
    <w:p w:rsidR="002B7104" w:rsidRPr="004F1A99" w:rsidP="002B7104" w14:paraId="6E299D2F" w14:textId="77777777">
      <w:pPr>
        <w:pStyle w:val="NormalHanging12a"/>
      </w:pPr>
      <w:r w:rsidRPr="004F1A99">
        <w:t>4.</w:t>
      </w:r>
      <w:r w:rsidRPr="004F1A99">
        <w:tab/>
        <w:t>smerkia plačiai paplitusius ir sistemingus Rusijos Federacijos išpuolius prieš Ukrainos civilius gyventojus, visų pirma išpuolius prieš ypatingos svarbos energetikos ir vandens infrastruktūrą, kurie yra akivaizdūs tarptautinės humanitarinės teisės pažeidimai;</w:t>
      </w:r>
    </w:p>
    <w:p w:rsidR="002B7104" w:rsidRPr="004F1A99" w:rsidP="002B7104" w14:paraId="4D801420" w14:textId="77777777">
      <w:pPr>
        <w:pStyle w:val="NormalHanging12a"/>
      </w:pPr>
      <w:r w:rsidRPr="004F1A99">
        <w:t>5.</w:t>
      </w:r>
      <w:r w:rsidRPr="004F1A99">
        <w:tab/>
        <w:t xml:space="preserve">griežtai smerkia šiurkščius pažeidimus prieš Ukrainos vaikus, įskaitant žmogžudystes, netinkamą elgesį, priverstinį perkėlimą ir deportacijas, taip pat neteisėtą įvaikinimą, jų asmens duomenų keitimą ir ryšių su jų šeimomis apribojimą; taip pat smerkia jų priverstinį rusinimą ir jiems daromą karinio-patriotinio mokymo, karo propagandos ir militarizavimo poveikį; ragina nedelsiant, saugiai ir besąlygiškai grąžinti pagrobtus vaikus ir ragina ES teikti pirmenybę vaikų psichikos sveikatai kaip specialiam jos teikiamos paramos atsigavimui komponentui; ragina Komisiją ir valstybes nares stiprinti paramą Ukrainos valdžios institucijoms, taip pat tarptautinėms ir nevyriausybinėms organizacijoms dokumentuojant šiuos nusikaltimus ir identifikuojant, repatrijuojant, </w:t>
      </w:r>
      <w:r w:rsidRPr="004F1A99">
        <w:t>reintegruojant</w:t>
      </w:r>
      <w:r w:rsidRPr="004F1A99">
        <w:t>, reabilituojant ir remiant nukentėjusius vaikus; palankiai vertina didėjantį angažavimąsi Tarptautinėje Ukrainos vaikų grąžinimo koalicijoje, kuri yra pagrindinė koordinuotų tarptautinių veiksmų, kuriais siekiama grąžinti neteisėtai deportuotus ir priverstinai perkeltus Ukrainos vaikus, platforma;</w:t>
      </w:r>
    </w:p>
    <w:p w:rsidR="002B7104" w:rsidRPr="004F1A99" w:rsidP="002B7104" w14:paraId="4590F9CC" w14:textId="77777777">
      <w:pPr>
        <w:pStyle w:val="NormalHanging12a"/>
      </w:pPr>
      <w:r w:rsidRPr="004F1A99">
        <w:t>6.</w:t>
      </w:r>
      <w:r w:rsidRPr="004F1A99">
        <w:tab/>
        <w:t xml:space="preserve">apgailestauja dėl drastiško žmogaus teisių padėties pablogėjimo Rusijos okupuotose teritorijose, pvz., savavališko sulaikymo ir dingimo, kankinimo, priverstinio pasų išdavimo ir Ukrainos piliečių mobilizavimo laikinai okupuotose teritorijose, karo belaisvių egzekucijų ir neteisėto deportavimo; dar kartą tvirtai patvirtina neatimamą visų dėl Rusijos agresijos priverstinai perkeltų ukrainiečių teisę saugiai, savanoriškai ir </w:t>
      </w:r>
      <w:r w:rsidRPr="004F1A99">
        <w:t>be išankstinių sąlygų grįžti į savo namus po visiško okupacijos panaikinimo ir Ukrainos teritorinio vientisumo atkūrimo;</w:t>
      </w:r>
    </w:p>
    <w:p w:rsidR="002B7104" w:rsidRPr="004F1A99" w:rsidP="002B7104" w14:paraId="65CBEFB5" w14:textId="77777777">
      <w:pPr>
        <w:pStyle w:val="NormalHanging12a"/>
      </w:pPr>
      <w:r w:rsidRPr="004F1A99">
        <w:t>7.</w:t>
      </w:r>
      <w:r w:rsidRPr="004F1A99">
        <w:tab/>
        <w:t>griežtai smerkia Rusijos Federacijos neteisėtą okupacinės administracijos įvedimą į laikinai okupuotas Ukrainos teritorijas, taip pat jos sistemingą, neteisėtą valstybinės ir privačios nuosavybės pasisavinimą, Ukrainos kultūros vertybių ir paveldo grobstymą ir neteisėtą pašalinimą, ekonominės veiklos naikinimą ir šių teritorijų išnaudojimą savo politiniams ir ekonominiams interesams;</w:t>
      </w:r>
    </w:p>
    <w:p w:rsidR="002B7104" w:rsidRPr="004F1A99" w:rsidP="002B7104" w14:paraId="5BB7E278" w14:textId="77777777">
      <w:pPr>
        <w:pStyle w:val="NormalHanging12a"/>
      </w:pPr>
      <w:r w:rsidRPr="004F1A99">
        <w:t>8.</w:t>
      </w:r>
      <w:r w:rsidRPr="004F1A99">
        <w:tab/>
        <w:t>griežtai smerkia tai, kad Rusijos Federacija verbuoja užsienio piliečius, be kita ko, iš trečiųjų šalių, dalyvauti jos agresijos kare prieš Ukrainą, dažnai taikydama apgaulingą praktiką ir išnaudodama pažeidžiamas socialines ir ekonomines sąlygas; pabrėžia, kad tokia praktika prilygsta prekybai žmonėmis ir sunkiems žmogaus teisių pažeidimams; ragina ES ir jos valstybes nares kartu su tarptautiniais partneriais kovoti su šia praktika, be kita ko, taikant sankcijas, didinant informuotumą ir teikiant paramą aukoms, ir primygtinai ragina trečiąsias šalis užkirsti kelią tokiam verbavimui;</w:t>
      </w:r>
    </w:p>
    <w:p w:rsidR="002B7104" w:rsidRPr="004F1A99" w:rsidP="002B7104" w14:paraId="38780F21" w14:textId="77777777">
      <w:pPr>
        <w:pStyle w:val="NormalHanging12a"/>
      </w:pPr>
      <w:r w:rsidRPr="004F1A99">
        <w:t>9.</w:t>
      </w:r>
      <w:r w:rsidRPr="004F1A99">
        <w:tab/>
        <w:t>smerkia nežmonišką Rusijos Federacijos elgesį su Ukrainos karo belaisviais, įskaitant kankinimą ir egzekucijas, pažeidžiant tarptautinę humanitarinę teisę, ir ragina nedelsiant ir besąlygiškai juos paleisti į laisvę; ragina ES, jos valstybes nares ir tarptautinę bendruomenę dėti daugiau pastangų, be kita ko, pasitelkiant diplomatines ir teisines priemones, siekiant užtikrinti, kad būtų laikomasi tarptautinės teisės, ir sudaryti palankesnes sąlygas tolesniems kalinių mainams; ragina Tarptautinį Raudonojo Kryžiaus komitetą visapusiškai vykdyti savo įgaliojimus pagal tarptautinę humanitarinę teisę, užtikrinant nekliudomą ir reguliarų patekimą į visas vietas, kuriose laikomi Ukrainos karo belaisviai ir civiliai gyventojai, įskaitant sulaikytuosius; pažymi, kad Ukraina karo belaisvių atžvilgiu toliau laikosi savo įsipareigojimų pagal tarptautinę teisę;</w:t>
      </w:r>
    </w:p>
    <w:p w:rsidR="002B7104" w:rsidRPr="004F1A99" w:rsidP="002B7104" w14:paraId="70E9304A" w14:textId="77777777">
      <w:pPr>
        <w:pStyle w:val="NormalHanging12a"/>
      </w:pPr>
      <w:r w:rsidRPr="004F1A99">
        <w:t>10.</w:t>
      </w:r>
      <w:r w:rsidRPr="004F1A99">
        <w:tab/>
        <w:t>ragina Komisiją ir valstybes nares gerokai padidinti su sveikata susijusią pagalbą ir užtikrinti, kad reabilitacijos poreikiai būtų visapusiškai atspindėti ES paramos sistemose; primygtinai ragina Komisiją ir valstybes nares išlaikyti ir prireikus didinti paramą Ukrainos pabėgėliams, kuriuos šiuo metu yra priėmusios valstybės narės, taip pat Ukrainos viduje perkeltiems asmenims;</w:t>
      </w:r>
    </w:p>
    <w:p w:rsidR="002B7104" w:rsidRPr="004F1A99" w:rsidP="002B7104" w14:paraId="3CEE75C7" w14:textId="144AEB41">
      <w:pPr>
        <w:pStyle w:val="NormalHanging12a"/>
      </w:pPr>
      <w:r w:rsidRPr="004F1A99">
        <w:t>11.</w:t>
      </w:r>
      <w:r w:rsidRPr="004F1A99">
        <w:tab/>
      </w:r>
      <w:r w:rsidRPr="00403AE1" w:rsidR="00B06ABD">
        <w:t xml:space="preserve">ragina ES ir jos valstybes nares kovoti su Rusijos dezinformacija apie </w:t>
      </w:r>
      <w:r w:rsidRPr="00E51003" w:rsidR="00B06ABD">
        <w:rPr>
          <w:bCs/>
          <w:iCs/>
        </w:rPr>
        <w:t>jos agresijos karą bei Ukrainos stojimo į ES procesą</w:t>
      </w:r>
      <w:r w:rsidRPr="00403AE1" w:rsidR="00B06ABD">
        <w:t xml:space="preserve"> ir tuo tikslu visapusiškai apriboti veiklą, susijusią su Rusijos valstybės kontroliuojamomis žiniasklaidos organizacijomis ir jų rėmėjais visose ES valstybėse narėse, išplėsti atitinkamus asmenims taikomų sankcijų sąrašus, užtikrinti asmenų, prisidėjusių prie valstybės valdomos propagandos, teisinę atskaitomybę, stiprinti skaitmeninį raštingumą, propaguoti faktais pagrįstos informacijos sklaidą, ypatingą dėmesį skiriant šalims, į kurias konkrečiai nukreipta Rusijos propaganda už Europos ribų, ir reikalauti socialinės žiniasklaidos platformų atsakomybės už žalingo turinio sklaidą, griežtai užtikrinant Skaitmeninių paslaugų akto vykdymą</w:t>
      </w:r>
      <w:r>
        <w:rPr>
          <w:rStyle w:val="FootnoteReference"/>
        </w:rPr>
        <w:footnoteReference w:id="6"/>
      </w:r>
      <w:r w:rsidRPr="004F1A99">
        <w:t>;</w:t>
      </w:r>
    </w:p>
    <w:p w:rsidR="002B7104" w:rsidRPr="004F1A99" w:rsidP="002B7104" w14:paraId="2329268A" w14:textId="77777777">
      <w:pPr>
        <w:pStyle w:val="NormalHanging12a"/>
      </w:pPr>
      <w:r w:rsidRPr="004F1A99">
        <w:t>12.</w:t>
      </w:r>
      <w:r w:rsidRPr="004F1A99">
        <w:tab/>
        <w:t xml:space="preserve">tvirtai pabrėžia Ukrainos prigimtinę teisę į savigyną pagal JT Chartijos 51 straipsnį, įskaitant Ukrainos teisę, jai dalyvaujant gynybinėje kovoje, smogti teisėtiems taikiniams </w:t>
      </w:r>
      <w:r w:rsidRPr="004F1A99">
        <w:t>agresorės Rusijos teritorijoje; su dideliu susirūpinimu atkreipia dėmesį į tai, kad 2025 m. JAV karinė pagalba sumažėjo 99 proc.; todėl palankiai vertina NATO prioritetinio Ukrainos reikalavimų sąrašo iniciatyvą, taip pat NATO saugumo paramos ir mokymų Ukrainai misiją; palankiai vertina ES ir jos valstybių narių lyderystę teikiant pagrindinę finansinę ir karinę paramą Ukrainai, be kita ko, įgyvendinant ES karinės pagalbos misijos Ukrainai remti mokymo iniciatyvas ir finansuojant bei teikiant karinę paramą, pvz., oro gynybos sistemas ir tikslių smūgių giliame priešo užnugaryje pajėgumus; ragina ES ir jos valstybes nares padidinti paramą, kad būtų užtikrinta Ukrainos teisė gintis; pabrėžia, kad pakankama ir nuspėjama karinė pagalba, įskaitant galimybę gauti finansavimą ginklų gamybai, paramą tokiai gamybai už Ukrainos ribų ir EGTPB bei Ukrainos gynybos pramonės bendradarbiavimą, yra labai svarbi veiksmingam Ukrainos pasipriešinimui Rusijos agresijai, visų pirma atsižvelgiant į drastišką JAV karinės pagalbos sumažėjimą;</w:t>
      </w:r>
    </w:p>
    <w:p w:rsidR="002B7104" w:rsidRPr="004F1A99" w:rsidP="002B7104" w14:paraId="7CB84E67" w14:textId="77777777">
      <w:pPr>
        <w:pStyle w:val="NormalHanging12a"/>
      </w:pPr>
      <w:r w:rsidRPr="004F1A99">
        <w:t>13.</w:t>
      </w:r>
      <w:r w:rsidRPr="004F1A99">
        <w:tab/>
        <w:t>pažymi, kad 2026 m. Rusijos teritorinio laimėjimo tempas Ukrainoje sulėtėjo, o 2026 m. balandžio mėn. Ukraina atgavo teritoriją tuo pačiu metu, kai Rusija patyrė ypač didelių nuostolių; yra įsitikinęs, kad Ukraina gali ir privalo laimėti ir kad konflikto baigtis nėra iš anksto nulemta; todėl mano, kad tvari ir didesnė ES karinė parama gali turėti lemiamą poveikį mūšio lauke; ragina valstybes nares veikti ryžtingiau ir skubiau ir, be kita ko, gerokai padidinti ginklų ir šaudmenų tiekimo Ukrainai mastą bei spartą ir ginkluotės finansavimą;</w:t>
      </w:r>
    </w:p>
    <w:p w:rsidR="002B7104" w:rsidRPr="004F1A99" w:rsidP="002B7104" w14:paraId="45A4B031" w14:textId="77777777">
      <w:pPr>
        <w:pStyle w:val="NormalHanging12a"/>
      </w:pPr>
      <w:r w:rsidRPr="004F1A99">
        <w:t>14.</w:t>
      </w:r>
      <w:r w:rsidRPr="004F1A99">
        <w:tab/>
        <w:t>konkrečiai primygtinai ragina Vokietiją siųsti į Ukrainą tolimojo nuotolio raketas „Taurus“ ir ragina kitas valstybes nares skubiai suteikti Ukrainai papildomų oro gynybos pajėgumų, įskaitant sistemas „</w:t>
      </w:r>
      <w:r w:rsidRPr="004F1A99">
        <w:t>Patriot</w:t>
      </w:r>
      <w:r w:rsidRPr="004F1A99">
        <w:t>“, taip pat sistemų „</w:t>
      </w:r>
      <w:r w:rsidRPr="004F1A99">
        <w:t>Patriot</w:t>
      </w:r>
      <w:r w:rsidRPr="004F1A99">
        <w:t>“, SAMP/T, NASAMS, IRIS-T ir HAWK raketas;</w:t>
      </w:r>
    </w:p>
    <w:p w:rsidR="002B7104" w:rsidRPr="004F1A99" w:rsidP="002B7104" w14:paraId="5A081B7F" w14:textId="77777777">
      <w:pPr>
        <w:pStyle w:val="NormalHanging12a"/>
      </w:pPr>
      <w:r w:rsidRPr="004F1A99">
        <w:t>15.</w:t>
      </w:r>
      <w:r w:rsidRPr="004F1A99">
        <w:tab/>
        <w:t>palankiai vertina tarptautines diplomatines pastangas užbaigti karą ir žavisi Ukrainos konstruktyviu požiūriu; tačiau pabrėžia, kad prieš taikos derybas turi būti susitarta dėl tvaraus ugnies nutraukimo; pabrėžia, kad bet kokia taika turi būti teisinga ir tvari, visapusiškai gerbiant Ukrainos suverenitetą ir teritorinį vientisumą; pabrėžia, kad jokiu taikos susitarimu neturėtų būti kenkiama Ukrainos ir Europos strateginiams interesams ir neturėtų būti ribojamos Ukrainos galimybės pasirinkti savo saugumo ir politinius aljansus, Rusijai neturint jokios veto teisės; pabrėžia, kad jis turi būti grindžiamas visapusiška pagarba tarptautinės teisės principams, atsakomybe už karo nusikaltimus, nusikaltimus žmoniškumui ir agresijos nusikaltimą, taip pat Rusijos reparacijomis už Ukrainoje padarytą didžiulę žalą; pabrėžia, kad jis turėtų apimti Rusijos įsipareigojimą nedelsiant nutraukti hibridinį karą prieš ES ir jos partnerius, įskaitant Ukrainą, taip pat turėtų apimti visų pagrobtų Ukrainos vaikų ir įkalintų Ukrainos civilių grąžinimą ir visapusišką keitimąsi karo belaisviais, įskaitant kritusių karių palaikus; atkreipia dėmesį į tai, kad toks susitarimas turi būti papildytas tvirtomis ir patikimomis saugumo garantijomis Ukrainai, prilygstančiomis Vašingtono sutarties 5 straipsnyje ir Europos Sąjungos sutarties 42 straipsnio 7 dalyje numatytoms garantijoms, kai tik oficialiai pasibaigs karo padėtis; pripažįsta, kad narystę ES Ukraina laiko svarbia saugumo garantija, visų pirma atsižvelgiant į Europos Sąjungos sutarties 42 straipsnio 7 dalį;</w:t>
      </w:r>
    </w:p>
    <w:p w:rsidR="002B7104" w:rsidRPr="004F1A99" w:rsidP="002B7104" w14:paraId="0413ACDC" w14:textId="77777777">
      <w:pPr>
        <w:pStyle w:val="NormalHanging12a"/>
        <w:rPr>
          <w:bCs/>
          <w:iCs/>
        </w:rPr>
      </w:pPr>
      <w:r w:rsidRPr="004F1A99">
        <w:t>16.</w:t>
      </w:r>
      <w:r w:rsidRPr="004F1A99">
        <w:tab/>
        <w:t xml:space="preserve">pakartoja, kad tik Ukraina gali nustatyti jos žmonėms priimtinas taikos susitarimo sąlygas; primygtinai reikalauja, kad jokie sprendimai dėl Ukrainos nebūtų priimami be Ukrainos ir jokie sprendimai dėl Europos – be Europos; dar kartą patvirtina, kad bet koks susitarimas, kuriuo siekiama užbaigti Rusijos agresiją prieš Ukrainą, turi daug platesnį poveikį nei tik Rusijai ir Ukrainai, nes daro didelę įtaką visai Europos saugumo tvarkai; pabrėžia, kad bet koks toks susitarimas gali būti pasiektas tik dalyvaujant ES ir </w:t>
      </w:r>
      <w:r w:rsidRPr="004F1A99">
        <w:t>jos valstybėms narėms; ragina Komisiją ir valstybes nares išnagrinėti galimybę paskirti ir visapusiškai įgalinti aukšto lygio Europos derybininką atstovauti ES ir jos valstybėms narėms diplomatinėse derybose su tiksliai apibrėžtais įgaliojimais; ragina Komisiją, Europos išorės veiksmų tarnybą ir Tarybą, koordinuojant veiksmus su Ukraina ir konsultuojantis su valstybėmis narėmis, parengti pokario saugumo ir bendradarbiavimo struktūros Europos žemyne strateginio scenarijaus dokumentą, kuriame būtų atspindėta praeityje įgyta patirtis ir nurodyti galimi būsimų santykių su Rusija pasibaigus karui parametrai, įskaitant saugumo, energetikos, sienų, atskaitomybės ir reparacijų klausimus;</w:t>
      </w:r>
    </w:p>
    <w:p w:rsidR="002B7104" w:rsidP="002B7104" w14:paraId="01DB1F9C" w14:textId="77777777">
      <w:pPr>
        <w:pStyle w:val="NormalHanging12a"/>
      </w:pPr>
      <w:r w:rsidRPr="004F1A99">
        <w:t>17.</w:t>
      </w:r>
      <w:r w:rsidRPr="004F1A99">
        <w:tab/>
        <w:t xml:space="preserve">labai apgailestauja dėl to, kad Rusija iki šiol neparodė noro siekti tvarios taikos ir savo diplomatinius ryšius su Jungtinėmis Valstijomis naudoja tik kaip psichologinio karo kampanijos dalį, kad pakenktų tarptautinei paramai Ukrainai; atsižvelgdamas į tai, pakartoja, kad reikia didinti spaudimą Rusijai, ir smerkia tai, kad Jungtinės Valstijos nusprendė iš dalies sušvelninti sankcijas Rusijai, smerkia Jungtinių Valstijų poziciją, kad JAV saugumo garantijos Ukrainai turi priklausyti nuo Ukrainos pasitraukimo iš </w:t>
      </w:r>
      <w:r w:rsidRPr="004F1A99">
        <w:t>Donbaso</w:t>
      </w:r>
      <w:r w:rsidRPr="004F1A99">
        <w:t>; primena, kad tiesioginis bendradarbiavimas su Rusija nedarant reikšmingo spaudimo, viešas atsisakymas didžiųjų svertų, sumažinta karinė parama, atsisakymas įgyvendinti papildomas sankcijas ir jau nustatytų sankcijų panaikinimas, Ukrainos šantažavimas, kad ji suteiktų lengvatinę prieigą JAV įmonėms, kad šios galėtų atstatyti gamtinius išteklius ir turėtų galimybę jais naudotis, ir bandymai priversti Ukrainą daryti teritorines nuolaidas ir atsisakyti teisėtos teisės į savigyną yra diplomatinių pastangų, kurioms lemta žlugti, elementai;</w:t>
      </w:r>
    </w:p>
    <w:p w:rsidR="00B06ABD" w:rsidRPr="00E51003" w:rsidP="002B7104" w14:paraId="0FCD89D4" w14:textId="192FCB4C">
      <w:pPr>
        <w:pStyle w:val="NormalHanging12a"/>
        <w:rPr>
          <w:bCs/>
          <w:iCs/>
        </w:rPr>
      </w:pPr>
      <w:r>
        <w:rPr>
          <w:bCs/>
          <w:iCs/>
        </w:rPr>
        <w:t>18</w:t>
      </w:r>
      <w:r w:rsidRPr="00E51003">
        <w:rPr>
          <w:bCs/>
          <w:iCs/>
        </w:rPr>
        <w:t>.</w:t>
      </w:r>
      <w:r w:rsidRPr="00715155">
        <w:rPr>
          <w:bCs/>
          <w:iCs/>
        </w:rPr>
        <w:tab/>
      </w:r>
      <w:r w:rsidRPr="00E51003">
        <w:rPr>
          <w:bCs/>
          <w:iCs/>
        </w:rPr>
        <w:t>palankiai vertina 2026 m. birželio mėn. G7 vadovų pareiškimą dėl Ukrainos, įskaitant įsipareigojimą a) remti naują postūmį mūšio lauke ir jo paspartinimą, be kita ko, apsvarstant galimybę Ukrainai taikyti licencijų teikiamą naudą, kad būtų galima padidinti Ukrainos karinę gamybą, ir b) didinti spaudimą Rusijos karo ekonomikai; ragina ES ir jos valstybes nares imtis visų būtinų veiksmų, kad būtų užtikrintas praktinis įgyvendinimas;</w:t>
      </w:r>
    </w:p>
    <w:p w:rsidR="002B7104" w:rsidRPr="004F1A99" w:rsidP="002B7104" w14:paraId="4E58532D" w14:textId="5996DC4E">
      <w:pPr>
        <w:pStyle w:val="NormalHanging12a"/>
        <w:rPr>
          <w:bCs/>
          <w:iCs/>
        </w:rPr>
      </w:pPr>
      <w:r>
        <w:t>19</w:t>
      </w:r>
      <w:r w:rsidRPr="004F1A99">
        <w:t>.</w:t>
      </w:r>
      <w:r w:rsidRPr="004F1A99">
        <w:tab/>
        <w:t xml:space="preserve">atkakliai tvirtina, kad ES ir jos valstybės narės, kartu su partneriais ir sąjungininkais, turi prisidėti prie tvirtų ir teisiškai privalomų saugumo garantijų Ukrainai, kad atgrasytų Rusiją nuo tolesnės agresijos, kurios turėtų būti sustiprintos privalomais atitikties stebėsenos mechanizmais, sistemingai koordinuojama pagalba ir kurios užtikrintų ilgalaikę paramą Ukrainos suverenitetui, teritoriniam vientisumui ir atstatymui; palankiai vertina 2026 m. sausio 6 d. Paryžiuje įvykusio norinčiųjų prisidėti koalicijos susitikimo išvadas; labai palankiai vertina pasiūlymą sukurti daugiašales taikos palaikymo pajėgas Ukrainai ir ragina visas ES valstybes nares nuodugniai apsvarstyti, kaip jos galėtų geriausiai remti tokias pajėgas; palankiai vertina susitarimą galutinai patvirtinti politiškai ir teisiškai privalomą įsipareigojimą atkurti taiką ir saugumą būsimo Rusijos ginkluoto išpuolio atveju ir aiškią paramos Ukrainai sistemą; pakartoja savo raginimą norinčiųjų prisidėti ES valstybių narių koalicijai išnagrinėti, kaip būtų galima sukurti gynybinę Europos vadovaujamą integruotą oro apsaugos zoną, kurioje būtų naudojami koviniai oro patruliai virš nekonfliktinių Ukrainos teritorijų, nes tai padėtų apsaugoti Ukrainos civilius gyventojus nuo puolimo be atrankos prieš civilinę infrastruktūrą, užtikrintų </w:t>
      </w:r>
      <w:r w:rsidRPr="004F1A99">
        <w:t>proaktyvią</w:t>
      </w:r>
      <w:r w:rsidRPr="004F1A99">
        <w:t xml:space="preserve"> gynybą nuo Rusijos įsibrovimų į ES oro erdvę ir pakeistų jėgos pusiausvyrą taip, kad Rusija būtų priversta sėsti prie derybų stalo;</w:t>
      </w:r>
    </w:p>
    <w:p w:rsidR="002B7104" w:rsidRPr="00E51003" w:rsidP="002B7104" w14:paraId="2D7BC556" w14:textId="2556E08E">
      <w:pPr>
        <w:pStyle w:val="NormalHanging12a"/>
      </w:pPr>
      <w:r>
        <w:t>20</w:t>
      </w:r>
      <w:r w:rsidRPr="004F1A99">
        <w:t>.</w:t>
      </w:r>
      <w:r w:rsidRPr="004F1A99">
        <w:tab/>
      </w:r>
      <w:r w:rsidRPr="004C03EB" w:rsidR="00B06ABD">
        <w:t xml:space="preserve">atsižvelgdamas į tai, kad reikia daryti didesnį spaudimą Rusijai, ragina nustatyti griežtesnes, visapusiškesnes ir struktūrines sankcijas Rusijai ir jos sąjungininkams, siekiant atkirsti Rusiją nuo išteklių, kurie būtini jos karinei mašinai finansuoti ir jos </w:t>
      </w:r>
      <w:r w:rsidRPr="004C03EB" w:rsidR="00B06ABD">
        <w:t xml:space="preserve">agresijai prieš Ukrainą palaikyti, įskaitant tikslines individualias sankcijas pagal ES visuotinį žmogaus teisių ir sankcijų režimą (ES </w:t>
      </w:r>
      <w:r w:rsidRPr="004C03EB" w:rsidR="00B06ABD">
        <w:t>Magnitskio</w:t>
      </w:r>
      <w:r w:rsidRPr="004C03EB" w:rsidR="00B06ABD">
        <w:t xml:space="preserve"> aktą) asmenims, atsakingiems už sunkius žmogaus teisių pažeidimus; ragina labiau suderinti sankcijų sąrašus su bendraminčių partnerių sąrašais; primygtinai ragina didinti administracinius gebėjimus ir finansinius išteklius, kad būtų pagerintas ES sankcijų rengimas, įgyvendinimas ir vykdymo užtikrinimas; primygtinai reikalauja, kad jokios sankcijos nebūtų panaikintos, kol nebus susiderėta dėl taikos susitarimo ir kol jis nebus tvariai įgyvendintas; ragina Tarybą ir valstybes nares sistemingai spręsti sankcijų apėjimo klausimą; pabrėžia, kad sankcijos daro akivaizdų poveikį Rusijos ekonomikai, tačiau pakartoja, kad sankcijų režimas turi būti platesnės aprėpties ir griežčiau įgyvendinamas, jei norima pasiekti reikiamą poveikį, t. y. apriboti Rusijos lėšas jos agresijos karui; todėl ragina sugriežtinti ir išplėsti sankcijas, taikomas pagrindiniams Rusijos pajamų šaltiniams, įskaitant energetikos, žaliavų, finansų ir transporto sektorius, bet jais neapsiribojant; ragina ES ir jos valstybes nares koordinuoti veiksmus siekiant uždrausti prekybą ir komercinę veiklą su Rusija ir Baltarusija, ypač daug dėmesio skiriant galimoms dvejopo naudojimo prekėms ir technologijoms, ir uždrausti prekių tranzitą į ES ir iš jos per jų teritorijas; ragina visiškai uždrausti Rusijos plieno </w:t>
      </w:r>
      <w:r w:rsidRPr="00E51003" w:rsidR="00B06ABD">
        <w:t>produktus ir aliuminio oksido eksportą į Rusiją</w:t>
      </w:r>
      <w:r w:rsidRPr="00E51003">
        <w:t>;</w:t>
      </w:r>
    </w:p>
    <w:p w:rsidR="002B7104" w:rsidRPr="004F1A99" w:rsidP="002B7104" w14:paraId="004E3283" w14:textId="180B31CC">
      <w:pPr>
        <w:pStyle w:val="NormalHanging12a"/>
        <w:rPr>
          <w:bCs/>
          <w:iCs/>
        </w:rPr>
      </w:pPr>
      <w:r>
        <w:t>21</w:t>
      </w:r>
      <w:r w:rsidRPr="004F1A99">
        <w:t>.</w:t>
      </w:r>
      <w:r w:rsidRPr="004F1A99">
        <w:tab/>
      </w:r>
      <w:r w:rsidRPr="00A021E2" w:rsidR="00B06ABD">
        <w:t xml:space="preserve">ragina dėti daugiau pastangų siekiant nutraukti Rusijos šešėlinio laivyno operacijas, kurios kelia reikšmingą ir didėjančią riziką jūrų </w:t>
      </w:r>
      <w:r w:rsidRPr="00E51003" w:rsidR="00B06ABD">
        <w:t>saugumui ir aplinkai, ypač strategiškai itin svarbioje Baltijos jūroje; atsižvelgdamas į tai, ragina Baltijos jūros regiono valstybių narių valdžios institucijas glaudžiau bendradarbiauti siekiant užtikrinti, kad šešėlinio laivyno veikla būtų veiksmingai sustabdyta</w:t>
      </w:r>
      <w:r w:rsidRPr="00A021E2" w:rsidR="00B06ABD">
        <w:t>; primygtinai ragina valstybes nares griežtai laikytis ES teisės aktų ir sustabdyti visą Rusijos suskystintų gamtinių dujų ir gamtinių dujų importą, iš kurio gautomis pajamomis nuolat remiama Rusijos karo mašina ir kenkiama ES sankcijų ir paramos Ukrainai veiksmingumui</w:t>
      </w:r>
      <w:r w:rsidRPr="004F1A99">
        <w:t>;</w:t>
      </w:r>
    </w:p>
    <w:p w:rsidR="002B7104" w:rsidRPr="004F1A99" w:rsidP="002B7104" w14:paraId="52F47CE4" w14:textId="00820AF2">
      <w:pPr>
        <w:pStyle w:val="NormalHanging12a"/>
        <w:rPr>
          <w:bCs/>
          <w:iCs/>
        </w:rPr>
      </w:pPr>
      <w:bookmarkStart w:id="7" w:name="_Hlk229052168"/>
      <w:r>
        <w:t>22</w:t>
      </w:r>
      <w:r w:rsidRPr="004F1A99">
        <w:t>.</w:t>
      </w:r>
      <w:r w:rsidRPr="004F1A99">
        <w:tab/>
        <w:t xml:space="preserve">apgailestauja dėl žiaurių Tarptautinio olimpinio komiteto ir Tarptautinio </w:t>
      </w:r>
      <w:r w:rsidRPr="004F1A99">
        <w:t>paralimpinio</w:t>
      </w:r>
      <w:r w:rsidRPr="004F1A99">
        <w:t xml:space="preserve"> komiteto sprendimų dėl Ukrainos sportininkų saviraiškos laisvės per Milano </w:t>
      </w:r>
      <w:r w:rsidRPr="004F1A99">
        <w:t>Kortinos</w:t>
      </w:r>
      <w:r w:rsidRPr="004F1A99">
        <w:t xml:space="preserve"> 2026 m. žiemos olimpines žaidynes ir </w:t>
      </w:r>
      <w:r w:rsidRPr="004F1A99">
        <w:t>paralimpines</w:t>
      </w:r>
      <w:r w:rsidRPr="004F1A99">
        <w:t xml:space="preserve"> žaidynes, taip pat dėl Pasaulio vandens sporto čempionato rengėjų sprendimo panaikinti sankcijas Rusijos ir Baltarusijos sportininkams ir Venecijos bienalės sprendimo vėl priimti Rusijos menininkus; pabrėžia, kad Rusijos ir Baltarusijos režimai aktyviai naudoja sportą ir kultūrą valstybinei propagandai skleisti ir tam, kad pakeistų naratyvą apie šiurkščių žmogaus teisių pažeidimų ir karo nusikaltimų vykdytojus; reiškia solidarumą su diskriminuojamais Ukrainos sportininkais ir ragina ES ir jos valstybes nares užtikrinti visapusišką Europos konkurencijos teisės taikymą ir vykdymą; ragina neišduoti ES vizų Rusijos sportininkams ir menininkams, kurie neatsiriboja nuo Rusijos agresijos karo prieš Ukrainą;</w:t>
      </w:r>
    </w:p>
    <w:bookmarkEnd w:id="7"/>
    <w:p w:rsidR="002B7104" w:rsidRPr="004F1A99" w:rsidP="002B7104" w14:paraId="0868249A" w14:textId="77777777">
      <w:pPr>
        <w:pStyle w:val="NormalWeb"/>
        <w:rPr>
          <w:b/>
          <w:bCs/>
          <w:i/>
          <w:iCs/>
          <w:lang w:val="lt-LT"/>
        </w:rPr>
      </w:pPr>
      <w:r w:rsidRPr="004F1A99">
        <w:rPr>
          <w:b/>
          <w:i/>
          <w:lang w:val="lt-LT"/>
        </w:rPr>
        <w:t>II. Ilgalaikė finansinė parama Ukrainai ir karo reparacijos</w:t>
      </w:r>
    </w:p>
    <w:p w:rsidR="002B7104" w:rsidRPr="00E51003" w:rsidP="002B7104" w14:paraId="1E50EDC8" w14:textId="4ACAEF8E">
      <w:pPr>
        <w:pStyle w:val="NormalWeb"/>
        <w:ind w:left="720" w:hanging="720"/>
        <w:rPr>
          <w:lang w:val="lt-LT"/>
        </w:rPr>
      </w:pPr>
      <w:r>
        <w:rPr>
          <w:lang w:val="lt-LT"/>
        </w:rPr>
        <w:t>23</w:t>
      </w:r>
      <w:r w:rsidRPr="004F1A99">
        <w:rPr>
          <w:lang w:val="lt-LT"/>
        </w:rPr>
        <w:t>.</w:t>
      </w:r>
      <w:r w:rsidRPr="004F1A99">
        <w:rPr>
          <w:lang w:val="lt-LT"/>
        </w:rPr>
        <w:tab/>
        <w:t xml:space="preserve">palankiai vertina 2026 m. sausio mėn. Komisijos pranešimą, kad per 2026–2027 m. dvejų metų laikotarpį ji suteiks 90 mlrd. EUR ypatingos svarbos paramos Ukrainos biudžeto ir kariniams poreikiams patenkinti, palankiai vertina pakete numatytą reikiamą lankstumą taikant nukrypti leidžiančių nuostatų režimą, kaip išdėstyta siūlomo reglamento, kuriuo nustatoma 2026 ir 2027 m. paramos Ukrainai paskola, 13 </w:t>
      </w:r>
      <w:r w:rsidRPr="004F1A99">
        <w:rPr>
          <w:lang w:val="lt-LT"/>
        </w:rPr>
        <w:t>straipsnio 5 dalyje</w:t>
      </w:r>
      <w:r>
        <w:rPr>
          <w:rStyle w:val="FootnoteReference"/>
          <w:lang w:val="lt-LT"/>
        </w:rPr>
        <w:footnoteReference w:id="7"/>
      </w:r>
      <w:r w:rsidRPr="004F1A99">
        <w:rPr>
          <w:lang w:val="lt-LT"/>
        </w:rPr>
        <w:t xml:space="preserve">; </w:t>
      </w:r>
      <w:r w:rsidRPr="00E51003" w:rsidR="00770125">
        <w:t>palankiai</w:t>
      </w:r>
      <w:r w:rsidRPr="00E51003" w:rsidR="00770125">
        <w:t xml:space="preserve"> </w:t>
      </w:r>
      <w:r w:rsidRPr="00E51003" w:rsidR="00770125">
        <w:t>vertina</w:t>
      </w:r>
      <w:r w:rsidRPr="00E51003" w:rsidR="00770125">
        <w:t xml:space="preserve"> tai, </w:t>
      </w:r>
      <w:r w:rsidRPr="00E51003" w:rsidR="00770125">
        <w:t>kad</w:t>
      </w:r>
      <w:r w:rsidRPr="00E51003" w:rsidR="00770125">
        <w:t xml:space="preserve"> </w:t>
      </w:r>
      <w:r w:rsidRPr="00E51003" w:rsidR="00770125">
        <w:t>Taryba</w:t>
      </w:r>
      <w:r w:rsidRPr="00E51003" w:rsidR="00770125">
        <w:t xml:space="preserve"> </w:t>
      </w:r>
      <w:r w:rsidRPr="00E51003" w:rsidR="00770125">
        <w:t>rado</w:t>
      </w:r>
      <w:r w:rsidRPr="00E51003" w:rsidR="00770125">
        <w:t xml:space="preserve"> </w:t>
      </w:r>
      <w:r w:rsidRPr="00E51003" w:rsidR="00770125">
        <w:t>išeitį</w:t>
      </w:r>
      <w:r w:rsidRPr="00E51003" w:rsidR="00770125">
        <w:t xml:space="preserve"> </w:t>
      </w:r>
      <w:r w:rsidRPr="00E51003" w:rsidR="00770125">
        <w:t>iš</w:t>
      </w:r>
      <w:r w:rsidRPr="00E51003" w:rsidR="00770125">
        <w:t xml:space="preserve"> </w:t>
      </w:r>
      <w:r w:rsidRPr="00E51003" w:rsidR="00770125">
        <w:t>aklavietės</w:t>
      </w:r>
      <w:r w:rsidRPr="00E51003" w:rsidR="00770125">
        <w:t xml:space="preserve">, </w:t>
      </w:r>
      <w:r w:rsidRPr="00E51003" w:rsidR="00770125">
        <w:t>trukdančios</w:t>
      </w:r>
      <w:r w:rsidRPr="00E51003" w:rsidR="00770125">
        <w:t xml:space="preserve"> </w:t>
      </w:r>
      <w:r w:rsidRPr="00E51003" w:rsidR="00770125">
        <w:t>pradėti</w:t>
      </w:r>
      <w:r w:rsidRPr="00E51003" w:rsidR="00770125">
        <w:t xml:space="preserve"> </w:t>
      </w:r>
      <w:r w:rsidRPr="00E51003" w:rsidR="00770125">
        <w:t>teikti</w:t>
      </w:r>
      <w:r w:rsidRPr="00E51003" w:rsidR="00770125">
        <w:t xml:space="preserve"> paramos </w:t>
      </w:r>
      <w:r w:rsidRPr="00E51003" w:rsidR="00770125">
        <w:t>Ukrainai</w:t>
      </w:r>
      <w:r w:rsidRPr="00E51003" w:rsidR="00770125">
        <w:t xml:space="preserve"> </w:t>
      </w:r>
      <w:r w:rsidRPr="00E51003" w:rsidR="00770125">
        <w:t>paskolą</w:t>
      </w:r>
      <w:r w:rsidRPr="00E51003" w:rsidR="00770125">
        <w:t xml:space="preserve">, </w:t>
      </w:r>
      <w:r w:rsidRPr="00E51003" w:rsidR="00770125">
        <w:t>ir</w:t>
      </w:r>
      <w:r w:rsidRPr="00E51003" w:rsidR="00770125">
        <w:t xml:space="preserve"> </w:t>
      </w:r>
      <w:r w:rsidRPr="00E51003" w:rsidR="00770125">
        <w:t>atblokavo</w:t>
      </w:r>
      <w:r w:rsidRPr="00E51003" w:rsidR="00770125">
        <w:t xml:space="preserve"> </w:t>
      </w:r>
      <w:r w:rsidRPr="00E51003" w:rsidR="00770125">
        <w:t>pagalbos</w:t>
      </w:r>
      <w:r w:rsidRPr="00E51003" w:rsidR="00770125">
        <w:t xml:space="preserve"> </w:t>
      </w:r>
      <w:r w:rsidRPr="00E51003" w:rsidR="00770125">
        <w:t>Ukrainai</w:t>
      </w:r>
      <w:r w:rsidRPr="00E51003" w:rsidR="00770125">
        <w:t xml:space="preserve"> </w:t>
      </w:r>
      <w:r w:rsidRPr="00E51003" w:rsidR="00770125">
        <w:t>fondą</w:t>
      </w:r>
      <w:r w:rsidRPr="00E51003" w:rsidR="00770125">
        <w:t xml:space="preserve"> </w:t>
      </w:r>
      <w:r w:rsidRPr="00E51003" w:rsidR="00770125">
        <w:t>pagal</w:t>
      </w:r>
      <w:r w:rsidRPr="00E51003" w:rsidR="00770125">
        <w:t xml:space="preserve"> Europos </w:t>
      </w:r>
      <w:r w:rsidRPr="00E51003" w:rsidR="00770125">
        <w:t>taikos</w:t>
      </w:r>
      <w:r w:rsidRPr="00E51003" w:rsidR="00770125">
        <w:t xml:space="preserve"> </w:t>
      </w:r>
      <w:r w:rsidRPr="00E51003" w:rsidR="00770125">
        <w:t>priemonę</w:t>
      </w:r>
      <w:r w:rsidRPr="00E51003" w:rsidR="00770125">
        <w:t xml:space="preserve">; </w:t>
      </w:r>
      <w:r w:rsidRPr="00E51003" w:rsidR="00770125">
        <w:t>ragina</w:t>
      </w:r>
      <w:r w:rsidRPr="00E51003" w:rsidR="00770125">
        <w:t xml:space="preserve"> </w:t>
      </w:r>
      <w:r w:rsidRPr="00E51003" w:rsidR="00770125">
        <w:t>Vengrijos</w:t>
      </w:r>
      <w:r w:rsidRPr="00E51003" w:rsidR="00770125">
        <w:t xml:space="preserve">, </w:t>
      </w:r>
      <w:r w:rsidRPr="00E51003" w:rsidR="00770125">
        <w:t>Slovakijos</w:t>
      </w:r>
      <w:r w:rsidRPr="00E51003" w:rsidR="00770125">
        <w:t xml:space="preserve"> </w:t>
      </w:r>
      <w:r w:rsidRPr="00E51003" w:rsidR="00770125">
        <w:t>ir</w:t>
      </w:r>
      <w:r w:rsidRPr="00E51003" w:rsidR="00770125">
        <w:t xml:space="preserve"> </w:t>
      </w:r>
      <w:r w:rsidRPr="00E51003" w:rsidR="00770125">
        <w:t>Čekijos</w:t>
      </w:r>
      <w:r w:rsidRPr="00E51003" w:rsidR="00770125">
        <w:t xml:space="preserve"> </w:t>
      </w:r>
      <w:r w:rsidRPr="00E51003" w:rsidR="00770125">
        <w:t>vyriausybes</w:t>
      </w:r>
      <w:r w:rsidRPr="00E51003" w:rsidR="00770125">
        <w:t xml:space="preserve"> </w:t>
      </w:r>
      <w:r w:rsidRPr="00E51003" w:rsidR="00770125">
        <w:t>persvarstyti</w:t>
      </w:r>
      <w:r w:rsidRPr="00E51003" w:rsidR="00770125">
        <w:t xml:space="preserve"> </w:t>
      </w:r>
      <w:r w:rsidRPr="00E51003" w:rsidR="00770125">
        <w:t>savo</w:t>
      </w:r>
      <w:r w:rsidRPr="00E51003" w:rsidR="00770125">
        <w:t xml:space="preserve"> </w:t>
      </w:r>
      <w:r w:rsidRPr="00E51003" w:rsidR="00770125">
        <w:t>atsisakymo</w:t>
      </w:r>
      <w:r w:rsidRPr="00E51003" w:rsidR="00770125">
        <w:t xml:space="preserve"> </w:t>
      </w:r>
      <w:r w:rsidRPr="00E51003" w:rsidR="00770125">
        <w:t>dalyvauti</w:t>
      </w:r>
      <w:r w:rsidRPr="00E51003" w:rsidR="00770125">
        <w:t xml:space="preserve"> </w:t>
      </w:r>
      <w:r w:rsidRPr="00E51003" w:rsidR="00770125">
        <w:t>sprendimą</w:t>
      </w:r>
      <w:r w:rsidRPr="00E51003" w:rsidR="00770125">
        <w:t xml:space="preserve"> </w:t>
      </w:r>
      <w:r w:rsidRPr="00E51003" w:rsidR="00770125">
        <w:t>ir</w:t>
      </w:r>
      <w:r w:rsidRPr="00E51003" w:rsidR="00770125">
        <w:t xml:space="preserve"> </w:t>
      </w:r>
      <w:r w:rsidRPr="00E51003" w:rsidR="00770125">
        <w:t>dalyvauti</w:t>
      </w:r>
      <w:r w:rsidRPr="00E51003" w:rsidR="00770125">
        <w:t xml:space="preserve"> </w:t>
      </w:r>
      <w:r w:rsidRPr="00E51003" w:rsidR="00770125">
        <w:t>teikiant</w:t>
      </w:r>
      <w:r w:rsidRPr="00E51003" w:rsidR="00770125">
        <w:t xml:space="preserve"> </w:t>
      </w:r>
      <w:r w:rsidRPr="00E51003" w:rsidR="00770125">
        <w:t>paskolos</w:t>
      </w:r>
      <w:r w:rsidRPr="00E51003" w:rsidR="00770125">
        <w:t xml:space="preserve"> </w:t>
      </w:r>
      <w:r w:rsidRPr="00E51003" w:rsidR="00770125">
        <w:t>garantijas</w:t>
      </w:r>
      <w:r w:rsidRPr="00E51003" w:rsidR="00770125">
        <w:t xml:space="preserve">; </w:t>
      </w:r>
      <w:r w:rsidRPr="00E51003" w:rsidR="00770125">
        <w:t>palankiai</w:t>
      </w:r>
      <w:r w:rsidRPr="00E51003" w:rsidR="00770125">
        <w:t xml:space="preserve"> </w:t>
      </w:r>
      <w:r w:rsidRPr="00E51003" w:rsidR="00770125">
        <w:t>vertina</w:t>
      </w:r>
      <w:r w:rsidRPr="00E51003" w:rsidR="00770125">
        <w:t xml:space="preserve"> </w:t>
      </w:r>
      <w:r w:rsidRPr="00E51003" w:rsidR="00770125">
        <w:t>pirmąją</w:t>
      </w:r>
      <w:r w:rsidRPr="00E51003" w:rsidR="00770125">
        <w:t xml:space="preserve"> 3,2 </w:t>
      </w:r>
      <w:r w:rsidRPr="00E51003" w:rsidR="00770125">
        <w:t>mlrd</w:t>
      </w:r>
      <w:r w:rsidRPr="00E51003" w:rsidR="00770125">
        <w:t xml:space="preserve">. EUR paramos </w:t>
      </w:r>
      <w:r w:rsidRPr="00E51003" w:rsidR="00770125">
        <w:t>Ukrainai</w:t>
      </w:r>
      <w:r w:rsidRPr="00E51003" w:rsidR="00770125">
        <w:t xml:space="preserve"> </w:t>
      </w:r>
      <w:r w:rsidRPr="00E51003" w:rsidR="00770125">
        <w:t>paskolos</w:t>
      </w:r>
      <w:r w:rsidRPr="00E51003" w:rsidR="00770125">
        <w:t xml:space="preserve"> </w:t>
      </w:r>
      <w:r w:rsidRPr="00E51003" w:rsidR="00770125">
        <w:t>dalį</w:t>
      </w:r>
      <w:r w:rsidRPr="00E51003" w:rsidR="00770125">
        <w:t xml:space="preserve">, </w:t>
      </w:r>
      <w:r w:rsidRPr="00E51003" w:rsidR="00770125">
        <w:t>kuri</w:t>
      </w:r>
      <w:r w:rsidRPr="00E51003" w:rsidR="00770125">
        <w:t xml:space="preserve"> </w:t>
      </w:r>
      <w:r w:rsidRPr="00E51003" w:rsidR="00770125">
        <w:t>Ukrainai</w:t>
      </w:r>
      <w:r w:rsidRPr="00E51003" w:rsidR="00770125">
        <w:t xml:space="preserve"> </w:t>
      </w:r>
      <w:r w:rsidRPr="00E51003" w:rsidR="00770125">
        <w:t>buvo</w:t>
      </w:r>
      <w:r w:rsidRPr="00E51003" w:rsidR="00770125">
        <w:t xml:space="preserve"> </w:t>
      </w:r>
      <w:r w:rsidRPr="00E51003" w:rsidR="00770125">
        <w:t>išmokėta</w:t>
      </w:r>
      <w:r w:rsidRPr="00E51003" w:rsidR="00770125">
        <w:t xml:space="preserve"> 2026 m. </w:t>
      </w:r>
      <w:r w:rsidRPr="00E51003" w:rsidR="00770125">
        <w:t>birželio</w:t>
      </w:r>
      <w:r w:rsidRPr="00E51003" w:rsidR="00770125">
        <w:t xml:space="preserve"> 25 </w:t>
      </w:r>
      <w:r w:rsidRPr="00E51003" w:rsidR="00770125">
        <w:t>d.</w:t>
      </w:r>
      <w:r w:rsidRPr="00E51003">
        <w:rPr>
          <w:lang w:val="lt-LT"/>
        </w:rPr>
        <w:t>;</w:t>
      </w:r>
    </w:p>
    <w:p w:rsidR="002B7104" w:rsidRPr="004F1A99" w:rsidP="002B7104" w14:paraId="21BED039" w14:textId="6654F420">
      <w:pPr>
        <w:pStyle w:val="NormalWeb"/>
        <w:ind w:left="720" w:hanging="720"/>
        <w:rPr>
          <w:bCs/>
          <w:iCs/>
          <w:lang w:val="lt-LT"/>
        </w:rPr>
      </w:pPr>
      <w:r>
        <w:rPr>
          <w:lang w:val="lt-LT"/>
        </w:rPr>
        <w:t>24</w:t>
      </w:r>
      <w:r w:rsidRPr="004F1A99">
        <w:rPr>
          <w:lang w:val="lt-LT"/>
        </w:rPr>
        <w:t>.</w:t>
      </w:r>
      <w:r w:rsidRPr="004F1A99">
        <w:rPr>
          <w:lang w:val="lt-LT"/>
        </w:rPr>
        <w:tab/>
        <w:t xml:space="preserve">ragina Komisiją ir valstybes nares laikytis visapusiškesnio, ilgalaikio ir strateginio požiūrio į paramą Ukrainai, neapsiribojant </w:t>
      </w:r>
      <w:r w:rsidRPr="004F1A99">
        <w:rPr>
          <w:i/>
          <w:iCs/>
          <w:lang w:val="lt-LT"/>
        </w:rPr>
        <w:t>ad</w:t>
      </w:r>
      <w:r w:rsidRPr="004F1A99">
        <w:rPr>
          <w:i/>
          <w:iCs/>
          <w:lang w:val="lt-LT"/>
        </w:rPr>
        <w:t> </w:t>
      </w:r>
      <w:r w:rsidRPr="004F1A99">
        <w:rPr>
          <w:i/>
          <w:iCs/>
          <w:lang w:val="lt-LT"/>
        </w:rPr>
        <w:t>hoc</w:t>
      </w:r>
      <w:r w:rsidRPr="004F1A99">
        <w:rPr>
          <w:lang w:val="lt-LT"/>
        </w:rPr>
        <w:t xml:space="preserve"> pagalbos priemonėmis; pabrėžia, kad reikia struktūrizuotos ir daugialypės ES strategijos, pagal kurią būtų derinama tvari karinė, ekonominė ir pramoninė parama; atsižvelgdamas į tai, ragina gerokai padidinti Europos gynybos gamybos pajėgumus ir sukurti koordinuotus visos Europos viešųjų pirkimų mechanizmus, kad būtų užtikrintas savalaikis ir pakankamas šaudmenų ir įrangos pristatymas į Ukrainą;</w:t>
      </w:r>
    </w:p>
    <w:p w:rsidR="002B7104" w:rsidRPr="004F1A99" w:rsidP="002B7104" w14:paraId="3046E7E2" w14:textId="64264BC9">
      <w:pPr>
        <w:pStyle w:val="NormalWeb"/>
        <w:ind w:left="720" w:hanging="720"/>
        <w:rPr>
          <w:bCs/>
          <w:iCs/>
          <w:lang w:val="lt-LT"/>
        </w:rPr>
      </w:pPr>
      <w:r>
        <w:rPr>
          <w:lang w:val="lt-LT"/>
        </w:rPr>
        <w:t>25</w:t>
      </w:r>
      <w:r w:rsidRPr="004F1A99">
        <w:rPr>
          <w:lang w:val="lt-LT"/>
        </w:rPr>
        <w:t>.</w:t>
      </w:r>
      <w:r w:rsidRPr="004F1A99">
        <w:rPr>
          <w:lang w:val="lt-LT"/>
        </w:rPr>
        <w:tab/>
        <w:t>pakartoja savo tvirtą įsitikinimą, kad Rusija turi sumokėti už Ukrainoje padarytą didžiulę žalą; pabrėžia, kad būtina sukurti nuspėjamą Ukrainai skirtą daugiametę finansinę programą, kuri padės Ukrainai padengti atsigavimo ir gynybos išlaidas Rusijai vykdant agresiją kiekvienais metais iš naujo nepatiriant netikrumo. apgailestauja, kad Komisija ir Taryba nesusitarė dėl Komisijos pasiūlymo dėl reparacijų paskolos</w:t>
      </w:r>
      <w:r>
        <w:rPr>
          <w:rStyle w:val="FootnoteReference"/>
          <w:bCs/>
          <w:iCs/>
          <w:lang w:val="lt-LT"/>
        </w:rPr>
        <w:footnoteReference w:id="8"/>
      </w:r>
      <w:r w:rsidRPr="004F1A99">
        <w:rPr>
          <w:lang w:val="lt-LT"/>
        </w:rPr>
        <w:t xml:space="preserve"> naudojant grynųjų pinigų likučius, susijusius su Rusijos valstybės turtu, ir palankiai vertina Tarybos raginimus Komisijai tęsti darbą, susijusį su priemonių, kuriomis sukuriama reparacijų paskola, grindžiama grynųjų pinigų likučiais, susijusiais su </w:t>
      </w:r>
      <w:r w:rsidRPr="004F1A99">
        <w:rPr>
          <w:lang w:val="lt-LT"/>
        </w:rPr>
        <w:t>imobilizuotu</w:t>
      </w:r>
      <w:r w:rsidRPr="004F1A99">
        <w:rPr>
          <w:lang w:val="lt-LT"/>
        </w:rPr>
        <w:t xml:space="preserve"> Rusijos turtu, siekiant sumokėti už Ukrainos gynybą, atstatymą ir reparacijas, techniniais ir teisiniais aspektais; dar kartą patvirtina, kad šį </w:t>
      </w:r>
      <w:r w:rsidRPr="004F1A99">
        <w:rPr>
          <w:lang w:val="lt-LT"/>
        </w:rPr>
        <w:t>imobilizuotą</w:t>
      </w:r>
      <w:r w:rsidRPr="004F1A99">
        <w:rPr>
          <w:lang w:val="lt-LT"/>
        </w:rPr>
        <w:t xml:space="preserve"> turtą reikia perkelti į tam skirtą specialiosios paskirties įmonę;</w:t>
      </w:r>
    </w:p>
    <w:p w:rsidR="002B7104" w:rsidRPr="004F1A99" w:rsidP="002B7104" w14:paraId="2B3AA664" w14:textId="2C3647E5">
      <w:pPr>
        <w:pStyle w:val="NormalWeb"/>
        <w:ind w:left="720" w:hanging="720"/>
        <w:rPr>
          <w:bCs/>
          <w:iCs/>
          <w:lang w:val="lt-LT"/>
        </w:rPr>
      </w:pPr>
      <w:r>
        <w:rPr>
          <w:lang w:val="lt-LT"/>
        </w:rPr>
        <w:t>26</w:t>
      </w:r>
      <w:r w:rsidRPr="004F1A99">
        <w:rPr>
          <w:lang w:val="lt-LT"/>
        </w:rPr>
        <w:t>.</w:t>
      </w:r>
      <w:r w:rsidRPr="004F1A99">
        <w:rPr>
          <w:lang w:val="lt-LT"/>
        </w:rPr>
        <w:tab/>
        <w:t xml:space="preserve">palankiai vertina susitarimą dėl Konvencija, kuria įsteigiama Tarptautinė paraiškų dėl Ukrainos nagrinėjimo komisija, ir primygtinai ragina skubiai ją ratifikuoti; džiaugiasi Komisijos pasiūlymu pradėti procesą, kad ES taptų Specialiojo tribunolo dėl agresijos nusikaltimo prieš Ukrainą nare steigėja, nes tai yra žingsnis siekiant užtikrinti atskaitomybę už agresijos nusikaltimą ir remti tarptautinio teisingumo pastangas; ragina ES labiau remti įrodymų rinkimą ir Rusijos karo nusikaltimų Ukrainoje įrodymų išsaugojimą ir, be kita ko, gerokai padidinti finansinę, techninę ir su teisės ekspertize susijusią pagalbą karo nusikaltimus tiriantiems Ukrainos prokurorams ir tyrimo įstaigoms; </w:t>
      </w:r>
    </w:p>
    <w:p w:rsidR="002B7104" w:rsidRPr="004F1A99" w:rsidP="002B7104" w14:paraId="040E0347" w14:textId="77777777">
      <w:pPr>
        <w:pStyle w:val="Normal12a"/>
        <w:rPr>
          <w:i/>
          <w:iCs/>
        </w:rPr>
      </w:pPr>
      <w:r w:rsidRPr="004F1A99">
        <w:rPr>
          <w:b/>
          <w:i/>
        </w:rPr>
        <w:t xml:space="preserve">III. Įsipareigojimas siekti narystės ES ir vykdyti stojimo derybas </w:t>
      </w:r>
    </w:p>
    <w:p w:rsidR="002B7104" w:rsidRPr="004F1A99" w:rsidP="002B7104" w14:paraId="28A07012" w14:textId="3970E8EB">
      <w:pPr>
        <w:pStyle w:val="NormalHanging12a"/>
      </w:pPr>
      <w:r>
        <w:t>27</w:t>
      </w:r>
      <w:r w:rsidRPr="004F1A99">
        <w:t>.</w:t>
      </w:r>
      <w:r w:rsidRPr="004F1A99">
        <w:tab/>
        <w:t>labai palankiai vertina nuolatinį Ukrainos pasiryžimą laikytis narystės ES reikalavimų ir jos gebėjimą daryti pažangą siekiant narystės ES; pabrėžia, kad Ukrainos rezultatai visada turi būti vertinami atsižvelgiant į besitęsiantį Rusijos agresijos karą ir jo neigiamą poveikį Ukrainos demokratiniams procesams ir viešajam administravimui;</w:t>
      </w:r>
      <w:r w:rsidRPr="004F1A99">
        <w:rPr>
          <w:b/>
          <w:i/>
        </w:rPr>
        <w:t xml:space="preserve"> </w:t>
      </w:r>
    </w:p>
    <w:p w:rsidR="002B7104" w:rsidRPr="004F1A99" w:rsidP="002B7104" w14:paraId="2DF81BA3" w14:textId="3BA45936">
      <w:pPr>
        <w:pStyle w:val="NormalHanging12a"/>
      </w:pPr>
      <w:r>
        <w:t>28</w:t>
      </w:r>
      <w:r w:rsidRPr="004F1A99">
        <w:t>.</w:t>
      </w:r>
      <w:r w:rsidRPr="004F1A99">
        <w:tab/>
        <w:t xml:space="preserve">dar kartą patvirtina, kad, nors ES plėtros procesas ir toliau turi būti objektyvus, griežtai grindžiamas nuopelnais ir Kopenhagos kriterijais bei plėtros sistemos sąlygomis, plėtra yra abiem pusėms naudinga </w:t>
      </w:r>
      <w:r w:rsidRPr="004F1A99">
        <w:t>geostrateginė</w:t>
      </w:r>
      <w:r w:rsidRPr="004F1A99">
        <w:t xml:space="preserve"> investicija į taiką, stabilumą ir saugumą Europos žemyne, taip pat moralinė pareiga; todėl pabrėžia, kad Ukrainos ateitis yra ES, ir pripažįsta, kad Ukrainos integracija į ES yra strateginis Sąjungos prioritetas;</w:t>
      </w:r>
    </w:p>
    <w:p w:rsidR="002B7104" w:rsidRPr="004F1A99" w:rsidP="002B7104" w14:paraId="2248FF6D" w14:textId="2AFF3E4A">
      <w:pPr>
        <w:pStyle w:val="NormalHanging12a"/>
      </w:pPr>
      <w:r>
        <w:t>29</w:t>
      </w:r>
      <w:r w:rsidRPr="004F1A99">
        <w:t>.</w:t>
      </w:r>
      <w:r w:rsidRPr="004F1A99">
        <w:tab/>
        <w:t>palankiai vertina tai, kad Ukraina priėmė Nacionalinę Ukrainos teisės aktų pritaikymo prie Europos Sąjungos teisės programą, kuri yra pagrindinė struktūrizuoto ir skaidraus teisės aktų derinimo proceso planavimo priemonė, įskaitant jos plataus užmojo tvarkaraštį, pagal kurį iki 2027 m. pabaigos turi būti užbaigti visi būtini veiksmai, kad būtų įvykdyti kriterijai;</w:t>
      </w:r>
    </w:p>
    <w:p w:rsidR="002B7104" w:rsidRPr="004F1A99" w:rsidP="002B7104" w14:paraId="657BCFD0" w14:textId="1D057646">
      <w:pPr>
        <w:pStyle w:val="NormalHanging12a"/>
      </w:pPr>
      <w:r>
        <w:t>30</w:t>
      </w:r>
      <w:r w:rsidRPr="004F1A99">
        <w:t>.</w:t>
      </w:r>
      <w:r w:rsidRPr="004F1A99">
        <w:tab/>
        <w:t>palankiai vertina tai, kad užbaigtas visų skyrių grupių patikros procesas, ir atkreipia dėmesį į Komisijos ir Tarybos vertinimą, kad Ukraina padarė didelę pažangą, kad būtų atidarytos derybų skyrių grupės; džiaugiasi 2026 m. kovo mėn. Europos Vadovų Tarybos raginimu Tarybai nedelsiant atidaryti visas derybų skyrių grupes ir ragina Tarybą nedelsiant imtis tolesnių veiksmų dėl to sprendimo, pradedant nuo pagrindinių principų grupės; tuo tarpu palankiai vertina Komisijos ir Tarybai pirmininkaujančio Kipro sprendimą tęsti derybas techniniu lygmeniu, laukiant derybų pradžios ateityje;</w:t>
      </w:r>
    </w:p>
    <w:p w:rsidR="002B7104" w:rsidRPr="00E51003" w:rsidP="002B7104" w14:paraId="59E048E2" w14:textId="1EBA3413">
      <w:pPr>
        <w:pStyle w:val="NormalHanging12a"/>
        <w:rPr>
          <w:bCs/>
          <w:iCs/>
        </w:rPr>
      </w:pPr>
      <w:r>
        <w:t>31</w:t>
      </w:r>
      <w:r w:rsidRPr="004F1A99">
        <w:t>.</w:t>
      </w:r>
      <w:r w:rsidRPr="004F1A99">
        <w:tab/>
      </w:r>
      <w:r w:rsidRPr="004C03EB" w:rsidR="00770125">
        <w:t xml:space="preserve">primygtinai ragina visas valstybes nares, o ypač naująją Vengrijos vyriausybę, nustoti vetuoti derybų skyrių grupių atidarymą ir nebesinaudoti Ukrainos narystės ES perspektyvomis savo vidaus politikoje ir politinėse kampanijose; </w:t>
      </w:r>
      <w:r w:rsidRPr="00E51003" w:rsidR="00770125">
        <w:rPr>
          <w:bCs/>
          <w:iCs/>
        </w:rPr>
        <w:t>palankiai vertina tai, kad pradėta pirmoji stojimo derybų skyrių grupė dėl pagrindinių principų, ir tikisi, kad toliau seks kitos grupės</w:t>
      </w:r>
      <w:r w:rsidRPr="00E51003">
        <w:rPr>
          <w:bCs/>
          <w:iCs/>
        </w:rPr>
        <w:t>;</w:t>
      </w:r>
    </w:p>
    <w:p w:rsidR="002B7104" w:rsidRPr="004F1A99" w:rsidP="002B7104" w14:paraId="0C58FCA4" w14:textId="686C7E63">
      <w:pPr>
        <w:pStyle w:val="NormalHanging12a"/>
      </w:pPr>
      <w:r>
        <w:t>32</w:t>
      </w:r>
      <w:r w:rsidRPr="004F1A99">
        <w:t>.</w:t>
      </w:r>
      <w:r w:rsidRPr="004F1A99">
        <w:tab/>
        <w:t>supranta, kad galimas Ukrainos įstojimas į Sąjungą turės didelį poveikį biudžetui; vis dėlto atkreipia dėmesį į tai, kad tikimasi, jog didžioji dalis atstatymo išlaidų bus padengta ne iš ES biudžeto, o iš kitų šaltinių, todėl reikės ne tik didelių vidaus pastangų, bet ir tarptautinių finansų įstaigų, privačių investicijų ir šalių partnerių indėlio; pabrėžia, kad svarbu išsaugoti ir toliau stiprinti valstybių narių ir Ukrainos visuomenės paramą plėtros procesui ir Ukrainos stojimui, o tam reikia specialiai pritaikytos, faktais grindžiamos komunikacijos ES ir nacionaliniu lygmenimis, be kita ko, apie tai, kaip spręsti teisėtus susirūpinimą keliančius klausimus dėl poveikio tam tikriems ekonomikos sektoriams ir ES politikai, pvz., bendrai žemės ūkio politikai;</w:t>
      </w:r>
    </w:p>
    <w:p w:rsidR="002B7104" w:rsidP="002B7104" w14:paraId="4CE0E0B1" w14:textId="2CC8CB6A">
      <w:pPr>
        <w:pStyle w:val="NormalHanging12a"/>
      </w:pPr>
      <w:r>
        <w:t>33</w:t>
      </w:r>
      <w:r w:rsidRPr="004F1A99">
        <w:t>.</w:t>
      </w:r>
      <w:r w:rsidRPr="004F1A99">
        <w:tab/>
      </w:r>
      <w:r w:rsidRPr="004C03EB" w:rsidR="00715155">
        <w:t>ragina Tarybą, Komisiją ir valstybes nares pasitelkti novatorišką mąstymą siekiant užtikrinti, kad diskusijos apie Ukrainos narystę ES netaptų neigiamu veiksniu taikos derybose, kitose narystės siekiančiose šalyse ar Ukrainos vidaus politikoje</w:t>
      </w:r>
      <w:r w:rsidRPr="00E51003" w:rsidR="00715155">
        <w:t xml:space="preserve">; ragina valstybes nares aktyviai ir konstruktyviai dalyvauti diskusijose dėl pasiūlymų, kuriais siekiama skatinti Ukrainos integraciją į Europą, kartu atspindint ES strateginius interesus, atsižvelgiant į dinamiką narystės siekiančiose šalyse, įskaitant Rusijos bandymus pakenkti visuomenės paramai ES plėtrai ir stojimui į ES, ir didinti būsimą Ukrainos ir Europos žemyno saugumą; </w:t>
      </w:r>
      <w:r w:rsidRPr="004C03EB" w:rsidR="00715155">
        <w:t>pakartoja savo raginimą didinti ES gebėjimą veikti supaprastinant sprendimų priėmimo procesus, pvz., nustatyti balsavimą kvalifikuota balsų dauguma tarpiniuose plėtros proceso etapuose priimant sprendimus dėl atskirų derybų skyrių grupių ir skyrių atidarymo ir uždarymo, visapusiškai laikantis Sutarčių</w:t>
      </w:r>
      <w:r w:rsidRPr="004F1A99">
        <w:t>;</w:t>
      </w:r>
    </w:p>
    <w:p w:rsidR="00715155" w:rsidRPr="00E51003" w:rsidP="002B7104" w14:paraId="52F35FF2" w14:textId="2E3066E5">
      <w:pPr>
        <w:pStyle w:val="NormalHanging12a"/>
        <w:rPr>
          <w:bCs/>
          <w:iCs/>
        </w:rPr>
      </w:pPr>
      <w:r>
        <w:rPr>
          <w:bCs/>
          <w:iCs/>
        </w:rPr>
        <w:t>34</w:t>
      </w:r>
      <w:r w:rsidRPr="00E51003">
        <w:rPr>
          <w:bCs/>
          <w:iCs/>
        </w:rPr>
        <w:t>.</w:t>
      </w:r>
      <w:r w:rsidRPr="00715155">
        <w:rPr>
          <w:bCs/>
          <w:iCs/>
        </w:rPr>
        <w:tab/>
      </w:r>
      <w:r w:rsidRPr="00E51003">
        <w:rPr>
          <w:bCs/>
          <w:iCs/>
        </w:rPr>
        <w:t xml:space="preserve">primena savo anksčiau priimtą poziciją dėl žudynių </w:t>
      </w:r>
      <w:r w:rsidRPr="00E51003">
        <w:rPr>
          <w:bCs/>
          <w:iCs/>
        </w:rPr>
        <w:t>Volynėje</w:t>
      </w:r>
      <w:r w:rsidRPr="00E51003">
        <w:rPr>
          <w:bCs/>
          <w:iCs/>
        </w:rPr>
        <w:t xml:space="preserve">, apgailestauja dėl pastarojo meto nereikalingos ir neišprovokuotos prezidento </w:t>
      </w:r>
      <w:r w:rsidRPr="00E51003">
        <w:rPr>
          <w:bCs/>
          <w:iCs/>
        </w:rPr>
        <w:t>Volodymyro</w:t>
      </w:r>
      <w:r w:rsidRPr="00E51003">
        <w:rPr>
          <w:bCs/>
          <w:iCs/>
        </w:rPr>
        <w:t xml:space="preserve"> </w:t>
      </w:r>
      <w:r w:rsidRPr="00E51003">
        <w:rPr>
          <w:bCs/>
          <w:iCs/>
        </w:rPr>
        <w:t>Zelenskio</w:t>
      </w:r>
      <w:r w:rsidRPr="00E51003">
        <w:rPr>
          <w:bCs/>
          <w:iCs/>
        </w:rPr>
        <w:t xml:space="preserve"> </w:t>
      </w:r>
      <w:r w:rsidRPr="00E51003">
        <w:rPr>
          <w:bCs/>
          <w:iCs/>
        </w:rPr>
        <w:t>eskalacijos</w:t>
      </w:r>
      <w:r w:rsidRPr="00E51003">
        <w:rPr>
          <w:bCs/>
          <w:iCs/>
        </w:rPr>
        <w:t xml:space="preserve"> pervadinant Ukrainos ginkluotųjų pajėgų elitinį karinį dalinį Ukrainos </w:t>
      </w:r>
      <w:r w:rsidRPr="00E51003">
        <w:rPr>
          <w:bCs/>
          <w:iCs/>
        </w:rPr>
        <w:t xml:space="preserve">sukilėlių armijos (UPA) didvyrių vardu; apgailestauja dėl to, kad neatsižvelgiama į Lenkijai opius klausimus ir sielvartą, susijusius su UPA aukomis ir jų šeimos nariais, kurių, kaip vertinama, yra dešimtys tūkstančių, ypač atsižvelgiant į tvirtą Lenkijos paramą Ukrainos kovai su Rusijos agresija; mano, kad šis sprendimas kenkia kaimyniniams santykiams ir ankstesnėms pastangoms spręsti neišspręstus ir skausmingus dvišalių istorinių santykių aspektus tikro ir nuoširdaus susitaikymo dvasia ir neatitinka Europos vertybių; ragina gera valia </w:t>
      </w:r>
      <w:r w:rsidRPr="00E51003">
        <w:rPr>
          <w:bCs/>
          <w:iCs/>
        </w:rPr>
        <w:t>deeskaluoti</w:t>
      </w:r>
      <w:r w:rsidRPr="00E51003">
        <w:rPr>
          <w:bCs/>
          <w:iCs/>
        </w:rPr>
        <w:t xml:space="preserve"> padėtį ir atnaujinti pastangas siekiant susitaikymo;</w:t>
      </w:r>
    </w:p>
    <w:p w:rsidR="002B7104" w:rsidRPr="004F1A99" w:rsidP="002B7104" w14:paraId="6A18BA38" w14:textId="11E81A50">
      <w:pPr>
        <w:pStyle w:val="NormalHanging12a"/>
      </w:pPr>
      <w:r>
        <w:t>35</w:t>
      </w:r>
      <w:r w:rsidRPr="004F1A99">
        <w:t>.</w:t>
      </w:r>
      <w:r w:rsidRPr="004F1A99">
        <w:tab/>
        <w:t>mano, kad Ukrainos bendradarbiavimu grindžiama ir į ateitį orientuota politika kaimyninių šalių atžvilgiu, įskaitant dvišalių ginčų sprendimą ir istorinį dialogą, prisidedama prie stojimo proceso pažangos, ir pabrėžia, kad stojimo procesu neturėtų būti piktnaudžiaujama siekiant sutrukdyti Ukrainos nuopelnais grindžiamai pažangai siekiant narystės ES arba išryškinti platesnius strateginius ES interesus, ir kad tokie klausimai turi būti sprendžiami vykdant atvirą dialogą ir tikrą bendradarbiavimą;</w:t>
      </w:r>
    </w:p>
    <w:p w:rsidR="002B7104" w:rsidRPr="004F1A99" w:rsidP="002B7104" w14:paraId="51ACE0F7" w14:textId="77777777">
      <w:pPr>
        <w:pStyle w:val="Normal12a"/>
        <w:rPr>
          <w:bCs/>
          <w:i/>
          <w:iCs/>
        </w:rPr>
      </w:pPr>
      <w:r w:rsidRPr="004F1A99">
        <w:rPr>
          <w:b/>
          <w:i/>
        </w:rPr>
        <w:t>IV. Demokratija ir demokratinės institucijos</w:t>
      </w:r>
      <w:r w:rsidRPr="004F1A99">
        <w:rPr>
          <w:i/>
        </w:rPr>
        <w:t xml:space="preserve"> </w:t>
      </w:r>
    </w:p>
    <w:p w:rsidR="002B7104" w:rsidRPr="004F1A99" w:rsidP="002B7104" w14:paraId="703F4FC6" w14:textId="10462E9B">
      <w:pPr>
        <w:pStyle w:val="NormalHanging12a"/>
      </w:pPr>
      <w:r>
        <w:t>36</w:t>
      </w:r>
      <w:r w:rsidRPr="004F1A99">
        <w:t>.</w:t>
      </w:r>
      <w:r w:rsidRPr="004F1A99">
        <w:tab/>
        <w:t xml:space="preserve">giria Ukrainą už jos nepaprastai dideles pastangas siekiant sustiprinti demokratines institucijas karo metu; tačiau reiškia susirūpiną dėl pastaruoju metu pablogėjusių įstatymų leidžiamosios ir vykdomosios valdžios institucijų santykių; primygtinai ragina visus suinteresuotuosius subjektus atkurti produktyvius vyriausybės ir Aukščiausiosios </w:t>
      </w:r>
      <w:r w:rsidRPr="004F1A99">
        <w:t>Rados</w:t>
      </w:r>
      <w:r w:rsidRPr="004F1A99">
        <w:t xml:space="preserve"> santykius ir ragina visus Ukrainos politinius veikėjus, ypač tuos, kurie šiuo metu yra valdžioje, skatinti politinę vienybę ir nuoseklų bei įtraukų politikos formavimą, primygtinai raginant Ukrainos politines jėgas išlikti vieningoms šalies gynybos ir jos integracijos į ES kelyje; konkrečiai ragina Ukrainos valdžios institucijas laikytis galių pasidalijimo principo ir daugiapartinio pliuralizmo bei užtikrinti </w:t>
      </w:r>
      <w:r w:rsidRPr="004F1A99">
        <w:t>įtrauktį</w:t>
      </w:r>
      <w:r w:rsidRPr="004F1A99">
        <w:t xml:space="preserve">, deramai atsižvelgiant į vietos valdžios institucijų ir vietos savivaldos organų kompetencijas ir teises, pagarbą teisinei valstybei ir pagrindinėms laisvėms, įskaitant žiniasklaidos pliuralizmą, laikantis demokratinių principų ir vertybių, kurias ukrainiečiai taip ryžtingai ir drąsiai gina; ragina ES institucijas stiprinti bendradarbiavimą su Aukščiausiąja </w:t>
      </w:r>
      <w:r w:rsidRPr="004F1A99">
        <w:t>Rada</w:t>
      </w:r>
      <w:r w:rsidRPr="004F1A99">
        <w:t>;</w:t>
      </w:r>
    </w:p>
    <w:p w:rsidR="002B7104" w:rsidRPr="004F1A99" w:rsidP="002B7104" w14:paraId="47E45C49" w14:textId="6F76A4FB">
      <w:pPr>
        <w:pStyle w:val="NormalHanging12a"/>
        <w:rPr>
          <w:bCs/>
          <w:iCs/>
        </w:rPr>
      </w:pPr>
      <w:r>
        <w:t>37</w:t>
      </w:r>
      <w:r w:rsidRPr="004F1A99">
        <w:t>.</w:t>
      </w:r>
      <w:r w:rsidRPr="004F1A99">
        <w:tab/>
        <w:t xml:space="preserve">dar kartą pabrėžia didžiulę vidaus politinės vienybės svarbą, nes ji yra esminis Ukrainos ilgalaikio atsparumo besitęsiančiai Rusijos Federacijos agresijai ramstis; be to, pakartoja, kad svarbu puoselėti parlamentinį pliuralizmą, kuris yra demokratinio valdymo kertinis akmuo; pabrėžia, kad reikia konstruktyvaus ir prasmingo visų Aukščiausioje </w:t>
      </w:r>
      <w:r w:rsidRPr="004F1A99">
        <w:t>Radoje</w:t>
      </w:r>
      <w:r w:rsidRPr="004F1A99">
        <w:t xml:space="preserve"> atstovaujamų parlamentinių politinių jėgų bendradarbiavimo, kuriuo būtų siekiama stiprinti politinį, karinį, ekonominį ir socialinį atsparumą, taip pat įgyvendinti stojimo į ES kriterijus;</w:t>
      </w:r>
    </w:p>
    <w:p w:rsidR="002B7104" w:rsidRPr="004F1A99" w:rsidP="002B7104" w14:paraId="1EB53204" w14:textId="35A425A0">
      <w:pPr>
        <w:pStyle w:val="NormalHanging12a"/>
      </w:pPr>
      <w:r>
        <w:t>38</w:t>
      </w:r>
      <w:r w:rsidRPr="004F1A99">
        <w:t>.</w:t>
      </w:r>
      <w:r w:rsidRPr="004F1A99">
        <w:tab/>
        <w:t xml:space="preserve">pakartoja, kad Aukščiausioji </w:t>
      </w:r>
      <w:r w:rsidRPr="004F1A99">
        <w:t>Rada</w:t>
      </w:r>
      <w:r w:rsidRPr="004F1A99">
        <w:t xml:space="preserve"> atlieka esminį vaidmenį, siekiant, kad reformos būtų priimtos laiku; pabrėžia, kad svarbu gerbti ir stiprinti Aukščiausiosios </w:t>
      </w:r>
      <w:r w:rsidRPr="004F1A99">
        <w:t>Rados</w:t>
      </w:r>
      <w:r w:rsidRPr="004F1A99">
        <w:t xml:space="preserve"> institucinį vaidmenį, ir remia vykdomas reformas, kuriomis siekiama stiprinti jos teisėkūros gebėjimus, vykdomosios valdžios priežiūros funkciją ir atskaitomybę visuomenei; yra susirūpinęs dėl to, kad vėluojama priimti tokius įstatymus, ir ragina Aukščiausiąją </w:t>
      </w:r>
      <w:r w:rsidRPr="004F1A99">
        <w:t>Radą</w:t>
      </w:r>
      <w:r w:rsidRPr="004F1A99">
        <w:t xml:space="preserve"> ir jos narius nustatyti greitą jų priėmimo procedūrą, kartu visapusiškai užtikrinant parlamentinę pasiūlymų dėl teisėkūros procedūra priimamų aktų kontrolę;</w:t>
      </w:r>
    </w:p>
    <w:p w:rsidR="002B7104" w:rsidRPr="004F1A99" w:rsidP="002B7104" w14:paraId="284C8099" w14:textId="75442916">
      <w:pPr>
        <w:pStyle w:val="NormalHanging12a"/>
      </w:pPr>
      <w:r>
        <w:t>39</w:t>
      </w:r>
      <w:r w:rsidRPr="004F1A99">
        <w:t>.</w:t>
      </w:r>
      <w:r w:rsidRPr="004F1A99">
        <w:tab/>
        <w:t xml:space="preserve">primygtinai ragina Ukrainos vyriausybę ir opoziciją aktyviai ieškoti būdų ir praktinių sąlygų, be kita ko, ieškant naujų požiūrių į plataus masto politinį bendradarbiavimą ir bendradarbiauti siekiant pažangos vykdant europines reformas Ukrainai siekiant </w:t>
      </w:r>
      <w:r w:rsidRPr="004F1A99">
        <w:t xml:space="preserve">narystės ES; primena savo susirūpinimą dėl Ukrainos Aukščiausiosios </w:t>
      </w:r>
      <w:r w:rsidRPr="004F1A99">
        <w:t>Rados</w:t>
      </w:r>
      <w:r w:rsidRPr="004F1A99">
        <w:t xml:space="preserve"> narių kelionių į užsienį apribojimų ir pakartoja savo rekomendaciją panaikinti parlamento nariams taikomus su įgaliojimais susijusių ir politinių kelionių į užsienį apribojimus; rekomenduoja stiprinti Aukščiausiosios </w:t>
      </w:r>
      <w:r w:rsidRPr="004F1A99">
        <w:t>Rados</w:t>
      </w:r>
      <w:r w:rsidRPr="004F1A99">
        <w:t xml:space="preserve"> teisėkūros pajėgumus, kad būtų rengiami kokybiškesni teisės aktai ir kovojama su vadinamuoju teisėkūros brukalu, kai tuo pačiu metu platinami keli nekokybiški įstatymų projektai ta pačia tema;</w:t>
      </w:r>
    </w:p>
    <w:p w:rsidR="002B7104" w:rsidP="002B7104" w14:paraId="19EE2974" w14:textId="52E93983">
      <w:pPr>
        <w:pStyle w:val="NormalHanging12a"/>
      </w:pPr>
      <w:r>
        <w:t>40</w:t>
      </w:r>
      <w:r w:rsidRPr="004F1A99">
        <w:t>.</w:t>
      </w:r>
      <w:r w:rsidRPr="004F1A99">
        <w:tab/>
        <w:t xml:space="preserve">palankiai vertina nuolatinį Ukrainos dalyvavimą Rytų partnerystėje ir EURONEST parlamentinėje asamblėjoje; palankiai vertina Aukščiausiosios </w:t>
      </w:r>
      <w:r w:rsidRPr="004F1A99">
        <w:t>Rados</w:t>
      </w:r>
      <w:r w:rsidRPr="004F1A99">
        <w:t xml:space="preserve"> opozicijos narių dalyvavimą jos posėdžiuose;</w:t>
      </w:r>
    </w:p>
    <w:p w:rsidR="00715155" w:rsidRPr="00E51003" w:rsidP="002B7104" w14:paraId="0E34A78E" w14:textId="58502EA1">
      <w:pPr>
        <w:pStyle w:val="NormalHanging12a"/>
        <w:rPr>
          <w:bCs/>
          <w:iCs/>
        </w:rPr>
      </w:pPr>
      <w:r>
        <w:rPr>
          <w:bCs/>
          <w:iCs/>
        </w:rPr>
        <w:t>41</w:t>
      </w:r>
      <w:r w:rsidRPr="00E51003">
        <w:rPr>
          <w:bCs/>
          <w:iCs/>
        </w:rPr>
        <w:t>.</w:t>
      </w:r>
      <w:r w:rsidRPr="00715155">
        <w:rPr>
          <w:bCs/>
          <w:iCs/>
        </w:rPr>
        <w:tab/>
      </w:r>
      <w:r w:rsidRPr="00E51003">
        <w:rPr>
          <w:bCs/>
          <w:iCs/>
        </w:rPr>
        <w:t xml:space="preserve">pabrėžia, kad svarbu puoselėti konstruktyvią politinę kultūrą ir skatinti pasitikėjimu grindžiamą Ukrainos politinių partijų bendradarbiavimą; atkreipia dėmesį į aktyvų Ukrainos parlamento narių dalyvavimą </w:t>
      </w:r>
      <w:r w:rsidRPr="00E51003">
        <w:rPr>
          <w:bCs/>
          <w:iCs/>
        </w:rPr>
        <w:t>Jeano</w:t>
      </w:r>
      <w:r w:rsidRPr="00E51003">
        <w:rPr>
          <w:bCs/>
          <w:iCs/>
        </w:rPr>
        <w:t xml:space="preserve"> </w:t>
      </w:r>
      <w:r w:rsidRPr="00E51003">
        <w:rPr>
          <w:bCs/>
          <w:iCs/>
        </w:rPr>
        <w:t>Monnet</w:t>
      </w:r>
      <w:r w:rsidRPr="00E51003">
        <w:rPr>
          <w:bCs/>
          <w:iCs/>
        </w:rPr>
        <w:t xml:space="preserve"> dialoge taikos ir demokratijos klausimais su Ukrainos Aukščiausiąja </w:t>
      </w:r>
      <w:r w:rsidRPr="00E51003">
        <w:rPr>
          <w:bCs/>
          <w:iCs/>
        </w:rPr>
        <w:t>Rada</w:t>
      </w:r>
      <w:r w:rsidRPr="00E51003">
        <w:rPr>
          <w:bCs/>
          <w:iCs/>
        </w:rPr>
        <w:t xml:space="preserve"> ir į tai, šiemet sukanka 10 metų nuo jo pradžios 2016 m. spalio mėn.; palankiai vertina šį formatą kaip tvarią ir konstruktyvią partijų tarpusavio dialogo priemonę, kuri padėjo Aukščiausiosios </w:t>
      </w:r>
      <w:r w:rsidRPr="00E51003">
        <w:rPr>
          <w:bCs/>
          <w:iCs/>
        </w:rPr>
        <w:t>Rados</w:t>
      </w:r>
      <w:r w:rsidRPr="00E51003">
        <w:rPr>
          <w:bCs/>
          <w:iCs/>
        </w:rPr>
        <w:t xml:space="preserve"> vadovybei ir visoms parlamentinėms frakcijoms bei grupėms pasiekti bendrą sutarimą dėl institucinių reformų; ragina Aukščiausiąją </w:t>
      </w:r>
      <w:r w:rsidRPr="00E51003">
        <w:rPr>
          <w:bCs/>
          <w:iCs/>
        </w:rPr>
        <w:t>Radą</w:t>
      </w:r>
      <w:r w:rsidRPr="00E51003">
        <w:rPr>
          <w:bCs/>
          <w:iCs/>
        </w:rPr>
        <w:t xml:space="preserve"> surengti dar vieną raundą siekiant konsoliduoti reformas, kurių reikia Ukrainos stojimo procesui;</w:t>
      </w:r>
    </w:p>
    <w:p w:rsidR="002B7104" w:rsidRPr="004F1A99" w:rsidP="002B7104" w14:paraId="60B8FFA3" w14:textId="1719C0BD">
      <w:pPr>
        <w:pStyle w:val="NormalHanging12a"/>
      </w:pPr>
      <w:r>
        <w:t>42</w:t>
      </w:r>
      <w:r w:rsidRPr="004F1A99">
        <w:t>.</w:t>
      </w:r>
      <w:r w:rsidRPr="004F1A99">
        <w:tab/>
        <w:t>sveikina nepaprastai dideles Ukrainos pastangas rengiantis demokratiniams rinkimams, kurie įvyks panaikinus karo padėtį, ir primygtinai reikalauja, kad būtų skirta pakankamai laiko būtiniems laisvų ir sąžiningų rinkimų standartams ir sąlygoms įvykdyti; primena, kad pagal plačiai pripažintus demokratinius principus ir Ukrainos Konstituciją rinkimai negali būti rengiami karo metu ir esant karo padėčiai ir tam, kad būtų surengti tarptautinius standartus atitinkantys rinkimai, turi būti bendra saugi padėtis ir pakankamai laiko pasirengti ir gauti informacijos; todėl mano, kad JAV administracijos spaudimas Ukrainai surengti rinkimus, kol tęsiasi Rusijos agresijos karas ir šalyje yra karo padėtis, yra netinkamas, ir mano, kad tai neatitinka demokratinio teisėtumo tikslo;</w:t>
      </w:r>
    </w:p>
    <w:p w:rsidR="002B7104" w:rsidRPr="004F1A99" w:rsidP="002B7104" w14:paraId="3433E868" w14:textId="5203DBDD">
      <w:pPr>
        <w:pStyle w:val="NormalHanging12a"/>
      </w:pPr>
      <w:r>
        <w:t>43</w:t>
      </w:r>
      <w:r w:rsidRPr="004F1A99">
        <w:t>.</w:t>
      </w:r>
      <w:r w:rsidRPr="004F1A99">
        <w:tab/>
        <w:t xml:space="preserve">pripažįsta svarbų Aukščiausiosios </w:t>
      </w:r>
      <w:r w:rsidRPr="004F1A99">
        <w:t>Rados</w:t>
      </w:r>
      <w:r w:rsidRPr="004F1A99">
        <w:t xml:space="preserve"> įsteigtų darbo grupių darbą rengiant rinkimų teisės aktus pirmiesiems pokario rinkimams; ragina ES ir jos valstybes nares teikti pagalbą reformuojant Ukrainos rinkimų teisės aktus, be kita ko, šalinant kliūtis, trukdančias priverstinai perkeltiems asmenims dalyvauti parlamento ir prezidento rinkimuose, ir teikti finansinę paramą, visų pirma organizuojant balsavimą už Ukrainos ribų; rekomenduoja Europos Sąjungai visapusiškai remti ir parengti ilgalaikę tarptautinę rinkimų stebėjimo misiją;</w:t>
      </w:r>
    </w:p>
    <w:p w:rsidR="002B7104" w:rsidRPr="004F1A99" w:rsidP="002B7104" w14:paraId="4667AF9A" w14:textId="791698E1">
      <w:pPr>
        <w:pStyle w:val="NormalHanging12a"/>
      </w:pPr>
      <w:r>
        <w:t>44</w:t>
      </w:r>
      <w:r w:rsidRPr="004F1A99">
        <w:t>.</w:t>
      </w:r>
      <w:r w:rsidRPr="004F1A99">
        <w:tab/>
        <w:t xml:space="preserve">primena, kad Rusijos agresijos karas taip pat vykdomas informacijos srityje ir griežtai smerkia Rusijos bandymus </w:t>
      </w:r>
      <w:r w:rsidRPr="004F1A99">
        <w:t>delegitimizuoti</w:t>
      </w:r>
      <w:r w:rsidRPr="004F1A99">
        <w:t xml:space="preserve"> Ukrainos institucijas; pabrėžia, kad Rusijos kognityvinis karas nukreiptas prieš paramą Ukrainai Europos demokratinėse valstybėse, be kita ko, remiant įvairias politines partijas; todėl atkakliai ragina suteikti Ukrainai ES pagalbą kovojant su užsienio vykdomu manipuliavimu informacija ir kišimusi per rinkimus pasibaigus karui, panašią į Moldovos Respublikai suteiktą pagalbą, ir primygtinai ragina Ukrainą ir ES šiuo tikslu suvienyti jėgas;</w:t>
      </w:r>
    </w:p>
    <w:p w:rsidR="002B7104" w:rsidRPr="004F1A99" w:rsidP="002B7104" w14:paraId="12C88E46" w14:textId="72F3E9A5">
      <w:pPr>
        <w:pStyle w:val="NormalHanging12a"/>
      </w:pPr>
      <w:r>
        <w:t>45</w:t>
      </w:r>
      <w:r w:rsidRPr="004F1A99">
        <w:t>.</w:t>
      </w:r>
      <w:r w:rsidRPr="004F1A99">
        <w:tab/>
        <w:t xml:space="preserve">palankiai vertina tai, kad atkurtas parlamento posėdžių transliavimas, kuris sustiprino Ukrainos demokratinį teisėtumą; pripažįsta iššūkius, susijusius su pliuralistinės žiniasklaidos išlaikymu karo sąlygomis; pabrėžia, kad bet kokie tokiomis ypatingomis aplinkybėmis nustatyti apribojimai nėra nuolatinio pobūdžio ir turėtų būti reguliariai </w:t>
      </w:r>
      <w:r w:rsidRPr="004F1A99">
        <w:t>peržiūrimi ir koreguojami, kai tinkama ir įmanoma, atsižvelgiant į kintančią padėtį; pabrėžia, kad besitęsiant karui savaime nepateisinamas tolesnis apribojimų taikymas neribotą laiką ir kad, didėjant Ukrainos atsparumui, tokios priemonės turėtų būti palaipsniui švelninamos, paliekant galioti tik tas priemones, kurios yra tikrai būtinos ir proporcingos nacionalinio saugumo sumetimams;</w:t>
      </w:r>
    </w:p>
    <w:p w:rsidR="002B7104" w:rsidRPr="004F1A99" w:rsidP="002B7104" w14:paraId="3306D96A" w14:textId="77777777">
      <w:pPr>
        <w:pStyle w:val="NormalHanging12a"/>
        <w:rPr>
          <w:b/>
          <w:bCs/>
          <w:i/>
          <w:iCs/>
        </w:rPr>
      </w:pPr>
      <w:r w:rsidRPr="004F1A99">
        <w:rPr>
          <w:b/>
          <w:i/>
        </w:rPr>
        <w:t>V. Teisinė valstybė ir teismų reformos</w:t>
      </w:r>
    </w:p>
    <w:p w:rsidR="002B7104" w:rsidRPr="00E51003" w:rsidP="002B7104" w14:paraId="28CF8403" w14:textId="11472C0A">
      <w:pPr>
        <w:pStyle w:val="NormalHanging12a"/>
        <w:rPr>
          <w:bCs/>
          <w:iCs/>
        </w:rPr>
      </w:pPr>
      <w:r>
        <w:t>46</w:t>
      </w:r>
      <w:r w:rsidRPr="004F1A99">
        <w:t>.</w:t>
      </w:r>
      <w:r w:rsidRPr="004F1A99">
        <w:tab/>
      </w:r>
      <w:r w:rsidRPr="004C03EB" w:rsidR="00715155">
        <w:t>džiaugiasi tuo, kad priimtas 10 punktų prioritetinis reformų planas (vadinamasis M. </w:t>
      </w:r>
      <w:r w:rsidRPr="004C03EB" w:rsidR="00715155">
        <w:t>Kos</w:t>
      </w:r>
      <w:r w:rsidRPr="004C03EB" w:rsidR="00715155">
        <w:t xml:space="preserve"> ir T. </w:t>
      </w:r>
      <w:r w:rsidRPr="004C03EB" w:rsidR="00715155">
        <w:t>Kačkos</w:t>
      </w:r>
      <w:r w:rsidRPr="004C03EB" w:rsidR="00715155">
        <w:t xml:space="preserve"> planas), dėl kurio ES ir Ukraina susitarė 2025 m. gruodžio mėn. ir kuris yra svarbus žingsnis siekiant stiprinti teisinę valstybę, daryti pažangą vykdant teismų reformą ir sutvirtinti kovos su korupcija pastangas; palankiai vertina vykdomą darbą įgyvendinant šį planą ir ragina Ukrainą kuo greičiau pasiekti konkrečių rezultatų pereinant nuo diskusijų ar darbo grupių dėl svarbiausių reformų prie jų įgyvendinimo; </w:t>
      </w:r>
      <w:r w:rsidRPr="00E51003" w:rsidR="00715155">
        <w:rPr>
          <w:bCs/>
          <w:iCs/>
        </w:rPr>
        <w:t>pabrėžia, kad, Ukrainos ekspertų grupių bendruomenės vertinimu, plano įgyvendinimo lygis 2026 m. viduryje turėtų būti laikomas nepatenkinamu Ukrainos atžvilgiu, t. y. maždaug 15 proc.;</w:t>
      </w:r>
    </w:p>
    <w:p w:rsidR="002B7104" w:rsidRPr="004F1A99" w:rsidP="002B7104" w14:paraId="3C082C06" w14:textId="7271388C">
      <w:pPr>
        <w:pStyle w:val="NormalHanging12a"/>
      </w:pPr>
      <w:r>
        <w:t>47</w:t>
      </w:r>
      <w:r w:rsidRPr="004F1A99">
        <w:t>.</w:t>
      </w:r>
      <w:r w:rsidRPr="004F1A99">
        <w:tab/>
        <w:t>pabrėžia, kad svarbu laiku ir visapusiškai jį įgyvendinti, be kita ko, nustatant aiškiai apibrėžtas tarpines reikšmes, išmatuojamus rodiklius ir veiksmingus stebėsenos mechanizmus; reiškia susirūpinimą dėl nedidelės pažangos tam tikrose prioritetinėse srityse ir primygtinai ragina Ukrainos valdžios institucijas paspartinti įgyvendinimą remiantis aiškiais kriterijais ir ilgalaikiu politiniu įsipareigojimu, nes siekiant stiprinti Ukrainos demokratijos atsparumą ir paspartinti jos stojimo į ES procesą nepaprastai svarbus bus savalaikis, patikimas ir veiksmingas įgyvendinimas;</w:t>
      </w:r>
    </w:p>
    <w:p w:rsidR="002B7104" w:rsidRPr="004F1A99" w:rsidP="002B7104" w14:paraId="208DC038" w14:textId="7C93468C">
      <w:pPr>
        <w:pStyle w:val="NormalHanging12a"/>
      </w:pPr>
      <w:r>
        <w:t>48</w:t>
      </w:r>
      <w:r w:rsidRPr="004F1A99">
        <w:t>.</w:t>
      </w:r>
      <w:r w:rsidRPr="004F1A99">
        <w:tab/>
        <w:t xml:space="preserve">palankiai vertina tai, kad sukurta pavyzdinė iniciatyva „Ukraina2EU“, kurios ėmėsi ES, Lietuva ir Danija ir prie kurios prisijungė Švedija, Airija ir Lenkija, pagal kurią Ukrainos valdžios institucijoms teikiama tikslinė pagalba, kad jos galėtų atlikti veiksmus, kurių reikia siekiant užbaigti stojimo į ES procesą ir pasirengti narystei ES; akcentuoja tokių techninės pagalbos projektų, kaip šis, svarbą ir ragina juos nuolat remti, taip pat ragina kitas valstybes nares juose dalyvauti; giria pilietinės visuomenės organizacijas už jų pastangas stebėti įgyvendinimą ir remti tolesnę reformų pažangą. </w:t>
      </w:r>
    </w:p>
    <w:p w:rsidR="002B7104" w:rsidRPr="004F1A99" w:rsidP="002B7104" w14:paraId="7913D63E" w14:textId="39065415">
      <w:pPr>
        <w:pStyle w:val="NormalHanging12a"/>
      </w:pPr>
      <w:r>
        <w:t>49</w:t>
      </w:r>
      <w:r w:rsidRPr="004F1A99">
        <w:t>.</w:t>
      </w:r>
      <w:r w:rsidRPr="004F1A99">
        <w:tab/>
        <w:t xml:space="preserve">palankiai vertina Ukrainos pažangą vykdant teismų reformą ir kovojant su korupcija ir pripažįsta, kad tokia pažanga daroma itin sudėtingomis karo sąlygomis; ragina užtikrinti nuolatinę ir spartesnę pažangą šiose ypač svarbiose srityse, nes tvirta teisinė valstybė sudaro sąlygas skaidrumui ir atskaitomybei atstatymo bei ekonomikos gaivinimo procesuose ir gerina investicinę aplinką, taip pat didina tarptautinių partnerių pasitikėjimą; palankiai vertina 2025 m. gegužės mėn. priimtų teisinės valstybės veiksmų gairių įgyvendinimą ir pabrėžia, kad ši pažanga yra tiesiogiai susijusi su didėjančiu visuomenės pasitikėjimu valstybės institucijomis; </w:t>
      </w:r>
    </w:p>
    <w:p w:rsidR="002B7104" w:rsidRPr="004F1A99" w:rsidP="002B7104" w14:paraId="090F07AE" w14:textId="42D480C5">
      <w:pPr>
        <w:pStyle w:val="NormalHanging12a"/>
      </w:pPr>
      <w:r>
        <w:t>50</w:t>
      </w:r>
      <w:r w:rsidRPr="004F1A99">
        <w:t>.</w:t>
      </w:r>
      <w:r w:rsidRPr="004F1A99">
        <w:tab/>
        <w:t xml:space="preserve">tebėra susirūpinęs dėl to, kad nebuvo paskirti tarptautiniu mastu patikrinti Ukrainos Konstitucinio Teismo teisėjai; ragina Aukščiausiąją </w:t>
      </w:r>
      <w:r w:rsidRPr="004F1A99">
        <w:t>Radą</w:t>
      </w:r>
      <w:r w:rsidRPr="004F1A99">
        <w:t xml:space="preserve"> priimti Konstitucinio Teismo įstatymą atsižvelgiant į Venecijos komisijos nuomones, užtikrinant skaidrią atrankos procedūrą dalyvaujant tarptautiniams ekspertams ir dviejų trečdalių parlamento narių daugumą skiriant teisėjus; primygtinai ragina Ukrainą pasinaudoti turimomis tarptautinėmis ekspertinėmis žiniomis ir pagalba pertvarkant teismines institucijas, sykiu pripažįsta, kad siekiant tobulinti institucijas būtina įgyvendinti platesnio masto priemones veiklos rezultatams gerinti ir nepriklausomumui didinti; ragina 2026 m. </w:t>
      </w:r>
      <w:r w:rsidRPr="004F1A99">
        <w:t xml:space="preserve">prioriteto tvarka daryti pažangą vykdant visapusišką Ukrainos nacionalinės advokatų asociacijos reformą; </w:t>
      </w:r>
    </w:p>
    <w:p w:rsidR="002B7104" w:rsidRPr="004F1A99" w:rsidP="002B7104" w14:paraId="20A65B21" w14:textId="6D5CE8EB">
      <w:pPr>
        <w:pStyle w:val="NormalHanging12a"/>
      </w:pPr>
      <w:r>
        <w:t>51</w:t>
      </w:r>
      <w:r w:rsidRPr="004F1A99">
        <w:t>.</w:t>
      </w:r>
      <w:r w:rsidRPr="004F1A99">
        <w:tab/>
        <w:t>primygtinai ragina Ukrainą dėti papildomas pastangas siekiant užtikrinti teisminių institucijų pareigūnų profesionalumą ir sąžiningumą; pabrėžia, kad reikia užtikrinti skaidrų skyrimą į pareigas teisminėse institucijose ir veiksmingą korupcijos nusikaltimų tyrimą ir sankcijų už juos taikymą visais lygmenimis; ragina Ukrainą reformuoti generalinio prokuroro atrankos ir atleidimo procesą ir apriboti netinkamą įtaką atskiroms byloms, be kita ko, automatiškai priskiriant bylas ir ribojant galimybes susipažinti su bylomis; ragina teismines institucijas toliau investuoti į naujas technologijas siekiant spręsti darbuotojų trūkumo ir didelio darbo krūvio problemas; giria teismines institucijas už tai, kad jos tęsia darbą sudėtingomis sąlygomis, o Ukrainos pilietinę visuomenę – už teisinės valstybės reformų įgyvendinimo stebėseną;</w:t>
      </w:r>
    </w:p>
    <w:p w:rsidR="002B7104" w:rsidRPr="004F1A99" w:rsidP="002B7104" w14:paraId="2902CE51" w14:textId="20607A08">
      <w:pPr>
        <w:pStyle w:val="NormalHanging12a"/>
      </w:pPr>
      <w:r>
        <w:t>52</w:t>
      </w:r>
      <w:r w:rsidRPr="004F1A99">
        <w:t>.</w:t>
      </w:r>
      <w:r w:rsidRPr="004F1A99">
        <w:tab/>
        <w:t>ragina reformuoti Saugumo tarnybą (SBU) ir Valstybinį tyrimų biurą, remiantis prezidento V. </w:t>
      </w:r>
      <w:r w:rsidRPr="004F1A99">
        <w:t>Zelenskio</w:t>
      </w:r>
      <w:r w:rsidRPr="004F1A99">
        <w:t xml:space="preserve"> 2026 m. sausio 2 d. paskelbta iniciatyva, visų pirma imantis veiksmų dėl SBU veiklos kontržvalgybos, kovos su terorizmu ir kitų grėsmių saugumui šaltinių srityje, taip pat galimo dėl piktnaudžiavimo įgaliojimais ir žmogaus teisių užtikrinimo; labai vertina pastangas reformuoti šias institucijas karo metu; vis dėlto apgailestauja, kad iki 2026 m. balandžio mėn. pabaigos Aukščiausiosios </w:t>
      </w:r>
      <w:r w:rsidRPr="004F1A99">
        <w:t>Rados</w:t>
      </w:r>
      <w:r w:rsidRPr="004F1A99">
        <w:t xml:space="preserve"> plenariniame posėdyje nebuvo priimtas įstatymo dėl Valstybinio tyrimų biuro reformos projektas; pripažįsta ES patariamosios misijos Ukrainoje indėlį – jos svarbų darbą Europos integracijos srityje, įskaitant saugumo sektoriaus reformą, teisinės valstybės principo taikymą ir atskaitomybę; </w:t>
      </w:r>
    </w:p>
    <w:p w:rsidR="002B7104" w:rsidRPr="004F1A99" w:rsidP="002B7104" w14:paraId="6BB1BE48" w14:textId="303645B8">
      <w:pPr>
        <w:pStyle w:val="NormalHanging12a"/>
      </w:pPr>
      <w:r>
        <w:t>53</w:t>
      </w:r>
      <w:r w:rsidRPr="004F1A99">
        <w:t>.</w:t>
      </w:r>
      <w:r w:rsidRPr="004F1A99">
        <w:tab/>
        <w:t xml:space="preserve">ragina peržiūrėti baudžiamojo proceso kodeksą ir susijusius teisės aktus, kad būtų užtikrintas greitas ir kokybiškas teisingumas, visų pirma peržiūrint nuostatas, kuriomis numatomas automatinis tyrimų užbaigimas pasibaigus ikiteisminio tyrimo terminams ir sutrumpinti tyrimo terminai, nes tai kelia pavojų veiksmingiems sudėtingų baudžiamųjų bylų, įskaitant aukšto lygio korupcijos bylas, tyrimams; taip pat primygtinai ragina Ukrainos valdžios institucijas imtis veiksmų dėl kardomojo kalinimo praktikos ir piktnaudžiavimo procesinėmis teisėmis; ragina užtikrinti didesnį prieigos prie viešųjų įrašų skaidrumą, sykiu pripažįstant karo laikų saugumo poreikius; palankiai vertina tai, kad pradėtas taikyti naujas įstatymas dėl lobistinės veiklos; </w:t>
      </w:r>
    </w:p>
    <w:p w:rsidR="002B7104" w:rsidP="002B7104" w14:paraId="1CDDCD97" w14:textId="2D1D8241">
      <w:pPr>
        <w:pStyle w:val="NormalHanging12a"/>
      </w:pPr>
      <w:r>
        <w:t>54</w:t>
      </w:r>
      <w:r w:rsidRPr="004F1A99">
        <w:t>.</w:t>
      </w:r>
      <w:r w:rsidRPr="004F1A99">
        <w:tab/>
        <w:t>primygtinai ragina Ukrainos valdžios institucijas susilaikyti nuo bet kokių politiškai motyvuotų teismo procesų ir asmeninių sankcijų nustatymo opozicijos atstovams ir pilietinės visuomenės organizacijų lyderiams; pabrėžia, kad tokia praktika gali pakenkti demokratiniams standartams ir visuomenės pasitikėjimui;</w:t>
      </w:r>
    </w:p>
    <w:p w:rsidR="00715155" w:rsidRPr="00E51003" w:rsidP="002B7104" w14:paraId="61037031" w14:textId="601ACC5B">
      <w:pPr>
        <w:pStyle w:val="NormalHanging12a"/>
        <w:rPr>
          <w:bCs/>
          <w:iCs/>
        </w:rPr>
      </w:pPr>
      <w:r>
        <w:rPr>
          <w:bCs/>
          <w:iCs/>
        </w:rPr>
        <w:t>55</w:t>
      </w:r>
      <w:r w:rsidRPr="00E51003">
        <w:rPr>
          <w:bCs/>
          <w:iCs/>
        </w:rPr>
        <w:t>.</w:t>
      </w:r>
      <w:r w:rsidRPr="00715155">
        <w:rPr>
          <w:bCs/>
          <w:iCs/>
        </w:rPr>
        <w:tab/>
      </w:r>
      <w:r w:rsidRPr="00E51003">
        <w:rPr>
          <w:bCs/>
          <w:iCs/>
        </w:rPr>
        <w:t>ragina Ukrainos valdžios institucijas pašalinti iš nacionalinės teisės aktų visuotinai pripažintų Europos ir tarptautinių parlamento nepriklausomumo standartų, pvz., laisvo atstovo įgaliojimų, valdžių padalijimo ir teisinio tikrumo principo, pažeidimus, kiek jie susiję su klaidingu Ukrainos parlamento nario prilyginimu valstybės pareigūno statusui; pabrėžia, kad Ukrainos parlamento narys vykdo atstovavimo įgaliojimus ir nepriklauso jokiai administracinei hierarchijai, nėra skiriamas į pareigas, nevykdo oficialių funkcijų, todėl nacionalinės teisės aktuose negali būti apibrėžtas kaip valstybės pareigūnas;</w:t>
      </w:r>
    </w:p>
    <w:p w:rsidR="002B7104" w:rsidRPr="004F1A99" w:rsidP="002B7104" w14:paraId="0424D008" w14:textId="77777777">
      <w:pPr>
        <w:pStyle w:val="NormalHanging12a"/>
        <w:rPr>
          <w:b/>
          <w:bCs/>
          <w:i/>
          <w:iCs/>
        </w:rPr>
      </w:pPr>
      <w:r w:rsidRPr="004F1A99">
        <w:rPr>
          <w:b/>
          <w:i/>
        </w:rPr>
        <w:t>VI. Kova su korupcija</w:t>
      </w:r>
    </w:p>
    <w:p w:rsidR="002B7104" w:rsidRPr="004F1A99" w:rsidP="002B7104" w14:paraId="134D82E6" w14:textId="7F1EA99A">
      <w:pPr>
        <w:pStyle w:val="NormalHanging12a"/>
        <w:rPr>
          <w:bCs/>
          <w:iCs/>
        </w:rPr>
      </w:pPr>
      <w:r>
        <w:t>56</w:t>
      </w:r>
      <w:r w:rsidRPr="004F1A99">
        <w:t>.</w:t>
      </w:r>
      <w:r w:rsidRPr="004F1A99">
        <w:tab/>
        <w:t xml:space="preserve">palankiai vertina specializuotų kovos su korupcija agentūrų pažangą atskleidžiant didelio atgarsio sulaukusias bylas ir vykdant baudžiamąjį persekiojimą jose bei </w:t>
      </w:r>
      <w:r w:rsidRPr="004F1A99">
        <w:t>informavimo apie pažeidimus mechanizmų įgyvendinimą; akcentuoja, kad neseniai atskleista aukšto lygio korupcija yra tiek būtinybės toliau kovoti su korupcija, tiek pastangų tai daryti sėkmės įrodymas; pripažįsta, kad Ukraina pasiekė puikių rezultatų tirdama korupcijos atvejus ir vykdydama baudžiamąjį persekiojimą už juos; pabrėžia, kad tebėra labai svarbu pasiekti svarių ir negrįžtamų rezultatų vykdant tyrimus, baudžiamąjį persekiojimą ir priimant galutinius apkaltinamuosius nuosprendžius aukšto lygio korupcijos bylose; įspėja, kad bet koks regresas vykdant kovos su korupcija reformas labai pakenktų visuomenės pasitikėjimui ir Ukrainos integracijos į Europą keliui;</w:t>
      </w:r>
    </w:p>
    <w:p w:rsidR="002B7104" w:rsidRPr="004F1A99" w:rsidP="002B7104" w14:paraId="1FA369AE" w14:textId="565D8463">
      <w:pPr>
        <w:pStyle w:val="NormalHanging12a"/>
        <w:rPr>
          <w:bCs/>
          <w:iCs/>
        </w:rPr>
      </w:pPr>
      <w:r>
        <w:t>57</w:t>
      </w:r>
      <w:r w:rsidRPr="004F1A99">
        <w:t>.</w:t>
      </w:r>
      <w:r w:rsidRPr="004F1A99">
        <w:tab/>
        <w:t xml:space="preserve">palankiai vertina didelio masto naujų darbuotojų įdarbinimą į Ukrainos nacionalinį kovos su korupcija biurą ir Specializuotą kovos su korupcija prokuratūrą; be to, palankiai vertina tai, kad patvirtinta Ukrainos nacionalinio kovos su korupcija biuro plėtros strategija ir pradėtas darbas, susijęs su Specializuotos kovos su korupcija prokuratūros institucinės plėtros strategija; </w:t>
      </w:r>
    </w:p>
    <w:p w:rsidR="002B7104" w:rsidRPr="004F1A99" w:rsidP="002B7104" w14:paraId="5B19ED8F" w14:textId="5CACA527">
      <w:pPr>
        <w:pStyle w:val="NormalHanging12a"/>
        <w:rPr>
          <w:bCs/>
          <w:iCs/>
        </w:rPr>
      </w:pPr>
      <w:r>
        <w:t>58</w:t>
      </w:r>
      <w:r w:rsidRPr="004F1A99">
        <w:t>.</w:t>
      </w:r>
      <w:r w:rsidRPr="004F1A99">
        <w:tab/>
        <w:t>atkreipia dėmesį į itin svarbų pagrindinių kovos su korupcija institucijų, pvz., Ukrainos nacionalinio kovos su korupcija biuro, darbą, į pilietinės visuomenės pastangas išlaikyti kovos su korupcija administracijų nepriklausomumą ir didinti jų veiksmingumą; palankiai vertina tai, kad paskirti tarptautiniai Specializuotos kovos su korupcija prokuratūros atrankos komisijos nariai, ir kartu reiškia susirūpinimą dėl etikos klausimų, iškeltų dėl vieno iš Ukrainos narių; palankiai vertina didelę pažangą, padarytą rengiant pokalbius su kandidatais taikant griežtą, nepriklausomą, įtraukų ir skaidrų procesą, kurį Tarptautinių ekspertų viešoji taryba ir Aukščiausioji teisėjų kvalifikacinė komisija vykdo Aukštajam kovos su korupcija teismui;</w:t>
      </w:r>
    </w:p>
    <w:p w:rsidR="002B7104" w:rsidRPr="004F1A99" w:rsidP="002B7104" w14:paraId="0CBB6D61" w14:textId="6648A52E">
      <w:pPr>
        <w:pStyle w:val="NormalHanging12a"/>
        <w:rPr>
          <w:bCs/>
          <w:iCs/>
        </w:rPr>
      </w:pPr>
      <w:r>
        <w:t>59</w:t>
      </w:r>
      <w:r w:rsidRPr="004F1A99">
        <w:t>.</w:t>
      </w:r>
      <w:r w:rsidRPr="004F1A99">
        <w:tab/>
        <w:t xml:space="preserve">atkakliai ragina Ukrainos valdžios institucijas užtikrinti Ukrainos nacionalinio kovos su korupcija biuro ir Specializuotos kovos su korupcija prokuratūros institucinį bei veiklos nepriklausomumą; smerkia bet kokį politinį kišimąsi, </w:t>
      </w:r>
      <w:r w:rsidRPr="004F1A99">
        <w:t>instrumentalizavimą</w:t>
      </w:r>
      <w:r w:rsidRPr="004F1A99">
        <w:t xml:space="preserve"> ar bauginimą, nukreiptą prieš kovos su korupcija institucijas, įskaitant nepagrįstus patikrinimus, baudžiamąjį persekiojimą ar veiklos apribojimus, ir reikalauja nedelsiant nutraukti nederamą saugumo ir žvalgybos tarnybų, įskaitant SBU, spaudimą; pabrėžia, kad Ukrainos nacionalinio kovos su korupcija biuro ir Specializuotos kovos su korupcija prokuratūros veiklos užtikrinimas yra pagrindinė išankstinė teisinės valstybės, Ukrainos stojimo į ES proceso ir patikimo tarptautinės paramos naudojimo sąlyga; </w:t>
      </w:r>
    </w:p>
    <w:p w:rsidR="002B7104" w:rsidRPr="004F1A99" w:rsidP="002B7104" w14:paraId="0D5FE155" w14:textId="0BF5B1A7">
      <w:pPr>
        <w:pStyle w:val="NormalHanging12a"/>
        <w:rPr>
          <w:bCs/>
          <w:iCs/>
        </w:rPr>
      </w:pPr>
      <w:r>
        <w:t>60</w:t>
      </w:r>
      <w:r w:rsidRPr="004F1A99">
        <w:t>.</w:t>
      </w:r>
      <w:r w:rsidRPr="004F1A99">
        <w:tab/>
        <w:t>pakartoja, kad Nacionalinė korupcijos prevencijos agentūra turi tobulinti savo turto deklaracijų tikrinimo procedūras ir sutelkti pastangas į vyresniuosius pareigūnus nustatytose didelės rizikos srityse; primygtinai ragina Ukrainą visapusiškai įgyvendinti Turto susigrąžinimo ir valdymo agentūros reformą, įskaitant būtinus poįstatyminius aktus; apgailestauja dėl to, kad teisėsaugos institucijos, išskyrus specializuotas kovos su korupcija įstaigas, padarė tik nedidelę pažangą gerindamos savo kovos su korupcija bylų nagrinėjimo rezultatus;</w:t>
      </w:r>
    </w:p>
    <w:p w:rsidR="002B7104" w:rsidRPr="004F1A99" w:rsidP="002B7104" w14:paraId="32542B1C" w14:textId="6BAD0245">
      <w:pPr>
        <w:pStyle w:val="NormalHanging12a"/>
        <w:rPr>
          <w:bCs/>
          <w:iCs/>
        </w:rPr>
      </w:pPr>
      <w:r>
        <w:t>61</w:t>
      </w:r>
      <w:r w:rsidRPr="004F1A99">
        <w:t>.</w:t>
      </w:r>
      <w:r w:rsidRPr="004F1A99">
        <w:tab/>
        <w:t>palankiai vertina Ukrainos narystę Ekonominio bendradarbiavimo ir plėtros organizacijos Kovos su papirkinėjimu darbo grupėje ir mano, kad tai teigiamas žingsnis siekiant visateisės narystės ir dar vienas Ukrainos įsipareigojimo laikytis tarptautinių skaidrumo ir gero valdymo standartų patvirtinimas; pripažįsta Ukrainos pažangą įgyvendinant kovos su kyšininkavimu teisės aktus dėl tarptautinių sandorių, kaip šalies, kuri integruojasi į pasaulinę atsakingų ekonominės veiklos vykdytojų bendruomenę, ženklą, ir ragina Ukrainą toliau dėti pastangas siekiant užtikrinti šios pažangos tęstinumą;</w:t>
      </w:r>
    </w:p>
    <w:p w:rsidR="002B7104" w:rsidRPr="004F1A99" w:rsidP="002B7104" w14:paraId="6206919C" w14:textId="673D1084">
      <w:pPr>
        <w:pStyle w:val="NormalHanging12a"/>
        <w:rPr>
          <w:bCs/>
          <w:iCs/>
        </w:rPr>
      </w:pPr>
      <w:r>
        <w:t>62</w:t>
      </w:r>
      <w:r w:rsidRPr="004F1A99">
        <w:t>.</w:t>
      </w:r>
      <w:r w:rsidRPr="004F1A99">
        <w:tab/>
        <w:t>pakartoja nuolatinės kovos su organizuotu nusikalstamumu svarbą; primygtinai ragina Ukrainą dėti daugiau pastangų siekiant sustiprinti kovą su apgavystėmis ir sukčiavimu internete;</w:t>
      </w:r>
    </w:p>
    <w:p w:rsidR="002B7104" w:rsidRPr="004F1A99" w:rsidP="002B7104" w14:paraId="310CEF9B" w14:textId="77777777">
      <w:pPr>
        <w:pStyle w:val="Normal12a"/>
        <w:rPr>
          <w:i/>
          <w:iCs/>
        </w:rPr>
      </w:pPr>
      <w:r w:rsidRPr="004F1A99">
        <w:rPr>
          <w:b/>
          <w:i/>
        </w:rPr>
        <w:t>VII. Pagrindinės laisvės ir žmogaus teisės</w:t>
      </w:r>
    </w:p>
    <w:p w:rsidR="002B7104" w:rsidRPr="004F1A99" w:rsidP="002B7104" w14:paraId="5850D04B" w14:textId="2CAF971C">
      <w:pPr>
        <w:pStyle w:val="NormalHanging12a"/>
      </w:pPr>
      <w:r>
        <w:t>63</w:t>
      </w:r>
      <w:r w:rsidRPr="004F1A99">
        <w:t>.</w:t>
      </w:r>
      <w:r w:rsidRPr="004F1A99">
        <w:tab/>
        <w:t xml:space="preserve">džiaugiasi Ukrainos įsipareigojimu puoselėti pagrindines teises, nepaisant tebesitęsiančios Rusijos agresijos, ir ypač džiaugiasi jos tautinių mažumų veiksmų planu; ragina Ukrainą palaikyti struktūrinį ir konstruktyvų dialogą su kaimyninėmis valstybėmis narėmis tautinių mažumų narių teisių klausimais, laikantis Europos standartų ir Venecijos komisijos rekomendacijų; palankiai vertina Ukrainos valdžios institucijų pastangas reformuoti švietimo sistemą ir išreiškia viltį, kad 2027 m. įsigaliosiančio Švietimo įstatymo nuostatos nepažeis mažumų teisės į švietimą gimtąja kalba; </w:t>
      </w:r>
    </w:p>
    <w:p w:rsidR="002B7104" w:rsidRPr="004F1A99" w:rsidP="002B7104" w14:paraId="2F53B5EC" w14:textId="6744CA03">
      <w:pPr>
        <w:pStyle w:val="NormalHanging12a"/>
      </w:pPr>
      <w:r>
        <w:t>64</w:t>
      </w:r>
      <w:r w:rsidRPr="004F1A99">
        <w:t>.</w:t>
      </w:r>
      <w:r w:rsidRPr="004F1A99">
        <w:tab/>
        <w:t xml:space="preserve">ragina Ukrainą užtikrinti nuolatinę paramą saviraiškos laisvei ir žiniasklaidos nepriklausomumui; ragina Ukrainą užtikrinti, kad karo padėties apribojimai būtų taikomi tik tiek, kiek jie yra būtini ir proporcingi; ragina skubiai, nepriklausomai ir veiksmingai ištirti bauginimo ir tiesioginio priekabiavimo, taip pat netiesioginio spaudimo žurnalistams ir žiniasklaidos institucijoms atvejus; primena itin svarbų tinkamo finansavimo vaidmenį užtikrinant visuomeninio transliuotojo nepriklausomumą, kad jis galėtų atlikti savo vaidmenį, įtvirtintą Ukrainos teisėje, ir ragina Ukrainos valdžios institucijas užtikrinti, kad viešosiomis lėšomis finansuojamos žiniasklaidos kuriamas turinys atspindėtų Ukrainos politinį ir visuomeninį pliuralizmą; </w:t>
      </w:r>
    </w:p>
    <w:p w:rsidR="002B7104" w:rsidRPr="004F1A99" w:rsidP="002B7104" w14:paraId="3976EF0F" w14:textId="5506C1CF">
      <w:pPr>
        <w:pStyle w:val="NormalHanging12a"/>
      </w:pPr>
      <w:r>
        <w:t>65</w:t>
      </w:r>
      <w:r w:rsidRPr="004F1A99">
        <w:t>.</w:t>
      </w:r>
      <w:r w:rsidRPr="004F1A99">
        <w:tab/>
        <w:t xml:space="preserve">ragina priimti Įstatymo projektą Nr. 13597, kuriuo būtų sustiprinta teisinė apsauga nuo diskriminacijos, neapykantos nusikaltimų ir neapykantą kurstančių kalbų dėl rasės, odos spalvos, politinių, religinių ir kitų įsitikinimų, lyties, seksualinės orientacijos, lytinės tapatybės, pilietybės, etninės, socialinės ar užsienio kilmės, amžiaus, sveikatos būklės, negalios, šeimos ir nuosavybės statuso, šeimos teisių ir pareigų, gyvenamosios vietos, kalbos, profesijos ar kitų priežasčių, laikantis Ukrainos įsipareigojimų, prisiimtų pagal asociacijos susitarimą ir vykdant stojimo į ES procesą; </w:t>
      </w:r>
    </w:p>
    <w:p w:rsidR="002B7104" w:rsidRPr="004F1A99" w:rsidP="002B7104" w14:paraId="22BDE180" w14:textId="7F46118A">
      <w:pPr>
        <w:pStyle w:val="NormalHanging12a"/>
      </w:pPr>
      <w:r>
        <w:t>66</w:t>
      </w:r>
      <w:r w:rsidRPr="004F1A99">
        <w:t>.</w:t>
      </w:r>
      <w:r w:rsidRPr="004F1A99">
        <w:tab/>
        <w:t xml:space="preserve">palankiai vertina Ukrainos dedamas pastangas modernizuoti savo civilinės teisės aktus; pabrėžia, jog svarbu užtikrinti, kad visos šios reformos visiškai atitiktų ES lygybės ir nediskriminavimo standartus, įskaitant moterų ir LGBTIQ+ asmenų teisių apsaugą; palankiai vertina Ukrainos Aukščiausiojo Teismo sprendimą, kuriuo tos pačios lyties pora </w:t>
      </w:r>
      <w:r w:rsidRPr="004F1A99">
        <w:rPr>
          <w:i/>
          <w:iCs/>
        </w:rPr>
        <w:t>de facto</w:t>
      </w:r>
      <w:r w:rsidRPr="004F1A99">
        <w:t xml:space="preserve"> pripažįstama šeima; ragina priimti Įstatymo Nr. 9103 dėl teisinio civilinės partnerystės pripažinimo Ukrainoje projektą; </w:t>
      </w:r>
    </w:p>
    <w:p w:rsidR="002B7104" w:rsidRPr="004F1A99" w:rsidP="002B7104" w14:paraId="6980B72D" w14:textId="3E1BD830">
      <w:pPr>
        <w:pStyle w:val="NormalHanging12a"/>
      </w:pPr>
      <w:r>
        <w:t>67</w:t>
      </w:r>
      <w:r w:rsidRPr="004F1A99">
        <w:t>.</w:t>
      </w:r>
      <w:r w:rsidRPr="004F1A99">
        <w:tab/>
        <w:t xml:space="preserve">palankiai vertina Ukrainos pilietinės visuomenės vykdomą tikrinimą ir propagavimo veiklą, nes jų rezultatas – Ukrainos teisės aktų leidėjų pažadas atšaukti šeimos kodekso pakeitimų projektą, pagal kurį teismai išimtiniais atvejais būtų galėję patvirtinti vaikų (14 metų mergaičių) santuokas; primygtinai ragina Aukščiausiąją </w:t>
      </w:r>
      <w:r w:rsidRPr="004F1A99">
        <w:t>Radą</w:t>
      </w:r>
      <w:r w:rsidRPr="004F1A99">
        <w:t xml:space="preserve"> užtikrinti, kad šios nuostatos iš tiesų būtų visam laikui panaikintos; </w:t>
      </w:r>
    </w:p>
    <w:p w:rsidR="002B7104" w:rsidRPr="004F1A99" w:rsidP="002B7104" w14:paraId="0A0024B9" w14:textId="4D41896C">
      <w:pPr>
        <w:pStyle w:val="NormalHanging12a"/>
      </w:pPr>
      <w:r>
        <w:t>68</w:t>
      </w:r>
      <w:r w:rsidRPr="004F1A99">
        <w:t>.</w:t>
      </w:r>
      <w:r w:rsidRPr="004F1A99">
        <w:tab/>
        <w:t xml:space="preserve">ragina Ukrainą tęsti darbą priimant įstrigusį teisės aktą dėl asmens duomenų apsaugos; </w:t>
      </w:r>
    </w:p>
    <w:p w:rsidR="002B7104" w:rsidRPr="004F1A99" w:rsidP="002B7104" w14:paraId="428D8BD9" w14:textId="6641C1DC">
      <w:pPr>
        <w:pStyle w:val="NormalHanging12a"/>
      </w:pPr>
      <w:r>
        <w:t>69</w:t>
      </w:r>
      <w:r w:rsidRPr="004F1A99">
        <w:t>.</w:t>
      </w:r>
      <w:r w:rsidRPr="004F1A99">
        <w:tab/>
        <w:t xml:space="preserve">palankiai vertina priimtą </w:t>
      </w:r>
      <w:r w:rsidRPr="004F1A99">
        <w:t>deinstitucionalizavimo</w:t>
      </w:r>
      <w:r w:rsidRPr="004F1A99">
        <w:t xml:space="preserve"> strategiją ir darbą prieinamumo ir reabilitacijos paslaugų reformos srityje; vis dėlto pabrėžia, kad reikia skubiai priimti teisės aktus dėl asmenų su negalia reabilitacijos, sykiu užtikrinant, kad šios įtraukios reformos pasiektų vietos ir bendruomenės lygmenis;</w:t>
      </w:r>
    </w:p>
    <w:p w:rsidR="002B7104" w:rsidRPr="004F1A99" w:rsidP="002B7104" w14:paraId="4B3AD7FA" w14:textId="03B6F5A9">
      <w:pPr>
        <w:pStyle w:val="NormalHanging12a"/>
        <w:rPr>
          <w:b/>
          <w:i/>
        </w:rPr>
      </w:pPr>
      <w:r>
        <w:t>70</w:t>
      </w:r>
      <w:r w:rsidRPr="004F1A99">
        <w:t>.</w:t>
      </w:r>
      <w:r w:rsidRPr="004F1A99">
        <w:rPr>
          <w:b/>
          <w:i/>
        </w:rPr>
        <w:tab/>
      </w:r>
      <w:r w:rsidRPr="004F1A99">
        <w:t>atkreipia dėmesį į priimtą įstatymą, pagal kurį Ukrainos stačiatikių parapijos galės atsiskirti nuo Maskvos patriarchato jurisdikcijos ir laisvai apsispręsti dėl naujos hierarchinės priklausomybės; pažymi, kad 2024 m. rugpjūčio mėn. Rumunijos stačiatikių parapijos Ukrainoje pateikė prašymą pripažinti religinę asociaciją „Rumunijos stačiatikių bažnyčia Ukrainoje“, prie kurios gali prisijungti Rumunijos stačiatikių parapijos, atsiskyrusios nuo Maskvos patriarchato jurisdikcijos; ragina Ukrainos valdžios institucijas ilgiau nedelsiant įregistruoti religinę asociaciją „Rumunijos stačiatikių bažnyčia Ukrainoje“;</w:t>
      </w:r>
    </w:p>
    <w:p w:rsidR="002B7104" w:rsidRPr="004F1A99" w:rsidP="002B7104" w14:paraId="2B7C6AFD" w14:textId="77777777">
      <w:pPr>
        <w:pStyle w:val="NormalHanging12a"/>
        <w:rPr>
          <w:b/>
          <w:bCs/>
          <w:i/>
          <w:iCs/>
        </w:rPr>
      </w:pPr>
      <w:r w:rsidRPr="004F1A99">
        <w:rPr>
          <w:b/>
          <w:i/>
        </w:rPr>
        <w:t>VIII. Pilietinės visuomenės vaidmuo</w:t>
      </w:r>
    </w:p>
    <w:p w:rsidR="002B7104" w:rsidRPr="004F1A99" w:rsidP="002B7104" w14:paraId="5F21253B" w14:textId="1CFAF49E">
      <w:pPr>
        <w:pStyle w:val="NormalHanging12a"/>
      </w:pPr>
      <w:r>
        <w:t>71</w:t>
      </w:r>
      <w:r w:rsidRPr="004F1A99">
        <w:t>.</w:t>
      </w:r>
      <w:r w:rsidRPr="004F1A99">
        <w:tab/>
        <w:t>džiaugiasi, kad Ukrainos pilietinė visuomenė išlieka aktyvi, nepaisant karo metu patiriamų sunkumų; primygtinai ragina visas Ukrainos valdžios institucijas užtikrinti, kad būtų vykdomos sistemingos ir prasmingos konsultacijos su pilietine visuomene bei socialiniais partneriais ir tinkamai atsižvelgta į iš jų gautą informaciją, taip pat kovoti su bet kokios formos politiniu spaudimu pilietinės visuomenės organizacijoms; ragina Ukrainą priimti Piliečių apeliacinių skundų įstatymą, kad būtų užtikrintas geras valdymas ir piliečių dalyvavimas; pripažįsta pilietinės visuomenės svarbą didinant Ukrainos žmonių atsparumą karo metu ir pabrėžia esminį pilietinės visuomenės vaidmenį siekiant tvaraus Ukrainos atsigavimo po karo;</w:t>
      </w:r>
    </w:p>
    <w:p w:rsidR="002B7104" w:rsidRPr="004F1A99" w:rsidP="002B7104" w14:paraId="159E208D" w14:textId="628708EB">
      <w:pPr>
        <w:pStyle w:val="NormalHanging12a"/>
      </w:pPr>
      <w:r>
        <w:t>72</w:t>
      </w:r>
      <w:r w:rsidRPr="004F1A99">
        <w:t>.</w:t>
      </w:r>
      <w:r w:rsidRPr="004F1A99">
        <w:tab/>
        <w:t>palankiai vertina skaitmeninės demokratijos priemonių, įskaitant elektronines peticijas ir atvirus laiškus, naudojimą ir pritaria tam, kad reikia taikyti labiau struktūrizuotas ir institucionalizuotas pilietinio dalyvavimo formas, be kita ko, diasporos bendruomenėms;</w:t>
      </w:r>
    </w:p>
    <w:p w:rsidR="002B7104" w:rsidRPr="004F1A99" w:rsidP="002B7104" w14:paraId="6E538C13" w14:textId="716E1010">
      <w:pPr>
        <w:pStyle w:val="NormalHanging12a"/>
      </w:pPr>
      <w:r>
        <w:t>73</w:t>
      </w:r>
      <w:r w:rsidRPr="004F1A99">
        <w:t>.</w:t>
      </w:r>
      <w:r w:rsidRPr="004F1A99">
        <w:tab/>
        <w:t>ragina Komisiją sistemingai įtraukti Ukrainos pilietinę visuomenę ir kitas atitinkamas visuomenines organizacijas bei institucijas į ES finansinės paramos bei reformų rengimą ir stebėseną;</w:t>
      </w:r>
    </w:p>
    <w:p w:rsidR="002B7104" w:rsidRPr="004F1A99" w:rsidP="002B7104" w14:paraId="1631A05A" w14:textId="266B16D9">
      <w:pPr>
        <w:pStyle w:val="Normal12a"/>
        <w:ind w:left="567" w:hanging="567"/>
        <w:rPr>
          <w:bCs/>
        </w:rPr>
      </w:pPr>
      <w:r>
        <w:t>74</w:t>
      </w:r>
      <w:r w:rsidRPr="004F1A99">
        <w:t>.</w:t>
      </w:r>
      <w:r w:rsidRPr="004F1A99">
        <w:tab/>
        <w:t xml:space="preserve">palankiai vertina Europos ir tarptautinių nevyriausybinių organizacijų indėlį keičiantis patirtimi su Ukrainos pilietine visuomene ir teikiant paramą jai, visų pirma jų veiksmus kovojant su Rusijos dezinformacijos kampanijomis, nukreiptomis prieš Ukrainą ir ukrainiečius ES; ragina toliau stiprinti bendradarbiavimą su šiomis organizacijomis, kad būtų apsaugotos pagrindinės teisės, sustiprintas informacinis atsparumas ir remiamas patikimas viešasis diskursas; </w:t>
      </w:r>
    </w:p>
    <w:p w:rsidR="002B7104" w:rsidRPr="004F1A99" w:rsidP="002B7104" w14:paraId="08E16275" w14:textId="77777777">
      <w:pPr>
        <w:pStyle w:val="Normal12a"/>
        <w:rPr>
          <w:i/>
          <w:iCs/>
        </w:rPr>
      </w:pPr>
      <w:r w:rsidRPr="004F1A99">
        <w:rPr>
          <w:b/>
          <w:i/>
        </w:rPr>
        <w:t>IX. Integracija į bendrąją rinką</w:t>
      </w:r>
    </w:p>
    <w:p w:rsidR="002B7104" w:rsidRPr="004F1A99" w:rsidP="002B7104" w14:paraId="498ADA1A" w14:textId="75583EFF">
      <w:pPr>
        <w:pStyle w:val="NormalHanging12a"/>
        <w:rPr>
          <w:bCs/>
          <w:iCs/>
        </w:rPr>
      </w:pPr>
      <w:r>
        <w:t>75</w:t>
      </w:r>
      <w:r w:rsidRPr="004F1A99">
        <w:t>.</w:t>
      </w:r>
      <w:r w:rsidRPr="004F1A99">
        <w:tab/>
        <w:t>pabrėžia, kad svarbu spartinti Ukrainos laipsnišką integraciją į ES bendrąją rinką, nes ji ekonomiškai naudinga abiem pusėms – Ukrainai ir valstybėms narėms; pabrėžia, kad tai yra nepaprastai svarbus ES ekonominės paramos elementas kovojant su Rusijos agresija ir rengiant Ukrainos pramonę veikti ES bendrosios rinkos sąlygomis; rekomenduoja Ukrainai laikytis 10 prioritetų, išdėstytų ES ir Ukrainos išsamios ir visapusiškos laisvosios prekybos erdvės prioritetinių veiksmų plane;</w:t>
      </w:r>
    </w:p>
    <w:p w:rsidR="002B7104" w:rsidRPr="004F1A99" w:rsidP="002B7104" w14:paraId="6EDDE8BD" w14:textId="5575B75E">
      <w:pPr>
        <w:pStyle w:val="NormalHanging12a"/>
        <w:rPr>
          <w:bCs/>
          <w:iCs/>
        </w:rPr>
      </w:pPr>
      <w:r>
        <w:t>76</w:t>
      </w:r>
      <w:r w:rsidRPr="004F1A99">
        <w:t>.</w:t>
      </w:r>
      <w:r w:rsidRPr="004F1A99">
        <w:tab/>
        <w:t>ragina Komisiją ir valstybes nares atsižvelgti į glaudžias Ukrainos atstatymo ir būsimos integracijos į ES bendrąją rinką sąsajas; pabrėžia, kad į atstatymo planą turėtų būti įtrauktos priemonės, kuriomis būtų skatinamas reguliavimo suderinimas ir remiamos investicijos į ypatingos svarbos infrastruktūrą, transporto tinklus ir geležinkelių jungtis, taip sudarant palankesnes sąlygas laikytis bendrosios rinkos standartų ir stiprinant prekybos bei ekonominį bendradarbiavimą su valstybėmis narėmis;</w:t>
      </w:r>
    </w:p>
    <w:p w:rsidR="002B7104" w:rsidRPr="004F1A99" w:rsidP="002B7104" w14:paraId="52369DEF" w14:textId="20087F5F">
      <w:pPr>
        <w:pStyle w:val="NormalHanging12a"/>
        <w:rPr>
          <w:bCs/>
          <w:iCs/>
        </w:rPr>
      </w:pPr>
      <w:r>
        <w:t>77</w:t>
      </w:r>
      <w:r w:rsidRPr="004F1A99">
        <w:t>.</w:t>
      </w:r>
      <w:r w:rsidRPr="004F1A99">
        <w:tab/>
        <w:t xml:space="preserve">palankiai vertina tai, kad 2026 m. sausio mėn. Ukraina prisijungė prie ES tarptinklinio ryšio savo šalies kainomis erdvės, nes tai suteiks Ukrainos gyventojams vieną iš </w:t>
      </w:r>
      <w:r w:rsidRPr="004F1A99">
        <w:t>apčiuopiamiausių</w:t>
      </w:r>
      <w:r w:rsidRPr="004F1A99">
        <w:t xml:space="preserve"> ir iš karto juntamų privalumų jų šalies stojimo į ES procese;</w:t>
      </w:r>
    </w:p>
    <w:p w:rsidR="002B7104" w:rsidRPr="004F1A99" w:rsidP="002B7104" w14:paraId="1455BCA8" w14:textId="010B1A69">
      <w:pPr>
        <w:pStyle w:val="NormalHanging12a"/>
      </w:pPr>
      <w:r>
        <w:t>78</w:t>
      </w:r>
      <w:r w:rsidRPr="004F1A99">
        <w:t>.</w:t>
      </w:r>
      <w:r w:rsidRPr="004F1A99">
        <w:tab/>
        <w:t>palankiai vertina tai, kad Ukraina deda daugiau pastangų siekdama suderinti savo pozicijas su ES ir Pasaulio prekybos organizacija; ragina tarptautinės prekybos derybas glaudžiai koordinuoti su ES, visų pirma siekiant laipsniškos Ukrainos integracijos į ES bendrąją rinką ir stiprinti jos dalyvavimą pasaulinėse vertės grandinėse;</w:t>
      </w:r>
    </w:p>
    <w:p w:rsidR="002B7104" w:rsidRPr="004F1A99" w:rsidP="002B7104" w14:paraId="383342E9" w14:textId="77777777">
      <w:pPr>
        <w:pStyle w:val="NormalHanging12a"/>
        <w:rPr>
          <w:b/>
          <w:bCs/>
          <w:i/>
          <w:iCs/>
        </w:rPr>
      </w:pPr>
      <w:r w:rsidRPr="004F1A99">
        <w:rPr>
          <w:b/>
          <w:i/>
        </w:rPr>
        <w:t>X. Bendradarbiavimas gynybos srityje</w:t>
      </w:r>
    </w:p>
    <w:p w:rsidR="002B7104" w:rsidRPr="004F1A99" w:rsidP="002B7104" w14:paraId="219AC23B" w14:textId="2200D8C8">
      <w:pPr>
        <w:pStyle w:val="NormalHanging12a"/>
      </w:pPr>
      <w:r>
        <w:t>79</w:t>
      </w:r>
      <w:r w:rsidRPr="004F1A99">
        <w:t>.</w:t>
      </w:r>
      <w:r w:rsidRPr="004F1A99">
        <w:tab/>
        <w:t>pripažįsta, kad Ukrainos gynybos pramonė tapo gyvybiškai svarbiu ir papildomu Europos saugumo komponentu, visų pirma kiek tai susiję su dronų gamybos pajėgumais, kovos sąlygomis išbandytomis bepiločių orlaivių sistemų inovacijomis, elektronine kova ir mūšio lauko programine įranga;</w:t>
      </w:r>
    </w:p>
    <w:p w:rsidR="002B7104" w:rsidRPr="004F1A99" w:rsidP="002B7104" w14:paraId="491A2641" w14:textId="158931B3">
      <w:pPr>
        <w:pStyle w:val="NormalHanging12a"/>
        <w:rPr>
          <w:iCs/>
        </w:rPr>
      </w:pPr>
      <w:r>
        <w:t>80</w:t>
      </w:r>
      <w:r w:rsidRPr="004F1A99">
        <w:t>.</w:t>
      </w:r>
      <w:r w:rsidRPr="004F1A99">
        <w:tab/>
        <w:t>todėl palankiai vertina glaudesnį Ukrainos ir ES bei jos valstybių narių bendradarbiavimą saugumo ir gynybos klausimais, visų pirma pasitelkiant Europos taikos priemonę, ir ragina stiprinti bendradarbiavimą pagal Europos saugumo veiksmų priemonę (SAFE) ir Europos gynybos pramonės programą (EGPP), kad būtų patenkinti svarbiausi Ukrainos gynybos poreikiai ir sudarytos palankesnės sąlygos Ukrainos gynybos pramonės integracijai į ES pramonės ekosistemą; pabrėžia Ukrainos tapimo Europos gynybos fondo asocijuotąja šalimi svarbą ir ragina nedelsiant vykdyti būtinas derybas; palankiai vertina tai, kad įsteigta ES ir Ukrainos bendradarbiavimo gynybos pramonės srityje darbo grupė ir iniciatyva „</w:t>
      </w:r>
      <w:r w:rsidRPr="004F1A99">
        <w:t>BraveTech</w:t>
      </w:r>
      <w:r w:rsidRPr="004F1A99">
        <w:t xml:space="preserve"> EU“; ragina ES remti Ukrainos gynybos technologinės ir pramoninės bazės integraciją į EGTPB, visų pirma pasitelkiant EGPP ir būsimą Europos konkurencingumo fondą; pripažįsta, kad Ukrainos patirtis mūšio lauke buvo dar kartą pademonstruota Artimuosiuose Rytuose ginant Persijos įlankos valstybes; pakartoja, kad Ukraina turi labiausiai patyrusias karines pajėgas Europoje;</w:t>
      </w:r>
    </w:p>
    <w:p w:rsidR="002B7104" w:rsidRPr="004F1A99" w:rsidP="002B7104" w14:paraId="0B3A56C5" w14:textId="4B44521E">
      <w:pPr>
        <w:pStyle w:val="NormalHanging12a"/>
        <w:rPr>
          <w:bCs/>
          <w:iCs/>
        </w:rPr>
      </w:pPr>
      <w:r>
        <w:t>81</w:t>
      </w:r>
      <w:r w:rsidRPr="004F1A99">
        <w:t>.</w:t>
      </w:r>
      <w:r w:rsidRPr="004F1A99">
        <w:tab/>
        <w:t>pabrėžia, kad strateginiu požiūriu svarbu rengti reguliarias bendras karines pratybas ir laipsniškai integruoti Ukrainą į ES vadovaujamas mokymo ir operatyvines sistemas, nes tai yra priemonė parengčiai, sąveikumui su Europos pajėgomis ir suderinamumui su NATO standartais didinti; be to, ragina stiprinti bendras Sąjungos ir Ukrainos investicijų iniciatyvas gynybos pramonės sektoriuje, įskaitant karinės įrangos bendrą kūrimą ir gamybą, nes tai sustiprintų Ukrainos savigynos pajėgumus; ragina imtis ilgalaikių priemonių siekiant stiprinti Ukrainos ir Europos gynybos technologinių ir pramoninių bazių sąsajas, mažinti strateginę priklausomybę bei prisidėti prie ilgalaikio saugumo ir stabilumo Europos žemyne;</w:t>
      </w:r>
    </w:p>
    <w:p w:rsidR="002B7104" w:rsidRPr="004F1A99" w:rsidP="002B7104" w14:paraId="581F7E29" w14:textId="170F1FEE">
      <w:pPr>
        <w:pStyle w:val="NormalHanging12a"/>
        <w:rPr>
          <w:bCs/>
          <w:iCs/>
        </w:rPr>
      </w:pPr>
      <w:r>
        <w:t>82</w:t>
      </w:r>
      <w:r w:rsidRPr="004F1A99">
        <w:t>.</w:t>
      </w:r>
      <w:r w:rsidRPr="004F1A99">
        <w:tab/>
        <w:t>pabrėžia, kad strateginiu požiūriu svarbu didinti karinį mobilumą siekiant remti Ukrainos gynybą ir atsparumą, užtikrinant greitą įrangos ir humanitarinės pagalbos dislokavimą Ukrainos pajėgoms; pabrėžia itin svarbų Juodosios jūros pakrantės valstybių ir rytinio pasienio šalių vaidmenį sudarant palankesnes sąlygas saugiems tranzito maršrutams, iš anksto išdėstant įrangą ir vykdant bendrą operatyvinį koordinavimą su Ukraina; ragina Komisiją ir valstybes nares stiprinti infrastruktūrą, sąveikumą ir logistikos sistemas šiuose regionuose, be kita ko, vykdant bendras pratybas ir tikslines investicijas, kad būtų galima sustiprinti Ukrainos operatyvinius pajėgumus, jos teritorinį vientisumą ir atgrasyti nuo tolesnės agresijos;</w:t>
      </w:r>
    </w:p>
    <w:p w:rsidR="002B7104" w:rsidRPr="004F1A99" w:rsidP="002B7104" w14:paraId="4B37C662" w14:textId="3A48B325">
      <w:pPr>
        <w:pStyle w:val="NormalHanging12a"/>
        <w:rPr>
          <w:bCs/>
          <w:iCs/>
        </w:rPr>
      </w:pPr>
      <w:r>
        <w:t>83</w:t>
      </w:r>
      <w:r w:rsidRPr="004F1A99">
        <w:t>.</w:t>
      </w:r>
      <w:r w:rsidRPr="004F1A99">
        <w:tab/>
        <w:t xml:space="preserve">palankiai vertina tai, kad priimta Ukrainos 2030 m. veteranų politikos strategija; pabrėžia, kad svarbu veiksmingai </w:t>
      </w:r>
      <w:r w:rsidRPr="004F1A99">
        <w:t>reintegruoti</w:t>
      </w:r>
      <w:r w:rsidRPr="004F1A99">
        <w:t xml:space="preserve"> Ukrainos karo veteranus į civilinį gyvenimą, nes tai yra svarbi Ukrainos ilgalaikio atsigavimo ir socialinės sanglaudos sudedamoji dalis; pabrėžia, kad daugėja veteranų su negalia ir kad reikia stiprinti prieinamumo politikos įgyvendinimą ir asmenų su negalia teises; ragina ES ir jos valstybes nares toliau padėti Ukrainai šioje srityje; pripažįsta strateginę Ukrainos veteranų patirties vertę Europos saugumui ir gynybai, įskaitant jų unikalią praktinę patirtį šiuolaikinio karo metu, pvz., kovojant su bepiločių orlaivių sistemomis, užtikrinant mūšio lauko mediciną ir aukų evakuaciją didelio intensyvumo konfliktų metu; pabrėžia, kad reikia užkirsti kelią jų pažeidžiamumui dėl socialinės </w:t>
      </w:r>
      <w:r w:rsidRPr="004F1A99">
        <w:t>marginalizacijos</w:t>
      </w:r>
      <w:r w:rsidRPr="004F1A99">
        <w:t xml:space="preserve"> ir priešiško, be kita ko, Rusijos Federacijos vykdomo, manipuliavimo;</w:t>
      </w:r>
    </w:p>
    <w:p w:rsidR="002B7104" w:rsidRPr="004F1A99" w:rsidP="002B7104" w14:paraId="35C26F20" w14:textId="120D6970">
      <w:pPr>
        <w:pStyle w:val="NormalHanging12a"/>
        <w:rPr>
          <w:bCs/>
          <w:iCs/>
        </w:rPr>
      </w:pPr>
      <w:r>
        <w:t>84</w:t>
      </w:r>
      <w:r w:rsidRPr="004F1A99">
        <w:t>.</w:t>
      </w:r>
      <w:r w:rsidRPr="004F1A99">
        <w:tab/>
        <w:t>ragina Komisiją sukurti tinkamas sistemas, kuriomis Ukrainos unikali karo metu įgyta patirtis civilinės saugos, ypatingos svarbos infrastruktūros atsparumo, kovos su dezinformacija ir valdymo plataus masto karinės agresijos sąlygomis srityse būtų integruota į Sąjungos parengties, atsparumo ir saugumo politiką;</w:t>
      </w:r>
    </w:p>
    <w:p w:rsidR="002B7104" w:rsidRPr="004F1A99" w:rsidP="002B7104" w14:paraId="7F2DEA13" w14:textId="27929CBF">
      <w:pPr>
        <w:pStyle w:val="NormalHanging12a"/>
        <w:rPr>
          <w:bCs/>
          <w:iCs/>
        </w:rPr>
      </w:pPr>
      <w:r>
        <w:t>85</w:t>
      </w:r>
      <w:r w:rsidRPr="004F1A99">
        <w:t>.</w:t>
      </w:r>
      <w:r w:rsidRPr="004F1A99">
        <w:tab/>
        <w:t xml:space="preserve">pripažįsta didelę politinę, finansinę, humanitarinę ir karinę pagalbą, kurią ES nepriklausančios šalys ir tarptautiniai partneriai suteikė Ukrainai nuo Rusijos Federacijos plataus masto invazijos pradžios 2022 m.; pabrėžia, kad ši plati paramos koalicija atspindi bendrą įsipareigojimą laikytis tarptautinės teisės ir Jungtinių Tautų Chartijoje įtvirtintų principų; šiuo atžvilgiu atkreipia dėmesį į svarbų Jungtinių Amerikos Valstijų indėlį – jos suteikė daugiau kaip 66,9 mlrd. JAV dolerių vertės karinės pagalbos; be to, akcentuoja svarbų Jungtinės Karalystės, Kanados, Japonijos, Norvegijos, Naujosios Zelandijos ir Australijos, kurios prisijungė prie tarptautinių sankcijų Rusijos Federacijai ir prisidėjo prie paramos Ukrainos kariuomenei ir personalo mokymo, taip pat prie humanitarinės pagalbos ir </w:t>
      </w:r>
      <w:r w:rsidRPr="004F1A99">
        <w:t>makrofinansinės</w:t>
      </w:r>
      <w:r w:rsidRPr="004F1A99">
        <w:t xml:space="preserve"> paramos Ukrainai, vaidmenį; pripažįsta svarbią Turkijos pagalbą, įskaitant karinę ir humanitarinę paramą bei diplomatines pastangas; taip pat atkreipia dėmesį į Moldovos Respublikos, rodančios regioninį solidarumą besitęsiančios Rusijos agresijos akivaizdoje, humanitarinę pagalbą;</w:t>
      </w:r>
    </w:p>
    <w:p w:rsidR="002B7104" w:rsidRPr="004F1A99" w:rsidP="002B7104" w14:paraId="1F79D7BC" w14:textId="77777777">
      <w:pPr>
        <w:pStyle w:val="NormalHanging12a"/>
        <w:rPr>
          <w:b/>
          <w:i/>
          <w:iCs/>
        </w:rPr>
      </w:pPr>
      <w:r w:rsidRPr="004F1A99">
        <w:rPr>
          <w:b/>
          <w:i/>
        </w:rPr>
        <w:t>XI. Regioninis bendradarbiavimas ir geri kaimyniniai santykiai</w:t>
      </w:r>
    </w:p>
    <w:p w:rsidR="002B7104" w:rsidRPr="004F1A99" w:rsidP="002B7104" w14:paraId="20561274" w14:textId="327C9FA3">
      <w:pPr>
        <w:pStyle w:val="NormalHanging12a"/>
        <w:rPr>
          <w:bCs/>
          <w:iCs/>
        </w:rPr>
      </w:pPr>
      <w:r w:rsidRPr="004F1A99">
        <w:t>8</w:t>
      </w:r>
      <w:r w:rsidR="00D840CE">
        <w:t>6</w:t>
      </w:r>
      <w:r w:rsidRPr="004F1A99">
        <w:t>.</w:t>
      </w:r>
      <w:r w:rsidRPr="004F1A99">
        <w:tab/>
        <w:t>teigiamai vertina tai, kad išspręstas Ukrainos ir Vengrijos (ir Slovakijos) ginčas dėl nutraukto Rusijos naftos tiekimo naftotiekiu „</w:t>
      </w:r>
      <w:r w:rsidRPr="004F1A99">
        <w:t>Družba</w:t>
      </w:r>
      <w:r w:rsidRPr="004F1A99">
        <w:t>“; pabrėžia, kad dėl ginčo Vengrijoje ir Slovakijoje nebuvo tiekimo trūkumo, nes yra lengvai prieinamų alternatyvių transportavimo naftotiekiu „</w:t>
      </w:r>
      <w:r w:rsidRPr="004F1A99">
        <w:t>Adria</w:t>
      </w:r>
      <w:r w:rsidRPr="004F1A99">
        <w:t>“ galimybių, kurių papildoma nauda yra tai, kad neremiama Rusijos ekonomika; pažymi, kad Vengrijos įmonės nuo Rusijos agresijos prieš Ukrainą pradžios, prieštaraudamos ES politikai, padidino savo Rusijos energijos importą; pažymi, kad degalų kainos Vengrijoje viršija Europos vidurkį ir kad argumentai apie didesnes sąnaudas naudojant naftotiekį „</w:t>
      </w:r>
      <w:r w:rsidRPr="004F1A99">
        <w:t>Adria</w:t>
      </w:r>
      <w:r w:rsidRPr="004F1A99">
        <w:t xml:space="preserve">“ yra išgalvoti; </w:t>
      </w:r>
    </w:p>
    <w:p w:rsidR="002B7104" w:rsidRPr="004F1A99" w:rsidP="002B7104" w14:paraId="210EA6BD" w14:textId="46169C35">
      <w:pPr>
        <w:pStyle w:val="NormalHanging12a"/>
        <w:rPr>
          <w:bCs/>
          <w:iCs/>
        </w:rPr>
      </w:pPr>
      <w:r w:rsidRPr="004F1A99">
        <w:t>8</w:t>
      </w:r>
      <w:r w:rsidR="00D840CE">
        <w:t>7</w:t>
      </w:r>
      <w:r w:rsidRPr="004F1A99">
        <w:t>.</w:t>
      </w:r>
      <w:r w:rsidRPr="004F1A99">
        <w:tab/>
        <w:t xml:space="preserve">pabrėžia, kad visų valstybių narių, ne tik Vengrijos ir Slovakijos vyriausybių, pareiga yra laipsniškai panaikinti priklausomybę nuo Rusijos energijos tiekimo ir infrastruktūros; </w:t>
      </w:r>
    </w:p>
    <w:p w:rsidR="002B7104" w:rsidRPr="004F1A99" w:rsidP="002B7104" w14:paraId="4A1F55C9" w14:textId="5B452DBD">
      <w:pPr>
        <w:pStyle w:val="NormalHanging12a"/>
        <w:rPr>
          <w:bCs/>
          <w:iCs/>
        </w:rPr>
      </w:pPr>
      <w:r w:rsidRPr="004F1A99">
        <w:t>8</w:t>
      </w:r>
      <w:r w:rsidR="00D840CE">
        <w:t>8</w:t>
      </w:r>
      <w:r w:rsidRPr="004F1A99">
        <w:t>.</w:t>
      </w:r>
      <w:r w:rsidRPr="004F1A99">
        <w:tab/>
        <w:t>smerkia ankstesnius Vengrijos teisėsaugos veiksmus sulaikant Ukrainos banko „</w:t>
      </w:r>
      <w:r w:rsidRPr="004F1A99">
        <w:t>Oschadbank</w:t>
      </w:r>
      <w:r w:rsidRPr="004F1A99">
        <w:t>“ darbuotojus ir konfiskuojant grynuosius pinigus bei auksą, kuriems prieš tai Vengrijos muitinė buvo suteikusi tinkamą leidimą; palankiai vertina tai, kad neseniai šis ginčas išspręstas;</w:t>
      </w:r>
    </w:p>
    <w:p w:rsidR="002B7104" w:rsidRPr="004F1A99" w:rsidP="002B7104" w14:paraId="2F2AD18B" w14:textId="77777777">
      <w:pPr>
        <w:pStyle w:val="NormalHanging12a"/>
        <w:rPr>
          <w:i/>
          <w:iCs/>
        </w:rPr>
      </w:pPr>
      <w:r w:rsidRPr="004F1A99">
        <w:rPr>
          <w:b/>
          <w:i/>
        </w:rPr>
        <w:t>XII. Socialinės ir ekonominės reformos</w:t>
      </w:r>
    </w:p>
    <w:p w:rsidR="002B7104" w:rsidRPr="004F1A99" w:rsidP="002B7104" w14:paraId="18B58CF4" w14:textId="3E94018F">
      <w:pPr>
        <w:pStyle w:val="NormalHanging12a"/>
      </w:pPr>
      <w:r>
        <w:t>89</w:t>
      </w:r>
      <w:r w:rsidRPr="004F1A99">
        <w:t>.</w:t>
      </w:r>
      <w:r w:rsidRPr="004F1A99">
        <w:tab/>
        <w:t>labai gerai vertina tai, kad Ukraina patvirtino viešojo administravimo reformą ir kad šiuo metu vykdomas praktinis Ukrainos įtraukimas į ES valdymo struktūras ir ekonomines, reguliavimo bei saugumo sistemas; ragina Ukrainos vyriausybę laikytis sisteminio požiūrio į viešojo administravimo reformą ir viešųjų finansų valdymą, užtikrinant suderinamumą su esamomis veiksmų gairėmis, ir didinti efektyvumą; palankiai vertina tai, kad priimta 2026–2030 m. viešųjų finansų valdymo reformos strategija, ir ragina sparčiai užbaigti rengti ir priimti 2026–2030 m. viešojo administravimo reformos strategiją; džiaugiasi sėkmingai įgyvendinama programa „Kurk Ukrainai“ (angl. „</w:t>
      </w:r>
      <w:r w:rsidRPr="004F1A99">
        <w:t>Create</w:t>
      </w:r>
      <w:r w:rsidRPr="004F1A99">
        <w:t xml:space="preserve"> </w:t>
      </w:r>
      <w:r w:rsidRPr="004F1A99">
        <w:t>Ukraine</w:t>
      </w:r>
      <w:r w:rsidRPr="004F1A99">
        <w:t>“), pagal kurią, remiantis Lietuvoje įgyta patirtimi, padedama jauniesiems ukrainiečiams, turintiems vertingos tarptautinės patirties, įsidarbinti Ukrainos viešajame sektoriuje; ragina plėsti šią ir panašias iniciatyvas siekiant paskatinti specialistus grįžti į Ukrainą ir prisidėti prie jos stojimo į ES ir atstatymo po karo procesų;</w:t>
      </w:r>
    </w:p>
    <w:p w:rsidR="002B7104" w:rsidRPr="004F1A99" w:rsidP="002B7104" w14:paraId="07ED1CC0" w14:textId="4F0CB14D">
      <w:pPr>
        <w:pStyle w:val="NormalHanging12a"/>
        <w:rPr>
          <w:bCs/>
          <w:iCs/>
        </w:rPr>
      </w:pPr>
      <w:r>
        <w:t>90</w:t>
      </w:r>
      <w:r w:rsidRPr="004F1A99">
        <w:t>.</w:t>
      </w:r>
      <w:r w:rsidRPr="004F1A99">
        <w:tab/>
        <w:t>palankiai vertina pažangą, padarytą vykdant Ukrainos ekonominio saugumo biuro ir jo Turto susigrąžinimo ir valdymo agentūros reformą; be to, palankiai vertina tai, kad paskirtas Ukrainos valstybinės muitinės tarnybos vadovas, ir pabrėžia, kad svarbu daryti pažangą vykdant muitinės reformą;</w:t>
      </w:r>
    </w:p>
    <w:p w:rsidR="002B7104" w:rsidRPr="004F1A99" w:rsidP="002B7104" w14:paraId="2E749664" w14:textId="34FAB575">
      <w:pPr>
        <w:pStyle w:val="NormalHanging12a"/>
        <w:rPr>
          <w:bCs/>
          <w:iCs/>
        </w:rPr>
      </w:pPr>
      <w:r>
        <w:t>91</w:t>
      </w:r>
      <w:r w:rsidRPr="004F1A99">
        <w:t>.</w:t>
      </w:r>
      <w:r w:rsidRPr="004F1A99">
        <w:tab/>
        <w:t xml:space="preserve">atkreipia dėmesį į naujausiose Pasaulio banko ir Tarptautinio valiutos fondo ataskaitose pateiktas teigiamas išvadas, iš kurių matyti Ukrainos ekonominis atsparumas ir pažanga makroekonominio stabilizavimo srityje, nepaisant vykstančio karo; palankiai vertina tai, kad neseniai patvirtinta Tarptautinio valiutos fondo programa, kurios vertė – 1,8 mlrd. JAV dolerių, ir susijusias reformas; primygtinai ragina Ukrainą skubiai įgyvendinti reformas; </w:t>
      </w:r>
    </w:p>
    <w:p w:rsidR="002B7104" w:rsidRPr="004F1A99" w:rsidP="002B7104" w14:paraId="49BA4D59" w14:textId="11102538">
      <w:pPr>
        <w:pStyle w:val="NormalHanging12a"/>
        <w:rPr>
          <w:bCs/>
          <w:iCs/>
        </w:rPr>
      </w:pPr>
      <w:r>
        <w:t>92</w:t>
      </w:r>
      <w:r w:rsidRPr="004F1A99">
        <w:t>.</w:t>
      </w:r>
      <w:r w:rsidRPr="004F1A99">
        <w:tab/>
        <w:t xml:space="preserve">ragina Ukrainą ir valstybes nares glaudžiai bendradarbiauti siekiant kuo labiau padidinti Ukrainos pabėgėlių ir diasporos dalyvavimo ekonominėje veikloje galimybes, kad būtų užtikrintas Ukrainos vykdomo ir būsimo ekonomikos atkūrimo ir atstatymo proceso atsparumas bei </w:t>
      </w:r>
      <w:r w:rsidRPr="004F1A99">
        <w:t>įtraukumas</w:t>
      </w:r>
      <w:r w:rsidRPr="004F1A99">
        <w:t>; ragina Komisiją pateikti konkrečių pasiūlymų šiuo klausimu; pažymi, kad Laikinosios apsaugos direktyva</w:t>
      </w:r>
      <w:r>
        <w:rPr>
          <w:rStyle w:val="FootnoteReference"/>
          <w:bCs/>
          <w:iCs/>
        </w:rPr>
        <w:footnoteReference w:id="9"/>
      </w:r>
      <w:r w:rsidRPr="004F1A99">
        <w:t xml:space="preserve">, kuria daugiau kaip 4 mln. ukrainiečių suteiktas teisinis statusas ES, nustos galioti 2027 m. kovo mėn.; ragina ES, jos valstybes nares ir Ukrainą siekti koordinuotos, suderintos ir gerai informuotos politikos, kuri suteiktų tikrumo ukrainiečiams, besirengiantiems grįžti arba ieškantiems teisėtų būdų likti priimančiosiose šalyse; </w:t>
      </w:r>
    </w:p>
    <w:p w:rsidR="002B7104" w:rsidRPr="004F1A99" w:rsidP="002B7104" w14:paraId="0B363311" w14:textId="33709569">
      <w:pPr>
        <w:pStyle w:val="NormalHanging12a"/>
        <w:rPr>
          <w:bCs/>
          <w:iCs/>
        </w:rPr>
      </w:pPr>
      <w:r>
        <w:t>93</w:t>
      </w:r>
      <w:r w:rsidRPr="004F1A99">
        <w:t>.</w:t>
      </w:r>
      <w:r w:rsidRPr="004F1A99">
        <w:tab/>
        <w:t xml:space="preserve">pabrėžia, kad Ukrainos atstatymas ir susiję parengiamieji planai turi būti glaudžiai susieti su jos stojimo į ES reformomis ir grindžiami socialinio sąžiningumo, tvarumo, skaidrumo ir įtraukios atsakomybės vietos lygmeniu principais; be to, pabrėžia, kad Ukrainos atstatymas turi būti grindžiamas tvirta teisine valstybe, skaidriu valdymu ir demokratine </w:t>
      </w:r>
      <w:r w:rsidRPr="004F1A99">
        <w:t>įtrauktimi</w:t>
      </w:r>
      <w:r w:rsidRPr="004F1A99">
        <w:t xml:space="preserve">; pabrėžia, kad teismų reforma, kovos su korupcija veiksmai ir viešojo administravimo gerinimas yra ne tik stojimo į ES sąlygos, bet ir esminiai aspektai siekiant pritraukti investicijas ir atkurti Ukrainos partnerių bei piliečių pasitikėjimą; ragina į visus atstatymo veiksmus integruoti lyčiai atžvalgius požiūrius, </w:t>
      </w:r>
      <w:r w:rsidRPr="004F1A99">
        <w:t xml:space="preserve">įskaitant didesnį atstovavimą moterims ir mažumoms sprendimų priėmimo procesuose, kad būtų padarytas didžiausias poveikis ir užtikrintas ilgalaikis tvarumas; </w:t>
      </w:r>
    </w:p>
    <w:p w:rsidR="002B7104" w:rsidRPr="004F1A99" w:rsidP="002B7104" w14:paraId="3951BD96" w14:textId="01209C3D">
      <w:pPr>
        <w:pStyle w:val="NormalHanging12a"/>
        <w:rPr>
          <w:bCs/>
          <w:iCs/>
        </w:rPr>
      </w:pPr>
      <w:r>
        <w:t>94</w:t>
      </w:r>
      <w:r w:rsidRPr="004F1A99">
        <w:t>.</w:t>
      </w:r>
      <w:r w:rsidRPr="004F1A99">
        <w:tab/>
        <w:t>pabrėžia, kad ES sanglaudos politika, kaip pagrindinė ekonominės, socialinės ir teritorinės vienybės skatinimo priemonė, yra nepaprastai svarbi siekiant ES regioninės politikos tikslų ir stiprinant ES ir Ukrainos regionų bendradarbiavimą; ragina vykdant regioninį ir kaimynystės bendradarbiavimą visapusiškai atsižvelgti į šią politiką;</w:t>
      </w:r>
    </w:p>
    <w:p w:rsidR="002B7104" w:rsidRPr="004F1A99" w:rsidP="002B7104" w14:paraId="0FE2F5FE" w14:textId="5B168163">
      <w:pPr>
        <w:pStyle w:val="NormalHanging12a"/>
        <w:rPr>
          <w:bCs/>
          <w:iCs/>
        </w:rPr>
      </w:pPr>
      <w:r>
        <w:t>95</w:t>
      </w:r>
      <w:r w:rsidRPr="004F1A99">
        <w:t>.</w:t>
      </w:r>
      <w:r w:rsidRPr="004F1A99">
        <w:tab/>
        <w:t>pabrėžia didėjančią Ukrainos, kaip strateginės Europos Sąjungos partnerės, svarbą tiekiant pagrindines prekes ir ypatingos svarbos žaliavas, įskaitant žemės ūkio produktus, pvz., grūdus, aliejingąsias sėklas ir augalinį aliejų, taip pat litį, titaną bei kitus žaliajai ir skaitmeninei pertvarkai būtinus mineralinius išteklius; primygtinai ragina užtikrinti skaidrumą, viešąją atskaitomybę ir nacionalinių interesų apsaugą visuose privatizavimo ir investavimo procesuose; pažymi, kad didelė ypatingos svarbos išteklių dalis yra Rusijos Federacijos laikinai okupuotose teritorijose; todėl pabrėžia, kad reikia užtikrinti didesnį ES solidarumą su Ukraina apsaugant jos gamtos išteklius, žemės ūkio pajėgumus ir teritorinį vientisumą;</w:t>
      </w:r>
    </w:p>
    <w:p w:rsidR="002B7104" w:rsidRPr="004F1A99" w:rsidP="002B7104" w14:paraId="1103C43A" w14:textId="096E99C5">
      <w:pPr>
        <w:pStyle w:val="NormalHanging12a"/>
        <w:rPr>
          <w:bCs/>
          <w:iCs/>
        </w:rPr>
      </w:pPr>
      <w:r>
        <w:t>96</w:t>
      </w:r>
      <w:r w:rsidRPr="004F1A99">
        <w:t>.</w:t>
      </w:r>
      <w:r w:rsidRPr="004F1A99">
        <w:tab/>
        <w:t>palankiai vertina pastangas gerinti trišalį socialinį dialogą Ukrainoje, be kita ko, pasinaudojant neseniai pasirašytu partnerystės susitarimu su ES ir Tarptautine darbo organizacija (TDO); primygtinai tvirtina, kad pasirengimo narystei procese būtina laikytis Europos socialinių teisių ramsčio principų ir visų atitinkamų TDO konvencijų; ragina Ukrainą toliau derinti darbo standartus, visų pirma kiek tai susiję su susirinkimų laisve ir socialiniu dialogu; pabrėžia, kad būtina plačiu mastu konsultuotis su profesinėmis sąjungomis ir pilietine visuomene, ir rekomenduoja pasinaudoti TDO ekspertinėmis žiniomis šiuo klausimu; primygtinai ragina Ukrainą ir Komisiją bendradarbiauti su svarbiais socialiniais partneriais, be kita ko, su nepriklausomomis profesinėmis sąjungomis, rengiant, įgyvendinant bei stebint socialines ir ekonomines reformas, sykiu pripažįstant, kad reikia sukurti reformų priemones, kuriomis būtų tobulinama verslo aplink</w:t>
      </w:r>
      <w:r w:rsidR="00225518">
        <w:t>a</w:t>
      </w:r>
      <w:r w:rsidRPr="004F1A99">
        <w:t xml:space="preserve"> ir rinkos ekonomikos veikimas; ragina daugiau dėmesio skirti priemonėms, kuriomis siekiama ištaisyti rinkos iškraipymus, ir socialinės apsaugos priemonėms; </w:t>
      </w:r>
    </w:p>
    <w:p w:rsidR="002B7104" w:rsidRPr="004F1A99" w:rsidP="002B7104" w14:paraId="588BAC53" w14:textId="730DE198">
      <w:pPr>
        <w:pStyle w:val="NormalHanging12a"/>
        <w:rPr>
          <w:bCs/>
          <w:iCs/>
        </w:rPr>
      </w:pPr>
      <w:r>
        <w:t>97</w:t>
      </w:r>
      <w:r w:rsidRPr="004F1A99">
        <w:t>.</w:t>
      </w:r>
      <w:r w:rsidRPr="004F1A99">
        <w:tab/>
        <w:t>atkreipia dėmesį į pranešimus apie valstybės kišimąsi į profesinių sąjungų reikalus, įskaitant profesinių sąjungų turto konfiskavimą; ragina grąžinti konfiskuotą profesinių sąjungų turtą; ragina Ukrainos valdžios institucijas užtikrinti, kad profesinių sąjungų nariai galėtų laisvai vykdyti savo įgaliojimus, ir ragina garantuoti visapusišką teisinę apsaugą nuo prieš profesines sąjungas nukreiptos praktikos; primygtinai ragina Komisiją ir Europos išorės veiksmų tarnybą aktyviai stebėti darbuotojų teisių padėtį Ukrainoje, glaudžiai bendradarbiaujant su Europos profesinių sąjungų konfederacija ir TDO;</w:t>
      </w:r>
    </w:p>
    <w:p w:rsidR="002B7104" w:rsidRPr="004F1A99" w:rsidP="002B7104" w14:paraId="015EE265" w14:textId="76948BE9">
      <w:pPr>
        <w:pStyle w:val="NormalHanging12a"/>
      </w:pPr>
      <w:r>
        <w:t>98</w:t>
      </w:r>
      <w:r w:rsidRPr="004F1A99">
        <w:t>.</w:t>
      </w:r>
      <w:r w:rsidRPr="004F1A99">
        <w:tab/>
        <w:t>ragina nuolat dėti pastangas siekiant liberalizuoti kapitalo judėjimą, be kita ko, derinant teisės aktus su Bendros mokėjimų eurais erdvės reglamentu</w:t>
      </w:r>
      <w:r>
        <w:rPr>
          <w:rStyle w:val="FootnoteReference"/>
        </w:rPr>
        <w:footnoteReference w:id="10"/>
      </w:r>
      <w:r w:rsidRPr="004F1A99">
        <w:t>, ir stiprinti kovą su pinigų plovimu ir teroristų finansavimu;</w:t>
      </w:r>
    </w:p>
    <w:p w:rsidR="002B7104" w:rsidRPr="004F1A99" w:rsidP="002B7104" w14:paraId="301FE1EF" w14:textId="3BC8680D">
      <w:pPr>
        <w:pStyle w:val="NormalHanging12a"/>
        <w:rPr>
          <w:bCs/>
          <w:iCs/>
        </w:rPr>
      </w:pPr>
      <w:r>
        <w:t>99</w:t>
      </w:r>
      <w:r w:rsidRPr="004F1A99">
        <w:t>.</w:t>
      </w:r>
      <w:r w:rsidRPr="004F1A99">
        <w:tab/>
        <w:t>labai gerai vertina veiksmingą Ukrainos daugiapakopį valdymą; palankiai vertina pažangą siekiant decentralizacijos pagal stojimo į ES reikalavimus; ragina vykdyti tolesnes reformas siekiant įgalinti vietos savivaldą pagal Europos vietos savivaldos chartijos principus;</w:t>
      </w:r>
    </w:p>
    <w:p w:rsidR="002B7104" w:rsidRPr="004F1A99" w:rsidP="002B7104" w14:paraId="522B4BDE" w14:textId="124C7EB0">
      <w:pPr>
        <w:pStyle w:val="NormalHanging12a"/>
      </w:pPr>
      <w:r>
        <w:t>100</w:t>
      </w:r>
      <w:r w:rsidRPr="004F1A99">
        <w:t>.</w:t>
      </w:r>
      <w:r w:rsidRPr="004F1A99">
        <w:tab/>
        <w:t>giria Ukrainą už tai, kad ji įvykdė 63 iš 68 reformų sąlygų, išdėstytų Ukrainos plane, kuris iš pradžių buvo parengtas taip, kad jį būtų galima įgyvendinti pasibaigus karui, tačiau yra įgyvendinamas karo metu, taip sudarant sąlygas 2025 m. išmokėti 26,8 mlrd. EUR; ragina nuolat dėti pastangas įgyvendinimo srityje, vadovaujantis Reglamentu (ES) 2024/792</w:t>
      </w:r>
      <w:r>
        <w:rPr>
          <w:rStyle w:val="FootnoteReference"/>
        </w:rPr>
        <w:footnoteReference w:id="11"/>
      </w:r>
      <w:r w:rsidRPr="004F1A99">
        <w:t>, visų pirma siekiant skatinti Ukrainą suderinti savo teisės aktus su ES viešųjų pirkimų teisės aktais;</w:t>
      </w:r>
    </w:p>
    <w:p w:rsidR="002B7104" w:rsidRPr="004F1A99" w:rsidP="002B7104" w14:paraId="620A51E9" w14:textId="1BA4CFC0">
      <w:pPr>
        <w:pStyle w:val="NormalHanging12a"/>
        <w:rPr>
          <w:b/>
          <w:i/>
        </w:rPr>
      </w:pPr>
      <w:r>
        <w:t>101</w:t>
      </w:r>
      <w:r w:rsidRPr="004F1A99">
        <w:t>.</w:t>
      </w:r>
      <w:r w:rsidRPr="004F1A99">
        <w:rPr>
          <w:b/>
          <w:i/>
        </w:rPr>
        <w:tab/>
      </w:r>
      <w:r w:rsidRPr="004F1A99">
        <w:t xml:space="preserve">giria Ukrainos sveikatos priežiūros tarnybas, visų pirma Ukrainos slaugytojus, už jų kasdien viso karo metu atliekamą nepaprastai svarbų darbą; pažymi, kad didelė dalis viešojo priežiūros sektoriaus darbuotojų gauna minimalųjį darbo užmokestį, kuris šiuo metu yra 6 658 UAH </w:t>
      </w:r>
      <w:r w:rsidRPr="004F1A99">
        <w:rPr>
          <w:i/>
          <w:iCs/>
        </w:rPr>
        <w:t>neto</w:t>
      </w:r>
      <w:r w:rsidRPr="004F1A99">
        <w:t>; primena, kad 2025 m. gruodžio mėn. Socialinės politikos ministerijos apskaičiuotas faktinis pragyvenimo minimumas vienam asmeniui buvo 10 979 UAH; be to, akcentuoja, kad reikia nustatyti konkretų ir pagrįstą slaugytojų darbo krūvio reguliavimą;</w:t>
      </w:r>
    </w:p>
    <w:p w:rsidR="002B7104" w:rsidRPr="004F1A99" w:rsidP="002B7104" w14:paraId="40F53A1A" w14:textId="77777777">
      <w:pPr>
        <w:pStyle w:val="Normal12a"/>
        <w:rPr>
          <w:i/>
          <w:iCs/>
        </w:rPr>
      </w:pPr>
      <w:r w:rsidRPr="004F1A99">
        <w:rPr>
          <w:b/>
          <w:i/>
        </w:rPr>
        <w:t>XIII. Energetika, transportas ir darnus vystymasis</w:t>
      </w:r>
    </w:p>
    <w:p w:rsidR="002B7104" w:rsidRPr="004F1A99" w:rsidP="002B7104" w14:paraId="1AC2C4D9" w14:textId="1CC2B9DD">
      <w:pPr>
        <w:pStyle w:val="NormalHanging12a"/>
      </w:pPr>
      <w:r>
        <w:t>102</w:t>
      </w:r>
      <w:r w:rsidRPr="004F1A99">
        <w:t>.</w:t>
      </w:r>
      <w:r w:rsidRPr="004F1A99">
        <w:tab/>
        <w:t>palankiai vertina reikšmingą pažangą, padarytą vykdant energetikos sektoriaus reformas ir Ukrainai suderinant savo tikslus su Europos žaliojo kurso ir švarios pramonės kurso tikslais, ir giria Ukrainą už tai, kad ji daro didelę pažangą įgyvendindama savo nacionalinį energetikos ir klimato srities veiksmų planą, nepaisant Rusijos vykdomo plataus masto Ukrainos energetikos infrastruktūros niokojimo; pabrėžia, kad susiderinant su ES iniciatyvomis, įskaitant Europos žaliąjį kursą ir švarios pramonės kursą, turėtų būti atsižvelgiama į neatidėliotinus Ukrainos atstatymo poreikius, ekonomikos konkurencingumą ir ilgalaikį energetinį saugumą;</w:t>
      </w:r>
    </w:p>
    <w:p w:rsidR="002B7104" w:rsidRPr="004F1A99" w:rsidP="002B7104" w14:paraId="3D0684A9" w14:textId="75612734">
      <w:pPr>
        <w:pStyle w:val="NormalHanging12a"/>
        <w:rPr>
          <w:bCs/>
          <w:iCs/>
        </w:rPr>
      </w:pPr>
      <w:r>
        <w:t>103</w:t>
      </w:r>
      <w:r w:rsidRPr="004F1A99">
        <w:t>.</w:t>
      </w:r>
      <w:r w:rsidRPr="004F1A99">
        <w:tab/>
        <w:t xml:space="preserve">ragina ES ir jos valstybes nares didinti paramą Ukrainos energetikos sistemai, pabrėždamas, kad didesnis Ukrainos atsparumas tiesiogiai prisideda prie platesnio Europos energetinio saugumo; pabrėžia, kad nuolatinė ir nuspėjama pagalba Ukrainai energetikos srityje yra nepaprastai svarbi siekiant užtikrinti civilinį atsparumą, ekonominį stabilumą ir ypatingos svarbos paslaugų tęstinumą tebesitęsiančių išpuolių metu ir rengiantis kitam žiemos sezonui; ragina Komisiją energetikos sektoriaus atstatymą laikyti prioritetu, pereinant nuo </w:t>
      </w:r>
      <w:r w:rsidRPr="004F1A99">
        <w:rPr>
          <w:i/>
          <w:iCs/>
        </w:rPr>
        <w:t>ad</w:t>
      </w:r>
      <w:r w:rsidRPr="004F1A99">
        <w:rPr>
          <w:i/>
          <w:iCs/>
        </w:rPr>
        <w:t> </w:t>
      </w:r>
      <w:r w:rsidRPr="004F1A99">
        <w:rPr>
          <w:i/>
          <w:iCs/>
        </w:rPr>
        <w:t>hoc</w:t>
      </w:r>
      <w:r w:rsidRPr="004F1A99">
        <w:t xml:space="preserve"> neatidėliotinos pagalbos prie ilgalaikių energetikos sektoriaus atkūrimo, apsaugos ir modernizavimo mechanizmų;</w:t>
      </w:r>
    </w:p>
    <w:p w:rsidR="002B7104" w:rsidRPr="004F1A99" w:rsidP="002B7104" w14:paraId="3E1C1A57" w14:textId="2B29E084">
      <w:pPr>
        <w:pStyle w:val="NormalHanging12a"/>
        <w:rPr>
          <w:bCs/>
          <w:iCs/>
        </w:rPr>
      </w:pPr>
      <w:r>
        <w:t>104</w:t>
      </w:r>
      <w:r w:rsidRPr="004F1A99">
        <w:t>.</w:t>
      </w:r>
      <w:r w:rsidRPr="004F1A99">
        <w:tab/>
        <w:t xml:space="preserve">pabrėžia, kad Ukraina turi daug galimybių tiekti energiją ir energijai imlius produktus likusiai Europos daliai; ragina, kad, siekiant prisidėti prie Sąjungos saugumo, būtų paspartinta Ukrainos integracija į ES energijos rinką, be kita ko, užtikrinant reguliavimo sinchronizavimą ir investicijas į atsinaujinančiuosius energijos išteklius; ragina toliau plėtoti energetikos tinklų jungtis su kaimyninėmis ES valstybėmis narėmis ir regioniniais partneriais, pvz., su Moldovos Respublika, siekiant tolesnės Ukrainos integracijos į ES energijos rinką; ragina Komisiją ir valstybes nares didinti investicijas į tarpvalstybinių energetikos tinklų jungčių su Ukraina plėtrą ir modernizavimą, toliau </w:t>
      </w:r>
      <w:r w:rsidRPr="004F1A99">
        <w:t>integruoti ir derinti perdavimo tinklus, nes tai yra itin svarbus parengiamasis žingsnis siekiant integruoti Ukrainą į ES energijos vidaus rinką;</w:t>
      </w:r>
    </w:p>
    <w:p w:rsidR="002B7104" w:rsidRPr="004F1A99" w:rsidP="002B7104" w14:paraId="572B585E" w14:textId="0096EDB7">
      <w:pPr>
        <w:pStyle w:val="NormalHanging12a"/>
        <w:rPr>
          <w:bCs/>
          <w:iCs/>
        </w:rPr>
      </w:pPr>
      <w:r>
        <w:t>105</w:t>
      </w:r>
      <w:r w:rsidRPr="004F1A99">
        <w:t>.</w:t>
      </w:r>
      <w:r w:rsidRPr="004F1A99">
        <w:tab/>
        <w:t>atkreipia dėmesį į strateginę būsimo susitarimo dėl dviejų Bulgarijos branduolinių reaktorių VVER-1000 pardavimo Ukrainai svarbą, nes tai yra pavyzdys, kaip stiprinti bendradarbiavimą energetikos srityje, be to, pažymi, kad taip bus prisidėta prie Ukrainos energetinio saugumo; akcentuoja šio projekto potencialą stiprinti regionines energetikos jungtis ir Ukrainos energetikos sistemos integraciją į ES energetikos sistemą; ragina toliau plėtoti bendras iniciatyvas tokiose srityse kaip energetikos infrastruktūra, įskaitant elektros energijos perdavimo linijas ir energijos kaupimą, taip pat gerinti įvairiarūšio transporto jungtis, siekiant sudaryti palankesnes sąlygas tiekimo grandinėms, logistikai ir prekybai tarp abiejų šalių ir platesniame Juodosios jūros regione;</w:t>
      </w:r>
    </w:p>
    <w:p w:rsidR="002B7104" w:rsidRPr="004F1A99" w:rsidP="002B7104" w14:paraId="34E9E30B" w14:textId="392A3D14">
      <w:pPr>
        <w:pStyle w:val="NormalHanging12a"/>
        <w:rPr>
          <w:bCs/>
          <w:iCs/>
        </w:rPr>
      </w:pPr>
      <w:r>
        <w:t>106</w:t>
      </w:r>
      <w:r w:rsidRPr="004F1A99">
        <w:t>.</w:t>
      </w:r>
      <w:r w:rsidRPr="004F1A99">
        <w:tab/>
        <w:t xml:space="preserve">atkreipia dėmesį į Ukrainos prašymus taikyti laikiną </w:t>
      </w:r>
      <w:r w:rsidRPr="004F1A99">
        <w:rPr>
          <w:i/>
          <w:iCs/>
        </w:rPr>
        <w:t>force majeure</w:t>
      </w:r>
      <w:r w:rsidRPr="004F1A99">
        <w:t xml:space="preserve"> išimtį pasienio anglies dioksido korekcinio mechanizmo ar susijusių priemonių taikymui, kad būtų atsižvelgta į tai, kad dėl Rusijos agresijos karo paveiktas Ukrainos gebėjimas sumažinti savo pramonės šakų anglies pėdsaką; ragina Komisiją pradėti konsultacijas siekiant rasti abipusiškai priimtinus laikinus sprendimus šioje srityje; </w:t>
      </w:r>
    </w:p>
    <w:p w:rsidR="002B7104" w:rsidRPr="004F1A99" w:rsidP="002B7104" w14:paraId="0BB7EF1F" w14:textId="2475F991">
      <w:pPr>
        <w:pStyle w:val="NormalHanging12a"/>
        <w:rPr>
          <w:bCs/>
          <w:iCs/>
        </w:rPr>
      </w:pPr>
      <w:r>
        <w:t>107</w:t>
      </w:r>
      <w:r w:rsidRPr="004F1A99">
        <w:t>.</w:t>
      </w:r>
      <w:r w:rsidRPr="004F1A99">
        <w:tab/>
        <w:t>primygtinai ragina Ukrainą vykdant atstatymą pasinaudoti galimybe atkurti geriau, nei buvo, kai tik įmanoma naudojant mažiausiai klimatui kenksmingas technologijas ir Ukrainos energetikos sektoriui ekonomiškai efektyviausius bei patikimiausius sprendimus, investuojant į atsinaujinančiuosius energijos išteklius ir energijos vartojimo efektyvumą, taip pat kuo labiau sumažinant poveikį aplinkai visoje gamybos grandinėje; palankiai vertina nuolatines Komisijos pastangas, dedamas šioje srityje, siekiant remti Ukrainos energetikos sektoriaus reformą; ragina Komisiją ir Ukrainos valdžios institucijas strategiškai naudoti lėšas pagal Ukrainos priemonę, pirmenybę teikiant investicijoms į atsinaujinančiuosius energijos išteklius; ragina daryti pažangą įgyvendinant esamus įsipareigojimus pagal Ukrainos planą ir Energijos bendrijos dokumentų rinkinius, įskaitant regioninių energijos skirstymo bendrovių atskyrimą;</w:t>
      </w:r>
    </w:p>
    <w:p w:rsidR="002B7104" w:rsidRPr="004F1A99" w:rsidP="002B7104" w14:paraId="2A5D2EBC" w14:textId="5CF3F1B0">
      <w:pPr>
        <w:pStyle w:val="NormalHanging12a"/>
        <w:rPr>
          <w:bCs/>
          <w:iCs/>
        </w:rPr>
      </w:pPr>
      <w:r>
        <w:t>108</w:t>
      </w:r>
      <w:r w:rsidRPr="004F1A99">
        <w:t>.</w:t>
      </w:r>
      <w:r w:rsidRPr="004F1A99">
        <w:tab/>
        <w:t xml:space="preserve">palankiai vertina Ukrainos pastangas suderinti savo transporto politiką su ES </w:t>
      </w:r>
      <w:r w:rsidRPr="004F1A99">
        <w:rPr>
          <w:i/>
        </w:rPr>
        <w:t>acquis</w:t>
      </w:r>
      <w:r w:rsidRPr="004F1A99">
        <w:t xml:space="preserve"> ir stiprinti junglumą su Sąjunga; pabrėžia, kad svarbu įgyvendinti nacionalinę transporto strategiją ir pasienio su ES valstybėmis narėmis ir Moldova infrastruktūros kūrimo ir plėtojimo strategiją; ragina paspartinti tvarų geležinkelių, kelių, uostų ir sienos kirtimo infrastruktūros modernizavimą atsižvelgiant į TEN-T prioritetus; ragina Ukrainą paspartinti geležinkelių reformą, įskaitant suderinimą su ES </w:t>
      </w:r>
      <w:r w:rsidRPr="004F1A99">
        <w:rPr>
          <w:i/>
        </w:rPr>
        <w:t>acquis</w:t>
      </w:r>
      <w:r w:rsidRPr="004F1A99">
        <w:t xml:space="preserve"> geležinkelių saugos ir sąveikumo srityje;</w:t>
      </w:r>
    </w:p>
    <w:p w:rsidR="002B7104" w:rsidRPr="004F1A99" w:rsidP="002B7104" w14:paraId="53D6BE28" w14:textId="158BC7C1">
      <w:pPr>
        <w:pStyle w:val="NormalHanging12a"/>
        <w:rPr>
          <w:bCs/>
          <w:iCs/>
        </w:rPr>
      </w:pPr>
      <w:r>
        <w:t>109</w:t>
      </w:r>
      <w:r w:rsidRPr="004F1A99">
        <w:t>.</w:t>
      </w:r>
      <w:r w:rsidRPr="004F1A99">
        <w:tab/>
        <w:t xml:space="preserve">taip pat pabrėžia, kad, norint daryti pažangą vykdant reformų darbotvarkę, būtiną Ukrainai siekiant narystės ES, nepaprastai svarbu yra įgyvendinant energetikos ir transporto projektus laikytis aplinkos apsaugos standartų; pabrėžia, jog svarbu, kad ES padėtų Ukrainai vykdyti tobulinamąjį atkūrimą aplinkosauginio ir socialinio tvarumo pagrindu; ragina ES ir jos valstybes nares padidinti finansinę ir su ekspertinėmis žiniomis susijusią paramą Ukrainai, kad būtų paspartintas jos teisės aktų suderinimas su ES aplinkos </w:t>
      </w:r>
      <w:r w:rsidRPr="004F1A99">
        <w:rPr>
          <w:i/>
        </w:rPr>
        <w:t>acquis</w:t>
      </w:r>
      <w:r w:rsidRPr="004F1A99">
        <w:t>;</w:t>
      </w:r>
    </w:p>
    <w:p w:rsidR="002B7104" w:rsidRPr="004F1A99" w:rsidP="002B7104" w14:paraId="7049F8E4" w14:textId="2E7AF049">
      <w:pPr>
        <w:pStyle w:val="NormalHanging12a"/>
        <w:rPr>
          <w:bCs/>
          <w:iCs/>
        </w:rPr>
      </w:pPr>
      <w:r>
        <w:t>110</w:t>
      </w:r>
      <w:r w:rsidRPr="004F1A99">
        <w:t>.</w:t>
      </w:r>
      <w:r w:rsidRPr="004F1A99">
        <w:tab/>
        <w:t xml:space="preserve">akcentuoja, kad Ukraina ir toliau susiduria su didelėmis aplinkos problemomis, ir jas dar labiau paaštrino vykstantis karas; pažymi, kad užsitęsęs konfliktas ir toliau daro didelį neigiamą poveikį aplinkai, įskaitant dirvožemio ir vandens taršą, ekosistemų degradaciją ir didesnį spaudimą gamtos ištekliams; reiškia susirūpinimą dėl su tuo </w:t>
      </w:r>
      <w:r w:rsidRPr="004F1A99">
        <w:t xml:space="preserve">susijusio biologinės įvairovės nykimo, įskaitant žalą miškų, stepių ir šlapynių ekosistemoms; pabrėžia, kad svarbu integruoti aplinkos apsaugą ir tvarumą į atkūrimo ir atstatymo veiksmus; ragina stiprinti aplinkos valdymą, tobulinti stebėsenos sistemas ir veiksmingai įgyvendinti poveikio aplinkai vertinimo ir strateginio poveikio aplinkai vertinimo procedūras, laikantis ES </w:t>
      </w:r>
      <w:r w:rsidRPr="004F1A99">
        <w:rPr>
          <w:i/>
        </w:rPr>
        <w:t>acquis</w:t>
      </w:r>
      <w:r w:rsidRPr="004F1A99">
        <w:t xml:space="preserve"> pagal 27 skyrių;</w:t>
      </w:r>
    </w:p>
    <w:p w:rsidR="002B7104" w:rsidRPr="004F1A99" w:rsidP="002B7104" w14:paraId="60DE4667" w14:textId="3D60EAB3">
      <w:pPr>
        <w:pStyle w:val="NormalHanging12a"/>
        <w:rPr>
          <w:bCs/>
          <w:iCs/>
        </w:rPr>
      </w:pPr>
      <w:r>
        <w:t>111</w:t>
      </w:r>
      <w:r w:rsidRPr="004F1A99">
        <w:t>.</w:t>
      </w:r>
      <w:r w:rsidRPr="004F1A99">
        <w:tab/>
        <w:t xml:space="preserve">reiškia susirūpinimą dėl vėjo jėgainių parkų plėtros saugomose Karpatų kalnų aukštumose Ukrainos vakarinėje dalyje, ypač dėl planuojamo 30 turbinų įrengimo </w:t>
      </w:r>
      <w:r w:rsidRPr="004F1A99">
        <w:t>Runos</w:t>
      </w:r>
      <w:r w:rsidRPr="004F1A99">
        <w:t xml:space="preserve"> kalne; pabrėžia, kad vėjo energija yra saugesnė ir tvaresnė alternatyva iškastiniam kurui, ir ragina Ukrainą išnaudoti savo didelį vėjo energijos plėtojimo potencialą už saugomų teritorijų ribų; pabrėžia, kad žaliosios energijos gamyba ir gamtos išsaugojimas Ukrainoje neturi būti tarpusavyje nesuderinami, nes, be unikalių buveinių ir pirmykščių miškų, yra ir kitų žemės plotų, jau numatytų energetikos infrastruktūrai plėtoti ir jau turinčių privažiavimo kelius;</w:t>
      </w:r>
    </w:p>
    <w:p w:rsidR="002B7104" w:rsidRPr="004F1A99" w:rsidP="002B7104" w14:paraId="4A3FB5C2" w14:textId="4A18A81F">
      <w:pPr>
        <w:pStyle w:val="NormalHanging12a"/>
        <w:rPr>
          <w:bCs/>
          <w:iCs/>
        </w:rPr>
      </w:pPr>
      <w:r>
        <w:t>112</w:t>
      </w:r>
      <w:r w:rsidRPr="004F1A99">
        <w:t>.</w:t>
      </w:r>
      <w:r w:rsidRPr="004F1A99">
        <w:tab/>
        <w:t xml:space="preserve">reiškia didelį susirūpinimą dėl tebesitęsiančios padėties </w:t>
      </w:r>
      <w:r w:rsidRPr="004F1A99">
        <w:t>Zaporižios</w:t>
      </w:r>
      <w:r w:rsidRPr="004F1A99">
        <w:t xml:space="preserve"> atominėje elektrinėje, nes ją ir toliau neteisėtai kontroliuoja Rusija ir dėl netoli jos vykdomos karinės veiklos toliau kyla didelis su branduoline sauga ir saugumu susijęs pavojus; pabrėžia, kad Tarptautinės atominės energijos agentūros veiksmai, nors ir labai svarbūs siekiant užtikrinti branduolinę saugą ir saugumą, turėtų išlikti tik techninio pobūdžio; atsižvelgdamas į tai pabrėžia, kad šie veiksmai turėtų būti vykdomi visapusiškai gerbiant Ukrainos suverenitetą ir teritorinį vientisumą ir neturėtų būti suprantami kaip darantys poveikį elektrinės statusui; pakartoja, kad svarbu užtikrinti saugų ir patikimą elektrinės eksploatavimą paisant tarptautinių branduolinės saugos standartų ir Ukrainos teisėtų įgaliojimų;</w:t>
      </w:r>
    </w:p>
    <w:p w:rsidR="002B7104" w:rsidRPr="004F1A99" w:rsidP="002B7104" w14:paraId="092CB33D" w14:textId="2EF697F6">
      <w:pPr>
        <w:pStyle w:val="NormalHanging12a"/>
        <w:rPr>
          <w:bCs/>
          <w:iCs/>
        </w:rPr>
      </w:pPr>
      <w:r>
        <w:t>113</w:t>
      </w:r>
      <w:r w:rsidRPr="004F1A99">
        <w:t>.</w:t>
      </w:r>
      <w:r w:rsidRPr="004F1A99">
        <w:tab/>
        <w:t xml:space="preserve">primena, kad 2026 m. minimos 40-osios </w:t>
      </w:r>
      <w:r w:rsidRPr="004F1A99">
        <w:t>Čornobylio</w:t>
      </w:r>
      <w:r w:rsidRPr="004F1A99">
        <w:t xml:space="preserve"> branduolinės nelaimės, kuri tebėra viena iš didžiausių branduolinių avarijų istorijoje, metinės; griežtai smerkia tai, kad Rusija rengia tikslinius išpuolius prieš </w:t>
      </w:r>
      <w:r w:rsidRPr="004F1A99">
        <w:t>Čornobylio</w:t>
      </w:r>
      <w:r w:rsidRPr="004F1A99">
        <w:t xml:space="preserve"> branduolinę elektrinę ir padarė katastrofišką žalą jos apsauginiam skydui, kuris buvo pastatytas radioaktyviosioms medžiagoms sulaikyti ir nebegali atlikti savo pagrindinės saugos funkcijos, dėl to kyla didelė branduolinės saugos rizika; pažymi, kad apskaičiuota remonto išlaidų vertė siekia 500 mln. EUR;</w:t>
      </w:r>
    </w:p>
    <w:p w:rsidR="002B7104" w:rsidRPr="004F1A99" w:rsidP="002B7104" w14:paraId="12E4E3E2" w14:textId="77777777">
      <w:pPr>
        <w:pStyle w:val="NormalCenter12a"/>
      </w:pPr>
      <w:r w:rsidRPr="004F1A99">
        <w:t>°</w:t>
      </w:r>
    </w:p>
    <w:p w:rsidR="002B7104" w:rsidRPr="004F1A99" w:rsidP="002B7104" w14:paraId="72071BD5" w14:textId="77777777">
      <w:pPr>
        <w:pStyle w:val="NormalCenter12a"/>
      </w:pPr>
      <w:r w:rsidRPr="004F1A99">
        <w:t>°</w:t>
      </w:r>
      <w:r w:rsidRPr="004F1A99">
        <w:tab/>
        <w:t>°</w:t>
      </w:r>
    </w:p>
    <w:p w:rsidR="00E365E1" w:rsidRPr="004F1A99" w:rsidP="00B827CC" w14:paraId="10E9DB59" w14:textId="00A9C113">
      <w:pPr>
        <w:pStyle w:val="NormalHanging12a"/>
      </w:pPr>
      <w:r w:rsidRPr="004F1A99">
        <w:t>11</w:t>
      </w:r>
      <w:r w:rsidR="00B827CC">
        <w:t>4</w:t>
      </w:r>
      <w:r w:rsidRPr="004F1A99">
        <w:t>.</w:t>
      </w:r>
      <w:r w:rsidRPr="004F1A99">
        <w:tab/>
        <w:t>paveda Pirmininkei perduoti šią rezoliuciją Tarybai, Komisijai, Komisijos pirmininko pavaduotojai ir Sąjungos vyriausiajai įgaliotinei užsienio reikalams ir saugumo politikai, valstybių narių vyriausybėms ir parlamentams bei Ukrainos vyriausybei ir parlamentui.</w:t>
      </w:r>
    </w:p>
    <w:sectPr w:rsidSect="004F1A99">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93FC6" w:rsidRPr="004F1A99" w14:paraId="139AA0AF" w14:textId="77777777">
      <w:r w:rsidRPr="004F1A99">
        <w:separator/>
      </w:r>
    </w:p>
  </w:footnote>
  <w:footnote w:type="continuationSeparator" w:id="1">
    <w:p w:rsidR="00493FC6" w:rsidRPr="004F1A99" w14:paraId="2B16A6D6" w14:textId="77777777">
      <w:r w:rsidRPr="004F1A99">
        <w:continuationSeparator/>
      </w:r>
    </w:p>
  </w:footnote>
  <w:footnote w:id="2">
    <w:p w:rsidR="002B7104" w:rsidRPr="004F1A99" w:rsidP="004F1A99" w14:paraId="5EC47B3F" w14:textId="4C498CC0">
      <w:pPr>
        <w:pStyle w:val="FootnoteText"/>
        <w:ind w:left="567" w:hanging="567"/>
        <w:rPr>
          <w:sz w:val="24"/>
          <w:lang w:val="lt-LT"/>
        </w:rPr>
      </w:pPr>
      <w:r w:rsidRPr="004F1A99">
        <w:rPr>
          <w:rStyle w:val="FootnoteReference"/>
          <w:sz w:val="24"/>
          <w:lang w:val="lt-LT"/>
        </w:rPr>
        <w:footnoteRef/>
      </w:r>
      <w:r w:rsidRPr="004F1A99" w:rsidR="004F1A99">
        <w:rPr>
          <w:sz w:val="24"/>
          <w:lang w:val="lt-LT"/>
        </w:rPr>
        <w:t xml:space="preserve"> </w:t>
      </w:r>
      <w:r w:rsidRPr="004F1A99" w:rsidR="004F1A99">
        <w:rPr>
          <w:sz w:val="24"/>
          <w:lang w:val="lt-LT"/>
        </w:rPr>
        <w:tab/>
      </w:r>
      <w:r w:rsidRPr="004F1A99">
        <w:rPr>
          <w:sz w:val="24"/>
          <w:lang w:val="lt-LT"/>
        </w:rPr>
        <w:t>Priimti tekstai, P10_TA(2026)0077.</w:t>
      </w:r>
    </w:p>
  </w:footnote>
  <w:footnote w:id="3">
    <w:p w:rsidR="002B7104" w:rsidRPr="004F1A99" w:rsidP="004F1A99" w14:paraId="32B9112E" w14:textId="4B5C1405">
      <w:pPr>
        <w:pStyle w:val="FootnoteText"/>
        <w:ind w:left="567" w:hanging="567"/>
        <w:rPr>
          <w:sz w:val="24"/>
          <w:lang w:val="lt-LT"/>
        </w:rPr>
      </w:pPr>
      <w:r w:rsidRPr="004F1A99">
        <w:rPr>
          <w:rStyle w:val="FootnoteReference"/>
          <w:sz w:val="24"/>
          <w:lang w:val="lt-LT"/>
        </w:rPr>
        <w:footnoteRef/>
      </w:r>
      <w:r w:rsidRPr="004F1A99" w:rsidR="004F1A99">
        <w:rPr>
          <w:sz w:val="24"/>
          <w:lang w:val="lt-LT"/>
        </w:rPr>
        <w:t xml:space="preserve"> </w:t>
      </w:r>
      <w:r w:rsidRPr="004F1A99" w:rsidR="004F1A99">
        <w:rPr>
          <w:sz w:val="24"/>
          <w:lang w:val="lt-LT"/>
        </w:rPr>
        <w:tab/>
      </w:r>
      <w:r w:rsidRPr="004F1A99">
        <w:rPr>
          <w:sz w:val="24"/>
          <w:lang w:val="lt-LT"/>
        </w:rPr>
        <w:t>Priimti tekstai, P10_TA(2026)0013.</w:t>
      </w:r>
    </w:p>
  </w:footnote>
  <w:footnote w:id="4">
    <w:p w:rsidR="002B7104" w:rsidRPr="004F1A99" w:rsidP="004F1A99" w14:paraId="00D4DDC4" w14:textId="07DED08F">
      <w:pPr>
        <w:pStyle w:val="FootnoteText"/>
        <w:ind w:left="567" w:hanging="567"/>
        <w:rPr>
          <w:sz w:val="24"/>
          <w:lang w:val="lt-LT"/>
        </w:rPr>
      </w:pPr>
      <w:r w:rsidRPr="004F1A99">
        <w:rPr>
          <w:rStyle w:val="FootnoteReference"/>
          <w:sz w:val="24"/>
          <w:lang w:val="lt-LT"/>
        </w:rPr>
        <w:footnoteRef/>
      </w:r>
      <w:r w:rsidRPr="004F1A99" w:rsidR="004F1A99">
        <w:rPr>
          <w:sz w:val="24"/>
          <w:lang w:val="lt-LT"/>
        </w:rPr>
        <w:t xml:space="preserve"> </w:t>
      </w:r>
      <w:r w:rsidRPr="004F1A99" w:rsidR="004F1A99">
        <w:rPr>
          <w:sz w:val="24"/>
          <w:lang w:val="lt-LT"/>
        </w:rPr>
        <w:tab/>
      </w:r>
      <w:r w:rsidRPr="004F1A99">
        <w:rPr>
          <w:sz w:val="24"/>
          <w:lang w:val="lt-LT"/>
        </w:rPr>
        <w:t>Priimti tekstai, P10_TA(2026)0077.</w:t>
      </w:r>
    </w:p>
  </w:footnote>
  <w:footnote w:id="5">
    <w:p w:rsidR="002B7104" w:rsidRPr="004F1A99" w:rsidP="00026210" w14:paraId="6B7F7BB3" w14:textId="6F5DD6F7">
      <w:pPr>
        <w:ind w:left="567" w:hanging="567"/>
      </w:pPr>
      <w:r w:rsidRPr="004F1A99">
        <w:rPr>
          <w:rStyle w:val="FootnoteReference"/>
        </w:rPr>
        <w:footnoteRef/>
      </w:r>
      <w:r w:rsidRPr="004F1A99" w:rsidR="004F1A99">
        <w:t xml:space="preserve"> </w:t>
      </w:r>
      <w:r w:rsidRPr="004F1A99" w:rsidR="004F1A99">
        <w:tab/>
      </w:r>
      <w:r w:rsidRPr="004F1A99">
        <w:t xml:space="preserve">Europos Sąjungos bei jos valstybių narių ir Ukrainos asociacijos susitarimas (ELI: </w:t>
      </w:r>
      <w:hyperlink r:id="rId1" w:history="1">
        <w:r w:rsidRPr="004F1A99">
          <w:rPr>
            <w:rStyle w:val="Hyperlink"/>
          </w:rPr>
          <w:t>http://data.europa.eu/eli/agree_internation/2014/295/oj</w:t>
        </w:r>
      </w:hyperlink>
      <w:r w:rsidRPr="004F1A99">
        <w:t>).</w:t>
      </w:r>
    </w:p>
  </w:footnote>
  <w:footnote w:id="6">
    <w:p w:rsidR="002B7104" w:rsidRPr="004F1A99" w:rsidP="004F1A99" w14:paraId="14B9638C" w14:textId="3983894D">
      <w:pPr>
        <w:pStyle w:val="FootnoteText"/>
        <w:ind w:left="567" w:hanging="567"/>
        <w:rPr>
          <w:sz w:val="24"/>
          <w:lang w:val="lt-LT"/>
        </w:rPr>
      </w:pPr>
      <w:r w:rsidRPr="004F1A99">
        <w:rPr>
          <w:rStyle w:val="FootnoteReference"/>
          <w:sz w:val="24"/>
          <w:lang w:val="lt-LT"/>
        </w:rPr>
        <w:footnoteRef/>
      </w:r>
      <w:r w:rsidRPr="004F1A99" w:rsidR="004F1A99">
        <w:rPr>
          <w:sz w:val="24"/>
          <w:lang w:val="lt-LT"/>
        </w:rPr>
        <w:t xml:space="preserve"> </w:t>
      </w:r>
      <w:r w:rsidRPr="004F1A99" w:rsidR="004F1A99">
        <w:rPr>
          <w:sz w:val="24"/>
          <w:lang w:val="lt-LT"/>
        </w:rPr>
        <w:tab/>
      </w:r>
      <w:r w:rsidRPr="004F1A99">
        <w:rPr>
          <w:sz w:val="24"/>
          <w:lang w:val="lt-LT"/>
        </w:rPr>
        <w:t xml:space="preserve">2022 m. spalio 19 d. Europos Parlamento ir Tarybos reglamentas (ES) 2022/2065 dėl bendrosios skaitmeninių paslaugų rinkos, kuriuo iš dalies keičiama Direktyva 2000/31/EB (Skaitmeninių paslaugų aktas) (OL L 277, 2022 10 27, p. 1, </w:t>
      </w:r>
      <w:hyperlink r:id="rId2" w:history="1">
        <w:r w:rsidRPr="004F1A99">
          <w:rPr>
            <w:rStyle w:val="Hyperlink"/>
            <w:sz w:val="24"/>
            <w:lang w:val="lt-LT"/>
          </w:rPr>
          <w:t>http://data.europa.eu/eli/reg/2022/2065/oj</w:t>
        </w:r>
      </w:hyperlink>
      <w:r w:rsidRPr="004F1A99">
        <w:rPr>
          <w:sz w:val="24"/>
          <w:lang w:val="lt-LT"/>
        </w:rPr>
        <w:t>).</w:t>
      </w:r>
    </w:p>
  </w:footnote>
  <w:footnote w:id="7">
    <w:p w:rsidR="002B7104" w:rsidRPr="004F1A99" w:rsidP="004F1A99" w14:paraId="272CB12D" w14:textId="0B7098E5">
      <w:pPr>
        <w:pStyle w:val="FootnoteText"/>
        <w:ind w:left="567" w:hanging="567"/>
        <w:rPr>
          <w:sz w:val="24"/>
          <w:lang w:val="lt-LT"/>
        </w:rPr>
      </w:pPr>
      <w:r w:rsidRPr="004F1A99">
        <w:rPr>
          <w:rStyle w:val="FootnoteReference"/>
          <w:sz w:val="24"/>
          <w:lang w:val="lt-LT"/>
        </w:rPr>
        <w:footnoteRef/>
      </w:r>
      <w:r w:rsidRPr="004F1A99" w:rsidR="004F1A99">
        <w:rPr>
          <w:sz w:val="24"/>
          <w:lang w:val="lt-LT"/>
        </w:rPr>
        <w:t xml:space="preserve"> </w:t>
      </w:r>
      <w:r w:rsidRPr="004F1A99" w:rsidR="004F1A99">
        <w:rPr>
          <w:sz w:val="24"/>
          <w:lang w:val="lt-LT"/>
        </w:rPr>
        <w:tab/>
      </w:r>
      <w:r w:rsidRPr="004F1A99">
        <w:rPr>
          <w:sz w:val="24"/>
          <w:lang w:val="lt-LT"/>
        </w:rPr>
        <w:t>2026 m. sausio 14 d. Komisijos pasiūlymas dėl Europos Parlamento ir Tarybos reglamento, kuriuo įgyvendinamas tvirtesnis bendradarbiavimas dėl 2026 ir 2027 m. paramos Ukrainai paskolos nustatymo (COM(2026)0020).</w:t>
      </w:r>
    </w:p>
  </w:footnote>
  <w:footnote w:id="8">
    <w:p w:rsidR="002B7104" w:rsidRPr="004F1A99" w:rsidP="004F1A99" w14:paraId="7895D17A" w14:textId="7E0CBC3C">
      <w:pPr>
        <w:pStyle w:val="FootnoteText"/>
        <w:ind w:left="567" w:hanging="567"/>
        <w:rPr>
          <w:sz w:val="24"/>
          <w:lang w:val="lt-LT"/>
        </w:rPr>
      </w:pPr>
      <w:r w:rsidRPr="004F1A99">
        <w:rPr>
          <w:rStyle w:val="FootnoteReference"/>
          <w:sz w:val="24"/>
          <w:lang w:val="lt-LT"/>
        </w:rPr>
        <w:footnoteRef/>
      </w:r>
      <w:r w:rsidRPr="004F1A99" w:rsidR="004F1A99">
        <w:rPr>
          <w:sz w:val="24"/>
          <w:lang w:val="lt-LT"/>
        </w:rPr>
        <w:t xml:space="preserve"> </w:t>
      </w:r>
      <w:r w:rsidRPr="004F1A99" w:rsidR="004F1A99">
        <w:rPr>
          <w:sz w:val="24"/>
          <w:lang w:val="lt-LT"/>
        </w:rPr>
        <w:tab/>
      </w:r>
      <w:r w:rsidRPr="004F1A99">
        <w:rPr>
          <w:sz w:val="24"/>
          <w:lang w:val="lt-LT"/>
        </w:rPr>
        <w:t>2025 m. gruodžio 3 d. Komisijos pasiūlymas dėl Europos Parlamento ir Tarybos reglamento, kuriuo sukuriama reparacijų paskola Ukrainai ir iš dalies keičiamas 2024 m. vasario 29 d. Europos Parlamento ir Tarybos reglamentas (ES) 2024/792, kuriuo nustatoma Ukrainos priemonė (COM(2025)3502).</w:t>
      </w:r>
    </w:p>
  </w:footnote>
  <w:footnote w:id="9">
    <w:p w:rsidR="002B7104" w:rsidRPr="004F1A99" w:rsidP="004F1A99" w14:paraId="26923620" w14:textId="310DC3DD">
      <w:pPr>
        <w:pStyle w:val="FootnoteText"/>
        <w:ind w:left="567" w:hanging="567"/>
        <w:rPr>
          <w:sz w:val="24"/>
          <w:lang w:val="lt-LT"/>
        </w:rPr>
      </w:pPr>
      <w:r w:rsidRPr="004F1A99">
        <w:rPr>
          <w:rStyle w:val="FootnoteReference"/>
          <w:sz w:val="24"/>
          <w:lang w:val="lt-LT"/>
        </w:rPr>
        <w:footnoteRef/>
      </w:r>
      <w:r w:rsidRPr="004F1A99" w:rsidR="004F1A99">
        <w:rPr>
          <w:sz w:val="24"/>
          <w:lang w:val="lt-LT"/>
        </w:rPr>
        <w:t xml:space="preserve"> </w:t>
      </w:r>
      <w:r w:rsidRPr="004F1A99" w:rsidR="004F1A99">
        <w:rPr>
          <w:sz w:val="24"/>
          <w:lang w:val="lt-LT"/>
        </w:rPr>
        <w:tab/>
      </w:r>
      <w:r w:rsidRPr="004F1A99">
        <w:rPr>
          <w:sz w:val="24"/>
          <w:lang w:val="lt-LT"/>
        </w:rPr>
        <w:t xml:space="preserve">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 ELI: </w:t>
      </w:r>
      <w:hyperlink r:id="rId3" w:history="1">
        <w:r w:rsidRPr="004F1A99">
          <w:rPr>
            <w:rStyle w:val="Hyperlink"/>
            <w:sz w:val="24"/>
            <w:lang w:val="lt-LT"/>
          </w:rPr>
          <w:t>http://data.europa.eu/eli/dir/2001/55/oj</w:t>
        </w:r>
      </w:hyperlink>
      <w:r w:rsidRPr="004F1A99">
        <w:rPr>
          <w:sz w:val="24"/>
          <w:lang w:val="lt-LT"/>
        </w:rPr>
        <w:t>).</w:t>
      </w:r>
    </w:p>
  </w:footnote>
  <w:footnote w:id="10">
    <w:p w:rsidR="00225518" w:rsidRPr="004F1A99" w:rsidP="004F1A99" w14:paraId="49B1291A" w14:textId="52587747">
      <w:pPr>
        <w:pStyle w:val="FootnoteText"/>
        <w:ind w:left="567" w:hanging="567"/>
        <w:rPr>
          <w:sz w:val="24"/>
          <w:lang w:val="lt-LT"/>
        </w:rPr>
      </w:pPr>
      <w:r>
        <w:rPr>
          <w:rStyle w:val="FootnoteReference"/>
        </w:rPr>
        <w:footnoteRef/>
      </w:r>
      <w:r w:rsidRPr="004F1A99">
        <w:rPr>
          <w:sz w:val="24"/>
          <w:vertAlign w:val="superscript"/>
          <w:lang w:val="lt-LT"/>
        </w:rPr>
        <w:t xml:space="preserve"> </w:t>
      </w:r>
      <w:r w:rsidRPr="004F1A99">
        <w:rPr>
          <w:sz w:val="24"/>
          <w:vertAlign w:val="superscript"/>
          <w:lang w:val="lt-LT"/>
        </w:rPr>
        <w:tab/>
      </w:r>
      <w:r w:rsidRPr="004F1A99">
        <w:rPr>
          <w:sz w:val="24"/>
          <w:lang w:val="lt-LT"/>
        </w:rPr>
        <w:t xml:space="preserve">2012 m. kovo 14 d. Europos Parlamento ir Tarybos reglamentas (ES) Nr. 260/2012, kuriuo nustatomi kredito pervedimų ir tiesioginio debeto operacijų eurais techniniai ir komerciniai reikalavimai ir iš dalies keičiamas Reglamentas (EB) Nr. 924/2009 (OL L 94, 2012 3 30, p. 22, ELI: </w:t>
      </w:r>
      <w:hyperlink r:id="rId4" w:tgtFrame="http://data.europa.eu/eli/reg/2012/260/oj" w:history="1">
        <w:r w:rsidRPr="004F1A99">
          <w:rPr>
            <w:rStyle w:val="Hyperlink"/>
            <w:sz w:val="24"/>
            <w:lang w:val="lt-LT"/>
          </w:rPr>
          <w:t>http://data.europa.eu/eli/reg/2012/260/oj</w:t>
        </w:r>
      </w:hyperlink>
      <w:r w:rsidRPr="004F1A99">
        <w:rPr>
          <w:sz w:val="24"/>
          <w:lang w:val="lt-LT"/>
        </w:rPr>
        <w:t>).</w:t>
      </w:r>
    </w:p>
  </w:footnote>
  <w:footnote w:id="11">
    <w:p w:rsidR="00225518" w:rsidRPr="004F1A99" w:rsidP="004F1A99" w14:paraId="223347FC" w14:textId="34D330FE">
      <w:pPr>
        <w:pStyle w:val="FootnoteText"/>
        <w:ind w:left="567" w:hanging="567"/>
        <w:rPr>
          <w:sz w:val="24"/>
          <w:lang w:val="lt-LT"/>
        </w:rPr>
      </w:pPr>
      <w:r>
        <w:rPr>
          <w:rStyle w:val="FootnoteReference"/>
        </w:rPr>
        <w:footnoteRef/>
      </w:r>
      <w:r w:rsidRPr="004F1A99">
        <w:rPr>
          <w:sz w:val="24"/>
          <w:vertAlign w:val="superscript"/>
          <w:lang w:val="lt-LT"/>
        </w:rPr>
        <w:t xml:space="preserve"> </w:t>
      </w:r>
      <w:r w:rsidRPr="004F1A99">
        <w:rPr>
          <w:sz w:val="24"/>
          <w:vertAlign w:val="superscript"/>
          <w:lang w:val="lt-LT"/>
        </w:rPr>
        <w:tab/>
      </w:r>
      <w:r w:rsidRPr="004F1A99">
        <w:rPr>
          <w:sz w:val="24"/>
          <w:lang w:val="lt-LT"/>
        </w:rPr>
        <w:t xml:space="preserve">2024 m. vasario 29 d. Europos Parlamento ir Tarybos reglamentas (ES) 2024/792, kuriuo nustatoma Ukrainos priemonė (OL L, 2024/792, 2024 2 29, ELI: </w:t>
      </w:r>
      <w:hyperlink r:id="rId5" w:tgtFrame="http://data.europa.eu/eli/reg/2024/792/oj" w:history="1">
        <w:r w:rsidRPr="004F1A99">
          <w:rPr>
            <w:rStyle w:val="Hyperlink"/>
            <w:sz w:val="24"/>
            <w:lang w:val="lt-LT"/>
          </w:rPr>
          <w:t>http://data.europa.eu/eli/reg/2024/792/oj</w:t>
        </w:r>
      </w:hyperlink>
      <w:r w:rsidRPr="004F1A99">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6757366">
    <w:abstractNumId w:val="9"/>
  </w:num>
  <w:num w:numId="2" w16cid:durableId="238366872">
    <w:abstractNumId w:val="9"/>
  </w:num>
  <w:num w:numId="3" w16cid:durableId="501167325">
    <w:abstractNumId w:val="7"/>
  </w:num>
  <w:num w:numId="4" w16cid:durableId="1528255484">
    <w:abstractNumId w:val="7"/>
  </w:num>
  <w:num w:numId="5" w16cid:durableId="250698538">
    <w:abstractNumId w:val="6"/>
  </w:num>
  <w:num w:numId="6" w16cid:durableId="2136754075">
    <w:abstractNumId w:val="6"/>
  </w:num>
  <w:num w:numId="7" w16cid:durableId="171339503">
    <w:abstractNumId w:val="5"/>
  </w:num>
  <w:num w:numId="8" w16cid:durableId="503083416">
    <w:abstractNumId w:val="5"/>
  </w:num>
  <w:num w:numId="9" w16cid:durableId="610937602">
    <w:abstractNumId w:val="4"/>
  </w:num>
  <w:num w:numId="10" w16cid:durableId="1294671781">
    <w:abstractNumId w:val="4"/>
  </w:num>
  <w:num w:numId="11" w16cid:durableId="330135525">
    <w:abstractNumId w:val="8"/>
  </w:num>
  <w:num w:numId="12" w16cid:durableId="1963684757">
    <w:abstractNumId w:val="8"/>
  </w:num>
  <w:num w:numId="13" w16cid:durableId="735399424">
    <w:abstractNumId w:val="3"/>
  </w:num>
  <w:num w:numId="14" w16cid:durableId="224335353">
    <w:abstractNumId w:val="3"/>
  </w:num>
  <w:num w:numId="15" w16cid:durableId="1625699376">
    <w:abstractNumId w:val="2"/>
  </w:num>
  <w:num w:numId="16" w16cid:durableId="168954274">
    <w:abstractNumId w:val="2"/>
  </w:num>
  <w:num w:numId="17" w16cid:durableId="700591957">
    <w:abstractNumId w:val="1"/>
  </w:num>
  <w:num w:numId="18" w16cid:durableId="125198737">
    <w:abstractNumId w:val="1"/>
  </w:num>
  <w:num w:numId="19" w16cid:durableId="1282764378">
    <w:abstractNumId w:val="0"/>
  </w:num>
  <w:num w:numId="20" w16cid:durableId="137841149">
    <w:abstractNumId w:val="0"/>
  </w:num>
  <w:num w:numId="21" w16cid:durableId="1979333089">
    <w:abstractNumId w:val="9"/>
  </w:num>
  <w:num w:numId="22" w16cid:durableId="1870025474">
    <w:abstractNumId w:val="7"/>
  </w:num>
  <w:num w:numId="23" w16cid:durableId="1905948300">
    <w:abstractNumId w:val="6"/>
  </w:num>
  <w:num w:numId="24" w16cid:durableId="28267737">
    <w:abstractNumId w:val="5"/>
  </w:num>
  <w:num w:numId="25" w16cid:durableId="1726417042">
    <w:abstractNumId w:val="4"/>
  </w:num>
  <w:num w:numId="26" w16cid:durableId="1820269923">
    <w:abstractNumId w:val="8"/>
  </w:num>
  <w:num w:numId="27" w16cid:durableId="1477183535">
    <w:abstractNumId w:val="3"/>
  </w:num>
  <w:num w:numId="28" w16cid:durableId="704601009">
    <w:abstractNumId w:val="2"/>
  </w:num>
  <w:num w:numId="29" w16cid:durableId="24259893">
    <w:abstractNumId w:val="1"/>
  </w:num>
  <w:num w:numId="30" w16cid:durableId="420294094">
    <w:abstractNumId w:val="0"/>
  </w:num>
  <w:num w:numId="31" w16cid:durableId="2067219960">
    <w:abstractNumId w:val="9"/>
  </w:num>
  <w:num w:numId="32" w16cid:durableId="2031252614">
    <w:abstractNumId w:val="7"/>
  </w:num>
  <w:num w:numId="33" w16cid:durableId="1107850592">
    <w:abstractNumId w:val="6"/>
  </w:num>
  <w:num w:numId="34" w16cid:durableId="267392198">
    <w:abstractNumId w:val="5"/>
  </w:num>
  <w:num w:numId="35" w16cid:durableId="1500466058">
    <w:abstractNumId w:val="4"/>
  </w:num>
  <w:num w:numId="36" w16cid:durableId="967508341">
    <w:abstractNumId w:val="8"/>
  </w:num>
  <w:num w:numId="37" w16cid:durableId="1604613047">
    <w:abstractNumId w:val="3"/>
  </w:num>
  <w:num w:numId="38" w16cid:durableId="2035383824">
    <w:abstractNumId w:val="2"/>
  </w:num>
  <w:num w:numId="39" w16cid:durableId="1976791011">
    <w:abstractNumId w:val="1"/>
  </w:num>
  <w:num w:numId="40" w16cid:durableId="680861608">
    <w:abstractNumId w:val="0"/>
  </w:num>
  <w:num w:numId="41" w16cid:durableId="1973825936">
    <w:abstractNumId w:val="10"/>
  </w:num>
  <w:num w:numId="42" w16cid:durableId="776603032">
    <w:abstractNumId w:val="10"/>
  </w:num>
  <w:num w:numId="43" w16cid:durableId="265776632">
    <w:abstractNumId w:val="10"/>
  </w:num>
  <w:num w:numId="44" w16cid:durableId="11736907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FC6"/>
    <w:rsid w:val="00002272"/>
    <w:rsid w:val="00026210"/>
    <w:rsid w:val="00064002"/>
    <w:rsid w:val="000677B9"/>
    <w:rsid w:val="000831BA"/>
    <w:rsid w:val="000836C8"/>
    <w:rsid w:val="000A42CC"/>
    <w:rsid w:val="000E7DD9"/>
    <w:rsid w:val="0010095E"/>
    <w:rsid w:val="00125B37"/>
    <w:rsid w:val="00187494"/>
    <w:rsid w:val="001F32AE"/>
    <w:rsid w:val="00225518"/>
    <w:rsid w:val="00226837"/>
    <w:rsid w:val="002767FF"/>
    <w:rsid w:val="002B18FE"/>
    <w:rsid w:val="002B5493"/>
    <w:rsid w:val="002B7104"/>
    <w:rsid w:val="00343214"/>
    <w:rsid w:val="00361C00"/>
    <w:rsid w:val="00395FA1"/>
    <w:rsid w:val="003E15D4"/>
    <w:rsid w:val="00403AE1"/>
    <w:rsid w:val="00411CCE"/>
    <w:rsid w:val="0041666E"/>
    <w:rsid w:val="00421060"/>
    <w:rsid w:val="00471C19"/>
    <w:rsid w:val="004867E3"/>
    <w:rsid w:val="00493FC6"/>
    <w:rsid w:val="00494A28"/>
    <w:rsid w:val="004A1E51"/>
    <w:rsid w:val="004C0004"/>
    <w:rsid w:val="004C03EB"/>
    <w:rsid w:val="004C5D52"/>
    <w:rsid w:val="004F1A99"/>
    <w:rsid w:val="0050519A"/>
    <w:rsid w:val="005072A1"/>
    <w:rsid w:val="00514517"/>
    <w:rsid w:val="00545827"/>
    <w:rsid w:val="00560270"/>
    <w:rsid w:val="005B545A"/>
    <w:rsid w:val="005C2568"/>
    <w:rsid w:val="005F1B17"/>
    <w:rsid w:val="006037C0"/>
    <w:rsid w:val="006631B6"/>
    <w:rsid w:val="00680577"/>
    <w:rsid w:val="006F74FA"/>
    <w:rsid w:val="00715155"/>
    <w:rsid w:val="00731ADD"/>
    <w:rsid w:val="00734777"/>
    <w:rsid w:val="00747932"/>
    <w:rsid w:val="00751A4A"/>
    <w:rsid w:val="00756632"/>
    <w:rsid w:val="00762C74"/>
    <w:rsid w:val="00770125"/>
    <w:rsid w:val="00783828"/>
    <w:rsid w:val="00786EC0"/>
    <w:rsid w:val="007D1690"/>
    <w:rsid w:val="007E22AD"/>
    <w:rsid w:val="00817416"/>
    <w:rsid w:val="00842779"/>
    <w:rsid w:val="00865F67"/>
    <w:rsid w:val="00881A7B"/>
    <w:rsid w:val="008840E5"/>
    <w:rsid w:val="00887B3E"/>
    <w:rsid w:val="00891C4D"/>
    <w:rsid w:val="008C2AC6"/>
    <w:rsid w:val="008E7EF2"/>
    <w:rsid w:val="00930C23"/>
    <w:rsid w:val="0093193B"/>
    <w:rsid w:val="009509D8"/>
    <w:rsid w:val="00950B64"/>
    <w:rsid w:val="00981893"/>
    <w:rsid w:val="009D066F"/>
    <w:rsid w:val="00A021E2"/>
    <w:rsid w:val="00A1687D"/>
    <w:rsid w:val="00A43E52"/>
    <w:rsid w:val="00A4678D"/>
    <w:rsid w:val="00A778C7"/>
    <w:rsid w:val="00A84AD9"/>
    <w:rsid w:val="00AB441E"/>
    <w:rsid w:val="00AB6293"/>
    <w:rsid w:val="00AE0928"/>
    <w:rsid w:val="00AF3B82"/>
    <w:rsid w:val="00B04E02"/>
    <w:rsid w:val="00B06ABD"/>
    <w:rsid w:val="00B12E95"/>
    <w:rsid w:val="00B22876"/>
    <w:rsid w:val="00B558F0"/>
    <w:rsid w:val="00B827CC"/>
    <w:rsid w:val="00BD48FE"/>
    <w:rsid w:val="00BD7BD8"/>
    <w:rsid w:val="00BE6ADC"/>
    <w:rsid w:val="00C05BFE"/>
    <w:rsid w:val="00C23CD4"/>
    <w:rsid w:val="00C61C0C"/>
    <w:rsid w:val="00C77F6D"/>
    <w:rsid w:val="00C85698"/>
    <w:rsid w:val="00C941CB"/>
    <w:rsid w:val="00CC2357"/>
    <w:rsid w:val="00CF071A"/>
    <w:rsid w:val="00D058B8"/>
    <w:rsid w:val="00D56C11"/>
    <w:rsid w:val="00D834A0"/>
    <w:rsid w:val="00D840CE"/>
    <w:rsid w:val="00D872DF"/>
    <w:rsid w:val="00D91E21"/>
    <w:rsid w:val="00DA7FCD"/>
    <w:rsid w:val="00DB40BD"/>
    <w:rsid w:val="00E328F1"/>
    <w:rsid w:val="00E365E1"/>
    <w:rsid w:val="00E51003"/>
    <w:rsid w:val="00E820A4"/>
    <w:rsid w:val="00EB006A"/>
    <w:rsid w:val="00EB4772"/>
    <w:rsid w:val="00ED169E"/>
    <w:rsid w:val="00ED4235"/>
    <w:rsid w:val="00F04346"/>
    <w:rsid w:val="00F075DC"/>
    <w:rsid w:val="00F149E9"/>
    <w:rsid w:val="00F5134D"/>
    <w:rsid w:val="00F74202"/>
    <w:rsid w:val="00F87713"/>
    <w:rsid w:val="00FB4360"/>
    <w:rsid w:val="00FD0C70"/>
    <w:rsid w:val="00FD2194"/>
    <w:rsid w:val="00FF7A2F"/>
  </w:rsids>
  <w:docVars>
    <w:docVar w:name="dvdocse" w:val="A10-0172/2026"/>
    <w:docVar w:name="dvlangue" w:val="LT"/>
    <w:docVar w:name="dvnumam" w:val="0"/>
    <w:docVar w:name="dvpe" w:val="784.266"/>
    <w:docVar w:name="dvrapporteur" w:val="Pranešėjas: "/>
    <w:docVar w:name="dvtitre" w:val="2026 m. ... ... d. Europos Parlamento rezoliucija dėl 2025 m. Komisijos ataskaitos dėl Ukrainos(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A18F65E"/>
  <w15:chartTrackingRefBased/>
  <w15:docId w15:val="{774D50C4-E686-4E2C-94CC-70192EB42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B7104"/>
    <w:pPr>
      <w:widowControl/>
      <w:spacing w:after="240"/>
    </w:pPr>
    <w:rPr>
      <w:szCs w:val="24"/>
      <w:lang w:eastAsia="en-US"/>
    </w:rPr>
  </w:style>
  <w:style w:type="paragraph" w:customStyle="1" w:styleId="NormalHanging12a">
    <w:name w:val="NormalHanging12a"/>
    <w:basedOn w:val="Normal"/>
    <w:link w:val="NormalHanging12aChar"/>
    <w:rsid w:val="002B7104"/>
    <w:pPr>
      <w:widowControl/>
      <w:spacing w:after="240"/>
      <w:ind w:left="566" w:hanging="566"/>
    </w:pPr>
    <w:rPr>
      <w:szCs w:val="24"/>
      <w:lang w:eastAsia="en-US"/>
    </w:rPr>
  </w:style>
  <w:style w:type="paragraph" w:customStyle="1" w:styleId="Normal12">
    <w:name w:val="Normal12"/>
    <w:basedOn w:val="Normal"/>
    <w:rsid w:val="002B7104"/>
    <w:pPr>
      <w:widowControl/>
      <w:spacing w:after="240"/>
    </w:pPr>
    <w:rPr>
      <w:szCs w:val="24"/>
      <w:lang w:eastAsia="en-US"/>
    </w:rPr>
  </w:style>
  <w:style w:type="paragraph" w:customStyle="1" w:styleId="NormalHanging">
    <w:name w:val="NormalHanging"/>
    <w:basedOn w:val="Normal"/>
    <w:rsid w:val="002B7104"/>
    <w:pPr>
      <w:widowControl/>
      <w:spacing w:after="240"/>
      <w:ind w:left="566" w:hanging="566"/>
    </w:pPr>
    <w:rPr>
      <w:szCs w:val="24"/>
      <w:lang w:eastAsia="en-US"/>
    </w:rPr>
  </w:style>
  <w:style w:type="paragraph" w:customStyle="1" w:styleId="NormalCenter12a">
    <w:name w:val="NormalCenter12a"/>
    <w:basedOn w:val="Normal"/>
    <w:rsid w:val="002B7104"/>
    <w:pPr>
      <w:widowControl/>
      <w:spacing w:after="240"/>
      <w:jc w:val="center"/>
    </w:pPr>
    <w:rPr>
      <w:szCs w:val="24"/>
      <w:lang w:eastAsia="en-US"/>
    </w:rPr>
  </w:style>
  <w:style w:type="character" w:styleId="Hyperlink">
    <w:name w:val="Hyperlink"/>
    <w:basedOn w:val="DefaultParagraphFont"/>
    <w:rsid w:val="002B7104"/>
    <w:rPr>
      <w:color w:val="0000FF"/>
      <w:u w:val="single"/>
    </w:rPr>
  </w:style>
  <w:style w:type="paragraph" w:styleId="NormalWeb">
    <w:name w:val="Normal (Web)"/>
    <w:basedOn w:val="Normal"/>
    <w:uiPriority w:val="99"/>
    <w:unhideWhenUsed/>
    <w:rsid w:val="002B7104"/>
    <w:pPr>
      <w:widowControl/>
      <w:spacing w:before="100" w:beforeAutospacing="1" w:after="100" w:afterAutospacing="1"/>
    </w:pPr>
    <w:rPr>
      <w:szCs w:val="24"/>
      <w:lang w:val="en-GB"/>
    </w:rPr>
  </w:style>
  <w:style w:type="character" w:customStyle="1" w:styleId="NormalHanging12aChar">
    <w:name w:val="NormalHanging12a Char"/>
    <w:basedOn w:val="DefaultParagraphFont"/>
    <w:link w:val="NormalHanging12a"/>
    <w:rsid w:val="002B7104"/>
    <w:rPr>
      <w:sz w:val="24"/>
      <w:szCs w:val="24"/>
      <w:lang w:val="lt-LT" w:eastAsia="en-US"/>
    </w:rPr>
  </w:style>
  <w:style w:type="paragraph" w:styleId="Revision">
    <w:name w:val="Revision"/>
    <w:hidden/>
    <w:uiPriority w:val="99"/>
    <w:semiHidden/>
    <w:rsid w:val="0022551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11053</Words>
  <Characters>77057</Characters>
  <Application>Microsoft Office Word</Application>
  <DocSecurity>0</DocSecurity>
  <Lines>642</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2026-07-08T14:06:00Z</dcterms:created>
  <dcterms:modified xsi:type="dcterms:W3CDTF">2026-07-08T14:06:00Z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A10-0172/2026</vt:lpwstr>
  </property>
  <property fmtid="{D5CDD505-2E9C-101B-9397-08002B2CF9AE}" pid="4" name="&lt;Type&gt;">
    <vt:lpwstr>RR</vt:lpwstr>
  </property>
</Properties>
</file>