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D7E25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282D" w:rsidP="0010095E" w14:paraId="051B168E" w14:textId="08D60C89">
            <w:pPr>
              <w:pStyle w:val="EPName"/>
            </w:pPr>
            <w:r w:rsidRPr="0084282D">
              <w:t>Parlament Europejski</w:t>
            </w:r>
          </w:p>
          <w:p w:rsidR="00751A4A" w:rsidRPr="0084282D" w:rsidP="005F1B17" w14:paraId="7B3CF7C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282D">
              <w:t>2024</w:t>
            </w:r>
            <w:r w:rsidRPr="0084282D" w:rsidR="00817416">
              <w:t>-202</w:t>
            </w:r>
            <w:r w:rsidRPr="008428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282D" w:rsidP="0010095E" w14:paraId="6CFACEAE" w14:textId="77777777">
            <w:pPr>
              <w:pStyle w:val="EPLogo"/>
            </w:pPr>
            <w:r w:rsidRPr="0084282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282D" w:rsidP="004C5D52" w14:paraId="3114256A" w14:textId="77777777">
      <w:pPr>
        <w:pStyle w:val="LineTop"/>
      </w:pPr>
    </w:p>
    <w:p w:rsidR="00680577" w:rsidRPr="0084282D" w:rsidP="00680577" w14:paraId="6CEC1152" w14:textId="4DD0B4D6">
      <w:pPr>
        <w:pStyle w:val="EPBodyTA1"/>
      </w:pPr>
      <w:r w:rsidRPr="0084282D">
        <w:t>TEKSTY PRZYJĘTE</w:t>
      </w:r>
    </w:p>
    <w:p w:rsidR="00D058B8" w:rsidRPr="0084282D" w:rsidP="00D058B8" w14:paraId="3761715F" w14:textId="77777777">
      <w:pPr>
        <w:pStyle w:val="LineBottom"/>
      </w:pPr>
    </w:p>
    <w:p w:rsidR="000039DC" w:rsidRPr="0084282D" w:rsidP="000039DC" w14:paraId="728DB3B6" w14:textId="779BD462">
      <w:pPr>
        <w:pStyle w:val="ATHeading1"/>
      </w:pPr>
      <w:bookmarkStart w:id="0" w:name="TANumber"/>
      <w:r w:rsidRPr="0084282D">
        <w:t>P10_TA(2026)0</w:t>
      </w:r>
      <w:bookmarkEnd w:id="0"/>
      <w:r w:rsidR="002C2751">
        <w:t>259</w:t>
      </w:r>
    </w:p>
    <w:p w:rsidR="000039DC" w:rsidRPr="0084282D" w:rsidP="000039DC" w14:paraId="19303029" w14:textId="77777777">
      <w:pPr>
        <w:pStyle w:val="ATHeading2"/>
      </w:pPr>
      <w:bookmarkStart w:id="1" w:name="title"/>
      <w:r w:rsidRPr="0084282D">
        <w:t>Sprawozdanie Komisji dotyczące Ukrainy – 2025 r.</w:t>
      </w:r>
      <w:bookmarkEnd w:id="1"/>
    </w:p>
    <w:p w:rsidR="000039DC" w:rsidRPr="0084282D" w:rsidP="000039DC" w14:paraId="4028A766" w14:textId="77777777">
      <w:pPr>
        <w:rPr>
          <w:i/>
          <w:vanish/>
        </w:rPr>
      </w:pPr>
      <w:r>
        <w:rPr>
          <w:i/>
        </w:rPr>
        <w:fldChar w:fldCharType="begin"/>
      </w:r>
      <w:r w:rsidRPr="0084282D">
        <w:rPr>
          <w:i/>
        </w:rPr>
        <w:instrText xml:space="preserve"> TC"(</w:instrText>
      </w:r>
      <w:bookmarkStart w:id="2" w:name="DocNumber"/>
      <w:r w:rsidRPr="0084282D">
        <w:rPr>
          <w:i/>
        </w:rPr>
        <w:instrText>A10-0172/2026</w:instrText>
      </w:r>
      <w:bookmarkEnd w:id="2"/>
      <w:r w:rsidRPr="0084282D">
        <w:rPr>
          <w:i/>
        </w:rPr>
        <w:instrText xml:space="preserve"> - Sprawozdawca: Michael Gahler)"\l3 \n&gt; \* MERGEFORMAT </w:instrText>
      </w:r>
      <w:r>
        <w:rPr>
          <w:i/>
        </w:rPr>
        <w:fldChar w:fldCharType="end"/>
      </w:r>
    </w:p>
    <w:p w:rsidR="000039DC" w:rsidRPr="0084282D" w:rsidP="000039DC" w14:paraId="2C4D8CA4" w14:textId="77777777">
      <w:pPr>
        <w:rPr>
          <w:vanish/>
        </w:rPr>
      </w:pPr>
      <w:bookmarkStart w:id="3" w:name="Commission"/>
      <w:r w:rsidRPr="0084282D">
        <w:rPr>
          <w:vanish/>
        </w:rPr>
        <w:t>Komisja Spraw Zagranicznych</w:t>
      </w:r>
      <w:bookmarkEnd w:id="3"/>
    </w:p>
    <w:p w:rsidR="000039DC" w:rsidRPr="0084282D" w:rsidP="000039DC" w14:paraId="39EC988B" w14:textId="77777777">
      <w:pPr>
        <w:rPr>
          <w:vanish/>
        </w:rPr>
      </w:pPr>
      <w:bookmarkStart w:id="4" w:name="PE"/>
      <w:r w:rsidRPr="0084282D">
        <w:rPr>
          <w:vanish/>
        </w:rPr>
        <w:t>PE784.266</w:t>
      </w:r>
      <w:bookmarkEnd w:id="4"/>
    </w:p>
    <w:p w:rsidR="000039DC" w:rsidRPr="0084282D" w:rsidP="000039DC" w14:paraId="39D6DC7B" w14:textId="615D1A63">
      <w:pPr>
        <w:pStyle w:val="ATHeading3"/>
      </w:pPr>
      <w:bookmarkStart w:id="5" w:name="Sujet"/>
      <w:r w:rsidRPr="0084282D">
        <w:t xml:space="preserve">Rezolucja Parlamentu Europejskiego z dnia </w:t>
      </w:r>
      <w:r w:rsidR="0014346A">
        <w:t>8 lipca</w:t>
      </w:r>
      <w:r w:rsidRPr="0084282D">
        <w:t xml:space="preserve"> 2026 r. w sprawie sprawozdania Komisji dotyczącego Ukrainy – 2025 r.</w:t>
      </w:r>
      <w:bookmarkEnd w:id="5"/>
      <w:r w:rsidRPr="0084282D">
        <w:t xml:space="preserve"> </w:t>
      </w:r>
      <w:bookmarkStart w:id="6" w:name="References"/>
      <w:r w:rsidRPr="0084282D">
        <w:t>(2025/2259(INI))</w:t>
      </w:r>
      <w:bookmarkEnd w:id="6"/>
    </w:p>
    <w:p w:rsidR="007779EC" w:rsidRPr="0084282D" w:rsidP="007779EC" w14:paraId="7088759C" w14:textId="77777777">
      <w:pPr>
        <w:pStyle w:val="Normal12"/>
      </w:pPr>
      <w:r w:rsidRPr="0084282D">
        <w:rPr>
          <w:i/>
        </w:rPr>
        <w:t>Parlament Europejski</w:t>
      </w:r>
      <w:r w:rsidRPr="0084282D">
        <w:t>,</w:t>
      </w:r>
    </w:p>
    <w:p w:rsidR="007779EC" w:rsidRPr="0084282D" w:rsidP="007779EC" w14:paraId="3E14E279" w14:textId="77777777">
      <w:pPr>
        <w:pStyle w:val="NormalHanging"/>
      </w:pPr>
      <w:r w:rsidRPr="0084282D">
        <w:t>–</w:t>
      </w:r>
      <w:r w:rsidRPr="0084282D">
        <w:tab/>
        <w:t>uwzględniając swoje wcześniejsze rezolucje w sprawie Ukrainy,</w:t>
      </w:r>
    </w:p>
    <w:p w:rsidR="007779EC" w:rsidRPr="0084282D" w:rsidP="007779EC" w14:paraId="42411F16" w14:textId="77777777">
      <w:pPr>
        <w:pStyle w:val="NormalHanging"/>
        <w:rPr>
          <w:rStyle w:val="HideTWBExt"/>
          <w:rFonts w:eastAsiaTheme="minorHAnsi"/>
          <w:iCs/>
          <w:vanish w:val="0"/>
          <w:kern w:val="2"/>
        </w:rPr>
      </w:pPr>
      <w:r w:rsidRPr="0084282D">
        <w:t>–</w:t>
      </w:r>
      <w:r w:rsidRPr="0084282D">
        <w:tab/>
        <w:t>uwzględniając konkluzje Rady Europejskiej z 24 czerwca 2022 r. w sprawie przyznania Ukrainie statusu kraju kandydującego, konkluzje Rady Europejskiej z 15 grudnia 2023 r. w sprawie poparcia rozpoczęcia negocjacji akcesyjnych oraz konkluzje Rady Europejskiej z 20 marca 2025 r.,</w:t>
      </w:r>
    </w:p>
    <w:p w:rsidR="007779EC" w:rsidRPr="0084282D" w:rsidP="007779EC" w14:paraId="575274BE" w14:textId="77777777">
      <w:pPr>
        <w:pStyle w:val="NormalHanging"/>
        <w:rPr>
          <w:iCs/>
        </w:rPr>
      </w:pPr>
      <w:r w:rsidRPr="0084282D">
        <w:t>–</w:t>
      </w:r>
      <w:r w:rsidRPr="0084282D">
        <w:tab/>
        <w:t>uwzględniając swoją rezolucję z dnia 11 marca 2026 r. w sprawie strategii rozszerzenia UE</w:t>
      </w:r>
      <w:r>
        <w:rPr>
          <w:rStyle w:val="FootnoteReference"/>
          <w:iCs/>
        </w:rPr>
        <w:footnoteReference w:id="2"/>
      </w:r>
      <w:r w:rsidRPr="0084282D">
        <w:t>,</w:t>
      </w:r>
    </w:p>
    <w:p w:rsidR="007779EC" w:rsidRPr="0084282D" w:rsidP="007779EC" w14:paraId="1155907E" w14:textId="77777777">
      <w:pPr>
        <w:pStyle w:val="NormalHanging"/>
        <w:rPr>
          <w:iCs/>
        </w:rPr>
      </w:pPr>
      <w:r w:rsidRPr="0084282D">
        <w:t>–</w:t>
      </w:r>
      <w:r w:rsidRPr="0084282D">
        <w:tab/>
        <w:t>uwzględniając swoją rezolucję z dnia 21 stycznia 2026 r. w sprawie realizacji wspólnej polityki bezpieczeństwa i obrony – sprawozdanie roczne za 2025 r.</w:t>
      </w:r>
      <w:r>
        <w:rPr>
          <w:rStyle w:val="FootnoteReference"/>
          <w:iCs/>
        </w:rPr>
        <w:footnoteReference w:id="3"/>
      </w:r>
      <w:r w:rsidRPr="0084282D">
        <w:t xml:space="preserve"> i swoją rezolucję z dnia 11 marca 2026 r. w sprawie strategii rozszerzenia UE</w:t>
      </w:r>
      <w:r>
        <w:rPr>
          <w:rStyle w:val="FootnoteReference"/>
          <w:iCs/>
        </w:rPr>
        <w:footnoteReference w:id="4"/>
      </w:r>
      <w:r w:rsidRPr="0084282D">
        <w:t>,</w:t>
      </w:r>
    </w:p>
    <w:p w:rsidR="007779EC" w:rsidRPr="0084282D" w:rsidP="007779EC" w14:paraId="1A94E1BB" w14:textId="77777777">
      <w:pPr>
        <w:pStyle w:val="NormalHanging"/>
        <w:rPr>
          <w:iCs/>
        </w:rPr>
      </w:pPr>
      <w:r w:rsidRPr="0084282D">
        <w:t>–</w:t>
      </w:r>
      <w:r w:rsidRPr="0084282D">
        <w:tab/>
        <w:t>uwzględniając Instrument na rzecz Ukrainy oraz Plan Ukrainy,</w:t>
      </w:r>
    </w:p>
    <w:p w:rsidR="007779EC" w:rsidRPr="0084282D" w:rsidP="007779EC" w14:paraId="5CA48000" w14:textId="77777777">
      <w:pPr>
        <w:pStyle w:val="NormalHanging"/>
        <w:rPr>
          <w:iCs/>
        </w:rPr>
      </w:pPr>
      <w:r w:rsidRPr="0084282D">
        <w:t>–</w:t>
      </w:r>
      <w:r w:rsidRPr="0084282D">
        <w:tab/>
        <w:t xml:space="preserve">uwzględniając wspólne oświadczenie komisarz Marty Kos i wicepremiera Ukrainy </w:t>
      </w:r>
      <w:r w:rsidRPr="0084282D">
        <w:t>Tarasa</w:t>
      </w:r>
      <w:r w:rsidRPr="0084282D">
        <w:t xml:space="preserve"> Kaczki z 11 grudnia 2025 r.,</w:t>
      </w:r>
    </w:p>
    <w:p w:rsidR="007779EC" w:rsidRPr="0084282D" w:rsidP="007779EC" w14:paraId="2DCF5B44" w14:textId="77777777">
      <w:pPr>
        <w:pStyle w:val="NormalHanging"/>
        <w:rPr>
          <w:iCs/>
        </w:rPr>
      </w:pPr>
      <w:r w:rsidRPr="0084282D">
        <w:t>–</w:t>
      </w:r>
      <w:r w:rsidRPr="0084282D">
        <w:tab/>
        <w:t>uwzględniając plany działania Ukrainy dotyczące praworządności, reformy administracji publicznej oraz funkcjonowania instytucji demokratycznych, a także plan działania Ukrainy dotyczący ochrony praw osób należących do mniejszości narodowych (wspólnot), zatwierdzony w maju 2025 r.,</w:t>
      </w:r>
    </w:p>
    <w:p w:rsidR="007779EC" w:rsidRPr="0084282D" w:rsidP="007779EC" w14:paraId="06ECFC53" w14:textId="77777777">
      <w:pPr>
        <w:pStyle w:val="NormalHanging"/>
        <w:rPr>
          <w:iCs/>
        </w:rPr>
      </w:pPr>
      <w:r w:rsidRPr="0084282D">
        <w:t>–</w:t>
      </w:r>
      <w:r w:rsidRPr="0084282D">
        <w:tab/>
        <w:t>uwzględniając krajowy program dostosowania do dorobku prawnego UE przyjęty przez rząd Ukrainy 1 kwietnia 2026 r.,</w:t>
      </w:r>
    </w:p>
    <w:p w:rsidR="007779EC" w:rsidRPr="0084282D" w:rsidP="007779EC" w14:paraId="4C98AD9B" w14:textId="77777777">
      <w:pPr>
        <w:pStyle w:val="NormalHanging"/>
      </w:pPr>
      <w:r w:rsidRPr="0084282D">
        <w:t>–</w:t>
      </w:r>
      <w:r w:rsidRPr="0084282D">
        <w:tab/>
        <w:t>uwzględniając dokument roboczy służb Komisji z 4 listopada 2025 r. pt. „</w:t>
      </w:r>
      <w:r w:rsidRPr="0084282D">
        <w:t>Ukraine</w:t>
      </w:r>
      <w:r w:rsidRPr="0084282D">
        <w:t xml:space="preserve"> 2025 Report” [Sprawozdanie za rok 2025 dotyczące Ukrainy] (SWD(2025)0759) oraz </w:t>
      </w:r>
      <w:r w:rsidRPr="0084282D">
        <w:t>towarzyszący mu komunikat Komisji pt. „Komunikat z 2025 r. w sprawie polityki rozszerzenia UE” (COM(2025)0690),</w:t>
      </w:r>
    </w:p>
    <w:p w:rsidR="007779EC" w:rsidRPr="0084282D" w:rsidP="007779EC" w14:paraId="1848E8A8" w14:textId="77777777">
      <w:pPr>
        <w:pStyle w:val="NormalHanging"/>
      </w:pPr>
      <w:r w:rsidRPr="0084282D">
        <w:t>–</w:t>
      </w:r>
      <w:r w:rsidRPr="0084282D">
        <w:tab/>
        <w:t>uwzględniając art. 55 Regulaminu,</w:t>
      </w:r>
    </w:p>
    <w:p w:rsidR="007779EC" w:rsidRPr="0084282D" w:rsidP="007779EC" w14:paraId="4012243D" w14:textId="77777777">
      <w:pPr>
        <w:pStyle w:val="NormalHanging"/>
      </w:pPr>
      <w:r w:rsidRPr="0084282D">
        <w:t>–</w:t>
      </w:r>
      <w:r w:rsidRPr="0084282D">
        <w:tab/>
        <w:t>uwzględniając sprawozdanie Komisji Spraw Zagranicznych (A10-0172/2026),</w:t>
      </w:r>
    </w:p>
    <w:p w:rsidR="007779EC" w:rsidRPr="0084282D" w:rsidP="007779EC" w14:paraId="1304FC46" w14:textId="77777777">
      <w:pPr>
        <w:pStyle w:val="NormalHanging"/>
      </w:pPr>
      <w:r w:rsidRPr="0084282D">
        <w:t>A.</w:t>
      </w:r>
      <w:r w:rsidRPr="0084282D">
        <w:tab/>
        <w:t>mając na uwadze, że Parlament z całą stanowczością potępia rosyjską wojnę napastniczą przeciwko Ukrainie, która stanowi rażące naruszenie Karty Narodów Zjednoczonych i podstawowych zasad prawa międzynarodowego i międzynarodowego prawa humanitarnego, co odzwierciedlają szeroko zakrojone i systematyczne zbrodnie wojenne, zbrodnie przeciwko ludzkości oraz przymusowe deportacje tysięcy Ukraińców, w szczególności dzieci, na terytorium Rosji – działania te wymagają pełnego pociągnięcia do odpowiedzialności i sprawiedliwości; mając na uwadze, że Parlament wspiera prawo Ukrainy do suwerenności, niezależności i integralności terytorialnej w granicach uznanych przez społeczność międzynarodową; mając na uwadze, że Rosja dokonała napaści na Ukrainę i w każdej chwili może przerwać brutalną wojnę, którą prowadzi przeciwko swojemu sąsiadowi;</w:t>
      </w:r>
    </w:p>
    <w:p w:rsidR="007779EC" w:rsidRPr="0084282D" w:rsidP="007779EC" w14:paraId="414EC12D" w14:textId="77777777">
      <w:pPr>
        <w:pStyle w:val="NormalHanging"/>
        <w:rPr>
          <w:bCs/>
          <w:iCs/>
        </w:rPr>
      </w:pPr>
      <w:r w:rsidRPr="0084282D">
        <w:t>B.</w:t>
      </w:r>
      <w:r w:rsidRPr="0084282D">
        <w:tab/>
        <w:t xml:space="preserve">mając na uwadze, że przy wsparciu politycznym, materialnym i wojskowym udzielanym przez sojuszników – w szczególności Białoruś, Iran i Koreę Północną, a także Chiny – Rosja prowadzi od 24 lutego 2022 r. nielegalną, niesprowokowaną i nieuzasadnioną </w:t>
      </w:r>
      <w:r w:rsidRPr="0084282D">
        <w:t>pełnoskalową</w:t>
      </w:r>
      <w:r w:rsidRPr="0084282D">
        <w:t xml:space="preserve"> wojnę napastniczą przeciwko Ukrainie; mając na uwadze, że rosyjska wojna przeciwko Ukrainie rozpoczęła się w 2014 r. od bezprawnej okupacji i aneksji Krymu, a następnie okupacji części obwodów donieckiego i </w:t>
      </w:r>
      <w:r w:rsidRPr="0084282D">
        <w:t>ługańskiego</w:t>
      </w:r>
      <w:r w:rsidRPr="0084282D">
        <w:t>;</w:t>
      </w:r>
    </w:p>
    <w:p w:rsidR="007779EC" w:rsidRPr="0084282D" w:rsidP="007779EC" w14:paraId="0555BA96" w14:textId="77777777">
      <w:pPr>
        <w:pStyle w:val="NormalHanging"/>
        <w:rPr>
          <w:bCs/>
          <w:iCs/>
        </w:rPr>
      </w:pPr>
      <w:r w:rsidRPr="0084282D">
        <w:t>C.</w:t>
      </w:r>
      <w:r w:rsidRPr="0084282D">
        <w:tab/>
        <w:t>mając na uwadze, że niedawne i trwające naruszenia suwerenności państw europejskich przez Rosję potwierdzają, że jej cele wykraczają daleko poza Ukrainę i stanowią egzystencjalne zagrożenie dla wolności i demokracji w Europie;</w:t>
      </w:r>
    </w:p>
    <w:p w:rsidR="007779EC" w:rsidRPr="0084282D" w:rsidP="007779EC" w14:paraId="44E3BACC" w14:textId="36FEDFB8">
      <w:pPr>
        <w:pStyle w:val="NormalHanging"/>
        <w:rPr>
          <w:bCs/>
          <w:iCs/>
        </w:rPr>
      </w:pPr>
      <w:r w:rsidRPr="0084282D">
        <w:t>D.</w:t>
      </w:r>
      <w:r w:rsidRPr="0084282D">
        <w:tab/>
        <w:t>mając na uwadze, że pomimo powszechnego potępienia na arenie międzynarodowej i bezprecedensowych sankcji Rosja nasila działania wojenne za pośrednictwem ukierunkowanych ataków na krytyczną infrastrukturę energetyczną, budynki mieszkalne i infrastrukturę cywilną</w:t>
      </w:r>
      <w:r w:rsidR="00E06EFD">
        <w:t xml:space="preserve"> </w:t>
      </w:r>
      <w:r w:rsidRPr="00E06EFD" w:rsidR="00E06EFD">
        <w:t xml:space="preserve">oraz na obiekty dziedzictwa kulturowego i miejsca kultu, takie jak kijowska Ławra </w:t>
      </w:r>
      <w:r w:rsidRPr="00E06EFD" w:rsidR="00E06EFD">
        <w:t>Peczerska</w:t>
      </w:r>
      <w:r w:rsidRPr="0084282D">
        <w:t>; mając na uwadze, że miliony ludzi w Ukrainie przetrwały ostatnią mroźną zimę przy ograniczonym dostępie do energii elektrycznej, ogrzewania i bieżącej wody; mając na uwadze, że szkody środowiskowe wyrządzone przez Rosję w ciągu minionych czterech lat mają również druzgocący wpływ na ukraińskie zasoby naturalne i kluczowe ekosystemy oraz na zdrowie, źródła utrzymania i bezpieczeństwo Ukraińców;</w:t>
      </w:r>
    </w:p>
    <w:p w:rsidR="007779EC" w:rsidRPr="0084282D" w:rsidP="007779EC" w14:paraId="6F8207B0" w14:textId="77777777">
      <w:pPr>
        <w:pStyle w:val="NormalHanging"/>
        <w:rPr>
          <w:bCs/>
          <w:iCs/>
        </w:rPr>
      </w:pPr>
      <w:r w:rsidRPr="0084282D">
        <w:t>E.</w:t>
      </w:r>
      <w:r w:rsidRPr="0084282D">
        <w:tab/>
        <w:t>mając na uwadze, że w wyniku rosyjskiej inwazji ponad 4 miliony Ukraińców mieszkają obecnie w państwach członkowskich UE w ramach mechanizmu tymczasowej ochrony i korzystają z prawa do pobytu oraz dostępu do rynku pracy, mieszkań, opieki medycznej, pomocy społecznej i edukacji dla dzieci;</w:t>
      </w:r>
    </w:p>
    <w:p w:rsidR="007779EC" w:rsidRPr="0084282D" w:rsidP="007779EC" w14:paraId="6A6DD422" w14:textId="77777777">
      <w:pPr>
        <w:pStyle w:val="NormalHanging"/>
        <w:rPr>
          <w:b/>
          <w:i/>
        </w:rPr>
      </w:pPr>
      <w:r w:rsidRPr="0084282D">
        <w:t>F.</w:t>
      </w:r>
      <w:r w:rsidRPr="0084282D">
        <w:tab/>
        <w:t xml:space="preserve">mając na uwadze, że Ukraina, broniąc się przed Rosją, w znacznym stopniu przyczynia się do bezpieczeństwa Unii Europejskiej; mając na uwadze, że UE i jej państwa członkowskie są największym dostawcą pomocy finansowej, gospodarczej, wojskowej i humanitarnej dla Ukrainy od początku </w:t>
      </w:r>
      <w:r w:rsidRPr="0084282D">
        <w:t>pełnoskalowej</w:t>
      </w:r>
      <w:r w:rsidRPr="0084282D">
        <w:t xml:space="preserve"> inwazji; mając na uwadze, że od początku rosyjskiej wojny napastniczej przeciwko Ukrainie UE i jej państwa </w:t>
      </w:r>
      <w:r w:rsidRPr="0084282D">
        <w:t>członkowskie przekazały Ukrainie pomoc wojskową o wartości około 75 mld EUR; mając na uwadze, że wsparcie dla Ukrainy powinno również przyczyniać się do wzmocnienia europejskiej bazy technologiczno-przemysłowej sektora obronnego (EDTIB) oraz strategicznej autonomii Unii, ale nie powinno prowadzić do zwiększonej zależności od podmiotów zewnętrznych;</w:t>
      </w:r>
    </w:p>
    <w:p w:rsidR="007779EC" w:rsidRPr="0084282D" w:rsidP="007779EC" w14:paraId="12701D75" w14:textId="77777777">
      <w:pPr>
        <w:pStyle w:val="NormalHanging"/>
        <w:rPr>
          <w:bCs/>
          <w:iCs/>
        </w:rPr>
      </w:pPr>
      <w:r w:rsidRPr="0084282D">
        <w:t>G.</w:t>
      </w:r>
      <w:r w:rsidRPr="0084282D">
        <w:tab/>
        <w:t>mając na uwadze, że od początku trwającej bezprawnej okupacji części terytorium Ukrainy w lutym 2014 r. Federacja Rosyjska dopuszcza się trwałych i szeroko zakrojonych naruszeń praw człowieka i podstawowych wolności na tymczasowo okupowanych terytoriach;</w:t>
      </w:r>
    </w:p>
    <w:p w:rsidR="007779EC" w:rsidRPr="0084282D" w:rsidP="007779EC" w14:paraId="7226C3B4" w14:textId="77777777">
      <w:pPr>
        <w:pStyle w:val="NormalHanging"/>
        <w:rPr>
          <w:bCs/>
          <w:iCs/>
        </w:rPr>
      </w:pPr>
      <w:r w:rsidRPr="0084282D">
        <w:t>H.</w:t>
      </w:r>
      <w:r w:rsidRPr="0084282D">
        <w:tab/>
        <w:t>mając na uwadze, że organy ukraińskie i międzynarodowe udokumentowały setki egzekucji dokonanych przez siły rosyjskie na ukraińskich jeńcach wojennych; mając na uwadze, że takie egzekucje to poważne naruszenie prawa międzynarodowego i praw człowieka jednoznacznie uznawane za zbrodnię wojenną na mocy konwencji genewskich i Rzymskiego Statutu Międzynarodowego Trybunału Karnego;</w:t>
      </w:r>
    </w:p>
    <w:p w:rsidR="007779EC" w:rsidRPr="0084282D" w:rsidP="007779EC" w14:paraId="542EC50E" w14:textId="77777777">
      <w:pPr>
        <w:pStyle w:val="NormalHanging"/>
        <w:rPr>
          <w:bCs/>
          <w:iCs/>
        </w:rPr>
      </w:pPr>
      <w:r w:rsidRPr="0084282D">
        <w:t>I.</w:t>
      </w:r>
      <w:r w:rsidRPr="0084282D">
        <w:tab/>
        <w:t>mając na uwadze, że co najmniej 20 tys. – a być może nawet 35 tys. – ukraińskich dzieci przymusowo deportowano do Rosji i Białorusi lub zatrzymano na tymczasowo okupowanych terytoriach ukraińskich;</w:t>
      </w:r>
    </w:p>
    <w:p w:rsidR="007779EC" w:rsidRPr="0084282D" w:rsidP="007779EC" w14:paraId="214A7CE2" w14:textId="39CD1115">
      <w:pPr>
        <w:pStyle w:val="NormalHanging"/>
        <w:rPr>
          <w:bCs/>
          <w:iCs/>
        </w:rPr>
      </w:pPr>
      <w:r w:rsidRPr="0084282D">
        <w:t>J.</w:t>
      </w:r>
      <w:r w:rsidRPr="0084282D">
        <w:tab/>
        <w:t xml:space="preserve">mając na uwadze, że w odpowiedzi na rosyjską wojnę napastniczą utworzono w Hadze Międzynarodowe Centrum Ścigania Zbrodni Agresji przeciwko Ukrainie oraz rejestr szkód wobec Ukrainy, a ponadto trwa proces powoływania Specjalnego Trybunału do spraw Zbrodni Agresji przeciwko Ukrainie; mając na uwadze, że Komisja przyjęła wniosek inicjujący proces przystąpienia Unii Europejskiej jako członka założyciela Specjalnego Trybunału; mając na uwadze, że Międzynarodowy Trybunał Karny postawił Władimira Putina oraz </w:t>
      </w:r>
      <w:r w:rsidRPr="0084282D">
        <w:t>Mariję</w:t>
      </w:r>
      <w:r w:rsidRPr="0084282D">
        <w:t xml:space="preserve"> </w:t>
      </w:r>
      <w:r w:rsidRPr="0084282D">
        <w:t>Lwową-Biełową</w:t>
      </w:r>
      <w:r w:rsidRPr="0084282D">
        <w:t xml:space="preserve"> w stan oskarżenia za zbrodnie wojenne; mając na uwadze, że przy okazji 135. sesji Komitetu Ministrów Rady Europy w Kiszyniowie (Mołdawia) 14 maja 2026 r. została zainaugurowana Międzynarodowa Komisja ds. Roszczeń dla Ukrainy; mając na uwadze, że Komisja ds. Roszczeń wzmocni zdolności w zakresie zapewnienia rozliczalności za zbrodnie międzynarodowe popełnione w Ukrainie i przeciwko niej oraz w zakresie egzekwowania prawa Ukrainy do pełnego odszkodowania za szkody wynikające z bezprawnych działań Rosji;</w:t>
      </w:r>
    </w:p>
    <w:p w:rsidR="007779EC" w:rsidRPr="0084282D" w:rsidP="007779EC" w14:paraId="41A5B8ED" w14:textId="77777777">
      <w:pPr>
        <w:pStyle w:val="NormalHanging"/>
      </w:pPr>
      <w:r w:rsidRPr="0084282D">
        <w:t>K.</w:t>
      </w:r>
      <w:r w:rsidRPr="0084282D">
        <w:tab/>
        <w:t>mając na uwadze, że Ukraina wykazuje wyjątkową niezłomność i determinację na drodze do członkostwa w UE, a wybór ten odzwierciedla trwałą wolę narodu ukraińskiego, pomimo nieprzerwanej rosyjskiej wojny napastniczej, która spowodowała śmierć tysięcy osób, głęboką traumę wśród osób pozostałych przy życiu, rodzin ofiar, weteranów i ich rodzin oraz społeczeństwa obywatelskiego, pozostawiła wiele miast i kluczową infrastrukturę cywilną w ruinie oraz doprowadziła do dalszej okupacji części jej terytorium przez siły rosyjskie;</w:t>
      </w:r>
    </w:p>
    <w:p w:rsidR="007779EC" w:rsidRPr="0084282D" w:rsidP="007779EC" w14:paraId="0DB4393D" w14:textId="77777777">
      <w:pPr>
        <w:pStyle w:val="NormalHanging"/>
        <w:rPr>
          <w:bCs/>
          <w:iCs/>
        </w:rPr>
      </w:pPr>
      <w:r w:rsidRPr="0084282D">
        <w:t>L.</w:t>
      </w:r>
      <w:r w:rsidRPr="0084282D">
        <w:tab/>
        <w:t xml:space="preserve">mając na uwadze, że walka Ukrainy dotyczy nie tylko prawa do życia w wolności i swobodnego wyboru sojuszy, nie tylko jej suwerenności, pokoju, stabilności i bezpieczeństwa, lecz także zachowania istoty demokracji pod presją egzystencjalną; mając na uwadze, że odporność ukraińskiej demokracji będzie ostatecznie oceniana nie tylko na podstawie zdolności do przeciwstawiania się agresji zewnętrznej, lecz także gotowości do ochrony pluralizmu, </w:t>
      </w:r>
      <w:r w:rsidRPr="0084282D">
        <w:t>inkluzywności</w:t>
      </w:r>
      <w:r w:rsidRPr="0084282D">
        <w:t>, otwartości i różnorodności politycznej wewnątrz kraju;</w:t>
      </w:r>
    </w:p>
    <w:p w:rsidR="007779EC" w:rsidRPr="0084282D" w:rsidP="007779EC" w14:paraId="5604842B" w14:textId="77777777">
      <w:pPr>
        <w:pStyle w:val="NormalHanging"/>
        <w:rPr>
          <w:bCs/>
          <w:iCs/>
        </w:rPr>
      </w:pPr>
      <w:r w:rsidRPr="0084282D">
        <w:t>M.</w:t>
      </w:r>
      <w:r w:rsidRPr="0084282D">
        <w:tab/>
        <w:t>mając na uwadze, że integracja Ukrainy z Europą stanowi strategiczną inwestycję w pokój, bezpieczeństwo, demokrację i dobrobyt na całym kontynencie; mając na uwadze, że niezachwiane wsparcie UE dla suwerenności, integralności terytorialnej i niepodległości Ukrainy nie zależy od tempa integracji tego kraju z UE;</w:t>
      </w:r>
    </w:p>
    <w:p w:rsidR="007779EC" w:rsidRPr="0084282D" w:rsidP="007779EC" w14:paraId="064F4981" w14:textId="77777777">
      <w:pPr>
        <w:pStyle w:val="NormalHanging"/>
      </w:pPr>
      <w:r w:rsidRPr="0084282D">
        <w:t>N.</w:t>
      </w:r>
      <w:r w:rsidRPr="0084282D">
        <w:tab/>
        <w:t>mając na uwadze, że obecne kryteria kopenhaskie wymagają nie tylko formalnego dostosowania do prawa UE, ale także skutecznego wdrożenia i zagwarantowania praw podstawowych, demokracji i praworządności; mając na uwadze, że droga każdego państwa do integracji z UE musi być oceniana indywidualnie i że żadnego państwa nie należy wiązać z innym lub traktować jako części pakietu;</w:t>
      </w:r>
    </w:p>
    <w:p w:rsidR="007779EC" w:rsidRPr="0084282D" w:rsidP="007779EC" w14:paraId="2AC39236" w14:textId="77777777">
      <w:pPr>
        <w:pStyle w:val="NormalHanging"/>
      </w:pPr>
      <w:r w:rsidRPr="0084282D">
        <w:t>O.</w:t>
      </w:r>
      <w:r w:rsidRPr="0084282D">
        <w:tab/>
        <w:t>mając na uwadze, że Ukraina podtrzymuje zobowiązanie do dostosowania swoich przepisów do dorobku prawnego UE i że w dalszym ciągu podejmuje działania na rzecz wdrożenia reform pomimo trwającej wojny napastniczej wywołanej przez Rosję; mając na uwadze, że w 2025 r. Ukraina zrealizowała 84 % układu o stowarzyszeniu UE–Ukraina</w:t>
      </w:r>
      <w:r>
        <w:rPr>
          <w:rStyle w:val="FootnoteReference"/>
        </w:rPr>
        <w:footnoteReference w:id="5"/>
      </w:r>
      <w:r w:rsidRPr="0084282D">
        <w:t>;</w:t>
      </w:r>
    </w:p>
    <w:p w:rsidR="007779EC" w:rsidRPr="0084282D" w:rsidP="007779EC" w14:paraId="2BCCEBDF" w14:textId="77777777">
      <w:pPr>
        <w:pStyle w:val="NormalHanging"/>
        <w:rPr>
          <w:bCs/>
          <w:iCs/>
        </w:rPr>
      </w:pPr>
      <w:r w:rsidRPr="0084282D">
        <w:t>P.</w:t>
      </w:r>
      <w:r w:rsidRPr="0084282D">
        <w:tab/>
        <w:t>mając na uwadze, że Komisja potwierdziła zakończenie przez Ukrainę dwustronnego procesu przeglądu wszystkich rozdziałów negocjacyjnych i gotowość do otwarcia wszystkich klastrów negocjacyjnych, począwszy od klastra dotyczącego kwestii podstawowych;</w:t>
      </w:r>
    </w:p>
    <w:p w:rsidR="007779EC" w:rsidRPr="0084282D" w:rsidP="007779EC" w14:paraId="6F81A413" w14:textId="77777777">
      <w:pPr>
        <w:pStyle w:val="NormalHanging"/>
      </w:pPr>
      <w:r w:rsidRPr="0084282D">
        <w:t>Q.</w:t>
      </w:r>
      <w:r w:rsidRPr="0084282D">
        <w:tab/>
        <w:t>mając na uwadze, że poczyniono postępy, ale konieczne są dalsze wysiłki m.in. na rzecz wzmocnienia praworządności w Ukrainie i zwalczania korupcji;</w:t>
      </w:r>
    </w:p>
    <w:p w:rsidR="007779EC" w:rsidRPr="0084282D" w:rsidP="007779EC" w14:paraId="5B80537A" w14:textId="77777777">
      <w:pPr>
        <w:pStyle w:val="NormalHanging"/>
      </w:pPr>
      <w:r w:rsidRPr="0084282D">
        <w:t>R.</w:t>
      </w:r>
      <w:r w:rsidRPr="0084282D">
        <w:tab/>
        <w:t>mając na uwadze, że zapewnienie przejrzystego i odpowiedzialnego wykorzystania międzynarodowego i unijnego wsparcia finansowego oraz przyszłych funduszy na odbudowę wymaga solidnych, niezależnych i sprawnie działających instytucji antykorupcyjnych, a także skutecznego nadzoru demokratycznego z udziałem społeczeństwa obywatelskiego i partnerów społecznych;</w:t>
      </w:r>
    </w:p>
    <w:p w:rsidR="007779EC" w:rsidRPr="0084282D" w:rsidP="007779EC" w14:paraId="650F62C8" w14:textId="77777777">
      <w:pPr>
        <w:pStyle w:val="NormalHanging"/>
      </w:pPr>
      <w:r w:rsidRPr="0084282D">
        <w:t>S.</w:t>
      </w:r>
      <w:r w:rsidRPr="0084282D">
        <w:tab/>
        <w:t>mając na uwadze, że międzynarodowi eksperci zasiadający w komisjach kwalifikacyjnych sędziów przyczynili się do budowania zaufania społeczeństwa do systemu sądownictwa przez wzmocnienie niezależności sądownictwa; mając na uwadze, że udział ekspertów międzynarodowych w wyborze Wyższej Komisji Kwalifikacyjnej Sędziów zakończył się 1 czerwca 2025 r.;</w:t>
      </w:r>
    </w:p>
    <w:p w:rsidR="007779EC" w:rsidRPr="0084282D" w:rsidP="007779EC" w14:paraId="1A4D8F57" w14:textId="77777777">
      <w:pPr>
        <w:pStyle w:val="NormalHanging"/>
      </w:pPr>
      <w:r w:rsidRPr="0084282D">
        <w:t>T.</w:t>
      </w:r>
      <w:r w:rsidRPr="0084282D">
        <w:tab/>
        <w:t>mając na uwadze, że ukraińskie instytucje demokratyczne wykazały umiejętność adaptacji, ponieważ nawet w warunkach trwającej rosyjskiej wojny napastniczej i stanu wojennego nadal działają w interesie obywateli oraz wdrażają reformy związane z przystąpieniem do UE; mając na uwadze, że Parlament z zadowoleniem przyjmuje sygnały, że przygotowania do wyborów mogą rozpocząć się po zniesieniu stanu wojennego i gdy sytuacja bezpieczeństwa umożliwi przeprowadzenie wyborów zgodnie z normami międzynarodowymi: mając na uwadze, że Ukraina powinna nadal dążyć do ochrony demokracji oraz zapewnienia przejrzystości i równowagi sił;</w:t>
      </w:r>
    </w:p>
    <w:p w:rsidR="007779EC" w:rsidRPr="0084282D" w:rsidP="007779EC" w14:paraId="2C80B9AC" w14:textId="77777777">
      <w:pPr>
        <w:pStyle w:val="NormalHanging"/>
      </w:pPr>
      <w:r w:rsidRPr="0084282D">
        <w:t>U.</w:t>
      </w:r>
      <w:r w:rsidRPr="0084282D">
        <w:tab/>
        <w:t>mając na uwadze, że społeczeństwo obywatelskie pozostaje filarem odporności i demokracji w Ukrainie, chociaż przypadki wywierania presji na działaczy i związki zawodowe budzą obawy i wymagają interwencji rządu;</w:t>
      </w:r>
    </w:p>
    <w:p w:rsidR="007779EC" w:rsidRPr="0084282D" w:rsidP="007779EC" w14:paraId="615FD6BF" w14:textId="77777777">
      <w:pPr>
        <w:pStyle w:val="NormalHanging"/>
        <w:rPr>
          <w:bCs/>
          <w:iCs/>
        </w:rPr>
      </w:pPr>
      <w:r w:rsidRPr="0084282D">
        <w:t>V.</w:t>
      </w:r>
      <w:r w:rsidRPr="0084282D">
        <w:tab/>
        <w:t>mając na uwadze, że integracja z UE cieszy się powszechnym poparciem ukraińskiego społeczeństwa i instytucji oraz pozostaje podstawową siłą napędową demokratycznego rozwoju Ukrainy; mając na uwadze, że członkostwo Ukrainy w UE wzmocni również samą Unię, przyczyniając się do jej odporności geopolitycznej, zwiększając jej potencjał gospodarczy i wzmacniając zaangażowanie na rzecz wspólnych wartości demokracji, praworządności i wolności;</w:t>
      </w:r>
    </w:p>
    <w:p w:rsidR="007779EC" w:rsidP="007779EC" w14:paraId="34BE405E" w14:textId="77777777">
      <w:pPr>
        <w:pStyle w:val="NormalHanging"/>
      </w:pPr>
      <w:r w:rsidRPr="0084282D">
        <w:t>W.</w:t>
      </w:r>
      <w:r w:rsidRPr="0084282D">
        <w:tab/>
        <w:t>mając na uwadze, że według najnowszego badania Eurobarometr dotyczącego rozszerzenia 56 % obywateli UE popiera dalsze rozszerzenie Unii Europejskiej, a Ukraina jest kandydatem, którego przystąpienie – gdy tylko spełni ona wszystkie kryteria członkostwa – ankietowani popierali najczęściej;</w:t>
      </w:r>
    </w:p>
    <w:p w:rsidR="00E06EFD" w:rsidRPr="0084282D" w:rsidP="007779EC" w14:paraId="0ED38DBB" w14:textId="50780214">
      <w:pPr>
        <w:pStyle w:val="NormalHanging"/>
        <w:rPr>
          <w:bCs/>
          <w:iCs/>
        </w:rPr>
      </w:pPr>
      <w:r>
        <w:rPr>
          <w:bCs/>
          <w:iCs/>
        </w:rPr>
        <w:t>X</w:t>
      </w:r>
      <w:r w:rsidRPr="00E06EFD">
        <w:rPr>
          <w:bCs/>
          <w:iCs/>
        </w:rPr>
        <w:t>.</w:t>
      </w:r>
      <w:r w:rsidRPr="00E06EFD">
        <w:rPr>
          <w:bCs/>
          <w:iCs/>
        </w:rPr>
        <w:tab/>
        <w:t xml:space="preserve">mając na uwadze, że wspólne oświadczenie podpisane 11 grudnia 2025 r. przez komisarz Martę Kos i wicepremiera Ukrainy </w:t>
      </w:r>
      <w:r w:rsidRPr="00E06EFD">
        <w:rPr>
          <w:bCs/>
          <w:iCs/>
        </w:rPr>
        <w:t>Tarasa</w:t>
      </w:r>
      <w:r w:rsidRPr="00E06EFD">
        <w:rPr>
          <w:bCs/>
          <w:iCs/>
        </w:rPr>
        <w:t xml:space="preserve"> Kaczkę (znane jako plan Kos-Kaczka) jest 10-punktowym planem priorytetowym reform, który ma zostać wdrożony do końca 2026 r.; mając na uwadze, że reformy te dotyczą wzmocnienia praworządności, procedur sądowych i niezależności ukraińskich instytucji antykorupcyjnych; mając na uwadze, że pełna i jednoznaczna realizacja tych kroków będzie ważnym i wymiernym dowodem zaangażowania Ukrainy; mając na uwadze, że odpowiednie ośrodki analityczne oceniają, iż do połowy 2026 r. zrealizowano około 15 % tego planu;</w:t>
      </w:r>
    </w:p>
    <w:p w:rsidR="007779EC" w:rsidRPr="0084282D" w:rsidP="007779EC" w14:paraId="01B82DF8" w14:textId="6FD1F782">
      <w:pPr>
        <w:pStyle w:val="NormalHanging"/>
        <w:rPr>
          <w:bCs/>
          <w:iCs/>
        </w:rPr>
      </w:pPr>
      <w:r>
        <w:t>Y</w:t>
      </w:r>
      <w:r w:rsidRPr="0084282D">
        <w:t>.</w:t>
      </w:r>
      <w:r w:rsidRPr="0084282D">
        <w:tab/>
        <w:t>mając na uwadze, że Rosja nadal prowadzi i intensyfikuje działania mające na celu uzasadnienie agresji przeciwko Ukrainie przez celowe fałszowanie historii i manipulowanie narracjami historycznymi, strategiczne wykorzystywanie narracji religijnych, kulturowych i wartościowych w celu zniekształcania debaty publicznej, zaprzeczania ukraińskiej tożsamości narodowej, państwowości i suwerenności oraz podważania ich, a także przeciwdziałania przystąpieniu Ukrainy do Unii Europejskiej; mając na uwadze, że działania te są zgodne z doktryną wojskową Rosji zatwierdzoną 25 grudnia 2014 r. oraz późniejszymi dokumentami strategicznymi, w tym strategią bezpieczeństwa narodowego Federacji Rosyjskiej zatwierdzoną przez prezydenta Władimira Putina 31 grudnia 2015 r., w których podkreśla się ochronę „tradycyjnych rosyjskich wartości duchowych i moralnych” przed postrzeganym wpływem Zachodu; mając na uwadze, że podejście to jeszcze bardziej wzmocniono w strategii bezpieczeństwa narodowego z 2021 r., w której wyniesiono ochronę „tradycyjnych wartości”, propagowanie koncepcji „rosyjskiego miru” oraz ochronę „rodaków za granicą” do rangi podstawowych priorytetów bezpieczeństwa narodowego, co dowodzi trwałego i systematycznego wykorzystywania narracji kulturowych, religijnych i cywilizacyjnych jako narzędzi wpływu geopolitycznego i uzasadniania agresji przeciwko Ukrainie;</w:t>
      </w:r>
    </w:p>
    <w:p w:rsidR="007779EC" w:rsidRPr="0084282D" w:rsidP="007779EC" w14:paraId="11C83214" w14:textId="65112A2D">
      <w:pPr>
        <w:pStyle w:val="NormalHanging"/>
        <w:rPr>
          <w:bCs/>
          <w:iCs/>
        </w:rPr>
      </w:pPr>
      <w:r>
        <w:t>Z</w:t>
      </w:r>
      <w:r w:rsidRPr="0084282D">
        <w:t>.</w:t>
      </w:r>
      <w:r w:rsidRPr="0084282D">
        <w:tab/>
        <w:t>mając na uwadze, że według ukraińskiego Ministerstwa Polityki Społecznej ponad 3 mln Ukraińców uznaje się za osoby z co najmniej jednym rodzajem niepełnosprawności, a liczba ta ma wzrastać o 17 tys. miesięcznie, głównie z powodu trwającej wojny;</w:t>
      </w:r>
    </w:p>
    <w:p w:rsidR="007779EC" w:rsidRPr="0084282D" w:rsidP="007779EC" w14:paraId="4835D879" w14:textId="5E8BF0D0">
      <w:pPr>
        <w:pStyle w:val="NormalHanging"/>
        <w:rPr>
          <w:bCs/>
          <w:iCs/>
        </w:rPr>
      </w:pPr>
      <w:r>
        <w:t>AA</w:t>
      </w:r>
      <w:r w:rsidRPr="0084282D">
        <w:t>.</w:t>
      </w:r>
      <w:r w:rsidRPr="0084282D">
        <w:tab/>
        <w:t>mając na uwadze, że szkody środowiskowe wyrządzone przez Rosję mają katastrofalne skutki dla zasobów naturalnych Ukrainy, kluczowych ekosystemów oraz zdrowia, źródeł utrzymania i bezpieczeństwa ludzi; mając na uwadze, że ekologiczna odbudowa gospodarki polega na naprawie tych szkód i wprowadzeniu Ukrainy na nową ścieżkę zrównoważonego rozwoju środowiskowego i społecznego, zgodną z przepisami dotyczącymi ochrony środowiska zawartymi w dorobku prawnym UE;</w:t>
      </w:r>
    </w:p>
    <w:p w:rsidR="007779EC" w:rsidRPr="0084282D" w:rsidP="007779EC" w14:paraId="54BE7512" w14:textId="39A24E0E">
      <w:pPr>
        <w:pStyle w:val="NormalHanging"/>
        <w:rPr>
          <w:bCs/>
          <w:iCs/>
        </w:rPr>
      </w:pPr>
      <w:r>
        <w:t>AB</w:t>
      </w:r>
      <w:r w:rsidRPr="0084282D">
        <w:t>.</w:t>
      </w:r>
      <w:r w:rsidRPr="0084282D">
        <w:tab/>
        <w:t>mając na uwadze, że badanie z 2024 r. przeprowadzone przez Kijowski Międzynarodowy Instytut Socjologii potwierdziło, że stosunek społeczeństwa ukraińskiego do osób LGBTIQ+ pozostaje przeważnie neutralny lub pozytywny, a ponad 70 % badanych Ukraińców popiera równe prawa osób LGBTIQ+;</w:t>
      </w:r>
    </w:p>
    <w:p w:rsidR="007779EC" w:rsidP="007779EC" w14:paraId="299E0896" w14:textId="2299378B">
      <w:pPr>
        <w:pStyle w:val="NormalHanging"/>
      </w:pPr>
      <w:r>
        <w:t>AC</w:t>
      </w:r>
      <w:r w:rsidRPr="0084282D">
        <w:t>.</w:t>
      </w:r>
      <w:r w:rsidRPr="0084282D">
        <w:tab/>
        <w:t>mając na uwadze, że rosyjska wojna napastnicza przeciwko Ukrainie jest źródłem niewyobrażalnego ludzkiego cierpienia, a skala strat w ludziach wymaga dążenia do wypracowania sprawiedliwego, zrównoważonego i trwałego pokoju;</w:t>
      </w:r>
    </w:p>
    <w:p w:rsidR="00E06EFD" w:rsidP="007779EC" w14:paraId="7B4578EE" w14:textId="551F847A">
      <w:pPr>
        <w:pStyle w:val="NormalHanging"/>
      </w:pPr>
      <w:r>
        <w:t>AD</w:t>
      </w:r>
      <w:r w:rsidRPr="00E06EFD">
        <w:t>.</w:t>
      </w:r>
      <w:r w:rsidRPr="00E06EFD">
        <w:tab/>
        <w:t>mając na uwadze, że nową ustawę o zamówieniach publicznych, która została przyjęta przez Radę Najwyższą Ukrainy 27 maja 2026 r. i weszła w życie 24 czerwca 2026 r., powszechnie uznaje się za prawdziwą reformę, dostosowaną do przepisów UE i ustanawiającą przejrzystość i zabezpieczenia antykorupcyjne względem dużych przetargów; mając na uwadze, że przyjęcie tych przepisów uwolniło 3,4 mld USD bezpośredniego wsparcia budżetowego dla Ukrainy z Banku Światowego;</w:t>
      </w:r>
    </w:p>
    <w:p w:rsidR="00E06EFD" w:rsidP="007779EC" w14:paraId="294F0526" w14:textId="7F5BCAB0">
      <w:pPr>
        <w:pStyle w:val="NormalHanging"/>
      </w:pPr>
      <w:r>
        <w:t>AE</w:t>
      </w:r>
      <w:r w:rsidRPr="00E06EFD">
        <w:t>.</w:t>
      </w:r>
      <w:r w:rsidRPr="00E06EFD">
        <w:tab/>
        <w:t>mając na uwadze, że 15 czerwca 2026 r. UE rozpoczęła negocjacje akcesyjne z Ukrainą i Mołdawią w sprawie klastra 1: kwestie podstawowe, w tym rozdziału 23: wymiar sprawiedliwości i prawa podstawowe, rozdziału 24: sprawiedliwość, wolność i bezpieczeństwo, rozdziału 5: zamówienia publiczne, rozdziału 18: statystyki oraz rozdziału 32: kontrola finansowa; mając na uwadze, że w procesie akcesyjnym negocjacje w sprawie klastrów dotyczących kwestii podstawowych rozpoczynają się jako pierwsze i kończą jako ostatnie, a postępy w tym klastrze przesądzają o ogólnym tempie negocjacji;</w:t>
      </w:r>
    </w:p>
    <w:p w:rsidR="00E06EFD" w:rsidP="007779EC" w14:paraId="01B986EB" w14:textId="1B11A24F">
      <w:pPr>
        <w:pStyle w:val="NormalHanging"/>
      </w:pPr>
      <w:r>
        <w:t>AF</w:t>
      </w:r>
      <w:r w:rsidRPr="00E06EFD">
        <w:t>.</w:t>
      </w:r>
      <w:r w:rsidRPr="00E06EFD">
        <w:tab/>
        <w:t>mając na uwadze, że kilka państw członkowskich udostępniło dokumenty robocze dotyczące dynamiki przystąpienia Ukrainy do UE oraz możliwych wariantów wzmocnienia przyszłych traktatów o przystąpieniu do UE;</w:t>
      </w:r>
    </w:p>
    <w:p w:rsidR="00E06EFD" w:rsidRPr="0084282D" w:rsidP="007779EC" w14:paraId="126B6D94" w14:textId="1FD06C8D">
      <w:pPr>
        <w:pStyle w:val="NormalHanging"/>
      </w:pPr>
      <w:r>
        <w:t>AG</w:t>
      </w:r>
      <w:r w:rsidRPr="00E06EFD">
        <w:t>.</w:t>
      </w:r>
      <w:r w:rsidRPr="00E06EFD">
        <w:tab/>
        <w:t xml:space="preserve">mając na uwadze, że wspólna analiza przeprowadzona przez Europejską Służbę Działań Zewnętrznych i ukraińskie Centrum ds. Zwalczania Dezinformacji pozwoliła zidentyfikować rosyjskie strategie i operacje obcych manipulacji informacjami i ingerencji mające na celu podważenie i osłabienie poparcia społecznego dla procesu przystąpienia Ukrainy do UE zarówno w Ukrainie, jak i w UE; </w:t>
      </w:r>
    </w:p>
    <w:p w:rsidR="007779EC" w:rsidRPr="0084282D" w:rsidP="007779EC" w14:paraId="2EBC1C30" w14:textId="77777777">
      <w:pPr>
        <w:pStyle w:val="NormalHanging"/>
        <w:rPr>
          <w:b/>
          <w:i/>
          <w:iCs/>
        </w:rPr>
      </w:pPr>
      <w:r w:rsidRPr="0084282D">
        <w:rPr>
          <w:b/>
          <w:i/>
        </w:rPr>
        <w:t>I. Aktualna sytuacja w związku z rosyjską wojną napastniczą i sankcjami UE</w:t>
      </w:r>
    </w:p>
    <w:p w:rsidR="007779EC" w:rsidRPr="0084282D" w:rsidP="007779EC" w14:paraId="01923209" w14:textId="77777777">
      <w:pPr>
        <w:pStyle w:val="NormalHanging12a"/>
      </w:pPr>
      <w:r w:rsidRPr="0084282D">
        <w:t>1.</w:t>
      </w:r>
      <w:r w:rsidRPr="0084282D">
        <w:tab/>
        <w:t>z najwyższą stanowczością potępia trwającą nielegalną wojnę napastniczą Rosji przeciwko Ukrainie oraz ponownie wyraża swoją niezachwianą solidarność z narodem ukraińskim oraz poparcie dla niepodległości, suwerenności i integralności terytorialnej Ukrainy w granicach uznanych przez społeczność międzynarodową; ponownie podkreśla, że prowadzi politykę nieuznawania terytoriów Ukrainy bezprawnie i tymczasowo okupowanych przez Rosję, w tym Krymu;</w:t>
      </w:r>
    </w:p>
    <w:p w:rsidR="007779EC" w:rsidRPr="0084282D" w:rsidP="007779EC" w14:paraId="60963984" w14:textId="77777777">
      <w:pPr>
        <w:pStyle w:val="NormalHanging12a"/>
      </w:pPr>
      <w:r w:rsidRPr="0084282D">
        <w:t>2.</w:t>
      </w:r>
      <w:r w:rsidRPr="0084282D">
        <w:tab/>
        <w:t>żąda, aby Federacja Rosyjska natychmiast i bezwarunkowo zaprzestała działalności wojskowej w Ukrainie i przeciwko niej oraz wycofała wszystkie swoje siły i sprzęt wojskowy z całego terytorium Ukrainy w granicach uznanych przez społeczność międzynarodową, w tym z jej morza terytorialnego; podkreśla, że dzielny naród ukraiński płaci najwyższą cenę za obronę Ukrainy, a tym samym także bezpieczeństwa Europy;</w:t>
      </w:r>
    </w:p>
    <w:p w:rsidR="007779EC" w:rsidRPr="0084282D" w:rsidP="007779EC" w14:paraId="7E296A45" w14:textId="77777777">
      <w:pPr>
        <w:pStyle w:val="NormalHanging12a"/>
      </w:pPr>
      <w:r w:rsidRPr="0084282D">
        <w:t>3.</w:t>
      </w:r>
      <w:r w:rsidRPr="0084282D">
        <w:tab/>
        <w:t>wyraża najgłębsze współczucie i pełną solidarność ze wszystkimi osobami dotkniętymi wojną napastniczą Federacji Rosyjskiej przeciwko Ukrainie, w tym z członkami sił zbrojnych, weteranami, rodzinami osób zabitych lub rannych, osobami wewnętrznie przesiedlonymi, uchodźcami oraz wszystkimi cywilami zmagającymi się z poważnymi skutkami humanitarnymi, zdrowotnymi, psychologicznymi, społecznymi i gospodarczymi tej wojny;</w:t>
      </w:r>
    </w:p>
    <w:p w:rsidR="007779EC" w:rsidRPr="0084282D" w:rsidP="007779EC" w14:paraId="15DEE543" w14:textId="77777777">
      <w:pPr>
        <w:pStyle w:val="NormalHanging12a"/>
      </w:pPr>
      <w:r w:rsidRPr="0084282D">
        <w:t>4.</w:t>
      </w:r>
      <w:r w:rsidRPr="0084282D">
        <w:tab/>
        <w:t>potępia szeroko zakrojone i systematyczne ataki Federacji Rosyjskiej na ukraińską ludność cywilną, w szczególności ataki na krytyczną infrastrukturę energetyczną i wodną, które stanowią rażące naruszenie międzynarodowego prawa humanitarnego;</w:t>
      </w:r>
    </w:p>
    <w:p w:rsidR="007779EC" w:rsidRPr="0084282D" w:rsidP="007779EC" w14:paraId="230DE920" w14:textId="77777777">
      <w:pPr>
        <w:pStyle w:val="NormalHanging12a"/>
      </w:pPr>
      <w:r w:rsidRPr="0084282D">
        <w:t>5.</w:t>
      </w:r>
      <w:r w:rsidRPr="0084282D">
        <w:tab/>
        <w:t>głęboko ubolewa nad poważnymi naruszeniami wobec ukraińskich dzieci, w tym zabójstwami, niewłaściwym traktowaniem, przymusowymi transferami i deportacjami, a także nielegalnymi adopcjami, zmianą danych osobowych i ograniczaniem kontaktów z rodzinami; potępia ponadto ich przymusową rusyfikację oraz poddawanie szkoleniu wojskowo-patriotycznemu, propagandzie wojennej i militaryzacji; apeluje o natychmiastowy, bezpieczny i bezwarunkowy powrót porwanych dzieci i wzywa UE do uznania zdrowia psychicznego dzieci za specjalny element wsparcia na rzecz odbudowy; wzywa Komisję i państwa członkowskie do wzmocnienia wsparcia dla władz Ukrainy, a także organizacji międzynarodowych i pozarządowych, w dokumentowaniu tych zbrodni oraz identyfikowaniu, repatriacji, reintegracji, rehabilitacji i wspieraniu poszkodowanych dzieci; z zadowoleniem przyjmuje rosnące zaangażowanie w Międzynarodową Koalicję na rzecz Powrotu Ukraińskich Dzieci, stanowiącą kluczową platformę skoordynowanych działań międzynarodowych na rzecz powrotu bezprawnie deportowanych i przymusowo przemieszczonych ukraińskich dzieci;</w:t>
      </w:r>
    </w:p>
    <w:p w:rsidR="007779EC" w:rsidRPr="0084282D" w:rsidP="007779EC" w14:paraId="67B5236D" w14:textId="77777777">
      <w:pPr>
        <w:pStyle w:val="NormalHanging12a"/>
      </w:pPr>
      <w:r w:rsidRPr="0084282D">
        <w:t>6.</w:t>
      </w:r>
      <w:r w:rsidRPr="0084282D">
        <w:tab/>
        <w:t xml:space="preserve">potępia drastyczne pogorszenie sytuacji w zakresie praw człowieka na obszarach pod rosyjską okupacją, w tym arbitralne zatrzymania i zaginięcia, tortury, przymusową paszportyzację i mobilizację obywateli Ukrainy na tymczasowo okupowanych terytoriach, egzekucje jeńców wojennych oraz nielegalne deportacje; zdecydowanie potwierdza niezbywalne prawo wszystkich Ukraińców przymusowo wysiedlonych w wyniku rosyjskiej agresji do bezpiecznego, dobrowolnego i bezwarunkowego powrotu do domów po pełnej </w:t>
      </w:r>
      <w:r w:rsidRPr="0084282D">
        <w:t>deokupacji</w:t>
      </w:r>
      <w:r w:rsidRPr="0084282D">
        <w:t xml:space="preserve"> i przywróceniu integralności terytorialnej Ukrainy;</w:t>
      </w:r>
    </w:p>
    <w:p w:rsidR="007779EC" w:rsidRPr="0084282D" w:rsidP="007779EC" w14:paraId="2B1CEC48" w14:textId="77777777">
      <w:pPr>
        <w:pStyle w:val="NormalHanging12a"/>
      </w:pPr>
      <w:r w:rsidRPr="0084282D">
        <w:t>7.</w:t>
      </w:r>
      <w:r w:rsidRPr="0084282D">
        <w:tab/>
        <w:t>z całą stanowczością potępia bezprawne narzucanie przez Federację Rosyjską własnej administracji okupacyjnej na tymczasowo okupowanych terytoriach Ukrainy, a także systematyczne przywłaszczenie mienia publicznego i prywatnego, grabież i nielegalne wywożenie ukraińskich dóbr kultury i dziedzictwa kulturowego, niszczenie działalności gospodarczej oraz wykorzystywanie tych terytoriów do własnych celów politycznych i gospodarczych;</w:t>
      </w:r>
    </w:p>
    <w:p w:rsidR="007779EC" w:rsidRPr="0084282D" w:rsidP="007779EC" w14:paraId="0FA15E46" w14:textId="77777777">
      <w:pPr>
        <w:pStyle w:val="NormalHanging12a"/>
      </w:pPr>
      <w:r w:rsidRPr="0084282D">
        <w:t>8.</w:t>
      </w:r>
      <w:r w:rsidRPr="0084282D">
        <w:tab/>
        <w:t xml:space="preserve">z całą stanowczością potępia werbowanie przez Federację Rosyjską cudzoziemców, w tym z państw trzecich, do udziału w wojnie napastniczej przeciwko Ukrainie, często za </w:t>
      </w:r>
      <w:r w:rsidRPr="0084282D">
        <w:t>pomocą praktyk wprowadzających w błąd i przez wykorzystywanie trudnej sytuacji społeczno-gospodarczej tych osób; podkreśla, że takie praktyki stanowią handel ludźmi i poważne naruszenia praw człowieka; wzywa UE i jej państwa członkowskie, a także partnerów międzynarodowych, do przeciwdziałania tym praktykom, w tym przez sankcje, działania uświadamiające i wsparcie dla ofiar, oraz apeluje do państw trzecich o zapobieganie takiemu werbowaniu;</w:t>
      </w:r>
    </w:p>
    <w:p w:rsidR="007779EC" w:rsidRPr="0084282D" w:rsidP="007779EC" w14:paraId="3CAA6E49" w14:textId="77777777">
      <w:pPr>
        <w:pStyle w:val="NormalHanging12a"/>
      </w:pPr>
      <w:r w:rsidRPr="0084282D">
        <w:t>9.</w:t>
      </w:r>
      <w:r w:rsidRPr="0084282D">
        <w:tab/>
        <w:t>potępia nieludzkie traktowanie ukraińskich jeńców wojennych przez Federację Rosyjską, w tym tortury i egzekucje, z naruszeniem międzynarodowego prawa humanitarnego, i apeluje o ich bezzwłoczne i bezwarunkowe zwolnienie; wzywa UE, jej państwa członkowskie i społeczność międzynarodową do zintensyfikowania wysiłków, w tym środków dyplomatycznych i prawnych, aby zapewnić przestrzeganie prawa międzynarodowego i ułatwić dalszą wymianę jeńców; wzywa Międzynarodowy Komitet Czerwonego Krzyża do pełnego wykonania mandatu wynikającego z międzynarodowego prawa humanitarnego przez zapewnienie niezakłóconego i regularnego dostępu do wszystkich miejsc, w których przetrzymuje się ukraińskich jeńców wojennych i cywilów, w tym zatrzymanych; zwraca uwagę, że Ukraina nadal wywiązuje się ze swoich zobowiązań wynikających z prawa międzynarodowego w zakresie traktowania jeńców wojennych;</w:t>
      </w:r>
    </w:p>
    <w:p w:rsidR="007779EC" w:rsidRPr="0084282D" w:rsidP="007779EC" w14:paraId="7155AB9A" w14:textId="77777777">
      <w:pPr>
        <w:pStyle w:val="NormalHanging12a"/>
      </w:pPr>
      <w:r w:rsidRPr="0084282D">
        <w:t>10.</w:t>
      </w:r>
      <w:r w:rsidRPr="0084282D">
        <w:tab/>
        <w:t>wzywa Komisję i państwa członkowskie do znacznego zwiększenia pomocy związanej ze zdrowiem oraz do zapewnienia, aby potrzeby rehabilitacyjne znalazły pełne odzwierciedlenie w unijnych ramach wsparcia; wzywa Komisję i państwa członkowskie do utrzymania i rozszerzenia, w razie potrzeby, wsparcia dla ukraińskich uchodźców przebywających obecnie w państwach członkowskich, a także dla osób wewnętrznie przesiedlonych w Ukrainie;</w:t>
      </w:r>
    </w:p>
    <w:p w:rsidR="007779EC" w:rsidRPr="0084282D" w:rsidP="007779EC" w14:paraId="7EA51EEA" w14:textId="6AF49BC5">
      <w:pPr>
        <w:pStyle w:val="NormalHanging12a"/>
      </w:pPr>
      <w:r w:rsidRPr="0084282D">
        <w:t>11.</w:t>
      </w:r>
      <w:r w:rsidRPr="0084282D">
        <w:tab/>
        <w:t xml:space="preserve">wzywa UE i państwa członkowskie do przeciwdziałania rosyjskiej dezinformacji dotyczącej </w:t>
      </w:r>
      <w:r w:rsidRPr="00E06EFD" w:rsidR="00E06EFD">
        <w:t xml:space="preserve">rosyjskiej wojny napastniczej i procesu przystąpienia Ukrainy do UE </w:t>
      </w:r>
      <w:r w:rsidRPr="0084282D">
        <w:t xml:space="preserve"> przez pełne ograniczenie działalności związanej z rosyjskimi organizacjami medialnymi kontrolowanymi przez państwo i ich współpracownikami w państwach członkowskich UE, rozszerzenie odpowiednich wykazów sankcji indywidualnych, pociągnięcie do odpowiedzialności prawnej osób współodpowiedzialnych za państwową propagandę, wzmacnianie kompetencji cyfrowych, promowanie informacji opartych na faktach, ze szczególnym uwzględnieniem państw, w które wymierzona jest rosyjska propaganda poza Europą, oraz egzekwowanie odpowiedzialności platform mediów społecznościowych za rozpowszechnianie szkodliwych treści przez ścisłe egzekwowanie aktu o usługach cyfrowych</w:t>
      </w:r>
      <w:r>
        <w:rPr>
          <w:rStyle w:val="FootnoteReference"/>
        </w:rPr>
        <w:footnoteReference w:id="6"/>
      </w:r>
      <w:r w:rsidRPr="0084282D">
        <w:t>; </w:t>
      </w:r>
    </w:p>
    <w:p w:rsidR="007779EC" w:rsidRPr="0084282D" w:rsidP="007779EC" w14:paraId="1F9FED79" w14:textId="77777777">
      <w:pPr>
        <w:pStyle w:val="NormalHanging12a"/>
      </w:pPr>
      <w:r w:rsidRPr="0084282D">
        <w:t>12.</w:t>
      </w:r>
      <w:r w:rsidRPr="0084282D">
        <w:tab/>
        <w:t xml:space="preserve">zdecydowanie podkreśla niezbywalne prawo Ukrainy do samoobrony, zgodnie z art. 51 Karty Narodów Zjednoczonych, w tym prawo Ukrainy, prowadzącej walkę obronną, do atakowania uzasadnionych celów na terytorium agresora – Rosji; z głębokim niepokojem odnotowuje zmniejszenie amerykańskiej pomocy wojskowej o 99 % w 2025 r.; w związku z tym pochwala inicjatywę NATO dotyczącą listy priorytetowych wymagań dla Ukrainy, a także misję NATO dotyczącą wsparcia bezpieczeństwa i szkoleń dla Ukrainy; z zadowoleniem przyjmuje wiodącą rolę UE i jej państw </w:t>
      </w:r>
      <w:r w:rsidRPr="0084282D">
        <w:t>członkowskich pod względem dostarczania wsparcia finansowego i wojskowego dla Ukrainy, w tym przez inicjatywy szkoleniowe unijnej misji Unii Europejskiej w zakresie pomocy wojskowej dla Ukrainy oraz przez finansowanie i zapewnianie wsparcia wojskowego takiego jak systemy obrony powietrznej i zdolności do głębokich uderzeń; wzywa UE i jej państwa członkowskie do zwiększenia pomocy na rzecz utrzymania prawa Ukrainy do samoobrony; zaznacza, że wystarczająca i przewidywalna pomoc wojskowa, w tym dostęp do finansowania produkcji uzbrojenia, wsparcie takiej produkcji poza Ukrainą oraz współpraca między EDTIB a ukraińskim przemysłem obronnym, ma kluczowe znaczenie dla skutecznego oporu Ukrainy wobec rosyjskiej agresji, zwłaszcza w świetle drastycznego ograniczenia pomocy wojskowej ze strony USA;</w:t>
      </w:r>
    </w:p>
    <w:p w:rsidR="007779EC" w:rsidRPr="0084282D" w:rsidP="007779EC" w14:paraId="5565F52D" w14:textId="77777777">
      <w:pPr>
        <w:pStyle w:val="NormalHanging12a"/>
      </w:pPr>
      <w:r w:rsidRPr="0084282D">
        <w:t>13.</w:t>
      </w:r>
      <w:r w:rsidRPr="0084282D">
        <w:tab/>
        <w:t>zauważa, że tempo rosyjskich zdobyczy terytorialnych w Ukrainie zwolniło w 2026 r., a Ukraina odzyskała terytorium w kwietniu 2026 r., podczas gdy Rosja poniosła szczególnie wysokie straty; jest przekonany, że Ukraina może i musi zwyciężyć, a wynik konfliktu nie jest przesądzony; uważa zatem, że utrzymanie i zwiększenie wsparcia wojskowego UE może mieć decydujący wpływ na sytuację na polu walki; wzywa państwa członkowskie do działania z większą determinacją i pilnością, w tym przez znaczące zwiększenie i przyspieszenie dostaw oraz finansowania broni i amunicji dla Ukrainy;</w:t>
      </w:r>
    </w:p>
    <w:p w:rsidR="007779EC" w:rsidRPr="0084282D" w:rsidP="007779EC" w14:paraId="437B9E5B" w14:textId="77777777">
      <w:pPr>
        <w:pStyle w:val="NormalHanging12a"/>
      </w:pPr>
      <w:r w:rsidRPr="0084282D">
        <w:t>14.</w:t>
      </w:r>
      <w:r w:rsidRPr="0084282D">
        <w:tab/>
        <w:t xml:space="preserve">w szczególności apeluje do Niemiec o przekazanie Ukrainie pocisków dalekiego zasięgu Taurus i wzywa inne państwa członkowskie do pilnego dostarczenia Ukrainie dodatkowych zdolności obrony powietrznej, w tym systemów </w:t>
      </w:r>
      <w:r w:rsidRPr="0084282D">
        <w:t>Patriot</w:t>
      </w:r>
      <w:r w:rsidRPr="0084282D">
        <w:t xml:space="preserve">, a także pocisków do systemów </w:t>
      </w:r>
      <w:r w:rsidRPr="0084282D">
        <w:t>Patriot</w:t>
      </w:r>
      <w:r w:rsidRPr="0084282D">
        <w:t>, SAMP/T, NASAMS, IRIS-T i HAWK;</w:t>
      </w:r>
    </w:p>
    <w:p w:rsidR="007779EC" w:rsidRPr="0084282D" w:rsidP="007779EC" w14:paraId="7876EF2F" w14:textId="77777777">
      <w:pPr>
        <w:pStyle w:val="NormalHanging12a"/>
      </w:pPr>
      <w:r w:rsidRPr="0084282D">
        <w:t>15.</w:t>
      </w:r>
      <w:r w:rsidRPr="0084282D">
        <w:tab/>
        <w:t>z zadowoleniem przyjmuje międzynarodowe wysiłki dyplomatyczne na rzecz zakończenia wojny i pochwala konstruktywne podejście Ukrainy; podkreśla jednak, że negocjacje pokojowe musi poprzedzić trwałe zawieszenie broni; podkreśla, że pokój musi być sprawiedliwy i trwały oraz zawarty w pełnym poszanowaniu suwerenności i integralności terytorialnej Ukrainy; podkreśla, że porozumienie pokojowe nie powinno szkodzić strategicznym interesom Ukrainy i Europy ani ograniczać zdolności Ukrainy do obrony i wyboru sojuszy politycznych i sojuszy na rzecz bezpieczeństwa, bez oglądania się na rosyjskie weto; podkreśla, że podstawą porozumienia muszą być pełne poszanowanie zasad prawa międzynarodowego, odpowiedzialność za zbrodnie wojenne, zbrodnie przeciwko ludzkości i zbrodnię agresji oraz reparacje Rosji za rozległe szkody wyrządzone w Ukrainie; podkreśla, że porozumienie powinno obejmować zobowiązanie Rosji do natychmiastowego zaprzestania wojny hybrydowej przeciwko UE i jej partnerom, w tym Ukrainie, a także powrót wszystkich porwanych ukraińskich dzieci i uwięzionych ukraińskich cywilów oraz pełną wymianę jeńców wojennych, w tym szczątków poległych żołnierzy; podkreśla, że w porozumieniu należy wskazać solidne i wiarygodne gwarancje bezpieczeństwa dla Ukrainy, wzorowane na art. 5 traktatu waszyngtońskiego i art. 42 ust. 7 Traktatu o Unii Europejskiej, niezwłocznie po formalnym zakończeniu stanu wojny; przyznaje, że Ukraina postrzega przystąpienie do UE jako istotny element gwarancji bezpieczeństwa, zwłaszcza w świetle art. 42 ust. 7 Traktatu o Unii Europejskiej;</w:t>
      </w:r>
    </w:p>
    <w:p w:rsidR="007779EC" w:rsidRPr="0084282D" w:rsidP="007779EC" w14:paraId="05C2CE05" w14:textId="77777777">
      <w:pPr>
        <w:pStyle w:val="NormalHanging12a"/>
        <w:rPr>
          <w:bCs/>
          <w:iCs/>
        </w:rPr>
      </w:pPr>
      <w:r w:rsidRPr="0084282D">
        <w:t>16.</w:t>
      </w:r>
      <w:r w:rsidRPr="0084282D">
        <w:tab/>
        <w:t xml:space="preserve">powtarza, że tylko Ukraina może określić warunki porozumienia pokojowego akceptowalne dla jej narodu; nalega, aby decyzje w sprawie Ukrainy nie zapadały bez Ukrainy, a decyzje dotyczące Europy – bez Europy; przypomina, że zasięg porozumienia kończącego rosyjską wojnę napastniczą przeciwko Ukrainie będzie </w:t>
      </w:r>
      <w:r w:rsidRPr="0084282D">
        <w:t>wykraczał poza Ukrainę i Rosję i miał daleko idące konsekwencje dla całego europejskiego porządku bezpieczeństwa; podkreśla, że takie porozumienie można osiągnąć jedynie przy udziale UE i jej państw członkowskich; wzywa Komisję i państwa członkowskie do rozważenia możliwości mianowania europejskiego negocjatora wysokiego szczebla o ściśle określonym mandacie i do pełnego upoważnienia go do reprezentowania UE i jej państw członkowskich w rozmowach dyplomatycznych; wzywa Komisję, Europejską Służbę Działań Zewnętrznych i Radę do opracowania, w koordynacji z Ukrainą i w porozumieniu z państwami członkowskimi, dokumentu zawierającego scenariusz strategiczny dotyczący powojennej architektury bezpieczeństwa i współpracy na kontynencie europejskim, odzwierciedlającego wnioski wyciągnięte z przeszłości i zawierającego potencjalne parametry przyszłych stosunków z Rosją po zakończeniu wojny, w tym kwestie bezpieczeństwa, energii, granic, rozliczalności i reparacji;</w:t>
      </w:r>
    </w:p>
    <w:p w:rsidR="007779EC" w:rsidP="007779EC" w14:paraId="1D6657AE" w14:textId="77777777">
      <w:pPr>
        <w:pStyle w:val="NormalHanging12a"/>
      </w:pPr>
      <w:r w:rsidRPr="0084282D">
        <w:t>17.</w:t>
      </w:r>
      <w:r w:rsidRPr="0084282D">
        <w:tab/>
        <w:t>głęboko ubolewa, że dotychczas Rosja nie wykazała gotowości do trwałego pokoju i wykorzystuje kontakty dyplomatyczne ze Stanami Zjednoczonymi wyłącznie jako element kampanii wojny psychologicznej mającej osłabić międzynarodowe wsparcie dla Ukrainy; w związku z tym ponownie podkreśla potrzebę zwiększenia presji na Rosję, potępia decyzję Stanów Zjednoczonych o częściowym złagodzeniu sankcji wobec Rosji oraz krytykuje Stany Zjednoczone za uzależnianie amerykańskich gwarancji bezpieczeństwa dla Ukrainy od wycofania się tego kraju z Donbasu; przypomina, że bezpośrednie angażowanie się w kontakty z Rosją bez wywierania realnej presji, publiczne rezygnowanie z głównych środków nacisku, ograniczanie wsparcia wojskowego, odmowa nałożenia dodatkowych sankcji i znoszenie tych już obowiązujących, szantażowanie Ukrainy przez żądanie preferencyjnego dostępu dla przedsiębiorstw amerykańskich do odbudowy i zasobów naturalnych oraz próby zmuszenia Ukrainy do ustępstw terytorialnych i zrzeczenia się jej uzasadnionego prawa do samoobrony są elementami działań dyplomatycznych skazanych na niepowodzenie;</w:t>
      </w:r>
    </w:p>
    <w:p w:rsidR="00E06EFD" w:rsidRPr="0084282D" w:rsidP="007779EC" w14:paraId="17F39131" w14:textId="66D4BAA9">
      <w:pPr>
        <w:pStyle w:val="NormalHanging12a"/>
        <w:rPr>
          <w:bCs/>
          <w:iCs/>
        </w:rPr>
      </w:pPr>
      <w:r>
        <w:rPr>
          <w:bCs/>
          <w:iCs/>
        </w:rPr>
        <w:t>18</w:t>
      </w:r>
      <w:r w:rsidRPr="00E06EFD">
        <w:rPr>
          <w:bCs/>
          <w:iCs/>
        </w:rPr>
        <w:t>.</w:t>
      </w:r>
      <w:r w:rsidRPr="00E06EFD">
        <w:rPr>
          <w:bCs/>
          <w:iCs/>
        </w:rPr>
        <w:tab/>
        <w:t xml:space="preserve">z zadowoleniem przyjmuje oświadczenie przywódców grupy G-7 w sprawie Ukrainy z czerwca 2026 r., w tym zobowiązanie do a) wsparcia nowej dynamiki działań na polu walki i jej przyspieszenia, w tym poprzez rozważenie objęcia Ukrainy korzyściami wynikającymi z licencji, aby umożliwić jej zwiększenie produkcji wojskowej, oraz b) zwiększenie presji na rosyjską gospodarkę wojenną; wzywa UE i państwa członkowskie do podjęcia wszelkich niezbędnych kroków w celu zadbania o realizację tego zobowiązania w praktyce; </w:t>
      </w:r>
    </w:p>
    <w:p w:rsidR="007779EC" w:rsidRPr="0084282D" w:rsidP="007779EC" w14:paraId="7A3E7B16" w14:textId="38F8ECE1">
      <w:pPr>
        <w:pStyle w:val="NormalHanging12a"/>
        <w:rPr>
          <w:bCs/>
          <w:iCs/>
        </w:rPr>
      </w:pPr>
      <w:r>
        <w:t>19</w:t>
      </w:r>
      <w:r w:rsidR="00297327">
        <w:t>.</w:t>
      </w:r>
      <w:r w:rsidR="00297327">
        <w:tab/>
      </w:r>
      <w:r w:rsidRPr="00297327" w:rsidR="00297327">
        <w:t>podkreśla, że UE i jej państwa członkowskie oraz ich partnerzy i sojusznicy muszą działać na rzecz ustanowienia silnych i prawnie wiążących gwarancji bezpieczeństwa dla Ukrainy, aby powstrzymać dalszą rosyjską agresję, wzmocnionych wiążącymi mechanizmami monitorowania przestrzegania zobowiązań, systematycznej koordynacji pomocy oraz zagwarantowania trwałego, długoterminowego wsparcia dla suwerenności, integralności terytorialnej i odbudowy Ukrainy;</w:t>
      </w:r>
      <w:r w:rsidRPr="00297327" w:rsidR="00297327">
        <w:rPr>
          <w:bCs/>
          <w:iCs/>
        </w:rPr>
        <w:t xml:space="preserve"> z zadowoleniem przyjmuje wnioski z posiedzenia „koalicji chętnych” w Paryżu 6 stycznia 2026 r.; </w:t>
      </w:r>
      <w:r w:rsidRPr="00B15BD7" w:rsidR="0029677D">
        <w:t>z ogromnym zadowoleniem przyjmuje propozycję utworzenia wielonarodowych sił wsparcia dla Ukrainy i zachęca wszystkie państwa członkowskie UE do dokładnego przeanalizowania, w jaki sposób mogą najlepiej wspierać takie siły</w:t>
      </w:r>
      <w:r w:rsidRPr="0029677D" w:rsidR="0029677D">
        <w:t>;</w:t>
      </w:r>
      <w:r w:rsidRPr="0029677D" w:rsidR="00297327">
        <w:rPr>
          <w:bCs/>
          <w:iCs/>
        </w:rPr>
        <w:t xml:space="preserve"> </w:t>
      </w:r>
      <w:r w:rsidRPr="0029677D" w:rsidR="0029677D">
        <w:t>z</w:t>
      </w:r>
      <w:r w:rsidRPr="00B15BD7" w:rsidR="0029677D">
        <w:t xml:space="preserve"> zadowoleniem przyjmuje porozumienie w sprawie sfinalizowania politycznie i prawnie wiążących zobowiązań do przywrócenia pokoju i bezpieczeństwa w przypadku przyszłego ataku zbrojnego ze strony Rosji oraz jasne ramy wsparcia dla Ukrainy</w:t>
      </w:r>
      <w:r w:rsidRPr="004042CC" w:rsidR="0029677D">
        <w:t>;</w:t>
      </w:r>
      <w:r w:rsidRPr="004042CC" w:rsidR="00297327">
        <w:rPr>
          <w:bCs/>
          <w:iCs/>
        </w:rPr>
        <w:t xml:space="preserve"> </w:t>
      </w:r>
      <w:r w:rsidRPr="00B15BD7" w:rsidR="004042CC">
        <w:t xml:space="preserve">ponawia apele o utworzenie koalicji chętnych państw członkowskich UE w celu przeanalizowania, w </w:t>
      </w:r>
      <w:r w:rsidRPr="00B15BD7" w:rsidR="004042CC">
        <w:t>jaki sposób ustanowić defensywną, zarządzaną przez Europę, zintegrowaną strefę ochrony powietrznej z wykorzystaniem patroli bojowych nad niespornymi obszarami Ukrainy, co pomogłoby chronić ukraińską ludność cywilną przed masowymi atakami na infrastrukturę cywilną, a także stanowiłaby proaktywną obronę przed rosyjskimi wtargnięciami w przestrzeń powietrzną UE oraz zmianę układu sił, aby zmusić Rosję do podjęcia negocjacji;</w:t>
      </w:r>
    </w:p>
    <w:p w:rsidR="007779EC" w:rsidRPr="0084282D" w:rsidP="007779EC" w14:paraId="4A04E2C5" w14:textId="06824C04">
      <w:pPr>
        <w:pStyle w:val="NormalHanging12a"/>
        <w:rPr>
          <w:bCs/>
          <w:iCs/>
        </w:rPr>
      </w:pPr>
      <w:r>
        <w:t>20</w:t>
      </w:r>
      <w:r w:rsidRPr="0084282D">
        <w:t>.</w:t>
      </w:r>
      <w:r w:rsidRPr="0084282D">
        <w:tab/>
        <w:t xml:space="preserve">w związku z potrzebą wywarcia większej presji na Rosję apeluje o bardziej restrykcyjne, kompleksowe i strukturalne sankcje wobec Rosji i jej sojuszników, aby pozbawić ją zasobów niezbędnych do finansowania machiny wojennej i dalszej agresji przeciwko Ukrainie, w tym ukierunkowane indywidualne sankcje w ramach globalnego systemu sankcji UE za naruszenia praw człowieka (unijna ustawa </w:t>
      </w:r>
      <w:r w:rsidRPr="0084282D">
        <w:t>Magnickiego</w:t>
      </w:r>
      <w:r w:rsidRPr="0084282D">
        <w:t>) wobec osób odpowiedzialnych za poważne naruszenia praw człowieka; wzywa do lepszego dostosowania wykazów sankcji do wykazów partnerów o zbieżnych poglądach; zdecydowanie apeluje o zwiększenie zdolności administracyjnych i zasobów finansowych w celu poprawy opracowywania, wdrażania i egzekwowania sankcji UE; domaga się utrzymania sankcji do czasu wynegocjowania i trwałego wdrożenia porozumienia pokojowego; wzywa Radę i państwa członkowskie do podejmowania systematycznych działań w celu rozwiązania problemu obchodzenia sankcji; podkreśla, że sankcje mają wyraźny wpływ na rosyjską gospodarkę, przypomina jednak, że system sankcji musi mieć szerszy zasięg, a jego wdrażanie musi być bardziej rygorystyczne, jeśli ma przynieść oczekiwany efekt w postaci ograniczenia funduszy Rosji na prowadzenie wojny napastniczej; apeluje zatem o wzmocnienie i rozszerzenie sankcji wymierzonych w podstawowe źródła dochodów Rosji, w tym między innymi sektory energii, surowców, finansów i transportu; wzywa UE i jej państwa członkowskie do skoordynowanej współpracy w celu wprowadzenia zakazu wymiany handlowej i działalności gospodarczej z Rosją i Białorusią, ze szczególnym uwzględnieniem dóbr i technologii o potencjalnym podwójnym zastosowaniu, a także tranzytu towarów do i z UE przez terytoria tych państw; apeluje o całkowity zakaz rosyjskich wyrobów stalowych</w:t>
      </w:r>
      <w:r>
        <w:t xml:space="preserve"> </w:t>
      </w:r>
      <w:r w:rsidRPr="00E06EFD">
        <w:t xml:space="preserve">i wywozu tlenku </w:t>
      </w:r>
      <w:r w:rsidRPr="00E06EFD">
        <w:t>glinu</w:t>
      </w:r>
      <w:r w:rsidRPr="00E06EFD">
        <w:t xml:space="preserve"> do Rosji</w:t>
      </w:r>
      <w:r w:rsidRPr="0084282D">
        <w:t>;</w:t>
      </w:r>
    </w:p>
    <w:p w:rsidR="007779EC" w:rsidRPr="0084282D" w:rsidP="007779EC" w14:paraId="387C6912" w14:textId="4FAAE3C2">
      <w:pPr>
        <w:pStyle w:val="NormalHanging12a"/>
        <w:rPr>
          <w:bCs/>
          <w:iCs/>
        </w:rPr>
      </w:pPr>
      <w:r>
        <w:t>21</w:t>
      </w:r>
      <w:r w:rsidRPr="0084282D">
        <w:t>.</w:t>
      </w:r>
      <w:r w:rsidRPr="0084282D">
        <w:tab/>
        <w:t>wzywa do wzmożenia wysiłków na rzecz likwidacji operacji rosyjskiej floty cieni, które stanowią znaczne i rosnące zagrożenie dla bezpieczeństwa morskiego, zwłaszcza na strategicznie ważnym Morzu Bałtyckim</w:t>
      </w:r>
      <w:r w:rsidRPr="00E06EFD">
        <w:t>; wzywa w związku z tym do ściślejszej współpracy między organami państw członkowskich położonych nad Morzem Bałtyckim, aby zapewnić skuteczne zaprzestanie działalności floty cieni</w:t>
      </w:r>
      <w:r w:rsidRPr="0084282D">
        <w:t>; wzywa państwa członkowskie do ścisłego przestrzegania przepisów UE i wstrzymania importu rosyjskiego skroplonego gazu ziemnego i gazu ziemnego, ponieważ dochody z niego stale wspierają rosyjską machinę wojenną i podważają skuteczność sankcji UE oraz wsparcia UE dla Ukrainy;</w:t>
      </w:r>
    </w:p>
    <w:p w:rsidR="007779EC" w:rsidRPr="0084282D" w:rsidP="007779EC" w14:paraId="17D7B8A6" w14:textId="69F06D0E">
      <w:pPr>
        <w:pStyle w:val="NormalHanging12a"/>
        <w:rPr>
          <w:bCs/>
          <w:iCs/>
        </w:rPr>
      </w:pPr>
      <w:bookmarkStart w:id="7" w:name="_Hlk229052168"/>
      <w:r>
        <w:t>22</w:t>
      </w:r>
      <w:r w:rsidRPr="0084282D">
        <w:t>.</w:t>
      </w:r>
      <w:r w:rsidRPr="0084282D">
        <w:tab/>
        <w:t xml:space="preserve">ubolewa nad drastycznymi decyzjami podjętymi przez Międzynarodowy Komitet Olimpijski i Międzynarodowy Komitet Paraolimpijski dotyczącymi wolności wypowiedzi ukraińskich sportowców podczas zimowych igrzysk olimpijskich i paraolimpijskich w Mediolanie i Cortinie w 2026 r., a także nad decyzją World </w:t>
      </w:r>
      <w:r w:rsidRPr="0084282D">
        <w:t>Aquatics</w:t>
      </w:r>
      <w:r w:rsidRPr="0084282D">
        <w:t xml:space="preserve"> o zniesieniu sankcji wobec sportowców rosyjskich i białoruskich oraz nad decyzją Biennale w Wenecji o ponownym dopuszczeniu do udziału artystów rosyjskich; podkreśla, że reżimy rosyjski i białoruski aktywnie wykorzystują sport i kulturę do celów propagandy państwowej i do zmiany narracji wokół sprawców rażącego łamania praw człowieka i zbrodni wojennych; wyraża solidarność z dyskryminowanymi sportowcami ukraińskimi oraz wzywa UE i jej państwa członkowskie do </w:t>
      </w:r>
      <w:r w:rsidRPr="0084282D">
        <w:t>zagwarantowania pełnego stosowania i egzekwowania europejskiego prawa konkurencji; apeluje, aby uniemożliwiono wydawanie wiz UE rosyjskim sportowcom i artystom, którzy nie dystansują się od rosyjskiej wojny napastniczej przeciwko Ukrainie;</w:t>
      </w:r>
    </w:p>
    <w:bookmarkEnd w:id="7"/>
    <w:p w:rsidR="007779EC" w:rsidRPr="0084282D" w:rsidP="007779EC" w14:paraId="49D37B5E" w14:textId="77777777">
      <w:pPr>
        <w:pStyle w:val="NormalWeb"/>
        <w:rPr>
          <w:b/>
          <w:bCs/>
          <w:i/>
          <w:iCs/>
        </w:rPr>
      </w:pPr>
      <w:r w:rsidRPr="0084282D">
        <w:rPr>
          <w:b/>
          <w:i/>
        </w:rPr>
        <w:t>II. Długoterminowe wsparcie finansowe dla Ukrainy i reparacje wojenne</w:t>
      </w:r>
    </w:p>
    <w:p w:rsidR="007779EC" w:rsidRPr="0084282D" w:rsidP="007779EC" w14:paraId="51308E6D" w14:textId="5B32F7D5">
      <w:pPr>
        <w:pStyle w:val="NormalWeb"/>
        <w:ind w:left="720" w:hanging="720"/>
      </w:pPr>
      <w:r>
        <w:t>23</w:t>
      </w:r>
      <w:r w:rsidRPr="0084282D">
        <w:t>.</w:t>
      </w:r>
      <w:r w:rsidRPr="0084282D">
        <w:tab/>
        <w:t>pochwala zapowiedź Komisji ze stycznia 2026 r., że zapewni 90 mld EUR na kluczowe wsparcie potrzeb budżetowych i wojskowych Ukrainy w dwuletnim okresie 2026–2027, i z zadowoleniem przyjmuje niezbędną elastyczność przewidzianą w pakiecie w ramach systemu odstępstw określonego w art. 13 ust. 5 proponowanego rozporządzenia ustanawiającego pożyczkę na potrzeby wsparcia Ukrainy na lata 2026 i 2027</w:t>
      </w:r>
      <w:r>
        <w:rPr>
          <w:rStyle w:val="FootnoteReference"/>
        </w:rPr>
        <w:footnoteReference w:id="7"/>
      </w:r>
      <w:r w:rsidRPr="0084282D">
        <w:t xml:space="preserve">; </w:t>
      </w:r>
      <w:r w:rsidRPr="00E06EFD">
        <w:t xml:space="preserve">z zadowoleniem przyjmuje fakt, że Rada przełamała impas uniemożliwiający uruchomienie pożyczki na potrzeby wsparcia Ukrainy oraz odblokowanie Funduszu Pomocy Ukrainie w ramach Europejskiego Instrumentu na rzecz Pokoju; wzywa rządy Węgier, Słowacji i Czech do ponownego rozważenia klauzuli </w:t>
      </w:r>
      <w:r w:rsidRPr="00E06EFD">
        <w:t>opt</w:t>
      </w:r>
      <w:r w:rsidRPr="00E06EFD">
        <w:t>-out i do udziału w gwarancjach dotyczących tej pożyczki; z zadowoleniem przyjmuje wypłatę Ukrainie w dniu 25 czerwca 2026 r. pierwszej transzy w wysokości 3,2 mld EUR w ramach pożyczki na potrzeby wsparcia Ukrainy;</w:t>
      </w:r>
    </w:p>
    <w:p w:rsidR="007779EC" w:rsidRPr="0084282D" w:rsidP="007779EC" w14:paraId="4ED4DE2A" w14:textId="4D5A82D7">
      <w:pPr>
        <w:pStyle w:val="NormalWeb"/>
        <w:ind w:left="720" w:hanging="720"/>
        <w:rPr>
          <w:bCs/>
          <w:iCs/>
        </w:rPr>
      </w:pPr>
      <w:r>
        <w:t>24</w:t>
      </w:r>
      <w:r w:rsidRPr="0084282D">
        <w:t>.</w:t>
      </w:r>
      <w:r w:rsidRPr="0084282D">
        <w:tab/>
        <w:t>wzywa Komisję i państwa członkowskie do przyjęcia bardziej kompleksowego, długoterminowego i strategicznego podejścia do wspierania Ukrainy, wykraczającego poza doraźne środki pomocy; podkreśla potrzebę ustrukturyzowanej i wielowymiarowej strategii UE łączącej trwałe wsparcie wojskowe, gospodarcze i przemysłowe; apeluje w związku z tym o znaczne zwiększenie europejskich zdolności produkcji obronnej oraz ustanowienie skoordynowanych, paneuropejskich mechanizmów zamówień, aby zagwarantować Ukrainie terminowe i wystarczające dostawy amunicji i sprzętu;</w:t>
      </w:r>
    </w:p>
    <w:p w:rsidR="007779EC" w:rsidRPr="0084282D" w:rsidP="007779EC" w14:paraId="575BC0AE" w14:textId="245A517E">
      <w:pPr>
        <w:pStyle w:val="NormalWeb"/>
        <w:ind w:left="720" w:hanging="720"/>
        <w:rPr>
          <w:bCs/>
          <w:iCs/>
        </w:rPr>
      </w:pPr>
      <w:r>
        <w:t>25</w:t>
      </w:r>
      <w:r w:rsidRPr="0084282D">
        <w:t>.</w:t>
      </w:r>
      <w:r w:rsidRPr="0084282D">
        <w:tab/>
        <w:t>ponownie wyraża głębokie przekonanie, że Rosja musi zapłacić za ogromne szkody wyrządzone w Ukrainie; podkreśla, że potrzebne są przewidywalne wieloletnie ramy finansowe dla Ukrainy, które pomogą jej pokrywać koszty odbudowy i obrony podczas rosyjskiej agresji bez corocznej niepewności; ubolewa, że Komisja i Rada nie osiągnęły porozumienia w sprawie wniosku Komisji dotyczącego pożyczki reparacyjnej</w:t>
      </w:r>
      <w:r>
        <w:rPr>
          <w:rStyle w:val="FootnoteReference"/>
          <w:bCs/>
          <w:iCs/>
        </w:rPr>
        <w:footnoteReference w:id="8"/>
      </w:r>
      <w:r w:rsidRPr="0084282D">
        <w:t xml:space="preserve"> z wykorzystaniem sald gotówkowych związanych z rosyjskimi aktywami państwowymi, i z zadowoleniem przyjmuje apele Rady do Komisji o dalszą pracę nad technicznymi i prawnymi aspektami instrumentów ustanawiających pożyczkę reparacyjną w oparciu o salda gotówkowe związane z </w:t>
      </w:r>
      <w:r w:rsidRPr="0084282D">
        <w:t>immobilizowanymi</w:t>
      </w:r>
      <w:r w:rsidRPr="0084282D">
        <w:t xml:space="preserve"> aktywami Rosji w celu pokrycia kosztów obrony, rekonstrukcji i reparacji Ukrainy; ponownie potwierdza potrzebę przeniesienia tych </w:t>
      </w:r>
      <w:r w:rsidRPr="0084282D">
        <w:t>immobilizowanych</w:t>
      </w:r>
      <w:r w:rsidRPr="0084282D">
        <w:t xml:space="preserve"> aktywów do odrębnego instrumentu specjalnego przeznaczenia;</w:t>
      </w:r>
    </w:p>
    <w:p w:rsidR="007779EC" w:rsidRPr="0084282D" w:rsidP="007779EC" w14:paraId="75FBC1BA" w14:textId="37F50B04">
      <w:pPr>
        <w:pStyle w:val="NormalWeb"/>
        <w:ind w:left="720" w:hanging="720"/>
        <w:rPr>
          <w:bCs/>
          <w:iCs/>
        </w:rPr>
      </w:pPr>
      <w:r>
        <w:t>26</w:t>
      </w:r>
      <w:r w:rsidRPr="0084282D">
        <w:t>.</w:t>
      </w:r>
      <w:r w:rsidRPr="0084282D">
        <w:tab/>
        <w:t xml:space="preserve">z zadowoleniem przyjmuje porozumienie dotyczące Konwencji w sprawie ustanowienia Międzynarodowej Komisji ds. Roszczeń i wzywa do jego szybkiej ratyfikacji; wyraża uznanie dla wniosku Komisji dotyczącego rozpoczęcia procesu przystąpienia UE jako członka założyciela Specjalnego Trybunału do spraw Zbrodni Agresji przeciwko Ukrainie, uznanego za krok w kierunku zapewnienia odpowiedzialności za zbrodnię agresji i wsparcia międzynarodowych działań na rzecz sprawiedliwości; apeluje o intensyfikację wsparcia UE dla gromadzenia i zabezpieczania dowodów rosyjskich zbrodni wojennych w Ukrainie, w tym przez znaczne zwiększenie pomocy finansowej, technicznej i kryminalistycznej dla prokuratorów i organów śledczych zajmujących się tymi zbrodniami; </w:t>
      </w:r>
    </w:p>
    <w:p w:rsidR="007779EC" w:rsidRPr="0084282D" w:rsidP="007779EC" w14:paraId="5643F9B3" w14:textId="77777777">
      <w:pPr>
        <w:pStyle w:val="Normal12a"/>
        <w:rPr>
          <w:i/>
          <w:iCs/>
        </w:rPr>
      </w:pPr>
      <w:r w:rsidRPr="0084282D">
        <w:rPr>
          <w:b/>
          <w:i/>
        </w:rPr>
        <w:t xml:space="preserve">III. Zaangażowanie na rzecz przystąpienia do UE i negocjacje akcesyjne </w:t>
      </w:r>
    </w:p>
    <w:p w:rsidR="007779EC" w:rsidRPr="0084282D" w:rsidP="007779EC" w14:paraId="08CF2F0F" w14:textId="4EB473CA">
      <w:pPr>
        <w:pStyle w:val="NormalHanging12a"/>
      </w:pPr>
      <w:r>
        <w:t>27</w:t>
      </w:r>
      <w:r w:rsidRPr="0084282D">
        <w:t>.</w:t>
      </w:r>
      <w:r w:rsidRPr="0084282D">
        <w:tab/>
        <w:t>z dużym zadowoleniem przyjmuje stałe zaangażowanie Ukrainy w spełnianie wymogów członkostwa w UE oraz jej umiejętność do czynienia postępów na drodze do przystąpienia do UE; podkreśla, że osiągnięcia Ukrainy należy zawsze rozpatrywać w kontekście trwającej rosyjskiej wojny napastniczej i jej negatywnego wpływu na procesy demokratyczne i administrację publiczną w Ukrainie;</w:t>
      </w:r>
      <w:r w:rsidRPr="0084282D">
        <w:rPr>
          <w:b/>
          <w:i/>
        </w:rPr>
        <w:t xml:space="preserve"> </w:t>
      </w:r>
    </w:p>
    <w:p w:rsidR="007779EC" w:rsidRPr="0084282D" w:rsidP="007779EC" w14:paraId="0F4CFC90" w14:textId="7BCAF654">
      <w:pPr>
        <w:pStyle w:val="NormalHanging12a"/>
      </w:pPr>
      <w:r>
        <w:t>28</w:t>
      </w:r>
      <w:r w:rsidRPr="0084282D">
        <w:t>.</w:t>
      </w:r>
      <w:r w:rsidRPr="0084282D">
        <w:tab/>
        <w:t>potwierdza, że chociaż proces rozszerzenia UE musi pozostać obiektywny, a także ściśle oparty na osiągnięciach oraz na kryteriach kopenhaskich i warunkach ram rozszerzenia, rozszerzenie stanowi wzajemnie korzystną inwestycję geostrategiczną w pokój, stabilność i bezpieczeństwo na kontynencie europejskim, a także obowiązek moralny; podkreśla w związku z tym, że przyszłość Ukrainy wiąże się z UE, i uznaje integrację europejską Ukrainy za strategiczny priorytet Unii;</w:t>
      </w:r>
    </w:p>
    <w:p w:rsidR="007779EC" w:rsidRPr="0084282D" w:rsidP="007779EC" w14:paraId="1781D6F0" w14:textId="3458EE93">
      <w:pPr>
        <w:pStyle w:val="NormalHanging12a"/>
      </w:pPr>
      <w:r>
        <w:t>29</w:t>
      </w:r>
      <w:r w:rsidRPr="0084282D">
        <w:t>.</w:t>
      </w:r>
      <w:r w:rsidRPr="0084282D">
        <w:tab/>
        <w:t xml:space="preserve">pochwala przyjęcie krajowego programu dostosowania ustawodawstwa ukraińskiego do prawa Unii </w:t>
      </w:r>
      <w:r w:rsidRPr="0084282D">
        <w:t>Europejskiej,</w:t>
      </w:r>
      <w:r w:rsidRPr="0084282D">
        <w:t xml:space="preserve"> jako kluczowy instrument uporządkowanego i przejrzystego planowania procesu dostosowania legislacyjnego, w tym ambitnego harmonogramu zakończenia wszystkich niezbędnych działań w celu spełnienia kryteriów do końca 2027 r.;</w:t>
      </w:r>
    </w:p>
    <w:p w:rsidR="007779EC" w:rsidRPr="0084282D" w:rsidP="007779EC" w14:paraId="6B1F789F" w14:textId="52C55332">
      <w:pPr>
        <w:pStyle w:val="NormalHanging12a"/>
      </w:pPr>
      <w:r>
        <w:t>30</w:t>
      </w:r>
      <w:r w:rsidRPr="0084282D">
        <w:t>.</w:t>
      </w:r>
      <w:r w:rsidRPr="0084282D">
        <w:tab/>
        <w:t>z zadowoleniem przyjmuje zakończenie procesu przeglądu wszystkich klastrów i odnotowuje fakt, że zgodnie z oceną przygotowaną przez Komisję i Radę Ukrainy poczyniła istotne postępy w kierunku otwarcia klastrów negocjacyjnych; wyraża uznanie dla Rady Europejskiej, która w marcu 2026 r. zaapelowała do Rady, aby ta niezwłocznie otworzyła wszystkie klastry negocjacyjne, i wzywa Radę, aby natychmiast podjęła działania w celu realizacji tej decyzji, zaczynając od klastra dotyczącego kwestii podstawowych; jednocześnie z zadowoleniem przyjmuje decyzję Komisji i cypryjskiej prezydencji w Radzie o kontynuowaniu negocjacji na szczeblu technicznym w oczekiwaniu na otwarcie negocjacji w przyszłości;</w:t>
      </w:r>
      <w:r>
        <w:t xml:space="preserve"> </w:t>
      </w:r>
    </w:p>
    <w:p w:rsidR="007779EC" w:rsidRPr="0084282D" w:rsidP="007779EC" w14:paraId="316357E2" w14:textId="77157E2D">
      <w:pPr>
        <w:pStyle w:val="NormalHanging12a"/>
      </w:pPr>
      <w:r>
        <w:t>31</w:t>
      </w:r>
      <w:r w:rsidRPr="0084282D">
        <w:t>.</w:t>
      </w:r>
      <w:r w:rsidRPr="0084282D">
        <w:tab/>
        <w:t>zdecydowanie wzywa wszystkie państwa członkowskie, a w szczególności nowy rząd Węgier, aby przestały wetować otwieranie klastrów negocjacyjnych oraz wykorzystywać perspektywę członkostwa Ukrainy w UE w polityce wewnętrznej i kampaniach politycznych;</w:t>
      </w:r>
      <w:r>
        <w:t xml:space="preserve"> </w:t>
      </w:r>
      <w:r w:rsidRPr="00E06EFD">
        <w:t>z zadowoleniem przyjmuje otwarcie pierwszego, obejmującego kwestie podstawowe, klastra rozdziałów negocjacyjnych w ramach negocjacji akcesyjnych oraz oczekuje, że wkrótce otwarte zostaną kolejne klastry:</w:t>
      </w:r>
    </w:p>
    <w:p w:rsidR="007779EC" w:rsidRPr="0084282D" w:rsidP="007779EC" w14:paraId="4B2F5723" w14:textId="0E967C76">
      <w:pPr>
        <w:pStyle w:val="NormalHanging12a"/>
      </w:pPr>
      <w:r>
        <w:t>32</w:t>
      </w:r>
      <w:r w:rsidRPr="0084282D">
        <w:t>.</w:t>
      </w:r>
      <w:r w:rsidRPr="0084282D">
        <w:tab/>
        <w:t xml:space="preserve">jest świadomy, że potencjalne przystąpienie Ukrainy do Unii będzie miało znaczący wpływ na budżet; podkreśla jednak, że zgodnie z oczekiwaniami większość kosztów </w:t>
      </w:r>
      <w:r w:rsidRPr="0084282D">
        <w:t>odbudowy zostanie pokryta ze środków innych niż budżet UE, co będzie wymagało – oprócz ogromnych wysiłków wewnętrznych – wsparcia ze strony międzynarodowych instytucji finansowych, inwestycji prywatnych i krajów partnerskich; podkreśla, że należy utrzymać i dalej wzmacniać poparcie publiczne dla procesu rozszerzenia i przystąpienia Ukrainy w państwach członkowskich i w Ukrainie, co wymaga dostosowanej i opartej na faktach komunikacji na poziomie unijnym i krajowym, w tym na temat sposobów odnoszenia się do uzasadnionych obaw dotyczących wpływu na niektóre sektory gospodarki i strategie polityczne UE, takie jak wspólna polityka rolna;</w:t>
      </w:r>
    </w:p>
    <w:p w:rsidR="007779EC" w:rsidP="007779EC" w14:paraId="722EB1FA" w14:textId="0A5FEC43">
      <w:pPr>
        <w:pStyle w:val="NormalHanging12a"/>
      </w:pPr>
      <w:r>
        <w:t>33</w:t>
      </w:r>
      <w:r w:rsidRPr="0084282D">
        <w:t>.</w:t>
      </w:r>
      <w:r w:rsidRPr="0084282D">
        <w:tab/>
        <w:t>wzywa Radę, Komisję i państwa członkowskie do wykazania się maksymalnie innowacyjnym podejściem, aby dyskusje wokół członkostwa Ukrainy w UE nie stały się czynnikiem negatywnie wpływającym na rozmowy pokojowe, na inne kraje objęte procesem akcesyjnym ani na politykę wewnętrzną Ukrainy</w:t>
      </w:r>
      <w:r w:rsidRPr="00095D58" w:rsidR="00095D58">
        <w:t>; wzywa państwa członkowskie, aby aktywnie i konstruktywnie zaangażowały się w omawianie propozycji mających na celu przyspieszenie integracji Ukrainy z UE, przy jednoczesnym uwzględnieniu strategicznych interesów UE, biorąc pod uwagę dynamikę w krajach przystępujących, w tym podejmowane przez Rosję próby osłabienia poparcia społecznego dla rozszerzenia UE i przystąpienia do UE, oraz promując przyszłe bezpieczeństwo Ukrainy i kontynentu europejskiego;</w:t>
      </w:r>
      <w:r w:rsidRPr="0084282D">
        <w:t xml:space="preserve"> ponawia apel o zwiększenie zdolności UE do działania dzięki uproszczeniu procesów decyzyjnych, np. wprowadzeniu głosowania większością kwalifikowaną na etapach pośrednich procesu rozszerzenia przy podejmowaniu decyzji o otwieraniu i zamykaniu poszczególnych klastrów i rozdziałów negocjacyjnych, w pełnej zgodności z traktatami;</w:t>
      </w:r>
    </w:p>
    <w:p w:rsidR="00095D58" w:rsidRPr="0084282D" w:rsidP="007779EC" w14:paraId="3394CCB1" w14:textId="445C20AD">
      <w:pPr>
        <w:pStyle w:val="NormalHanging12a"/>
      </w:pPr>
      <w:r>
        <w:t>34</w:t>
      </w:r>
      <w:r w:rsidRPr="00095D58">
        <w:t>.</w:t>
      </w:r>
      <w:r w:rsidRPr="00095D58">
        <w:tab/>
        <w:t xml:space="preserve">przypomina swoje uprzednio przyjęte stanowisko w sprawie Rzezi Wołyńskiej, ubolewa nad niedawną niepotrzebną i niesprowokowaną eskalacją spowodowaną przez prezydenta </w:t>
      </w:r>
      <w:r w:rsidRPr="00095D58">
        <w:t>Wołodymyra</w:t>
      </w:r>
      <w:r w:rsidRPr="00095D58">
        <w:t xml:space="preserve"> </w:t>
      </w:r>
      <w:r w:rsidRPr="00095D58">
        <w:t>Zełenskiego</w:t>
      </w:r>
      <w:r w:rsidRPr="00095D58">
        <w:t xml:space="preserve"> polegającą na nadaniu elitarnej jednostce Sił Zbrojnych Ukrainy imienia „Bohaterów UPA” (Ukraińskiej Powstańczej Armii); ubolewa, że zwłaszcza w świetle niezachwianego wsparcia Polski dla Ukrainy w walce z rosyjską agresją zaniedbano fakt, że kwestia ta jest delikatna i bolesna dla polskiego społeczeństwa w kontekście szacowanej na wiele dziesiątków tysięcy liczby ofiar UPA i ich rodzin; uważa, że decyzja ta szkodzi stosunkom dobrosąsiedzkim oraz wcześniejszym wysiłkom na rzecz rozwiązania nierozstrzygniętych i bolesnych aspektów dwustronnych stosunkach historycznych w duchu prawdziwego i szczerego pojednania, a także nie jest zgodna z wartościami europejskimi; wzywa do deeskalacji i wznowienia wysiłków w dobrej wierze na rzecz pojednania;</w:t>
      </w:r>
    </w:p>
    <w:p w:rsidR="007779EC" w:rsidRPr="0084282D" w:rsidP="007779EC" w14:paraId="046EC2FA" w14:textId="1CF78E59">
      <w:pPr>
        <w:pStyle w:val="NormalHanging12a"/>
      </w:pPr>
      <w:r>
        <w:t>35</w:t>
      </w:r>
      <w:r w:rsidRPr="0084282D">
        <w:t>.</w:t>
      </w:r>
      <w:r w:rsidRPr="0084282D">
        <w:tab/>
        <w:t>uważa, że oparta na współpracy i przyszłościowa polityka Ukrainy wobec krajów sąsiadujących, w tym rozstrzyganie dwustronnych sporów i dialog historyczny, przyczynia się do postępów w procesie akcesyjnym, i podkreśla, że procesu akcesyjnego nie należy nadużywać, by utrudniać oparty na osiągnięciach postęp na drodze do integracji europejskiej czy stawiać nad szerszymi interesami strategicznymi Unii kwestie, które należy raczej rozpatrywać w drodze otwartego dialogu i prawdziwej współpracy;</w:t>
      </w:r>
    </w:p>
    <w:p w:rsidR="007779EC" w:rsidRPr="0084282D" w:rsidP="007779EC" w14:paraId="283AADBD" w14:textId="77777777">
      <w:pPr>
        <w:pStyle w:val="Normal12a"/>
        <w:rPr>
          <w:bCs/>
          <w:i/>
          <w:iCs/>
        </w:rPr>
      </w:pPr>
      <w:r w:rsidRPr="0084282D">
        <w:rPr>
          <w:b/>
          <w:i/>
        </w:rPr>
        <w:t>IV. Demokracja i instytucje demokratyczne</w:t>
      </w:r>
      <w:r w:rsidRPr="0084282D">
        <w:rPr>
          <w:i/>
        </w:rPr>
        <w:t xml:space="preserve"> </w:t>
      </w:r>
    </w:p>
    <w:p w:rsidR="007779EC" w:rsidRPr="0084282D" w:rsidP="007779EC" w14:paraId="6E27F8FC" w14:textId="601CB529">
      <w:pPr>
        <w:pStyle w:val="NormalHanging12a"/>
      </w:pPr>
      <w:r>
        <w:t>36</w:t>
      </w:r>
      <w:r w:rsidRPr="0084282D">
        <w:t>.</w:t>
      </w:r>
      <w:r w:rsidRPr="0084282D">
        <w:tab/>
        <w:t xml:space="preserve">docenia nadzwyczajne wysiłki Ukrainy na rzecz wzmocnienia instytucji demokratycznych w czasie wojny; wyraża jednak obawy z powodu niedawnego pogorszenia relacji między władzą ustawodawczą a wykonawczą; zdecydowanie wzywa wszystkie zainteresowane strony do przywrócenia produktywnych stosunków między </w:t>
      </w:r>
      <w:r w:rsidRPr="0084282D">
        <w:t>rządem a Radą Najwyższą Ukrainy, wszystkie podmioty polityczne w Ukrainie – w szczególności te obecnie sprawujące władzę – do wspierania jedności politycznej oraz spójnego i pluralistycznego kształtowania polityki, a ukraińskie siły polityczne – do zachowania jedności co do obrony kraju i jego drogi do integracji z UE; wzywa władze Ukrainy do przestrzegania zasady podziału władzy, pluralizmu wielopartyjnego i włączenia społecznego, aby zagwarantować należyte poszanowanie kompetencji i praw władz lokalnych i lokalnych organów samorządowych, poszanowanie praworządności i podstawowych wolności, w tym pluralizmu mediów, zgodnie z demokratycznymi zasadami i wartościami, których obywatele i obywatelki Ukrainy tak zdecydowanie i odważnie bronią; wzywa instytucje UE do pogłębienia współpracy z Radą Najwyższą Ukrainy;</w:t>
      </w:r>
    </w:p>
    <w:p w:rsidR="007779EC" w:rsidRPr="0084282D" w:rsidP="007779EC" w14:paraId="0E87C6C6" w14:textId="485ED503">
      <w:pPr>
        <w:pStyle w:val="NormalHanging12a"/>
        <w:rPr>
          <w:bCs/>
          <w:iCs/>
        </w:rPr>
      </w:pPr>
      <w:r>
        <w:t>37</w:t>
      </w:r>
      <w:r w:rsidRPr="0084282D">
        <w:t>.</w:t>
      </w:r>
      <w:r w:rsidRPr="0084282D">
        <w:tab/>
        <w:t>przypomina kluczowe znaczenie wewnętrznej jedności politycznej jako podstawowego filaru długoterminowej odporności Ukrainy w obliczu trwającej agresji ze strony Federacji Rosyjskiej; przypomina ponadto, że należy utrzymać pluralizm parlamentarny jako podstawę rządów demokratycznych; podkreśla potrzebę konstruktywnej i realnej współpracy wszystkich sił politycznych reprezentowanych w Radzie Najwyższej Ukrainy z myślą o wzmocnieniu odporności politycznej, wojskowej, gospodarczej i społecznej oraz wdrażaniu kryteriów przystąpienia do UE;</w:t>
      </w:r>
    </w:p>
    <w:p w:rsidR="007779EC" w:rsidRPr="0084282D" w:rsidP="007779EC" w14:paraId="09E14AB6" w14:textId="791EBC3D">
      <w:pPr>
        <w:pStyle w:val="NormalHanging12a"/>
      </w:pPr>
      <w:r>
        <w:t>38</w:t>
      </w:r>
      <w:r w:rsidRPr="0084282D">
        <w:t>.</w:t>
      </w:r>
      <w:r w:rsidRPr="0084282D">
        <w:tab/>
        <w:t>ponownie podkreśla kluczową rolę Rady Najwyższej Ukrainy w szybkim przyjęciu reform; podkreśla znaczenie poszanowania i wzmocnienia instytucjonalnej roli Rady Najwyższej Ukrainy oraz popiera trwające działania reformatorskie mające na celu wzmocnienie jej zdolności legislacyjnych, nadzoru nad władzą wykonawczą oraz odpowiedzialności wobec społeczeństwa; wyraża zaniepokojenie w związku z opóźnieniami w przyjmowaniu tych przepisów i wzywa Radę Najwyższą Ukrainy oraz jej członków do ustanowienia trybu przyspieszonego w celu ich szybkiego przyjęcia, przy jednoczesnym pełnym poszanowaniu kontroli parlamentarnej nad projektami aktów prawnych;</w:t>
      </w:r>
    </w:p>
    <w:p w:rsidR="007779EC" w:rsidRPr="0084282D" w:rsidP="007779EC" w14:paraId="22FBE51C" w14:textId="2B285C6F">
      <w:pPr>
        <w:pStyle w:val="NormalHanging12a"/>
      </w:pPr>
      <w:r>
        <w:t>39</w:t>
      </w:r>
      <w:r w:rsidRPr="0084282D">
        <w:t>.</w:t>
      </w:r>
      <w:r w:rsidRPr="0084282D">
        <w:tab/>
        <w:t>wzywa rząd Ukrainy i opozycję do aktywnego poszukiwania sposobów i praktycznych rozwiązań, w tym przez analizowanie nowych podejść do szerokiej współpracy politycznej, aby wspólnie działać na rzecz realizacji reform europejskich na drodze Ukrainy do członkostwa w UE; przypomina o swoich obawach dotyczących ograniczeń w podróżach zagranicznych członków Rady Najwyższej Ukrainy i ponawia zalecenie dotyczące zniesienia ograniczeń w podróżach zagranicznych posłów do parlamentu związanych z mandatem i polityką; zaleca wzmocnienie zdolności ustawodawczej Rady Najwyższej Ukrainy w celu stanowienia prawa wyższej jakości i zwalczania zjawiska „spamu legislacyjnego”, polegającego na wprowadzaniu wielu równoległych projektów ustaw o niskiej jakości dotyczących tego samego tematu;</w:t>
      </w:r>
    </w:p>
    <w:p w:rsidR="007779EC" w:rsidP="007779EC" w14:paraId="34913778" w14:textId="466ED3EF">
      <w:pPr>
        <w:pStyle w:val="NormalHanging12a"/>
      </w:pPr>
      <w:r>
        <w:t>40</w:t>
      </w:r>
      <w:r w:rsidRPr="0084282D">
        <w:t>.</w:t>
      </w:r>
      <w:r w:rsidRPr="0084282D">
        <w:tab/>
        <w:t xml:space="preserve">z zadowoleniem przyjmuje dalszy udział Ukrainy w Partnerstwie Wschodnim oraz w Zgromadzeniu Parlamentarnym </w:t>
      </w:r>
      <w:r w:rsidRPr="0084282D">
        <w:t>Euronest</w:t>
      </w:r>
      <w:r w:rsidRPr="0084282D">
        <w:t>; z zadowoleniem przyjmuje udział członków opozycji Rady Najwyższej Ukrainy w jego posiedzeniach;</w:t>
      </w:r>
    </w:p>
    <w:p w:rsidR="00095D58" w:rsidRPr="0084282D" w:rsidP="007779EC" w14:paraId="06BD23AB" w14:textId="1115C23A">
      <w:pPr>
        <w:pStyle w:val="NormalHanging12a"/>
      </w:pPr>
      <w:r>
        <w:t>41</w:t>
      </w:r>
      <w:r w:rsidRPr="00095D58">
        <w:t>.</w:t>
      </w:r>
      <w:r w:rsidRPr="00095D58">
        <w:tab/>
        <w:t xml:space="preserve">podkreśla znaczenie pielęgnowania konstruktywnej kultury politycznej i wspierania opartej na zaufaniu współpracy między partiami politycznymi w Ukrainie; odnotowuje aktywny udział ukraińskich parlamentarzystów w dialogu im. Jeana </w:t>
      </w:r>
      <w:r w:rsidRPr="00095D58">
        <w:t>Monneta</w:t>
      </w:r>
      <w:r w:rsidRPr="00095D58">
        <w:t xml:space="preserve"> na rzecz pokoju i demokracji z Radą Najwyższą Ukrainy oraz fakt, że w tym roku mija 10 lat od jego zainicjowania w październiku 2016 r.; wyraża uznanie dla tej formuły jako trwałego i konstruktywnego instrumentu dialogu międzypartyjnego, który pomógł </w:t>
      </w:r>
      <w:r w:rsidRPr="00095D58">
        <w:t>przywódcom oraz wszystkim frakcjom i grupom parlamentarnym w Radzie Najwyższej wypracować konsensus w sprawie reform instytucjonalnych; zachęca Radę Najwyższą Ukrainy do zorganizowania kolejnej rundy w celu skonsolidowania reform wymaganych w procesie akcesyjnym Ukrainy;</w:t>
      </w:r>
    </w:p>
    <w:p w:rsidR="007779EC" w:rsidRPr="0084282D" w:rsidP="007779EC" w14:paraId="4209B755" w14:textId="24C547DA">
      <w:pPr>
        <w:pStyle w:val="NormalHanging12a"/>
      </w:pPr>
      <w:r>
        <w:t>42</w:t>
      </w:r>
      <w:r w:rsidRPr="0084282D">
        <w:t>.</w:t>
      </w:r>
      <w:r w:rsidRPr="0084282D">
        <w:tab/>
        <w:t>pochwala nadzwyczajne wysiłki podjęte przez Ukrainę podczas przygotowań do demokratycznych wyborów, które mają się odbyć po zniesieniu stanu wojennego, oraz nalega, aby zapewniono wystarczającą ilość czasu na spełnienie norm i warunków niezbędnych do przeprowadzenia wolnych i uczciwych wyborów; przypomina, że zgodnie z powszechnie uznanymi zasadami demokratycznymi i konstytucją Ukrainy wybory nie mogą odbywać się w czasie wojny ani w stanie wojennym oraz że wymagają one ogólnej bezpiecznej sytuacji i odpowiedniego czasu na przygotowanie się i dostęp do informacji, aby spełnić normy międzynarodowe; w związku z tym uważa, że presja wywierana przez administrację USA na Ukrainę w celu przeprowadzenia wyborów w czasie trwania rosyjskiej wojny napastniczej i stanu wojennego jest niewłaściwa i nie sprzyja celowi legitymacji demokratycznej;</w:t>
      </w:r>
    </w:p>
    <w:p w:rsidR="007779EC" w:rsidRPr="0084282D" w:rsidP="007779EC" w14:paraId="09CB0F53" w14:textId="3F62295F">
      <w:pPr>
        <w:pStyle w:val="NormalHanging12a"/>
      </w:pPr>
      <w:r>
        <w:t>43</w:t>
      </w:r>
      <w:r w:rsidRPr="0084282D">
        <w:t>.</w:t>
      </w:r>
      <w:r w:rsidRPr="0084282D">
        <w:tab/>
        <w:t>uznaje istotne działania grup roboczych utworzonych przez Radę Najwyższą Ukrainy w opracowywaniu ordynacji wyborczej na potrzeby pierwszych wyborów powojennych; wzywa UE i jej państwa członkowskie do udzielenia pomocy w reformie ukraińskiej ordynacji wyborczej, w tym przez usunięcie przeszkód uniemożliwiających osobom przymusowo przesiedlonym udział w wyborach parlamentarnych i prezydenckich, oraz do zapewnienia pomocy finansowej, w szczególności na organizację głosowania poza granicami Ukrainy; zaleca, aby Unia Europejska w pełni poparła i przygotowała długotrwałą międzynarodową misję obserwacji wyborów;</w:t>
      </w:r>
    </w:p>
    <w:p w:rsidR="007779EC" w:rsidRPr="0084282D" w:rsidP="007779EC" w14:paraId="4E1795A7" w14:textId="33D9FDAD">
      <w:pPr>
        <w:pStyle w:val="NormalHanging12a"/>
      </w:pPr>
      <w:r>
        <w:t>44</w:t>
      </w:r>
      <w:r w:rsidRPr="0084282D">
        <w:t>.</w:t>
      </w:r>
      <w:r w:rsidRPr="0084282D">
        <w:tab/>
        <w:t>przypomina, że rosyjska wojna napastnicza toczy się również w sferze informacyjnej, i zdecydowanie potępia próby Rosji zmierzające do delegitymizacji instytucji ukraińskich; podkreśla, że rosyjska wojna kognitywna ma na celu osłabienie poparcia społecznego dla Ukrainy w europejskich demokracjach, między innymi przez wspieranie różnych partii politycznych; w związku z tym nalega, aby Ukraina otrzymała pomoc UE służącą przeciwdziałaniu zagranicznym manipulacjom informacjami i ingerencjom w informacje podczas wyborów powojennych, podobną do pomocy udzielonej Republice Mołdawii, oraz wzywa Ukrainę i UE do połączenia sił w tym celu;</w:t>
      </w:r>
    </w:p>
    <w:p w:rsidR="007779EC" w:rsidRPr="0084282D" w:rsidP="007779EC" w14:paraId="79D511D7" w14:textId="4CE5995C">
      <w:pPr>
        <w:pStyle w:val="NormalHanging12a"/>
      </w:pPr>
      <w:r>
        <w:t>45</w:t>
      </w:r>
      <w:r w:rsidRPr="0084282D">
        <w:t>.</w:t>
      </w:r>
      <w:r w:rsidRPr="0084282D">
        <w:tab/>
        <w:t>pochwala przywrócenie transmisji parlamentarnych, co wzmocniło legitymację demokratyczną Ukrainy; dostrzega wyzwania związane z utrzymaniem pluralistycznych mediów w warunkach wojny; podkreśla, że ograniczenia wprowadzane w tak nadzwyczajnych okolicznościach nie mają charakteru trwałego i powinny być regularnie poddawane przeglądowi oraz, w stosownych przypadkach i o ile jest to możliwe, dostosowywane do zmieniającej się sytuacji; podkreśla, że przedłużanie się wojny samo w sobie nie uzasadnia bezterminowego utrzymywania ograniczeń oraz że wraz ze wzmacnianiem odporności Ukrainy środki te powinny być stopniowo łagodzone, przy czym utrzymywane powinny być jedynie te, które są absolutnie niezbędne i proporcjonalne do względów bezpieczeństwa narodowego;</w:t>
      </w:r>
    </w:p>
    <w:p w:rsidR="007779EC" w:rsidRPr="0084282D" w:rsidP="007779EC" w14:paraId="7E1A4DB4" w14:textId="77777777">
      <w:pPr>
        <w:pStyle w:val="NormalHanging12a"/>
        <w:rPr>
          <w:b/>
          <w:bCs/>
          <w:i/>
          <w:iCs/>
        </w:rPr>
      </w:pPr>
      <w:r w:rsidRPr="0084282D">
        <w:rPr>
          <w:b/>
          <w:i/>
        </w:rPr>
        <w:t>V. Praworządność i reformy sądownictwa</w:t>
      </w:r>
    </w:p>
    <w:p w:rsidR="007779EC" w:rsidRPr="0084282D" w:rsidP="007779EC" w14:paraId="5223E21C" w14:textId="1F392B27">
      <w:pPr>
        <w:pStyle w:val="NormalHanging12a"/>
      </w:pPr>
      <w:r>
        <w:t>46</w:t>
      </w:r>
      <w:r w:rsidRPr="0084282D">
        <w:t>.</w:t>
      </w:r>
      <w:r w:rsidRPr="0084282D">
        <w:tab/>
        <w:t xml:space="preserve">pochwala przyjęcie 10-punktowego priorytetowego planu reform (tzw. planu Kaczki-Kos) uzgodnionego między UE a Ukrainą w grudniu 2025 r. jako ważnego kroku w kierunku umocnienia praworządności, przyspieszenia reformy sądownictwa oraz </w:t>
      </w:r>
      <w:r w:rsidRPr="0084282D">
        <w:t>zintensyfikowania działań antykorupcyjnych; z zadowoleniem przyjmuje trwające prace nad wdrażaniem tego planu i zachęca Ukrainę, by jak najszybciej osiągnęła konkretne rezultaty wykraczające poza dyskusje lub prace w grupach roboczych;</w:t>
      </w:r>
      <w:r>
        <w:t xml:space="preserve"> </w:t>
      </w:r>
      <w:r w:rsidRPr="00095D58">
        <w:t>podkreśla, że stopień wdrażania planu w połowie 2026 r., ustalony przez ukraińskie środowisko ośrodków analitycznych na około 15 %, należy uznać za niesatysfakcjonujący dla Ukrainy;</w:t>
      </w:r>
    </w:p>
    <w:p w:rsidR="007779EC" w:rsidRPr="0084282D" w:rsidP="007779EC" w14:paraId="45A61F6B" w14:textId="6F392AA4">
      <w:pPr>
        <w:pStyle w:val="NormalHanging12a"/>
      </w:pPr>
      <w:r>
        <w:t>47</w:t>
      </w:r>
      <w:r w:rsidRPr="0084282D">
        <w:t>.</w:t>
      </w:r>
      <w:r w:rsidRPr="0084282D">
        <w:tab/>
        <w:t>podkreśla znaczenie planowego i pełnego wdrożenia planu, m.in. w oparciu o jasno określone kamienie milowe, wymierne wskaźniki i skuteczne mechanizmy monitorowania; wyraża zaniepokojenie ograniczonymi postępami w niektórych obszarach priorytetowych i wzywa władze Ukrainy, by przyspieszyły wdrażanie na podstawie jasnych punktów odniesienia i trwałego zaangażowania politycznego, ponieważ terminowe, wiarygodne i skuteczne wdrożenie będzie miało zasadnicze znaczenie dla wzmocnienia odporności demokratycznej Ukrainy i przyspieszenia procesu jej przystąpienia do UE;</w:t>
      </w:r>
    </w:p>
    <w:p w:rsidR="007779EC" w:rsidRPr="0084282D" w:rsidP="007779EC" w14:paraId="11101E25" w14:textId="7F25CD9C">
      <w:pPr>
        <w:pStyle w:val="NormalHanging12a"/>
      </w:pPr>
      <w:r>
        <w:t>48</w:t>
      </w:r>
      <w:r w:rsidRPr="0084282D">
        <w:t>.</w:t>
      </w:r>
      <w:r w:rsidRPr="0084282D">
        <w:tab/>
        <w:t xml:space="preserve">z zadowoleniem przyjmuje utworzenie sztandarowej inicjatywy Ukraine2EU, zapoczątkowanej przez UE, Litwę i Danię, do której następnie dołączyły Szwecja, Irlandia i Polska, i która zapewnia ukraińskim instytucjom państwowym ukierunkowane wsparcie podczas realizacji kolejnych etapów procesu akcesyjnego do UE i przygotowań do członkostwa; podkreśla znaczenie tego typu projektów pomocy technicznej i wzywa do ich ciągłego wspierania oraz do zaangażowania większej liczby państw członkowskich; ponadto pochwala wysiłki organizacji społeczeństwa obywatelskiego na rzecz monitorowania wdrażania tych działań i wspierania dalszego postępu reform; </w:t>
      </w:r>
    </w:p>
    <w:p w:rsidR="007779EC" w:rsidRPr="0084282D" w:rsidP="007779EC" w14:paraId="326135DA" w14:textId="684DD993">
      <w:pPr>
        <w:pStyle w:val="NormalHanging12a"/>
      </w:pPr>
      <w:r>
        <w:t>49</w:t>
      </w:r>
      <w:r w:rsidRPr="0084282D">
        <w:t>.</w:t>
      </w:r>
      <w:r w:rsidRPr="0084282D">
        <w:tab/>
        <w:t xml:space="preserve">z zadowoleniem przyjmuje postępy Ukrainy w reformie sądownictwa i walce z korupcją oraz uznaje, że postępy te są dokonywane pod nadzwyczajną presją wojenną; wzywa do trwałych i przyspieszonych postępów w tych kluczowych obszarach, ponieważ silna praworządność umożliwia przejrzystość i rozliczalność w procesach odbudowy i ożywienia gospodarczego oraz poprawia klimat inwestycyjny i zaufanie partnerów międzynarodowych; z zadowoleniem przyjmuje wdrożenie planu działania na rzecz praworządności przyjętego w maju 2025 r. i podkreśla, że postępy te są bezpośrednio związane ze zwiększeniem zaufania publicznego do instytucji państwowych; </w:t>
      </w:r>
    </w:p>
    <w:p w:rsidR="007779EC" w:rsidRPr="0084282D" w:rsidP="007779EC" w14:paraId="565BBFD0" w14:textId="0DA0B8A4">
      <w:pPr>
        <w:pStyle w:val="NormalHanging12a"/>
      </w:pPr>
      <w:r>
        <w:t>50</w:t>
      </w:r>
      <w:r w:rsidRPr="0084282D">
        <w:t>.</w:t>
      </w:r>
      <w:r w:rsidRPr="0084282D">
        <w:tab/>
        <w:t xml:space="preserve">nadal wyraża obawy z powodu niepowołania sędziów do ukraińskiego trybunału konstytucyjnego po międzynarodowej weryfikacji; wzywa Radę Najwyższą Ukrainy do przyjęcia ustawy o trybunale konstytucyjnym zgodnej z opinią Komisji Weneckiej, zapewniającej przejrzystą procedurę wyboru z udziałem ekspertów międzynarodowych i większością dwóch trzecich głosów w parlamencie przy nominacjach; wzywa Ukrainę do korzystania z dostępnej międzynarodowej wiedzy fachowej i pomocy w procesie transformacji sądownictwa, uznając zarazem, że poprawa instytucjonalna wymaga wdrożenia szerszych środków służących poprawie skuteczności i niezależności; apeluje o postępy we wdrażaniu kompleksowej reformy Krajowej Izby Adwokackiej Ukrainy jako kwestii priorytetowej na 2026 r.; </w:t>
      </w:r>
    </w:p>
    <w:p w:rsidR="007779EC" w:rsidRPr="0084282D" w:rsidP="007779EC" w14:paraId="18DA83AE" w14:textId="69D8360E">
      <w:pPr>
        <w:pStyle w:val="NormalHanging12a"/>
      </w:pPr>
      <w:r>
        <w:t>51</w:t>
      </w:r>
      <w:r w:rsidRPr="0084282D">
        <w:t>.</w:t>
      </w:r>
      <w:r w:rsidRPr="0084282D">
        <w:tab/>
        <w:t xml:space="preserve">wzywa Ukrainę do podjęcia dodatkowych wysiłków na rzecz zapewnienia profesjonalizmu i uczciwości osób pełniących funkcje w wymiarze sprawiedliwości; podkreśla potrzebę przejrzystych nominacji w sądownictwie oraz skutecznego prowadzenia dochodzeń w sprawie przestępstw korupcyjnych i karania za nie na wszystkich szczeblach; zachęca Ukrainę do reformy zasad wyboru i odwoływania </w:t>
      </w:r>
      <w:r w:rsidRPr="0084282D">
        <w:t>prokuratora generalnego oraz do ograniczenia nadmiernego wpływu na poszczególne sprawy, w tym przez automatyczny przydział spraw i ograniczenie dostępu do akt spraw; zachęca wymiar sprawiedliwości do dalszego inwestowania w nowe technologie, aby przeciwdziałać niedoborom kadrowym i wysokiemu obciążeniu pracą; wyraża uznanie dla wymiaru sprawiedliwości za kontynuowanie pracy w trudnych warunkach oraz dla ukraińskiego społeczeństwa obywatelskiego za monitorowanie wdrażania reform w zakresie praworządności;</w:t>
      </w:r>
    </w:p>
    <w:p w:rsidR="007779EC" w:rsidRPr="0084282D" w:rsidP="007779EC" w14:paraId="11FA5A05" w14:textId="269EA60E">
      <w:pPr>
        <w:pStyle w:val="NormalHanging12a"/>
      </w:pPr>
      <w:r>
        <w:t>52</w:t>
      </w:r>
      <w:r w:rsidRPr="0084282D">
        <w:t>.</w:t>
      </w:r>
      <w:r w:rsidRPr="0084282D">
        <w:tab/>
        <w:t xml:space="preserve">wzywa do reformy Służby Bezpieczeństwa Ukrainy (SBU) i Państwowego Biura Śledczego Ukrainy (SBI), w oparciu o inicjatywę prezydenta </w:t>
      </w:r>
      <w:r w:rsidRPr="0084282D">
        <w:t>Wołodymyra</w:t>
      </w:r>
      <w:r w:rsidRPr="0084282D">
        <w:t xml:space="preserve"> </w:t>
      </w:r>
      <w:r w:rsidRPr="0084282D">
        <w:t>Zełenskiego</w:t>
      </w:r>
      <w:r w:rsidRPr="0084282D">
        <w:t xml:space="preserve"> ogłoszoną 2 stycznia 2026 r., w szczególności w odniesieniu do skupienia się SBU na kontrwywiadzie, zwalczaniu terroryzmu i innych źródłach zagrożeń dla bezpieczeństwa, a także na możliwościach nadużywania władzy i przestrzegania praw człowieka; docenia wysiłki podjęte w celu zreformowania tych instytucji w czasie wojny; ubolewa jednak, że projekt ustawy o reformie SBI nie został przyjęty na posiedzeniu plenarnym Rady Najwyższej do końca kwietnia 2026 r.; uznaje wkład misji doradczej Unii Europejskiej w Ukrainie w jej ważną pracę na rzecz integracji europejskiej, w tym w zakresie reformy sektora bezpieczeństwa, praworządności i rozliczalności; </w:t>
      </w:r>
    </w:p>
    <w:p w:rsidR="007779EC" w:rsidRPr="0084282D" w:rsidP="007779EC" w14:paraId="4C5C20F2" w14:textId="2F55414D">
      <w:pPr>
        <w:pStyle w:val="NormalHanging12a"/>
      </w:pPr>
      <w:r>
        <w:t>53</w:t>
      </w:r>
      <w:r w:rsidRPr="0084282D">
        <w:t>.</w:t>
      </w:r>
      <w:r w:rsidRPr="0084282D">
        <w:tab/>
        <w:t xml:space="preserve">wzywa do przeglądu kodeksu postępowania karnego i powiązanych przepisów, aby zapewnić szybki i wysokiej jakości wymiar sprawiedliwości, w szczególności poprzez przegląd przepisów przewidujących automatyczne zamykanie dochodzeń ze względu na upływ terminów postępowań przygotowawczych i skrócenie terminów dochodzeń, co zagraża skutecznym dochodzeniom w złożonych sprawach karnych, w tym w sprawach dotyczących korupcji na wysokim szczeblu; wzywa również władze Ukrainy do zajęcia się praktykami tymczasowego aresztowania i naruszeniami praw procesowych; zachęca do większej przejrzystości w dostępie do rejestrów publicznych, a jednocześnie dostrzega potrzeby w zakresie bezpieczeństwa w czasie wojny; z zadowoleniem przyjmuje wprowadzenie nowych przepisów dotyczących lobbingu; </w:t>
      </w:r>
    </w:p>
    <w:p w:rsidR="007779EC" w:rsidP="007779EC" w14:paraId="0568C76C" w14:textId="74B6F51F">
      <w:pPr>
        <w:pStyle w:val="NormalHanging12a"/>
      </w:pPr>
      <w:r>
        <w:t>54</w:t>
      </w:r>
      <w:r w:rsidRPr="0084282D">
        <w:t>.</w:t>
      </w:r>
      <w:r w:rsidRPr="0084282D">
        <w:tab/>
        <w:t>wzywa władze Ukrainy do powstrzymania się od wszelkich motywowanych politycznie postępowań sądowych oraz od nakładania sankcji osobistych na przedstawicieli opozycji i przywódców organizacji społeczeństwa obywatelskiego; podkreśla, że praktyki takie mogą prowadzić do obniżenia standardów demokratycznych i podważenia zaufania publicznego;</w:t>
      </w:r>
    </w:p>
    <w:p w:rsidR="00095D58" w:rsidRPr="0084282D" w:rsidP="007779EC" w14:paraId="2DD889D6" w14:textId="536642AF">
      <w:pPr>
        <w:pStyle w:val="NormalHanging12a"/>
      </w:pPr>
      <w:r>
        <w:t>55</w:t>
      </w:r>
      <w:r w:rsidRPr="00095D58">
        <w:t>.</w:t>
      </w:r>
      <w:r w:rsidRPr="00095D58">
        <w:tab/>
        <w:t>apeluje do władz Ukrainy, aby usunęły z ustawodawstwa krajowego elementy naruszające powszechnie uznane europejskie i międzynarodowe standardy niezależności parlamentarnej, jak wolny mandat przedstawicielski, zasada podziału władz oraz zasada pewności prawa, w zakresie, w jakim dotyczą one błędnego zrównania posła do parlamentu Ukrainy ze statusem urzędnika publicznego; podkreśla, że poseł do parlamentu Ukrainy sprawuje mandat przedstawicielski i nie należy do żadnej hierarchii administracyjnej, nie jest mianowany na stanowisko, nie pełni oficjalnych funkcji, a zatem nie może być definiowany w ustawodawstwie krajowym jako urzędnik publiczny;</w:t>
      </w:r>
    </w:p>
    <w:p w:rsidR="007779EC" w:rsidRPr="0084282D" w:rsidP="007779EC" w14:paraId="1FB7361B" w14:textId="77777777">
      <w:pPr>
        <w:pStyle w:val="NormalHanging12a"/>
        <w:rPr>
          <w:b/>
          <w:bCs/>
          <w:i/>
          <w:iCs/>
        </w:rPr>
      </w:pPr>
      <w:r w:rsidRPr="0084282D">
        <w:rPr>
          <w:b/>
          <w:i/>
        </w:rPr>
        <w:t>VI. Walka z korupcją</w:t>
      </w:r>
    </w:p>
    <w:p w:rsidR="007779EC" w:rsidRPr="0084282D" w:rsidP="007779EC" w14:paraId="52A3624E" w14:textId="29E69169">
      <w:pPr>
        <w:pStyle w:val="NormalHanging12a"/>
        <w:rPr>
          <w:bCs/>
          <w:iCs/>
        </w:rPr>
      </w:pPr>
      <w:r>
        <w:t>56</w:t>
      </w:r>
      <w:r w:rsidRPr="0084282D">
        <w:t>.</w:t>
      </w:r>
      <w:r w:rsidRPr="0084282D">
        <w:tab/>
        <w:t xml:space="preserve">z zadowoleniem przyjmuje postępy wyspecjalizowanych agencji antykorupcyjnych w wykrywaniu i ściganiu głośnych spraw oraz pochwala wdrożenie mechanizmów informowania o nieprawidłowościach; podkreśla, że niedawne ujawnienie przypadków </w:t>
      </w:r>
      <w:r w:rsidRPr="0084282D">
        <w:t>korupcji na wysokim szczeblu świadczy zarówno o potrzebie dalszego zwalczania korupcji, jak i o skuteczności podejmowanych w tym celu działań; uznaje, że Ukraina osiągnęła niezwykły sukces w prowadzeniu dochodzeń i ściganiu korupcji; podkreśla, że kluczowe znaczenie mają solidne i niepodważalne wyniki w zakresie liczby śledztw i dochodzeń, aktów oskarżenia oraz prawomocnych wyroków skazujących w sprawach dotyczących korupcji na wysokim szczeblu; ostrzega, że wszelki regres w reformach antykorupcyjnych poważnie podważyłby zaufanie publiczne i drogę Ukrainy do integracji europejskiej;</w:t>
      </w:r>
    </w:p>
    <w:p w:rsidR="007779EC" w:rsidRPr="0084282D" w:rsidP="007779EC" w14:paraId="60FF2286" w14:textId="0D653965">
      <w:pPr>
        <w:pStyle w:val="NormalHanging12a"/>
        <w:rPr>
          <w:bCs/>
          <w:iCs/>
        </w:rPr>
      </w:pPr>
      <w:r>
        <w:t>57</w:t>
      </w:r>
      <w:r w:rsidRPr="0084282D">
        <w:t>.</w:t>
      </w:r>
      <w:r w:rsidRPr="0084282D">
        <w:tab/>
        <w:t xml:space="preserve">z zadowoleniem przyjmuje zakrojoną na szeroką skalę rekrutację nowych pracowników do Narodowego Biura Antykorupcyjnego Ukrainy (NABU) i Specjalnej Prokuratury Antykorupcyjnej (SAP); ponadto z zadowoleniem przyjmuje zatwierdzenie strategii rozwoju NABU oraz rozpoczęcie prac nad strategią rozwoju instytucjonalnego SAP; </w:t>
      </w:r>
    </w:p>
    <w:p w:rsidR="007779EC" w:rsidRPr="0084282D" w:rsidP="007779EC" w14:paraId="36DC66DE" w14:textId="7F579FC5">
      <w:pPr>
        <w:pStyle w:val="NormalHanging12a"/>
        <w:rPr>
          <w:bCs/>
          <w:iCs/>
        </w:rPr>
      </w:pPr>
      <w:r>
        <w:t>58</w:t>
      </w:r>
      <w:r w:rsidRPr="0084282D">
        <w:t>.</w:t>
      </w:r>
      <w:r w:rsidRPr="0084282D">
        <w:tab/>
        <w:t xml:space="preserve">podkreśla kluczowe prace prowadzone przez najważniejsze instytucje antykorupcyjne, takie jak NABU, a także wysiłki podejmowane przez społeczeństwo obywatelskie na rzecz utrzymania niezależności organów antykorupcyjnych i zwiększenia ich skuteczności; z zadowoleniem przyjmuje powołanie międzynarodowych członków komisji kwalifikacyjnej do spraw SAP, a jednocześnie wyraża zaniepokojenie kwestiami etycznymi podniesionymi w odniesieniu do jednego z członków ukraińskich; z zadowoleniem przyjmuje istotne postępy poczynione w ramach rozmów z kandydatami prowadzonych w rygorystycznym, niezależnym, </w:t>
      </w:r>
      <w:r w:rsidRPr="0084282D">
        <w:t>inkluzywnym</w:t>
      </w:r>
      <w:r w:rsidRPr="0084282D">
        <w:t xml:space="preserve"> i przejrzystym procesie dotyczącym Najwyższego Sądu Antykorupcyjnego Ukrainy przez Publiczną Radę Ekspertów Międzynarodowych i Wyższą Komisję Kwalifikacyjną Sędziów;</w:t>
      </w:r>
    </w:p>
    <w:p w:rsidR="007779EC" w:rsidRPr="0084282D" w:rsidP="007779EC" w14:paraId="4063139D" w14:textId="5F993EBA">
      <w:pPr>
        <w:pStyle w:val="NormalHanging12a"/>
        <w:rPr>
          <w:bCs/>
          <w:iCs/>
        </w:rPr>
      </w:pPr>
      <w:r>
        <w:t>59</w:t>
      </w:r>
      <w:r w:rsidRPr="0084282D">
        <w:t>.</w:t>
      </w:r>
      <w:r w:rsidRPr="0084282D">
        <w:tab/>
        <w:t xml:space="preserve">nalega, aby władze ukraińskie zagwarantowały instytucjonalną i operacyjną niezależność NABU i SAP; potępia wszelką ingerencję polityczną, instrumentalizację lub zastraszanie wymierzone w instytucje antykorupcyjne, w tym nieuzasadnione kontrole, postępowania lub ograniczenia operacyjne, oraz domaga się natychmiastowego zaprzestania nadmiernej presji ze strony służb bezpieczeństwa i wywiadu, w tym SBU; podkreśla, że ochrona NABU i SAP stanowi podstawowy warunek praworządności, procesu przystąpienia Ukrainy do UE oraz wiarygodnego wykorzystania wsparcia międzynarodowego; </w:t>
      </w:r>
    </w:p>
    <w:p w:rsidR="007779EC" w:rsidRPr="0084282D" w:rsidP="007779EC" w14:paraId="33F43405" w14:textId="150850A5">
      <w:pPr>
        <w:pStyle w:val="NormalHanging12a"/>
        <w:rPr>
          <w:bCs/>
          <w:iCs/>
        </w:rPr>
      </w:pPr>
      <w:r>
        <w:t>60</w:t>
      </w:r>
      <w:r w:rsidRPr="0084282D">
        <w:t>.</w:t>
      </w:r>
      <w:r w:rsidRPr="0084282D">
        <w:tab/>
        <w:t>ponownie podkreśla potrzebę usprawnienia przez Krajową Agencję ds. Zapobiegania Korupcji procedur weryfikacji oświadczeń majątkowych oraz ukierunkowania jej działań na wysokich urzędników w obszarach zidentyfikowanych jako obszary wysokiego ryzyka; wzywa Ukrainę do pełnego wdrożenia reformy Agencji ds. Odzyskiwania Mienia i Zarządzania Mieniem, w tym jej niezbędnych przepisów wykonawczych; wyraża ubolewanie, że organy ścigania, inne niż wyspecjalizowane organy antykorupcyjne, poczyniły ograniczone postępy, jeśli chodzi o poprawę wyników w sprawach dotyczących korupcji;</w:t>
      </w:r>
    </w:p>
    <w:p w:rsidR="007779EC" w:rsidRPr="0084282D" w:rsidP="007779EC" w14:paraId="3A7C7052" w14:textId="7B0A9311">
      <w:pPr>
        <w:pStyle w:val="NormalHanging12a"/>
        <w:rPr>
          <w:bCs/>
          <w:iCs/>
        </w:rPr>
      </w:pPr>
      <w:r>
        <w:t>61</w:t>
      </w:r>
      <w:r w:rsidRPr="0084282D">
        <w:t>.</w:t>
      </w:r>
      <w:r w:rsidRPr="0084282D">
        <w:tab/>
        <w:t xml:space="preserve">wyraża uznanie dla członkostwa Ukrainy w Grupie Roboczej Organizacji Współpracy Gospodarczej i Rozwoju ds. Przekupstwa, które stanowi pozytywny krok w kierunku pełnego członkostwa oraz dalsze potwierdzenie zaangażowania Ukrainy na rzecz międzynarodowych standardów przejrzystości i dobrych rządów; dostrzega postępy Ukrainy we wdrażaniu przepisów dotyczących zwalczania przekupstwa w odniesieniu do transakcji międzynarodowych jako oznakę integracji tego kraju ze światową </w:t>
      </w:r>
      <w:r w:rsidRPr="0084282D">
        <w:t>społecznością odpowiedzialnych podmiotów gospodarczych i zachęca Ukrainę do kontynuowania wysiłków na rzecz utrzymania tych postępów;</w:t>
      </w:r>
    </w:p>
    <w:p w:rsidR="007779EC" w:rsidRPr="0084282D" w:rsidP="007779EC" w14:paraId="52EDBEB9" w14:textId="5FB8FE2B">
      <w:pPr>
        <w:pStyle w:val="NormalHanging12a"/>
        <w:rPr>
          <w:bCs/>
          <w:iCs/>
        </w:rPr>
      </w:pPr>
      <w:r>
        <w:t>62</w:t>
      </w:r>
      <w:r w:rsidRPr="0084282D">
        <w:t>.</w:t>
      </w:r>
      <w:r w:rsidRPr="0084282D">
        <w:tab/>
        <w:t>ponownie podkreśla znaczenie nieustannej walki z przestępczością zorganizowaną; apeluje do Ukrainy o podjęcie dodatkowych wysiłków na rzecz zintensyfikowania walki z oszustwami i nadużyciami internetowymi;</w:t>
      </w:r>
    </w:p>
    <w:p w:rsidR="007779EC" w:rsidRPr="0084282D" w:rsidP="007779EC" w14:paraId="05BA9D3F" w14:textId="77777777">
      <w:pPr>
        <w:pStyle w:val="Normal12a"/>
        <w:rPr>
          <w:i/>
          <w:iCs/>
        </w:rPr>
      </w:pPr>
      <w:r w:rsidRPr="0084282D">
        <w:rPr>
          <w:b/>
          <w:i/>
        </w:rPr>
        <w:t>VII. Podstawowe wolności i prawa człowieka</w:t>
      </w:r>
    </w:p>
    <w:p w:rsidR="007779EC" w:rsidRPr="0084282D" w:rsidP="007779EC" w14:paraId="632F2BCA" w14:textId="56FB8F5C">
      <w:pPr>
        <w:pStyle w:val="NormalHanging12a"/>
      </w:pPr>
      <w:r>
        <w:t>63</w:t>
      </w:r>
      <w:r w:rsidRPr="0084282D">
        <w:t>.</w:t>
      </w:r>
      <w:r w:rsidRPr="0084282D">
        <w:tab/>
        <w:t xml:space="preserve">pochwala zaangażowanie Ukrainy na rzecz przestrzegania praw podstawowych pomimo trwającej rosyjskiej agresji, a w szczególności plan działania na rzecz mniejszości narodowych; zachęca Ukrainę do prowadzenia ustrukturyzowanego i konstruktywnego dialogu z sąsiednimi państwami członkowskimi w kwestiach dotyczących praw przedstawicieli mniejszości narodowych zgodnie z normami europejskimi i zaleceniami Komisji Weneckiej; docenia wysiłki podejmowane przez władze ukraińskie na rzecz przeprowadzenia reformy systemu edukacji i wyraża nadzieję, że przepisy ustawy o edukacji, które wejdą w życie w 2027 r., nie będą naruszały prawa mniejszości do nauki w języku ojczystym; </w:t>
      </w:r>
    </w:p>
    <w:p w:rsidR="007779EC" w:rsidRPr="0084282D" w:rsidP="007779EC" w14:paraId="23AFBD2D" w14:textId="0BB7B12A">
      <w:pPr>
        <w:pStyle w:val="NormalHanging12a"/>
      </w:pPr>
      <w:r>
        <w:t>64</w:t>
      </w:r>
      <w:r w:rsidRPr="0084282D">
        <w:t>.</w:t>
      </w:r>
      <w:r w:rsidRPr="0084282D">
        <w:tab/>
        <w:t xml:space="preserve">wzywa Ukrainę do bezustannego wspierania wolności wypowiedzi i niezależności mediów; wzywa Ukrainę do dopilnowania, aby ograniczenia wynikające ze stanu wojennego były absolutnie niezbędne i proporcjonalne; apeluje o szybkie i skuteczne przeprowadzenie bezstronnych dochodzeń dotyczących przypadków zastraszania i bezpośredniego nękania dziennikarzy i instytucji medialnych, a także pośrednich form wywierania na nich nacisku; przypomina o kluczowej roli odpowiedniego finansowania w zapewnieniu niezależności nadawcy publicznego, które umożliwia temu nadawcy wypełnianie roli powierzonej mu zgodnie z ukraińskim prawem, i wzywa władze ukraińskie do zagwarantowania, aby treści przygotowywane przez media finansowane ze środków publicznych odzwierciedlały pluralizm polityczny i społeczny Ukrainy; </w:t>
      </w:r>
    </w:p>
    <w:p w:rsidR="007779EC" w:rsidRPr="0084282D" w:rsidP="007779EC" w14:paraId="27F92431" w14:textId="21144B96">
      <w:pPr>
        <w:pStyle w:val="NormalHanging12a"/>
      </w:pPr>
      <w:r>
        <w:t>65</w:t>
      </w:r>
      <w:r w:rsidRPr="0084282D">
        <w:t>.</w:t>
      </w:r>
      <w:r w:rsidRPr="0084282D">
        <w:tab/>
        <w:t xml:space="preserve">zachęca do przyjęcia projektu ustawy nr 13597 w sprawie wzmocnienia ochrony prawnej przed dyskryminacją, przestępstwami z nienawiści i mową nienawiści ze względu na rasę, kolor skóry, poglądy polityczne, religijne i inne przekonania, płeć, orientację seksualną, tożsamość płciową, narodowość, pochodzenie etniczne, społeczne lub cudzoziemskie, wiek, stan zdrowia, niepełnosprawność, sytuację rodzinną i majątkową, prawa i obowiązki rodzinne, miejsce zamieszkania, język, zawód lub inne przesłanki, zgodnie ze zobowiązaniami Ukrainy wynikającymi z układu o stowarzyszeniu i procesu przystąpienia do UE; </w:t>
      </w:r>
    </w:p>
    <w:p w:rsidR="007779EC" w:rsidRPr="0084282D" w:rsidP="007779EC" w14:paraId="1BEE3229" w14:textId="22A47D3B">
      <w:pPr>
        <w:pStyle w:val="NormalHanging12a"/>
      </w:pPr>
      <w:r>
        <w:t>66</w:t>
      </w:r>
      <w:r w:rsidRPr="0084282D">
        <w:t>.</w:t>
      </w:r>
      <w:r w:rsidRPr="0084282D">
        <w:tab/>
        <w:t xml:space="preserve">z zadowoleniem przyjmuje nieustanne wysiłki Ukrainy na rzecz modernizacji jej prawa cywilnego; podkreśla znaczenie zapewnienia, aby wszelkie takie reformy były w pełni zgodne z unijnymi standardami w zakresie równości i niedyskryminacji, w tym ochrony praw kobiet i osób LGBTIQ+; z zadowoleniem przyjmuje niedawny wyrok Sądu Najwyższego Ukrainy uznający parę tej samej płci za rodzinę de facto; apeluje o przyjęcie projektu ustawy nr 9103 dotyczącej prawnego uznania związków partnerskich w Ukrainie; </w:t>
      </w:r>
    </w:p>
    <w:p w:rsidR="007779EC" w:rsidRPr="0084282D" w:rsidP="007779EC" w14:paraId="1C0717E1" w14:textId="1B64FBB4">
      <w:pPr>
        <w:pStyle w:val="NormalHanging12a"/>
      </w:pPr>
      <w:r>
        <w:t>67</w:t>
      </w:r>
      <w:r w:rsidRPr="0084282D">
        <w:t>.</w:t>
      </w:r>
      <w:r w:rsidRPr="0084282D">
        <w:tab/>
        <w:t xml:space="preserve">wyraża uznanie dla działań ukraińskiego społeczeństwa obywatelskiego, które doprowadziły do złożenia przez ukraińskich ustawodawców obietnicy wycofania projektu zmian do Kodeksu rodzinnego, umożliwiających sądom zatwierdzanie </w:t>
      </w:r>
      <w:r w:rsidRPr="0084282D">
        <w:t xml:space="preserve">małżeństw dziewcząt w wieku 14 lat w wyjątkowych przypadkach; wzywa Radę Najwyższą do dopilnowania, by przepisy te zostały faktycznie wycofane na stałe; </w:t>
      </w:r>
    </w:p>
    <w:p w:rsidR="007779EC" w:rsidRPr="0084282D" w:rsidP="007779EC" w14:paraId="572BC311" w14:textId="0C18F5DF">
      <w:pPr>
        <w:pStyle w:val="NormalHanging12a"/>
      </w:pPr>
      <w:r>
        <w:t>68</w:t>
      </w:r>
      <w:r w:rsidRPr="0084282D">
        <w:t>.</w:t>
      </w:r>
      <w:r w:rsidRPr="0084282D">
        <w:tab/>
        <w:t xml:space="preserve">wzywa Ukrainę do kontynuowania prac nad przyjęciem zablokowanego projektu ustawy o ochronie danych osobowych; </w:t>
      </w:r>
    </w:p>
    <w:p w:rsidR="007779EC" w:rsidRPr="0084282D" w:rsidP="007779EC" w14:paraId="44E74316" w14:textId="349D1872">
      <w:pPr>
        <w:pStyle w:val="NormalHanging12a"/>
      </w:pPr>
      <w:r>
        <w:t>69</w:t>
      </w:r>
      <w:r w:rsidRPr="0084282D">
        <w:t>.</w:t>
      </w:r>
      <w:r w:rsidRPr="0084282D">
        <w:tab/>
        <w:t xml:space="preserve">wyraża zadowolenie z przyjęcia strategii </w:t>
      </w:r>
      <w:r w:rsidRPr="0084282D">
        <w:t>deinstytucjonalizacji</w:t>
      </w:r>
      <w:r w:rsidRPr="0084282D">
        <w:t xml:space="preserve"> oraz prac nad reformą w zakresie dostępności i rehabilitacji; podkreśla jednak potrzebę szybkiego przyjęcia przepisów dotyczących rehabilitacji osób z niepełnosprawnościami oraz dopilnowania, by te </w:t>
      </w:r>
      <w:r w:rsidRPr="0084282D">
        <w:t>inkluzywne</w:t>
      </w:r>
      <w:r w:rsidRPr="0084282D">
        <w:t xml:space="preserve"> reformy objęły poziom lokalny i społecznościowy;</w:t>
      </w:r>
    </w:p>
    <w:p w:rsidR="007779EC" w:rsidRPr="0084282D" w:rsidP="007779EC" w14:paraId="770569A6" w14:textId="09BF9C3E">
      <w:pPr>
        <w:pStyle w:val="NormalHanging12a"/>
        <w:rPr>
          <w:b/>
          <w:i/>
        </w:rPr>
      </w:pPr>
      <w:r>
        <w:t>70</w:t>
      </w:r>
      <w:r w:rsidRPr="0084282D">
        <w:t>.</w:t>
      </w:r>
      <w:r w:rsidRPr="0084282D">
        <w:rPr>
          <w:b/>
          <w:i/>
        </w:rPr>
        <w:tab/>
      </w:r>
      <w:r w:rsidRPr="0084282D">
        <w:t>odnotowuje przyjęcie ustawy, która umożliwi prawosławnym parafiom w Ukrainie odłączenie się od jurysdykcji Patriarchatu Moskiewskiego i swobodne decydowanie o nowej przynależności hierarchicznej; zauważa, że w sierpniu 2024 r. rumuńskie parafie prawosławne w Ukrainie złożyły wniosek o uznanie stowarzyszenia religijnego „Rumuński Kościół Prawosławny w Ukrainie”, do którego mogą przystąpić rumuńskie parafie prawosławne odłączające się od jurysdykcji Patriarchatu Moskiewskiego; wzywa władze Ukrainy do bezzwłocznej rejestracji stowarzyszenia religijnego „Rumuński Kościół Prawosławny w Ukrainie”;</w:t>
      </w:r>
    </w:p>
    <w:p w:rsidR="007779EC" w:rsidRPr="0084282D" w:rsidP="007779EC" w14:paraId="25B2EA29" w14:textId="77777777">
      <w:pPr>
        <w:pStyle w:val="NormalHanging12a"/>
        <w:rPr>
          <w:b/>
          <w:bCs/>
          <w:i/>
          <w:iCs/>
        </w:rPr>
      </w:pPr>
      <w:r w:rsidRPr="0084282D">
        <w:rPr>
          <w:b/>
          <w:i/>
        </w:rPr>
        <w:t>VIII. Rola społeczeństwa obywatelskiego</w:t>
      </w:r>
    </w:p>
    <w:p w:rsidR="007779EC" w:rsidRPr="0084282D" w:rsidP="007779EC" w14:paraId="5BCDED40" w14:textId="16D9AD4D">
      <w:pPr>
        <w:pStyle w:val="NormalHanging12a"/>
      </w:pPr>
      <w:r>
        <w:t>71</w:t>
      </w:r>
      <w:r w:rsidRPr="0084282D">
        <w:t>.</w:t>
      </w:r>
      <w:r w:rsidRPr="0084282D">
        <w:tab/>
        <w:t xml:space="preserve">wyraża uznanie dla ukraińskiego społeczeństwa obywatelskiego za to, że pozostaje aktywne pomimo trudności, jakich doświadcza w czasie wojny; wzywa wszystkie władze Ukrainy do zapewnienia systematycznych i merytorycznych konsultacji ze społeczeństwem obywatelskim i partnerami społecznymi oraz do zagwarantowania, że otrzymane od nich informacje zostaną należycie uwzględnione, a także do przeciwdziałania wszelkim formom nacisków politycznych wywieranych na organizacje społeczeństwa obywatelskiego; wzywa Ukrainę do uchwalenia ustawy o </w:t>
      </w:r>
      <w:r w:rsidRPr="0084282D">
        <w:t>odwołaniach</w:t>
      </w:r>
      <w:r w:rsidRPr="0084282D">
        <w:t xml:space="preserve"> obywateli w celu zapewnienia dobrych rządów i udziału obywateli; uznaje znaczenie społeczeństwa obywatelskiego dla wzmacniania odporności narodu ukraińskiego w czasie wojny oraz podkreśla kluczową rolę, jaką społeczeństwo obywatelskie ma do odegrania w trwałej powojennej odbudowie Ukrainy;</w:t>
      </w:r>
    </w:p>
    <w:p w:rsidR="007779EC" w:rsidRPr="0084282D" w:rsidP="007779EC" w14:paraId="06139F99" w14:textId="37DA0DFB">
      <w:pPr>
        <w:pStyle w:val="NormalHanging12a"/>
      </w:pPr>
      <w:r>
        <w:t>72</w:t>
      </w:r>
      <w:r w:rsidRPr="0084282D">
        <w:t>.</w:t>
      </w:r>
      <w:r w:rsidRPr="0084282D">
        <w:tab/>
        <w:t>z zadowoleniem przyjmuje wykorzystanie instrumentów demokracji cyfrowej, w tym petycji elektronicznych i listów otwartych, oraz wspiera rozwijanie bardziej ustrukturyzowanych i zinstytucjonalizowanych form zaangażowania obywatelskiego, w tym z udziałem społeczności diaspory;</w:t>
      </w:r>
    </w:p>
    <w:p w:rsidR="007779EC" w:rsidRPr="0084282D" w:rsidP="007779EC" w14:paraId="39DE60E9" w14:textId="43573A10">
      <w:pPr>
        <w:pStyle w:val="NormalHanging12a"/>
      </w:pPr>
      <w:r>
        <w:t>73</w:t>
      </w:r>
      <w:r w:rsidRPr="0084282D">
        <w:t>.</w:t>
      </w:r>
      <w:r w:rsidRPr="0084282D">
        <w:tab/>
        <w:t>wzywa Komisję do systematycznego włączania społeczeństwa obywatelskiego oraz innych odpowiednich organizacji i instytucji społecznych w Ukrainie w opracowywanie i monitorowanie unijnego wsparcia finansowego i reform;</w:t>
      </w:r>
    </w:p>
    <w:p w:rsidR="007779EC" w:rsidRPr="0084282D" w:rsidP="007779EC" w14:paraId="2338AA8E" w14:textId="045B5687">
      <w:pPr>
        <w:pStyle w:val="Normal12a"/>
        <w:ind w:left="567" w:hanging="567"/>
        <w:rPr>
          <w:bCs/>
        </w:rPr>
      </w:pPr>
      <w:r>
        <w:t>74</w:t>
      </w:r>
      <w:r w:rsidRPr="0084282D">
        <w:t>.</w:t>
      </w:r>
      <w:r w:rsidRPr="0084282D">
        <w:tab/>
        <w:t xml:space="preserve">z zadowoleniem przyjmuje wkład europejskich i międzynarodowych organizacji pozarządowych w wymianę doświadczeń oraz wspieranie ukraińskiego społeczeństwa obywatelskiego, w szczególności ich zaangażowanie w przeciwdziałanie rosyjskim kampaniom dezinformacyjnym wymierzonym w Ukrainę i Ukraińców w UE; wzywa do dalszego zacieśniania współpracy z tymi organizacjami w celu ochrony praw podstawowych, wzmocnienia odporności informacyjnej oraz wspierania wiarygodnego dyskursu publicznego; </w:t>
      </w:r>
    </w:p>
    <w:p w:rsidR="007779EC" w:rsidRPr="0084282D" w:rsidP="007779EC" w14:paraId="4FF3D03E" w14:textId="77777777">
      <w:pPr>
        <w:pStyle w:val="Normal12a"/>
        <w:rPr>
          <w:i/>
          <w:iCs/>
        </w:rPr>
      </w:pPr>
      <w:r w:rsidRPr="0084282D">
        <w:rPr>
          <w:b/>
          <w:i/>
        </w:rPr>
        <w:t>IX. Integracja jednolitego rynku</w:t>
      </w:r>
    </w:p>
    <w:p w:rsidR="007779EC" w:rsidRPr="0084282D" w:rsidP="007779EC" w14:paraId="5788BF60" w14:textId="3F131CEF">
      <w:pPr>
        <w:pStyle w:val="NormalHanging12a"/>
        <w:rPr>
          <w:bCs/>
          <w:iCs/>
        </w:rPr>
      </w:pPr>
      <w:r>
        <w:t>7</w:t>
      </w:r>
      <w:r w:rsidR="00A9339C">
        <w:t>5</w:t>
      </w:r>
      <w:r w:rsidRPr="0084282D">
        <w:t>.</w:t>
      </w:r>
      <w:r w:rsidRPr="0084282D">
        <w:tab/>
        <w:t>podkreśla znaczenie przyspieszenia stopniowej integracji Ukrainy z jednolitym rynkiem UE, co przynosi korzyści gospodarcze zarówno Ukrainie, jak i państwom członkowskim; podkreśla, że stanowi to kluczowy element wsparcia gospodarczego UE w walce z rosyjską agresją oraz przygotowania ukraińskiego przemysłu do funkcjonowania w warunkach jednolitego rynku UE; zaleca Ukrainie, aby postępowała zgodnie z 10 priorytetami określonymi w planie działań priorytetowych w ramach pogłębionej i kompleksowej strefy wolnego handlu między UE a Ukrainą;</w:t>
      </w:r>
    </w:p>
    <w:p w:rsidR="007779EC" w:rsidRPr="0084282D" w:rsidP="007779EC" w14:paraId="3422B272" w14:textId="5B49D6E3">
      <w:pPr>
        <w:pStyle w:val="NormalHanging12a"/>
        <w:rPr>
          <w:bCs/>
          <w:iCs/>
        </w:rPr>
      </w:pPr>
      <w:r>
        <w:t>76</w:t>
      </w:r>
      <w:r w:rsidRPr="0084282D">
        <w:t>.</w:t>
      </w:r>
      <w:r w:rsidRPr="0084282D">
        <w:tab/>
        <w:t>wzywa Komisję i państwa członkowskie do uwzględnienia ścisłych powiązań między odbudową a przyszłą integracją Ukrainy z jednolitym rynkiem UE; podkreśla, że plan odbudowy powinien obejmować środki służące wspieraniu dostosowania regulacyjnego oraz inwestycji w infrastrukturę krytyczną, sieci transportowe i połączenia kolejowe, ułatwiając tym samym spełnianie norm jednolitego rynku oraz zacieśnianie współpracy handlowej i gospodarczej z państwami członkowskimi;</w:t>
      </w:r>
    </w:p>
    <w:p w:rsidR="007779EC" w:rsidRPr="0084282D" w:rsidP="007779EC" w14:paraId="3224A0D2" w14:textId="3AC5A90B">
      <w:pPr>
        <w:pStyle w:val="NormalHanging12a"/>
        <w:rPr>
          <w:bCs/>
          <w:iCs/>
        </w:rPr>
      </w:pPr>
      <w:r>
        <w:t>77</w:t>
      </w:r>
      <w:r w:rsidRPr="0084282D">
        <w:t>.</w:t>
      </w:r>
      <w:r w:rsidRPr="0084282D">
        <w:tab/>
        <w:t xml:space="preserve">z zadowoleniem przyjmuje przystąpienie Ukrainy w styczniu 2026 r. do unijnego systemu znoszącego opłaty </w:t>
      </w:r>
      <w:r w:rsidRPr="0084282D">
        <w:t>roamingowe</w:t>
      </w:r>
      <w:r w:rsidRPr="0084282D">
        <w:t>, co zapewni obywatelom Ukrainy jedną z najbardziej namacalnych i od razu odczuwalnych korzyści z procesu przystąpienia ich kraju do UE;</w:t>
      </w:r>
    </w:p>
    <w:p w:rsidR="007779EC" w:rsidRPr="0084282D" w:rsidP="007779EC" w14:paraId="423A7739" w14:textId="4BF2D806">
      <w:pPr>
        <w:pStyle w:val="NormalHanging12a"/>
      </w:pPr>
      <w:r>
        <w:t>78</w:t>
      </w:r>
      <w:r w:rsidRPr="0084282D">
        <w:t>.</w:t>
      </w:r>
      <w:r w:rsidRPr="0084282D">
        <w:tab/>
        <w:t>z zadowoleniem przyjmuje wzmożone wysiłki Ukrainy na rzecz dostosowania jej stanowiska do stanowiska UE i Światowej Organizacji Handlu; zachęca do ścisłej koordynacji z UE w kontekście międzynarodowych negocjacji handlowych, w szczególności w celu stopniowej integracji Ukrainy z jednolitym rynkiem UE oraz wzmocnienia jej udziału w globalnych łańcuchach wartości;</w:t>
      </w:r>
    </w:p>
    <w:p w:rsidR="007779EC" w:rsidRPr="0084282D" w:rsidP="007779EC" w14:paraId="57FCA4DD" w14:textId="77777777">
      <w:pPr>
        <w:pStyle w:val="NormalHanging12a"/>
        <w:rPr>
          <w:b/>
          <w:bCs/>
          <w:i/>
          <w:iCs/>
        </w:rPr>
      </w:pPr>
      <w:r w:rsidRPr="0084282D">
        <w:rPr>
          <w:b/>
          <w:i/>
        </w:rPr>
        <w:t>X. Współpraca obronna</w:t>
      </w:r>
    </w:p>
    <w:p w:rsidR="007779EC" w:rsidRPr="0084282D" w:rsidP="007779EC" w14:paraId="124DA65A" w14:textId="3E562D87">
      <w:pPr>
        <w:pStyle w:val="NormalHanging12a"/>
      </w:pPr>
      <w:r>
        <w:t>79</w:t>
      </w:r>
      <w:r w:rsidRPr="0084282D">
        <w:t>.</w:t>
      </w:r>
      <w:r w:rsidRPr="0084282D">
        <w:tab/>
        <w:t>przyznaje, że ukraiński przemysł obronny stał się istotnym i uzupełniającym elementem bezpieczeństwa europejskiego, w szczególności w odniesieniu do zdolności produkcyjnych dronów, sprawdzonych w walce innowacji w systemach bezzałogowych, walki radioelektronicznej i oprogramowania wykorzystywanego na polu walki;</w:t>
      </w:r>
    </w:p>
    <w:p w:rsidR="007779EC" w:rsidRPr="0084282D" w:rsidP="007779EC" w14:paraId="47F38C08" w14:textId="0B1D7B99">
      <w:pPr>
        <w:pStyle w:val="NormalHanging12a"/>
        <w:rPr>
          <w:iCs/>
        </w:rPr>
      </w:pPr>
      <w:r>
        <w:t>80</w:t>
      </w:r>
      <w:r w:rsidRPr="0084282D">
        <w:t>.</w:t>
      </w:r>
      <w:r w:rsidRPr="0084282D">
        <w:tab/>
        <w:t>w związku z tym z zadowoleniem przyjmuje zacieśnienie współpracy w kwestiach bezpieczeństwa i obrony między Ukrainą a UE i jej państwami członkowskimi, w szczególności za pośrednictwem Europejskiego Instrumentu na rzecz Pokoju, i wzywa do zacieśnienia współpracy w ramach Instrumentu na rzecz Zwiększenia Bezpieczeństwa Europy (SAFE) i Programu na rzecz europejskiego przemysłu obronnego (EDIP), aby zaspokoić krytyczne potrzeby obronne Ukrainy i ułatwić integrację ukraińskiego przemysłu obronnego z ekosystemem przemysłowym UE; podkreśla znaczenie przystąpienia Ukrainy do Europejskiego Funduszu Obronnego jako kraju stowarzyszonego i apeluje o szybkie przeprowadzenie niezbędnych negocjacji; z zadowoleniem przyjmuje utworzenie grupy zadaniowej UE–Ukraina ds. współpracy przemysłowej w dziedzinie obronności oraz inicjatywę „</w:t>
      </w:r>
      <w:r w:rsidRPr="0084282D">
        <w:t>BraveTech</w:t>
      </w:r>
      <w:r w:rsidRPr="0084282D">
        <w:t xml:space="preserve"> EU”; wzywa UE do wspierania integracji ukraińskiej bazy technologiczno-przemysłowej sektora obronnego z europejską bazą technologiczno-przemysłową sektora obronnego, w tym za pośrednictwem EDIP i przyszłego Europejskiego Funduszu Konkurencyjności; przyznaje, że ukraińska wiedza specjalistyczna z pola walki po raz kolejny znalazła </w:t>
      </w:r>
      <w:r w:rsidRPr="0084282D">
        <w:t>zastosowanie na Bliskim Wschodzie w obronie państw Zatoki Perskiej; ponownie podkreśla, że Ukraina dysponuje najbardziej doświadczonym wojskiem w Europie;</w:t>
      </w:r>
    </w:p>
    <w:p w:rsidR="007779EC" w:rsidRPr="0084282D" w:rsidP="007779EC" w14:paraId="654FF7BB" w14:textId="051B511C">
      <w:pPr>
        <w:pStyle w:val="NormalHanging12a"/>
        <w:rPr>
          <w:bCs/>
          <w:iCs/>
        </w:rPr>
      </w:pPr>
      <w:r>
        <w:t>81</w:t>
      </w:r>
      <w:r w:rsidRPr="0084282D">
        <w:t>.</w:t>
      </w:r>
      <w:r w:rsidRPr="0084282D">
        <w:tab/>
        <w:t>podkreśla strategiczne znaczenie organizowania regularnych wspólnych ćwiczeń wojskowych oraz stopniową integrację Ukrainy z prowadzonymi przez UE programami szkoleniowymi i strukturami operacyjnymi jako sposobu na zwiększenie gotowości, interoperacyjności z siłami europejskimi i dostosowania do standardów NATO; wzywa ponadto do zintensyfikowania wspólnych inicjatyw inwestycyjnych Unii i Ukrainy w sektorze przemysłu obronnego, w tym wspólnego opracowywania i wspólnej produkcji sprzętu wojskowego, co wzmocniłoby zdolności Ukrainy do samoobrony; wzywa do podjęcia trwałych środków w celu wzmocnienia powiązań między ukraińską i europejską bazą technologiczno-przemysłową sektora obronnego, zmniejszenia strategicznych zależności oraz przyczynienia się do długoterminowego bezpieczeństwa i stabilności na kontynencie europejskim;</w:t>
      </w:r>
    </w:p>
    <w:p w:rsidR="007779EC" w:rsidRPr="0084282D" w:rsidP="007779EC" w14:paraId="47DF9F31" w14:textId="04035F51">
      <w:pPr>
        <w:pStyle w:val="NormalHanging12a"/>
        <w:rPr>
          <w:bCs/>
          <w:iCs/>
        </w:rPr>
      </w:pPr>
      <w:r>
        <w:t>82</w:t>
      </w:r>
      <w:r w:rsidRPr="0084282D">
        <w:t>.</w:t>
      </w:r>
      <w:r w:rsidRPr="0084282D">
        <w:tab/>
        <w:t>podkreśla strategiczne znaczenie zwiększenia mobilności wojskowej w celu wsparcia obrony i odporności Ukrainy oraz zapewnienia szybkiego rozmieszczenia sprzętu i pomocy humanitarnej dla sił zbrojnych Ukrainy; podkreśla kluczową rolę państw nadbrzeżnych Morza Czarnego i państw wschodniej granicy w ułatwianiu bezpiecznych szlaków tranzytowych, uprzedniego rozmieszczenia sprzętu oraz wspólnej koordynacji operacyjnej z Ukrainą; wzywa Komisję i państwa członkowskie do wzmocnienia infrastruktury, interoperacyjności i ram logistycznych w tych regionach, w tym przez wspólne ćwiczenia i ukierunkowane inwestycje, aby zwiększyć zdolności operacyjne Ukrainy, wzmocnić jej integralność terytorialną i odstraszyć dalszą agresję;</w:t>
      </w:r>
    </w:p>
    <w:p w:rsidR="007779EC" w:rsidRPr="0084282D" w:rsidP="007779EC" w14:paraId="68EB07F8" w14:textId="106C4620">
      <w:pPr>
        <w:pStyle w:val="NormalHanging12a"/>
        <w:rPr>
          <w:bCs/>
          <w:iCs/>
        </w:rPr>
      </w:pPr>
      <w:r>
        <w:t>83</w:t>
      </w:r>
      <w:r w:rsidRPr="0084282D">
        <w:t>.</w:t>
      </w:r>
      <w:r w:rsidRPr="0084282D">
        <w:tab/>
        <w:t>wyraża zadowolenie z przyjęcia ukraińskiej strategii polityki wobec weteranów do 2030 r.; podkreśla znaczenie skutecznego powrotu ukraińskich weteranów wojennych do życia cywilnego jako ważnego elementu długoterminowej odbudowy Ukrainy i spójności społecznej; zwraca uwagę na rosnącą liczbę weteranów z niepełnosprawnościami oraz potrzebę wzmocnienia wdrażania polityki dostępności i praw osób z niepełnosprawnościami; wzywa UE i jej państwa członkowskie do dalszego wspierania Ukrainy w tym zakresie; uznaje strategiczną wartość doświadczenia ukraińskich weteranów dla bezpieczeństwa i obrony Europy, w tym ich wyjątkową wiedzę fachową w zakresie współczesnych działań wojennych, zwłaszcza przeciwdziałania systemom bezzałogowym, medycyny pola walki oraz ewakuacji poszkodowanych w konflikcie o wysokiej intensywności; podkreśla potrzebę zapobiegania ich podatności na marginalizację społeczną i wrogą manipulację, w tym ze strony Federacji Rosyjskiej;</w:t>
      </w:r>
    </w:p>
    <w:p w:rsidR="007779EC" w:rsidRPr="0084282D" w:rsidP="007779EC" w14:paraId="1B9DA7E3" w14:textId="24CAE6BC">
      <w:pPr>
        <w:pStyle w:val="NormalHanging12a"/>
        <w:rPr>
          <w:bCs/>
          <w:iCs/>
        </w:rPr>
      </w:pPr>
      <w:r>
        <w:t>84</w:t>
      </w:r>
      <w:r w:rsidRPr="0084282D">
        <w:t>.</w:t>
      </w:r>
      <w:r w:rsidRPr="0084282D">
        <w:tab/>
        <w:t xml:space="preserve">wzywa Komisję do opracowania odpowiednich ram w celu włączenia wyjątkowych doświadczeń wojennych Ukrainy w zakresie ochrony ludności, odporności infrastruktury krytycznej, walki z dezinformacją i sprawowania rządów w czasie </w:t>
      </w:r>
      <w:r w:rsidRPr="0084282D">
        <w:t>pełnoskalowej</w:t>
      </w:r>
      <w:r w:rsidRPr="0084282D">
        <w:t xml:space="preserve"> agresji wojskowej do polityki Unii w zakresie gotowości, odporności i bezpieczeństwa;</w:t>
      </w:r>
    </w:p>
    <w:p w:rsidR="007779EC" w:rsidRPr="0084282D" w:rsidP="007779EC" w14:paraId="0A3E6D6F" w14:textId="17027B1D">
      <w:pPr>
        <w:pStyle w:val="NormalHanging12a"/>
        <w:rPr>
          <w:bCs/>
          <w:iCs/>
        </w:rPr>
      </w:pPr>
      <w:r>
        <w:t>85</w:t>
      </w:r>
      <w:r w:rsidRPr="0084282D">
        <w:t>.</w:t>
      </w:r>
      <w:r w:rsidRPr="0084282D">
        <w:tab/>
        <w:t xml:space="preserve">odnotowuje znaczną pomoc polityczną, finansową, humanitarną i wojskową udzielaną Ukrainie przez państwa spoza UE i partnerów międzynarodowych od początku </w:t>
      </w:r>
      <w:r w:rsidRPr="0084282D">
        <w:t>pełnoskalowej</w:t>
      </w:r>
      <w:r w:rsidRPr="0084282D">
        <w:t xml:space="preserve"> inwazji Federacji Rosyjskiej w 2022 r.; podkreśla, że ta szeroka koalicja wsparcia odzwierciedla wspólne zobowiązanie do przestrzegania prawa międzynarodowego i zasad zapisanych w Karcie Narodów Zjednoczonych; w związku z tym zwraca uwagę na istotny wkład Stanów Zjednoczonych, które zapewniły pomoc </w:t>
      </w:r>
      <w:r w:rsidRPr="0084282D">
        <w:t xml:space="preserve">wojskową w wysokości ponad 66,9 mld USD; ponadto podkreśla ważną rolę Zjednoczonego Królestwa, Kanady, Japonii, Norwegii, Nowej Zelandii i Australii, które dostosowały się do międzynarodowych sankcji wobec Federacji Rosyjskiej i angażowały we wsparcie wojskowe Ukrainy i w szkolenie personelu, a także pomoc humanitarną i </w:t>
      </w:r>
      <w:r w:rsidRPr="0084282D">
        <w:t>makrofinansową</w:t>
      </w:r>
      <w:r w:rsidRPr="0084282D">
        <w:t xml:space="preserve"> dla Ukrainy;  uznaje ważną pomoc udzielaną przez Turcję, w tym wsparcie wojskowe i humanitarne oraz wysiłki dyplomatyczne; ponadto odnotowuje pomoc humanitarną udzieloną przez Republikę Mołdawii, która stanowi wyraz regionalnej solidarności w obliczu trwającej agresji rosyjskiej;</w:t>
      </w:r>
    </w:p>
    <w:p w:rsidR="007779EC" w:rsidRPr="0084282D" w:rsidP="007779EC" w14:paraId="17F8F71F" w14:textId="77777777">
      <w:pPr>
        <w:pStyle w:val="NormalHanging12a"/>
        <w:rPr>
          <w:b/>
          <w:i/>
          <w:iCs/>
        </w:rPr>
      </w:pPr>
      <w:r w:rsidRPr="0084282D">
        <w:rPr>
          <w:b/>
          <w:i/>
        </w:rPr>
        <w:t>XI. Współpraca regionalna i stosunki dobrosąsiedzkie</w:t>
      </w:r>
    </w:p>
    <w:p w:rsidR="007779EC" w:rsidRPr="0084282D" w:rsidP="007779EC" w14:paraId="452D11CA" w14:textId="5539BF95">
      <w:pPr>
        <w:pStyle w:val="NormalHanging12a"/>
        <w:rPr>
          <w:bCs/>
          <w:iCs/>
        </w:rPr>
      </w:pPr>
      <w:r>
        <w:t>86</w:t>
      </w:r>
      <w:r w:rsidRPr="0084282D">
        <w:t>.</w:t>
      </w:r>
      <w:r w:rsidRPr="0084282D">
        <w:tab/>
        <w:t xml:space="preserve">z zadowoleniem przyjmuje rozwiązanie sporu między Ukrainą a Węgrami (i Słowacją) dotyczącego przerwania dostaw rosyjskiej ropy naftowej rurociągiem „Przyjaźń”; podkreśla, że w wyniku sporu nie doszło do niedoboru dostaw na Węgrzech ani na Słowacji, biorąc pod uwagę łatwo dostępne alternatywne możliwości transportu rurociągiem „Adria”, które przynoszą dodatkową korzyść w postaci braku finansowania rosyjskiej gospodarki; odnotowuje, że od początku rosyjskiej agresji przeciwko Ukrainie przedsiębiorstwa węgierskie zwiększyły import rosyjskich nośników energii, wbrew polityce UE; zauważa, że ceny paliw na Węgrzech są wyższe od średniej europejskiej oraz że argumenty dotyczące wzrostu kosztów w związku z wykorzystaniem rurociągu „Adria” były fikcyjne; </w:t>
      </w:r>
    </w:p>
    <w:p w:rsidR="007779EC" w:rsidRPr="0084282D" w:rsidP="007779EC" w14:paraId="6D104EB1" w14:textId="23778BE0">
      <w:pPr>
        <w:pStyle w:val="NormalHanging12a"/>
        <w:rPr>
          <w:bCs/>
          <w:iCs/>
        </w:rPr>
      </w:pPr>
      <w:r>
        <w:t>87</w:t>
      </w:r>
      <w:r w:rsidRPr="0084282D">
        <w:t>.</w:t>
      </w:r>
      <w:r w:rsidRPr="0084282D">
        <w:tab/>
        <w:t xml:space="preserve">podkreśla zobowiązanie wszystkich państw członkowskich, nie tylko rządów Węgier i Słowacji, do stopniowego uniezależnienia się od rosyjskich dostaw energii i rosyjskiej infrastruktury energetycznej; </w:t>
      </w:r>
    </w:p>
    <w:p w:rsidR="007779EC" w:rsidRPr="0084282D" w:rsidP="007779EC" w14:paraId="25A7D41D" w14:textId="3C3DD48F">
      <w:pPr>
        <w:pStyle w:val="NormalHanging12a"/>
        <w:rPr>
          <w:bCs/>
          <w:iCs/>
        </w:rPr>
      </w:pPr>
      <w:r>
        <w:t>88</w:t>
      </w:r>
      <w:r w:rsidRPr="0084282D">
        <w:t>.</w:t>
      </w:r>
      <w:r w:rsidRPr="0084282D">
        <w:tab/>
        <w:t xml:space="preserve">potępia wcześniejsze działania węgierskich organów ścigania polegające na zatrzymaniu pracowników ukraińskiego </w:t>
      </w:r>
      <w:r w:rsidRPr="0084282D">
        <w:t>Oschadbanku</w:t>
      </w:r>
      <w:r w:rsidRPr="0084282D">
        <w:t xml:space="preserve"> oraz zajęciu gotówki i złota, co zostało uprzednio należycie zatwierdzone przez węgierskie służby celne; z zadowoleniem przyjmuje niedawne rozwiązanie sporu;</w:t>
      </w:r>
    </w:p>
    <w:p w:rsidR="007779EC" w:rsidRPr="0084282D" w:rsidP="007779EC" w14:paraId="32812118" w14:textId="77777777">
      <w:pPr>
        <w:pStyle w:val="NormalHanging12a"/>
        <w:rPr>
          <w:i/>
          <w:iCs/>
        </w:rPr>
      </w:pPr>
      <w:r w:rsidRPr="0084282D">
        <w:rPr>
          <w:b/>
          <w:i/>
        </w:rPr>
        <w:t>XII. Reformy społeczno-gospodarcze</w:t>
      </w:r>
    </w:p>
    <w:p w:rsidR="007779EC" w:rsidRPr="0084282D" w:rsidP="007779EC" w14:paraId="1EDF7747" w14:textId="2B105707">
      <w:pPr>
        <w:pStyle w:val="NormalHanging12a"/>
      </w:pPr>
      <w:r>
        <w:t>89</w:t>
      </w:r>
      <w:r w:rsidRPr="0084282D">
        <w:t>.</w:t>
      </w:r>
      <w:r w:rsidRPr="0084282D">
        <w:tab/>
        <w:t>pochwala przyjęcie przez Ukrainę reformy administracji publicznej oraz trwające praktyczne włączanie Ukrainy do struktur zarządzania i ram gospodarczych, regulacyjnych i bezpieczeństwa UE; zachęca rząd Ukrainy do przyjęcia systemowego podejścia do reformy administracji publicznej i zarządzania finansami publicznymi, przy zapewnieniu zgodności z istniejącym planem działania, oraz do poprawy skuteczności; wyraża zadowolenie z przyjęcia strategii reformy zarządzania finansami publicznymi na lata 2026–2030 i zachęca do szybkiego sfinalizowania oraz przyjęcia strategii reformy administracji publicznej na lata 2026–2030; pochwala sukces programu „</w:t>
      </w:r>
      <w:r w:rsidRPr="0084282D">
        <w:t>Create</w:t>
      </w:r>
      <w:r w:rsidRPr="0084282D">
        <w:t xml:space="preserve"> </w:t>
      </w:r>
      <w:r w:rsidRPr="0084282D">
        <w:t>Ukraine</w:t>
      </w:r>
      <w:r w:rsidRPr="0084282D">
        <w:t>” opartego na doświadczeniach litewskich, którego celem jest przyciągnięcie młodych Ukraińców posiadających cenne doświadczenie międzynarodowe do ukraińskiego sektora publicznego; zachęca do rozszerzenia tego programu i podobnych inicjatyw w celu przyciągnięcia specjalistów z powrotem do Ukrainy oraz wsparcia jej procesu przystąpienia do UE i powojennej odbudowy;</w:t>
      </w:r>
    </w:p>
    <w:p w:rsidR="007779EC" w:rsidRPr="0084282D" w:rsidP="007779EC" w14:paraId="7DEFA54C" w14:textId="2CE782A8">
      <w:pPr>
        <w:pStyle w:val="NormalHanging12a"/>
        <w:rPr>
          <w:bCs/>
          <w:iCs/>
        </w:rPr>
      </w:pPr>
      <w:r>
        <w:t>90</w:t>
      </w:r>
      <w:r w:rsidRPr="0084282D">
        <w:t>.</w:t>
      </w:r>
      <w:r w:rsidRPr="0084282D">
        <w:tab/>
        <w:t>z zadowoleniem przyjmuje postępy w reformowaniu ukraińskiego Biura Bezpieczeństwa Gospodarczego oraz Agencji ds. Odzyskiwania Mienia i Zarządzania Mieniem; ponadto z zadowoleniem przyjmuje mianowanie szefa Państwowej Służby Celnej Ukrainy i podkreśla znaczenie przyspieszenia reformy celnej;</w:t>
      </w:r>
    </w:p>
    <w:p w:rsidR="007779EC" w:rsidRPr="0084282D" w:rsidP="007779EC" w14:paraId="6DA551E3" w14:textId="488C3C13">
      <w:pPr>
        <w:pStyle w:val="NormalHanging12a"/>
        <w:rPr>
          <w:bCs/>
          <w:iCs/>
        </w:rPr>
      </w:pPr>
      <w:r>
        <w:t>91</w:t>
      </w:r>
      <w:r w:rsidRPr="0084282D">
        <w:t>.</w:t>
      </w:r>
      <w:r w:rsidRPr="0084282D">
        <w:tab/>
        <w:t xml:space="preserve">zwraca uwagę na pozytywne ustalenia zawarte w najnowszych sprawozdaniach Banku Światowego i Międzynarodowego Funduszu Walutowego, które wskazują na odporność gospodarczą Ukrainy i postępy w stabilizacji makroekonomicznej pomimo trwającej wojny; wyraża zadowolenie z niedawnego przyjęcia programu Międzynarodowego Funduszu Walutowego o wartości 1,8 mld USD oraz związanych z nim reform; wzywa Ukrainę, by jak najszybciej przystąpiła do wdrażania tych reform; </w:t>
      </w:r>
    </w:p>
    <w:p w:rsidR="007779EC" w:rsidRPr="0084282D" w:rsidP="007779EC" w14:paraId="7A436646" w14:textId="46E984F6">
      <w:pPr>
        <w:pStyle w:val="NormalHanging12a"/>
        <w:rPr>
          <w:bCs/>
          <w:iCs/>
        </w:rPr>
      </w:pPr>
      <w:r>
        <w:t>92</w:t>
      </w:r>
      <w:r w:rsidRPr="0084282D">
        <w:t>.</w:t>
      </w:r>
      <w:r w:rsidRPr="0084282D">
        <w:tab/>
        <w:t>ponownie wzywa Ukrainę i państwa członkowskie do ścisłej współpracy w celu maksymalizacji potencjalnego udziału gospodarczego uchodźców i diaspory z Ukrainy, aby zapewnić odporność i </w:t>
      </w:r>
      <w:r w:rsidRPr="0084282D">
        <w:t>inkluzywność</w:t>
      </w:r>
      <w:r w:rsidRPr="0084282D">
        <w:t xml:space="preserve"> trwającej i przyszłej odnowy gospodarczej i odbudowy Ukrainy; wzywa Komisję do przedstawienia konkretnych propozycji w tej sprawie; zauważa, że dyrektywa w sprawie tymczasowej ochrony</w:t>
      </w:r>
      <w:r>
        <w:rPr>
          <w:rStyle w:val="FootnoteReference"/>
          <w:bCs/>
          <w:iCs/>
        </w:rPr>
        <w:footnoteReference w:id="9"/>
      </w:r>
      <w:r w:rsidRPr="0084282D">
        <w:t xml:space="preserve">, która zapewniła status prawny ponad 4 milionom Ukraińców w UE, ma wygasnąć w marcu 2027 r.; wzywa UE, jej państwa członkowskie oraz Ukrainę do wypracowania skoordynowanej, zharmonizowanej i jasno komunikowanej polityki, która da pewność osobom przygotowującym się do powrotu do Ukrainy lub rozważającym legalne ścieżki pozostania w państwach przyjmujących; </w:t>
      </w:r>
    </w:p>
    <w:p w:rsidR="007779EC" w:rsidRPr="0084282D" w:rsidP="007779EC" w14:paraId="06B79287" w14:textId="079EA5F7">
      <w:pPr>
        <w:pStyle w:val="NormalHanging12a"/>
        <w:rPr>
          <w:bCs/>
          <w:iCs/>
        </w:rPr>
      </w:pPr>
      <w:r>
        <w:t>93</w:t>
      </w:r>
      <w:r w:rsidRPr="0084282D">
        <w:t>.</w:t>
      </w:r>
      <w:r w:rsidRPr="0084282D">
        <w:tab/>
        <w:t xml:space="preserve">podkreśla, że odbudowa Ukrainy oraz związane z nią plany przygotowawcze muszą być ściśle powiązane z reformami związanymi z jej przystąpieniem do UE i muszą opierać się na zasadach sprawiedliwości społecznej, zrównoważonego rozwoju, przejrzystości i odpowiedzialności lokalnej sprzyjającej włączeniu społecznemu; podkreśla ponadto, że odbudowa Ukrainy musi opierać się na silnym państwie prawa, przejrzystym sprawowaniu rządów i włączeniu demokratycznym; podkreśla, że reforma sądownictwa, działania antykorupcyjne i usprawnienia administracji publicznej są nie tylko warunkami przystąpienia do UE, ale mają również zasadnicze znaczenie dla przyciągnięcia inwestycji i przywrócenia zaufania wśród partnerów Ukrainy i jej obywateli; apeluje o przyjęcie podejścia uwzględniającego aspekt płci we wszystkich działaniach na rzecz odbudowy, w tym o zwiększenie reprezentacji kobiet i mniejszości w procesach decyzyjnych w celu wywarcia największego wpływu i zapewnienia długoterminowej stabilności; </w:t>
      </w:r>
    </w:p>
    <w:p w:rsidR="007779EC" w:rsidRPr="0084282D" w:rsidP="007779EC" w14:paraId="4B7D0BB3" w14:textId="6C51AAFA">
      <w:pPr>
        <w:pStyle w:val="NormalHanging12a"/>
        <w:rPr>
          <w:bCs/>
          <w:iCs/>
        </w:rPr>
      </w:pPr>
      <w:r>
        <w:t>94</w:t>
      </w:r>
      <w:r w:rsidRPr="0084282D">
        <w:t>.</w:t>
      </w:r>
      <w:r w:rsidRPr="0084282D">
        <w:tab/>
        <w:t>podkreśla, że polityka spójności UE, jako główny instrument wspierania jedności gospodarczej, społecznej i terytorialnej, ma zasadnicze znaczenie dla osiągania celów unijnej polityki regionalnej oraz pogłębiania współpracy między regionami UE i Ukrainy; wzywa do pełnego uwzględnienia tej polityki w ramach współpracy regionalnej i sąsiedzkiej;</w:t>
      </w:r>
    </w:p>
    <w:p w:rsidR="007779EC" w:rsidRPr="0084282D" w:rsidP="007779EC" w14:paraId="1736B6E2" w14:textId="14192625">
      <w:pPr>
        <w:pStyle w:val="NormalHanging12a"/>
        <w:rPr>
          <w:bCs/>
          <w:iCs/>
        </w:rPr>
      </w:pPr>
      <w:r>
        <w:t>95</w:t>
      </w:r>
      <w:r w:rsidRPr="0084282D">
        <w:t>.</w:t>
      </w:r>
      <w:r w:rsidRPr="0084282D">
        <w:tab/>
        <w:t xml:space="preserve">podkreśla rosnące znaczenie Ukrainy jako strategicznego partnera Unii Europejskiej w zakresie dostaw kluczowych towarów i surowców krytycznych, w tym produktów rolnych, takich jak zboża, nasiona oleiste i oleje roślinne, a także litu, tytanu i innych zasobów mineralnych niezbędnych do transformacji ekologicznej i cyfrowej; apeluje o zapewnienie przejrzystości, rozliczalności publicznej i ochrony interesów narodowych we wszystkich procesach prywatyzacji i inwestycji; zauważa, że znaczna część zasobów krytycznych znajduje się na terytoriach czasowo okupowanych przez Federację </w:t>
      </w:r>
      <w:r w:rsidRPr="0084282D">
        <w:t>Rosyjską; podkreśla zatem potrzebę wzmocnienia solidarności UE z Ukrainą w ochronie jej zasobów naturalnych, potencjału rolnego i integralności terytorialnej;</w:t>
      </w:r>
    </w:p>
    <w:p w:rsidR="007779EC" w:rsidRPr="0084282D" w:rsidP="007779EC" w14:paraId="2912C250" w14:textId="23D90D85">
      <w:pPr>
        <w:pStyle w:val="NormalHanging12a"/>
        <w:rPr>
          <w:bCs/>
          <w:iCs/>
        </w:rPr>
      </w:pPr>
      <w:r>
        <w:t>96</w:t>
      </w:r>
      <w:r w:rsidRPr="0084282D">
        <w:t>.</w:t>
      </w:r>
      <w:r w:rsidRPr="0084282D">
        <w:tab/>
        <w:t xml:space="preserve">z zadowoleniem przyjmuje wysiłki na rzecz poprawy trójstronnego dialogu społecznego w Ukrainie, również dzięki niedawno podpisanej umowie partnerskiej z UE i Międzynarodową Organizacją Pracy (MOP); nalega, aby zasady Europejskiego filaru praw socjalnych oraz wszystkie odpowiednie konwencje MOP były przestrzegane w całym procesie przedakcesyjnym; wzywa Ukrainę do dalszego zbliżania norm pracy, w szczególności pod względem wolności zgromadzeń i dialogu społecznego; podkreśla potrzebę szerokich konsultacji ze związkami zawodowymi i społeczeństwem obywatelskim oraz zaleca korzystanie z wiedzy specjalistycznej MOP w tej kwestii; wzywa Ukrainę i Komisję do współpracy z kluczowymi partnerami społecznymi, w tym z niezależnymi związkami zawodowymi, w zakresie opracowywania, wdrażania i monitorowania reform społeczno-gospodarczych, przy jednoczesnym uznaniu potrzeby wprowadzenia środków reformatorskich w celu poprawy klimatu biznesowego i </w:t>
      </w:r>
      <w:r w:rsidRPr="0084282D" w:rsidR="0014346A">
        <w:t>funkcjonowania</w:t>
      </w:r>
      <w:r w:rsidR="0014346A">
        <w:t xml:space="preserve"> </w:t>
      </w:r>
      <w:r w:rsidRPr="0084282D">
        <w:t xml:space="preserve">gospodarki rynkowej; apeluje o skoncentrowanie się w większym stopniu na działaniach mających na celu korygowanie zakłóceń rynku oraz na środkach ochrony socjalnej; </w:t>
      </w:r>
    </w:p>
    <w:p w:rsidR="007779EC" w:rsidRPr="0084282D" w:rsidP="007779EC" w14:paraId="4FB5321B" w14:textId="58E86402">
      <w:pPr>
        <w:pStyle w:val="NormalHanging12a"/>
        <w:rPr>
          <w:bCs/>
          <w:iCs/>
        </w:rPr>
      </w:pPr>
      <w:r>
        <w:t>97</w:t>
      </w:r>
      <w:r w:rsidRPr="0084282D">
        <w:t>.</w:t>
      </w:r>
      <w:r w:rsidRPr="0084282D">
        <w:tab/>
        <w:t>odnotowuje doniesienia o ingerencji państwa w sprawy związków zawodowych, w tym o zajmowaniu majątku związków zawodowych; wzywa do zwrotu zajętych aktywów związków zawodowych; wzywa władze Ukrainy do zapewnienia związkowcom możliwości swobodnego wykonywania mandatu i apeluje o pełną ochronę prawną przed praktykami antyzwiązkowymi; wzywa Komisję i Europejską Służbę Działań Zewnętrznych do aktywnego monitorowania stanu praw pracowniczych w Ukrainie, w ścisłej współpracy z Europejską Konfederacją Związków Zawodowych oraz MOP;</w:t>
      </w:r>
    </w:p>
    <w:p w:rsidR="007779EC" w:rsidRPr="0084282D" w:rsidP="007779EC" w14:paraId="755014BD" w14:textId="66517F82">
      <w:pPr>
        <w:pStyle w:val="NormalHanging12a"/>
      </w:pPr>
      <w:r>
        <w:t>98</w:t>
      </w:r>
      <w:r w:rsidRPr="0084282D">
        <w:t>.</w:t>
      </w:r>
      <w:r w:rsidRPr="0084282D">
        <w:tab/>
        <w:t>apeluje o nieustające wysiłki na rzecz liberalizacji przepływu kapitału, w tym przez dostosowanie do rozporządzenia w sprawie jednolitego obszaru płatności w euro</w:t>
      </w:r>
      <w:r>
        <w:rPr>
          <w:rStyle w:val="FootnoteReference"/>
        </w:rPr>
        <w:footnoteReference w:customMarkFollows="1" w:id="10"/>
        <w:t xml:space="preserve">1</w:t>
      </w:r>
      <w:r w:rsidRPr="0084282D">
        <w:t>, oraz o intensyfikację walki z praniem pieniędzy i finansowaniem terroryzmu;</w:t>
      </w:r>
    </w:p>
    <w:p w:rsidR="007779EC" w:rsidRPr="0084282D" w:rsidP="007779EC" w14:paraId="1C389C2F" w14:textId="5F9595CF">
      <w:pPr>
        <w:pStyle w:val="NormalHanging12a"/>
        <w:rPr>
          <w:bCs/>
          <w:iCs/>
        </w:rPr>
      </w:pPr>
      <w:r>
        <w:t>99</w:t>
      </w:r>
      <w:r w:rsidRPr="0084282D">
        <w:t>.</w:t>
      </w:r>
      <w:r w:rsidRPr="0084282D">
        <w:tab/>
        <w:t>pochwala Ukrainę za skuteczne wielopoziomowe sprawowanie rządów; z zadowoleniem przyjmuje postępy w decentralizacji zgodne z wymogami przystąpienia do UE; apeluje o dalsze reformy w celu wzmocnienia pozycji samorządów lokalnych zgodnie z zasadami Europejskiej karty samorządu lokalnego;</w:t>
      </w:r>
    </w:p>
    <w:p w:rsidR="007779EC" w:rsidRPr="0084282D" w:rsidP="007779EC" w14:paraId="42CC84ED" w14:textId="08A12282">
      <w:pPr>
        <w:pStyle w:val="NormalHanging12a"/>
      </w:pPr>
      <w:r>
        <w:t>100</w:t>
      </w:r>
      <w:r w:rsidRPr="0084282D">
        <w:t>.</w:t>
      </w:r>
      <w:r w:rsidRPr="0084282D">
        <w:tab/>
        <w:t>wyraża uznanie dla Ukrainy za spełnienie 63 z 68 warunków reform określonych w Planie Ukrainy, który pierwotnie miał zostać wdrożony po zakończeniu wojny, ale został przeprowadzony w czasie wojny, co umożliwiło wypłatę 26,8 mld EUR w 2025 r.; apeluje o bezustanne dążenie do wdrożenia, zgodnie z rozporządzeniem (UE) 2024/792</w:t>
      </w:r>
      <w:r>
        <w:rPr>
          <w:rStyle w:val="FootnoteReference"/>
        </w:rPr>
        <w:footnoteReference w:customMarkFollows="1" w:id="11"/>
        <w:t xml:space="preserve">2</w:t>
      </w:r>
      <w:r w:rsidRPr="0084282D">
        <w:t xml:space="preserve">, w </w:t>
      </w:r>
      <w:r w:rsidRPr="0084282D">
        <w:t>szczególności</w:t>
      </w:r>
      <w:r w:rsidRPr="0084282D">
        <w:t xml:space="preserve"> aby zachęcić Ukrainę do dostosowania się do przepisów UE dotyczących zamówień publicznych;</w:t>
      </w:r>
    </w:p>
    <w:p w:rsidR="007779EC" w:rsidRPr="0084282D" w:rsidP="007779EC" w14:paraId="3B14475F" w14:textId="28B595D1">
      <w:pPr>
        <w:pStyle w:val="NormalHanging12a"/>
        <w:rPr>
          <w:b/>
          <w:i/>
        </w:rPr>
      </w:pPr>
      <w:r>
        <w:t>101</w:t>
      </w:r>
      <w:r w:rsidRPr="0084282D">
        <w:t>.</w:t>
      </w:r>
      <w:r w:rsidRPr="0084282D">
        <w:rPr>
          <w:b/>
          <w:i/>
        </w:rPr>
        <w:tab/>
      </w:r>
      <w:r w:rsidRPr="0084282D">
        <w:t>wyraża uznanie dla niezwykle ważnej pracy wykonywanej na co dzień przez ukraińskie służby ochrony zdrowia, a w szczególności przez ukraińskie pielęgniarki, przez cały okres wojny; zauważa, że znaczna część pracowników publicznego sektora opieki otrzymuje wynagrodzenie minimalne, które wynosi obecnie 6 658 UAH netto; przypomina, że faktyczne minimum socjalne dla jednej osoby, obliczone przez Ministerstwo Polityki Społecznej w grudniu 2025 r., wynosiło 10 979 UAH; podkreśla ponadto potrzebę wprowadzenia konkretnych i rozsądnych regulacji dotyczących obciążenia pracą pielęgniarek;</w:t>
      </w:r>
    </w:p>
    <w:p w:rsidR="007779EC" w:rsidRPr="0084282D" w:rsidP="007779EC" w14:paraId="1402E819" w14:textId="77777777">
      <w:pPr>
        <w:pStyle w:val="Normal12a"/>
        <w:rPr>
          <w:i/>
          <w:iCs/>
        </w:rPr>
      </w:pPr>
      <w:r w:rsidRPr="0084282D">
        <w:rPr>
          <w:b/>
          <w:i/>
        </w:rPr>
        <w:t>XIII. Energia, transport i zrównoważony rozwój</w:t>
      </w:r>
    </w:p>
    <w:p w:rsidR="007779EC" w:rsidRPr="0084282D" w:rsidP="007779EC" w14:paraId="4E8EBFBA" w14:textId="59413C6E">
      <w:pPr>
        <w:pStyle w:val="NormalHanging12a"/>
      </w:pPr>
      <w:r>
        <w:t>102</w:t>
      </w:r>
      <w:r w:rsidRPr="0084282D">
        <w:t>.</w:t>
      </w:r>
      <w:r w:rsidRPr="0084282D">
        <w:tab/>
        <w:t>z zadowoleniem przyjmuje znaczne postępy w reformach sektora energetycznego i dostosowanie Ukrainy do celów Europejskiego Zielonego Ładu i Paktu dla czystego przemysłu oraz wyraża uznanie dla Ukrainy za znaczne postępy we wdrażaniu krajowego planu w dziedzinie energii i klimatu pomimo powszechnego niszczenia przez Rosję ukraińskiej infrastruktury energetycznej; podkreśla, że dostosowanie do inicjatyw UE, w tym Europejskiego Zielonego Ładu i Paktu dla czystego przemysłu, powinno uwzględniać pilne potrzeby odbudowy Ukrainy, jej konkurencyjność gospodarczą i długoterminowe bezpieczeństwo energetyczne;</w:t>
      </w:r>
    </w:p>
    <w:p w:rsidR="007779EC" w:rsidRPr="0084282D" w:rsidP="007779EC" w14:paraId="555E28B2" w14:textId="36B82912">
      <w:pPr>
        <w:pStyle w:val="NormalHanging12a"/>
        <w:rPr>
          <w:bCs/>
          <w:iCs/>
        </w:rPr>
      </w:pPr>
      <w:r>
        <w:t>103</w:t>
      </w:r>
      <w:r w:rsidRPr="0084282D">
        <w:t>.</w:t>
      </w:r>
      <w:r w:rsidRPr="0084282D">
        <w:tab/>
        <w:t>wzywa UE i jej państwa członkowskie do zintensyfikowania wsparcia dla ukraińskiego systemu energetycznego, a jednocześnie podkreśla, że większa odporność Ukrainy bezpośrednio przyczynia się do szerszego bezpieczeństwa energetycznego Europy; podkreśla, że trwałe i przewidywalne wsparcie energetyczne dla Ukrainy ma zasadnicze znaczenie dla ochrony odporności ludności cywilnej, stabilności gospodarczej i ciągłości usług krytycznych w obliczu trwających ataków i przed kolejnym sezonem zimowym; wzywa Komisję do uznania odbudowy sektora energetycznego za priorytet, odchodząc od doraźnej pomocy nadzwyczajnej na rzecz długoterminowych mechanizmów odbudowy, ochrony i modernizacji sektora energetycznego;</w:t>
      </w:r>
    </w:p>
    <w:p w:rsidR="007779EC" w:rsidRPr="0084282D" w:rsidP="007779EC" w14:paraId="184C249C" w14:textId="520C5A99">
      <w:pPr>
        <w:pStyle w:val="NormalHanging12a"/>
        <w:rPr>
          <w:bCs/>
          <w:iCs/>
        </w:rPr>
      </w:pPr>
      <w:r>
        <w:t>104</w:t>
      </w:r>
      <w:r w:rsidRPr="0084282D">
        <w:t>.</w:t>
      </w:r>
      <w:r w:rsidRPr="0084282D">
        <w:tab/>
        <w:t>podkreśla znaczny potencjał Ukrainy jako dostawcy energii i produktów energochłonnych dla reszty Europy; apeluje o przyspieszenie integracji Ukrainy z unijnym rynkiem energii, co stanowi jeden z elementów przyczyniających się do bezpieczeństwa Unii, w tym przez synchronizację regulacyjną i inwestycje w odnawialne źródła energii; zachęca do dalszego rozwijania połączeń energetycznych z sąsiadującymi państwami członkowskimi UE i partnerami regionalnymi, takimi jak Republika Mołdawii, w celu dalszej integracji Ukrainy z unijnym rynkiem energii; wzywa Komisję i państwa członkowskie do większych inwestycji w rozbudowę i modernizację transgranicznych połączeń energetycznych z Ukrainą oraz do dalszej integracji i harmonizacji sieci przesyłowych jako kluczowego etapu przygotowawczego do integracji Ukrainy z wewnętrznym rynkiem energii UE;</w:t>
      </w:r>
    </w:p>
    <w:p w:rsidR="007779EC" w:rsidRPr="0084282D" w:rsidP="007779EC" w14:paraId="3C253662" w14:textId="3EFC8F3A">
      <w:pPr>
        <w:pStyle w:val="NormalHanging12a"/>
        <w:rPr>
          <w:bCs/>
          <w:iCs/>
        </w:rPr>
      </w:pPr>
      <w:r>
        <w:t>105</w:t>
      </w:r>
      <w:r w:rsidRPr="0084282D">
        <w:t>.</w:t>
      </w:r>
      <w:r w:rsidRPr="0084282D">
        <w:tab/>
        <w:t xml:space="preserve">podkreśla strategiczne znaczenie przyszłej transakcji sprzedaży przez Bułgarię Ukrainie dwóch reaktorów jądrowych VVER-1000, traktując ją jako przykład działań przyczyniających się do pogłębiania współpracy w dziedzinie energetyki, a ponadto zauważa, że przyczyni się to do bezpieczeństwa energetycznego Ukrainy; zwraca uwagę na fakt, że wspomniany projekt może wzmocnić łączność energetyczną na szczeblu regionalnym i ułatwić integrację ukraińskiego systemu energetycznego z systemem energetycznym UE; zachęca do dalszego rozwijania wspólnych inicjatyw w dziedzinach takich jak infrastruktura energetyczna, w tym linie przesyłowe i magazynowanie energii, a także udoskonalanie połączeń w ramach transportu </w:t>
      </w:r>
      <w:r w:rsidRPr="0084282D">
        <w:t>intermodalnego, aby usprawnić łańcuchy dostaw, logistykę i wymianę handlową między obydwoma państwami i w szerzej rozumianym regionie Morza Czarnego;</w:t>
      </w:r>
    </w:p>
    <w:p w:rsidR="007779EC" w:rsidRPr="0084282D" w:rsidP="007779EC" w14:paraId="7AA432E7" w14:textId="7A0F7045">
      <w:pPr>
        <w:pStyle w:val="NormalHanging12a"/>
        <w:rPr>
          <w:bCs/>
          <w:iCs/>
        </w:rPr>
      </w:pPr>
      <w:r>
        <w:t>106</w:t>
      </w:r>
      <w:r w:rsidRPr="0084282D">
        <w:t>.</w:t>
      </w:r>
      <w:r w:rsidRPr="0084282D">
        <w:tab/>
        <w:t xml:space="preserve">odnotowuje apele Ukrainy o tymczasowe wyłączenie z tytułu siły wyższej w odniesieniu do wprowadzenia mechanizmu dostosowywania cen na granicach z uwzględnieniem emisji CO2 lub powiązanych środków, aby uwzględnić wpływ rosyjskiej wojny napastniczej na zdolność Ukrainy do ograniczania śladu węglowego jej przemysłu; zachęca Komisję do podjęcia konsultacji w celu określenia wzajemnie akceptowalnych tymczasowych rozwiązań w tym zakresie; </w:t>
      </w:r>
    </w:p>
    <w:p w:rsidR="007779EC" w:rsidRPr="0084282D" w:rsidP="007779EC" w14:paraId="0841B7F1" w14:textId="3D52FCDB">
      <w:pPr>
        <w:pStyle w:val="NormalHanging12a"/>
        <w:rPr>
          <w:bCs/>
          <w:iCs/>
        </w:rPr>
      </w:pPr>
      <w:r>
        <w:t>107</w:t>
      </w:r>
      <w:r w:rsidRPr="0084282D">
        <w:t>.</w:t>
      </w:r>
      <w:r w:rsidRPr="0084282D">
        <w:tab/>
        <w:t>wzywa Ukrainę do wykorzystania procesu odbudowy, aby stworzyć lepszą przyszłość, wykorzystując tam, gdzie to możliwe, najbardziej przyjazne dla klimatu technologie oraz najbardziej opłacalne i niezawodne rozwiązania dla ukraińskiego sektora energetycznego, inwestując w odnawialne źródła energii i efektywność energetyczną oraz minimalizując wpływ na środowisko w całym łańcuchu produkcyjnym; z zadowoleniem przyjmuje stałe zaangażowanie Komisji w tej dziedzinie w celu wsparcia reformy sektora energetycznego Ukrainy; wzywa Komisję i władze Ukrainy do strategicznego wykorzystania środków w ramach Instrumentu na rzecz Ukrainy poprzez priorytetowe traktowanie inwestycji w odnawialne źródła energii; apeluje o przyspieszenie realizacji istniejących zobowiązań w ramach Planu Ukrainy i pakietów Wspólnoty Energetycznej, w tym o rozdzielenie regionalnych przedsiębiorstw dystrybucji energii;</w:t>
      </w:r>
    </w:p>
    <w:p w:rsidR="007779EC" w:rsidRPr="0084282D" w:rsidP="007779EC" w14:paraId="5C3A3AF1" w14:textId="33BB25B7">
      <w:pPr>
        <w:pStyle w:val="NormalHanging12a"/>
        <w:rPr>
          <w:bCs/>
          <w:iCs/>
        </w:rPr>
      </w:pPr>
      <w:r>
        <w:t>108</w:t>
      </w:r>
      <w:r w:rsidRPr="0084282D">
        <w:t>.</w:t>
      </w:r>
      <w:r w:rsidRPr="0084282D">
        <w:tab/>
        <w:t>z zadowoleniem przyjmuje wysiłki Ukrainy na rzecz dostosowania jej polityki transportowej do dorobku prawnego UE i wzmocnienia połączeń z Unią; podkreśla znaczenie wdrożenia krajowej strategii transportowej oraz strategii rozwoju i rozbudowy infrastruktury granicznej z państwami członkowskimi UE i Mołdawią; wzywa do przyspieszenia zrównoważonej modernizacji infrastruktury kolejowej, drogowej, portowej i przejść granicznych zgodnie z priorytetami TEN-T; wzywa Ukrainę do przyspieszenia reformy kolei, w tym dostosowania do dorobku prawnego UE w zakresie bezpieczeństwa i interoperacyjności kolei;</w:t>
      </w:r>
    </w:p>
    <w:p w:rsidR="007779EC" w:rsidRPr="0084282D" w:rsidP="007779EC" w14:paraId="40F417B4" w14:textId="2DA2B440">
      <w:pPr>
        <w:pStyle w:val="NormalHanging12a"/>
        <w:rPr>
          <w:bCs/>
          <w:iCs/>
        </w:rPr>
      </w:pPr>
      <w:r>
        <w:t>109</w:t>
      </w:r>
      <w:r w:rsidRPr="0084282D">
        <w:t>.</w:t>
      </w:r>
      <w:r w:rsidRPr="0084282D">
        <w:tab/>
        <w:t>podkreśla zarazem, że przestrzeganie norm środowiskowych przy realizacji projektów energetycznych i transportowych ma kluczowe znaczenie dla postępów w programie reform niezbędnym na drodze Ukrainy do członkostwa w UE; podkreśla znaczenie wsparcia Ukrainy przez UE na potrzeby lepszego odbudowywania na fundamencie zrównoważonego rozwoju środowiskowego i społecznego; wzywa UE i jej państwa członkowskie do zwiększenia wsparcia dla Ukrainy, zarówno finansowego, jak i eksperckiego, aby przyspieszyć jej dostosowanie do unijnego dorobku prawnego w dziedzinie środowiska;</w:t>
      </w:r>
    </w:p>
    <w:p w:rsidR="007779EC" w:rsidRPr="0084282D" w:rsidP="007779EC" w14:paraId="6F3E1A4C" w14:textId="55E9BBC3">
      <w:pPr>
        <w:pStyle w:val="NormalHanging12a"/>
        <w:rPr>
          <w:bCs/>
          <w:iCs/>
        </w:rPr>
      </w:pPr>
      <w:r>
        <w:t>110</w:t>
      </w:r>
      <w:r w:rsidRPr="0084282D">
        <w:t>.</w:t>
      </w:r>
      <w:r w:rsidRPr="0084282D">
        <w:tab/>
        <w:t xml:space="preserve">podkreśla, że Ukraina nadal mierzy się z poważnymi wyzwaniami środowiskowymi, które dodatkowo nasiliła trwająca wojna; zauważa, że przedłużanie się konfliktu nadal wywiera bardzo negatywny wpływ na środowisko, w tym powoduje zanieczyszczenie gleby i wody, degradację ekosystemów i zwiększoną presję na zasoby naturalne; wyraża zaniepokojenie wynikającą z tego utratą różnorodności biologicznej, w tym szkodami w ekosystemach leśnych, stepowych i </w:t>
      </w:r>
      <w:r w:rsidRPr="0084282D">
        <w:t>mokradłowych</w:t>
      </w:r>
      <w:r w:rsidRPr="0084282D">
        <w:t xml:space="preserve">; podkreśla znaczenie włączenia ochrony środowiska i zrównoważonego rozwoju w działania na rzecz odbudowy; apeluje o wzmocnienie zarządzania środowiskowego, poprawę systemów monitorowania oraz skuteczne wdrożenie procedur oceny oddziaływania na środowisko </w:t>
      </w:r>
      <w:r w:rsidRPr="0084282D">
        <w:t>i strategicznej oceny oddziaływania na środowisko, zgodnie z dorobkiem prawnym UE w ramach rozdziału 27;</w:t>
      </w:r>
    </w:p>
    <w:p w:rsidR="007779EC" w:rsidRPr="0084282D" w:rsidP="007779EC" w14:paraId="3C83C182" w14:textId="02D510BE">
      <w:pPr>
        <w:pStyle w:val="NormalHanging12a"/>
        <w:rPr>
          <w:bCs/>
          <w:iCs/>
        </w:rPr>
      </w:pPr>
      <w:r>
        <w:t>111</w:t>
      </w:r>
      <w:r w:rsidRPr="0084282D">
        <w:t>.</w:t>
      </w:r>
      <w:r w:rsidRPr="0084282D">
        <w:tab/>
        <w:t>wyraża zaniepokojenie rozwojem farm wiatrowych na chronionych obszarach wyżynnych Karpat w zachodniej Ukrainie, w szczególności planowaną instalacją 30 turbin na górze Runa; podkreśla, że energia wiatrowa stanowi bezpieczniejszą i bardziej zrównoważoną alternatywę dla paliw kopalnych, oraz wzywa Ukrainę do wykorzystania jej dużego potencjału rozwoju energii wiatrowej poza obszarami chronionymi; podkreśla, że produkcja zielonej energii i ochrona przyrody nie muszą się w Ukrainie wzajemnie wykluczać, ponieważ istnieją inne tereny już wyznaczone pod rozwój infrastruktury energetycznej, bez unikalnych siedlisk i lasów pierwotnych oraz z istniejącymi drogami dojazdowymi;</w:t>
      </w:r>
    </w:p>
    <w:p w:rsidR="007779EC" w:rsidRPr="0084282D" w:rsidP="007779EC" w14:paraId="25A36149" w14:textId="42F007E3">
      <w:pPr>
        <w:pStyle w:val="NormalHanging12a"/>
        <w:rPr>
          <w:bCs/>
          <w:iCs/>
        </w:rPr>
      </w:pPr>
      <w:r>
        <w:t>112</w:t>
      </w:r>
      <w:r w:rsidRPr="0084282D">
        <w:t>.</w:t>
      </w:r>
      <w:r w:rsidRPr="0084282D">
        <w:tab/>
        <w:t>wyraża głębokie zaniepokojenie obecną sytuacją w Zaporoskiej Elektrowni Jądrowej, która pozostaje pod bezprawną kontrolą Rosji i nadal stwarza poważne zagrożenia dla bezpieczeństwa jądrowego i ochrony jądrowej ze względu na trwające działania wojskowe w jej pobliżu; podkreśla, że zaangażowanie Międzynarodowej Agencji Energii Atomowej, choć niezbędne dla zapewnienia bezpieczeństwa jądrowego i ochrony jądrowej, powinno mieć charakter ściśle techniczny; podkreśla w tym kontekście, że zaangażowanie to powinno odbywać się z pełnym poszanowaniem suwerenności i integralności terytorialnej Ukrainy i nie powinno być interpretowane jako mające wpływ na status obiektu; ponownie podkreśla znaczenie zapewnienia bezpiecznej i chronionej eksploatacji elektrowni zgodnie z międzynarodowymi normami bezpieczeństwa jądrowego oraz pod zwierzchnictwem prawowitych władz Ukrainy;</w:t>
      </w:r>
    </w:p>
    <w:p w:rsidR="007779EC" w:rsidRPr="0084282D" w:rsidP="007779EC" w14:paraId="07D7E4D2" w14:textId="0D6B7885">
      <w:pPr>
        <w:pStyle w:val="NormalHanging12a"/>
        <w:rPr>
          <w:bCs/>
          <w:iCs/>
        </w:rPr>
      </w:pPr>
      <w:r>
        <w:t>113</w:t>
      </w:r>
      <w:r w:rsidRPr="0084282D">
        <w:t>.</w:t>
      </w:r>
      <w:r w:rsidRPr="0084282D">
        <w:tab/>
        <w:t>przypomina, że w 2026 r. przypada 40. rocznica katastrofy jądrowej w Czarnobylu, która pozostaje jedną z najpoważniejszych awarii jądrowych w historii; zdecydowanie potępia ukierunkowane ataki Rosji na elektrownię jądrową w Czarnobylu oraz katastrofalne uszkodzenie jej osłony ochronnej, która została zbudowana, by zapobiec rozprzestrzenianiu się promieniowania, i nie może już spełniać swojej głównej funkcji bezpieczeństwa, co stwarza poważne zagrożenie dla bezpieczeństwa jądrowego; zauważa, że koszty naprawy szacuje się na 500 mln EUR;</w:t>
      </w:r>
    </w:p>
    <w:p w:rsidR="007779EC" w:rsidRPr="0084282D" w:rsidP="007779EC" w14:paraId="007201B8" w14:textId="77777777">
      <w:pPr>
        <w:pStyle w:val="NormalCenter12a"/>
      </w:pPr>
      <w:r w:rsidRPr="0084282D">
        <w:t>°</w:t>
      </w:r>
    </w:p>
    <w:p w:rsidR="007779EC" w:rsidRPr="0084282D" w:rsidP="007779EC" w14:paraId="30B89084" w14:textId="77777777">
      <w:pPr>
        <w:pStyle w:val="NormalCenter12a"/>
      </w:pPr>
      <w:r w:rsidRPr="0084282D">
        <w:t>°</w:t>
      </w:r>
      <w:r w:rsidRPr="0084282D">
        <w:tab/>
        <w:t>°</w:t>
      </w:r>
    </w:p>
    <w:p w:rsidR="0084282D" w:rsidRPr="0084282D" w:rsidP="0084282D" w14:paraId="338CD2ED" w14:textId="6EFB43C1">
      <w:pPr>
        <w:pStyle w:val="NormalHanging12a"/>
      </w:pPr>
      <w:r>
        <w:t>114</w:t>
      </w:r>
      <w:r w:rsidRPr="0084282D" w:rsidR="007779EC">
        <w:t>.</w:t>
      </w:r>
      <w:r w:rsidRPr="0084282D" w:rsidR="007779EC">
        <w:tab/>
        <w:t>zobowiązuje swoją przewodniczącą do przekazania niniejszej rezolucji Radzie, Komisji, wiceprzewodniczącej Komisji / wysokiej przedstawicielce Unii do Spraw Zagranicznych i Polityki Bezpieczeństwa, rządom i parlamentom państw członkowskich oraz rządowi i parlamentowi Ukrainy.</w:t>
      </w:r>
    </w:p>
    <w:p w:rsidR="00E365E1" w:rsidRPr="0084282D" w:rsidP="000039DC" w14:paraId="15A381F1" w14:textId="704CF542"/>
    <w:sectPr w:rsidSect="00842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7ADD987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12CA0D5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56E50DA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039DC" w:rsidRPr="0084282D" w14:paraId="50976683" w14:textId="77777777">
      <w:r w:rsidRPr="0084282D">
        <w:separator/>
      </w:r>
    </w:p>
  </w:footnote>
  <w:footnote w:type="continuationSeparator" w:id="1">
    <w:p w:rsidR="000039DC" w:rsidRPr="0084282D" w14:paraId="729AAD20" w14:textId="77777777">
      <w:r w:rsidRPr="0084282D">
        <w:continuationSeparator/>
      </w:r>
    </w:p>
  </w:footnote>
  <w:footnote w:id="2">
    <w:p w:rsidR="007779EC" w:rsidRPr="0084282D" w:rsidP="0084282D" w14:paraId="43DD1575" w14:textId="1EC4BC07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>Teksty przyjęte, P10_TA(2026)0077.</w:t>
      </w:r>
    </w:p>
  </w:footnote>
  <w:footnote w:id="3">
    <w:p w:rsidR="007779EC" w:rsidRPr="0084282D" w:rsidP="0084282D" w14:paraId="138CF748" w14:textId="255CC727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>Teksty przyjęte, P10_TA(2026)0013.</w:t>
      </w:r>
    </w:p>
  </w:footnote>
  <w:footnote w:id="4">
    <w:p w:rsidR="007779EC" w:rsidRPr="0084282D" w:rsidP="0084282D" w14:paraId="21F74D77" w14:textId="03749982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>Teksty przyjęte, P10_TA(2026)0077.</w:t>
      </w:r>
    </w:p>
  </w:footnote>
  <w:footnote w:id="5">
    <w:p w:rsidR="007779EC" w:rsidRPr="0084282D" w:rsidP="0014346A" w14:paraId="31149BAD" w14:textId="3FAB9954">
      <w:pPr>
        <w:ind w:left="567" w:hanging="567"/>
      </w:pPr>
      <w:r w:rsidRPr="0084282D">
        <w:rPr>
          <w:rStyle w:val="FootnoteReference"/>
        </w:rPr>
        <w:footnoteRef/>
      </w:r>
      <w:r w:rsidRPr="0084282D" w:rsidR="0084282D">
        <w:t xml:space="preserve"> </w:t>
      </w:r>
      <w:r w:rsidRPr="0084282D" w:rsidR="0084282D">
        <w:tab/>
      </w:r>
      <w:r w:rsidRPr="0084282D">
        <w:t xml:space="preserve">Układ o stowarzyszeniu między Unią Europejską i jej państwami członkowskimi, z jednej strony, a Ukrainą, z drugiej strony (ELI: </w:t>
      </w:r>
      <w:hyperlink r:id="rId1" w:history="1">
        <w:r w:rsidRPr="0084282D">
          <w:rPr>
            <w:rStyle w:val="Hyperlink"/>
          </w:rPr>
          <w:t>http://data.europa.eu/eli/agree_internation/2014/295/oj</w:t>
        </w:r>
      </w:hyperlink>
      <w:r w:rsidRPr="0084282D">
        <w:t>).</w:t>
      </w:r>
    </w:p>
  </w:footnote>
  <w:footnote w:id="6">
    <w:p w:rsidR="007779EC" w:rsidRPr="0084282D" w:rsidP="0084282D" w14:paraId="7EA4FF21" w14:textId="043FF68F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 xml:space="preserve">Rozporządzenie Parlamentu Europejskiego i Rady (UE) 2022/2065 z dnia 19 października 2022 r. w sprawie jednolitego rynku usług cyfrowych oraz zmiany dyrektywy 2000/31/WE (akt o usługach cyfrowych) (Dz.U. L 277 z 27.10.2022, s. 1, </w:t>
      </w:r>
      <w:hyperlink r:id="rId2" w:history="1">
        <w:r w:rsidRPr="0084282D">
          <w:rPr>
            <w:rStyle w:val="Hyperlink"/>
            <w:sz w:val="24"/>
            <w:lang w:val="pl-PL"/>
          </w:rPr>
          <w:t>http://data.europa.eu/eli/reg/2022/2065/oj</w:t>
        </w:r>
      </w:hyperlink>
      <w:r w:rsidRPr="0084282D">
        <w:rPr>
          <w:sz w:val="24"/>
          <w:lang w:val="pl-PL"/>
        </w:rPr>
        <w:t>).</w:t>
      </w:r>
    </w:p>
  </w:footnote>
  <w:footnote w:id="7">
    <w:p w:rsidR="007779EC" w:rsidRPr="0084282D" w:rsidP="0084282D" w14:paraId="1ADC998A" w14:textId="208172CB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>Wniosek Komisji z dnia 14 stycznia 2026 r. dotyczący rozporządzenia Parlamentu Europejskiego i Rady wdrażającego wzmocnioną współpracę w zakresie ustanowienia pożyczki na potrzeby wsparcia Ukrainy na lata 2026 i 2027 (COM(2026)0020).</w:t>
      </w:r>
    </w:p>
  </w:footnote>
  <w:footnote w:id="8">
    <w:p w:rsidR="007779EC" w:rsidRPr="0084282D" w:rsidP="0084282D" w14:paraId="1BFB030D" w14:textId="7E079C0D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>Wniosek Komisji z dnia 3 grudnia 2025 r. dotyczący rozporządzenia Parlamentu Europejskiego i Rady ustanawiającego pożyczkę reparacyjną dla Ukrainy i zmieniającego rozporządzenie Parlamentu Europejskiego i Rady (UE) 2024/792 z dnia 29 lutego 2024 r. w sprawie ustanowienia Instrumentu na rzecz Ukrainy (</w:t>
      </w:r>
      <w:r w:rsidRPr="0084282D">
        <w:rPr>
          <w:sz w:val="24"/>
          <w:lang w:val="pl-PL"/>
        </w:rPr>
        <w:t>COM(</w:t>
      </w:r>
      <w:r w:rsidRPr="0084282D">
        <w:rPr>
          <w:sz w:val="24"/>
          <w:lang w:val="pl-PL"/>
        </w:rPr>
        <w:t>2025)3502).</w:t>
      </w:r>
    </w:p>
  </w:footnote>
  <w:footnote w:id="9">
    <w:p w:rsidR="007779EC" w:rsidRPr="0084282D" w:rsidP="0084282D" w14:paraId="07B0BAE1" w14:textId="334EC268">
      <w:pPr>
        <w:pStyle w:val="FootnoteText"/>
        <w:ind w:left="567" w:hanging="567"/>
        <w:rPr>
          <w:sz w:val="24"/>
          <w:lang w:val="pl-PL"/>
        </w:rPr>
      </w:pPr>
      <w:r w:rsidRPr="0084282D">
        <w:rPr>
          <w:rStyle w:val="FootnoteReference"/>
          <w:sz w:val="24"/>
          <w:lang w:val="pl-PL"/>
        </w:rPr>
        <w:footnoteRef/>
      </w:r>
      <w:r w:rsidRPr="0084282D" w:rsidR="0084282D">
        <w:rPr>
          <w:sz w:val="24"/>
          <w:lang w:val="pl-PL"/>
        </w:rPr>
        <w:t xml:space="preserve"> </w:t>
      </w:r>
      <w:r w:rsidRPr="0084282D" w:rsidR="0084282D">
        <w:rPr>
          <w:sz w:val="24"/>
          <w:lang w:val="pl-PL"/>
        </w:rPr>
        <w:tab/>
      </w:r>
      <w:r w:rsidRPr="0084282D">
        <w:rPr>
          <w:sz w:val="24"/>
          <w:lang w:val="pl-PL"/>
        </w:rPr>
        <w:t xml:space="preserve">Dyrektywa Rady 2001/55/WE z dnia 20 lipca 2001 r. w sprawie minimalnych standardów przyznawania tymczasowej ochrony na wypadek masowego napływu wysiedleńców oraz środków wspierających równowagę wysiłków między państwami członkowskimi związanych z przyjęciem takich osób wraz z jego następstwami (Dz.U. L 212 z 7.8.2001, s. 12, ELI: </w:t>
      </w:r>
      <w:hyperlink r:id="rId3" w:history="1">
        <w:r w:rsidRPr="0084282D">
          <w:rPr>
            <w:rStyle w:val="Hyperlink"/>
            <w:sz w:val="24"/>
            <w:lang w:val="pl-PL"/>
          </w:rPr>
          <w:t>http://data.europa.eu/eli/dir/2001/55/oj</w:t>
        </w:r>
      </w:hyperlink>
      <w:r w:rsidRPr="0084282D">
        <w:rPr>
          <w:sz w:val="24"/>
          <w:lang w:val="pl-PL"/>
        </w:rPr>
        <w:t>).</w:t>
      </w:r>
    </w:p>
  </w:footnote>
  <w:footnote w:id="10">
    <w:p w:rsidR="007779EC" w:rsidRPr="0084282D" w:rsidP="0084282D" w14:paraId="21FE0336" w14:textId="576C8CBB">
      <w:pPr>
        <w:pStyle w:val="FootnoteText"/>
        <w:ind w:left="567" w:hanging="567"/>
        <w:rPr>
          <w:sz w:val="24"/>
          <w:lang w:val="pl-PL"/>
        </w:rPr>
      </w:pPr>
      <w:r w:rsidRPr="0084282D">
        <w:rPr>
          <w:sz w:val="24"/>
          <w:vertAlign w:val="superscript"/>
          <w:lang w:val="pl-PL"/>
        </w:rPr>
        <w:t>1</w:t>
      </w:r>
      <w:r w:rsidRPr="0084282D" w:rsidR="0084282D">
        <w:rPr>
          <w:sz w:val="24"/>
          <w:vertAlign w:val="superscript"/>
          <w:lang w:val="pl-PL"/>
        </w:rPr>
        <w:t xml:space="preserve"> </w:t>
      </w:r>
      <w:r w:rsidRPr="0084282D" w:rsidR="0084282D">
        <w:rPr>
          <w:sz w:val="24"/>
          <w:vertAlign w:val="superscript"/>
          <w:lang w:val="pl-PL"/>
        </w:rPr>
        <w:tab/>
      </w:r>
      <w:r w:rsidRPr="0084282D">
        <w:rPr>
          <w:sz w:val="24"/>
          <w:lang w:val="pl-PL"/>
        </w:rPr>
        <w:t xml:space="preserve">Rozporządzenie Parlamentu Europejskiego i Rady (UE) nr 260/2012 z dnia 14 marca 2012 r. ustanawiające wymogi techniczne i handlowe w odniesieniu do poleceń przelewu i poleceń zapłaty w euro oraz zmieniające rozporządzenie (WE) nr 924/2009 (Dz.U. L 94 z 30.3.2012, s. 22, ELI: </w:t>
      </w:r>
      <w:hyperlink r:id="rId4" w:tgtFrame="http://data.europa.eu/eli/reg/2012/260/oj" w:history="1">
        <w:r w:rsidRPr="0084282D">
          <w:rPr>
            <w:rStyle w:val="Hyperlink"/>
            <w:sz w:val="24"/>
            <w:lang w:val="pl-PL"/>
          </w:rPr>
          <w:t>http://data.europa.eu/eli/reg/2012/260/oj</w:t>
        </w:r>
      </w:hyperlink>
      <w:r w:rsidRPr="0084282D">
        <w:rPr>
          <w:sz w:val="24"/>
          <w:lang w:val="pl-PL"/>
        </w:rPr>
        <w:t>).</w:t>
      </w:r>
    </w:p>
  </w:footnote>
  <w:footnote w:id="11">
    <w:p w:rsidR="007779EC" w:rsidRPr="0084282D" w:rsidP="0084282D" w14:paraId="28CDEE4F" w14:textId="49ACFED2">
      <w:pPr>
        <w:pStyle w:val="FootnoteText"/>
        <w:ind w:left="567" w:hanging="567"/>
        <w:rPr>
          <w:sz w:val="24"/>
          <w:lang w:val="pl-PL"/>
        </w:rPr>
      </w:pPr>
      <w:r w:rsidRPr="0084282D">
        <w:rPr>
          <w:sz w:val="24"/>
          <w:vertAlign w:val="superscript"/>
          <w:lang w:val="pl-PL"/>
        </w:rPr>
        <w:t>2</w:t>
      </w:r>
      <w:r w:rsidRPr="0084282D" w:rsidR="0084282D">
        <w:rPr>
          <w:sz w:val="24"/>
          <w:vertAlign w:val="superscript"/>
          <w:lang w:val="pl-PL"/>
        </w:rPr>
        <w:t xml:space="preserve"> </w:t>
      </w:r>
      <w:r w:rsidRPr="0084282D" w:rsidR="0084282D">
        <w:rPr>
          <w:sz w:val="24"/>
          <w:vertAlign w:val="superscript"/>
          <w:lang w:val="pl-PL"/>
        </w:rPr>
        <w:tab/>
      </w:r>
      <w:r w:rsidRPr="0084282D">
        <w:rPr>
          <w:sz w:val="24"/>
          <w:lang w:val="pl-PL"/>
        </w:rPr>
        <w:t xml:space="preserve">Rozporządzenie Parlamentu Europejskiego i Rady (UE) 2024/792 z dnia 29 lutego 2024 r. w sprawie ustanowienia Instrumentu na rzecz Ukrainy (Dz.U. L, 2024/792, 29.2.2024, ELI: </w:t>
      </w:r>
      <w:hyperlink r:id="rId5" w:tgtFrame="http://data.europa.eu/eli/reg/2024/792/oj" w:history="1">
        <w:r w:rsidRPr="0084282D">
          <w:rPr>
            <w:rStyle w:val="Hyperlink"/>
            <w:sz w:val="24"/>
            <w:lang w:val="pl-PL"/>
          </w:rPr>
          <w:t>http://data.europa.eu/eli/reg/2024/792/oj</w:t>
        </w:r>
      </w:hyperlink>
      <w:r w:rsidRPr="0084282D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605E00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740DDB8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282D" w14:paraId="01B5A74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5630720">
    <w:abstractNumId w:val="9"/>
  </w:num>
  <w:num w:numId="2" w16cid:durableId="1438216426">
    <w:abstractNumId w:val="9"/>
  </w:num>
  <w:num w:numId="3" w16cid:durableId="2026200938">
    <w:abstractNumId w:val="7"/>
  </w:num>
  <w:num w:numId="4" w16cid:durableId="1818035340">
    <w:abstractNumId w:val="7"/>
  </w:num>
  <w:num w:numId="5" w16cid:durableId="1794670368">
    <w:abstractNumId w:val="6"/>
  </w:num>
  <w:num w:numId="6" w16cid:durableId="1003318417">
    <w:abstractNumId w:val="6"/>
  </w:num>
  <w:num w:numId="7" w16cid:durableId="1772623824">
    <w:abstractNumId w:val="5"/>
  </w:num>
  <w:num w:numId="8" w16cid:durableId="1783764033">
    <w:abstractNumId w:val="5"/>
  </w:num>
  <w:num w:numId="9" w16cid:durableId="1281260246">
    <w:abstractNumId w:val="4"/>
  </w:num>
  <w:num w:numId="10" w16cid:durableId="590939584">
    <w:abstractNumId w:val="4"/>
  </w:num>
  <w:num w:numId="11" w16cid:durableId="2085713852">
    <w:abstractNumId w:val="8"/>
  </w:num>
  <w:num w:numId="12" w16cid:durableId="1426148410">
    <w:abstractNumId w:val="8"/>
  </w:num>
  <w:num w:numId="13" w16cid:durableId="1287128397">
    <w:abstractNumId w:val="3"/>
  </w:num>
  <w:num w:numId="14" w16cid:durableId="777681405">
    <w:abstractNumId w:val="3"/>
  </w:num>
  <w:num w:numId="15" w16cid:durableId="290985921">
    <w:abstractNumId w:val="2"/>
  </w:num>
  <w:num w:numId="16" w16cid:durableId="1224872811">
    <w:abstractNumId w:val="2"/>
  </w:num>
  <w:num w:numId="17" w16cid:durableId="1524636539">
    <w:abstractNumId w:val="1"/>
  </w:num>
  <w:num w:numId="18" w16cid:durableId="1356346323">
    <w:abstractNumId w:val="1"/>
  </w:num>
  <w:num w:numId="19" w16cid:durableId="1543706304">
    <w:abstractNumId w:val="0"/>
  </w:num>
  <w:num w:numId="20" w16cid:durableId="1793287836">
    <w:abstractNumId w:val="0"/>
  </w:num>
  <w:num w:numId="21" w16cid:durableId="1945454784">
    <w:abstractNumId w:val="9"/>
  </w:num>
  <w:num w:numId="22" w16cid:durableId="293097361">
    <w:abstractNumId w:val="7"/>
  </w:num>
  <w:num w:numId="23" w16cid:durableId="4329558">
    <w:abstractNumId w:val="6"/>
  </w:num>
  <w:num w:numId="24" w16cid:durableId="1465848529">
    <w:abstractNumId w:val="5"/>
  </w:num>
  <w:num w:numId="25" w16cid:durableId="885063731">
    <w:abstractNumId w:val="4"/>
  </w:num>
  <w:num w:numId="26" w16cid:durableId="230313782">
    <w:abstractNumId w:val="8"/>
  </w:num>
  <w:num w:numId="27" w16cid:durableId="1453550000">
    <w:abstractNumId w:val="3"/>
  </w:num>
  <w:num w:numId="28" w16cid:durableId="1656300360">
    <w:abstractNumId w:val="2"/>
  </w:num>
  <w:num w:numId="29" w16cid:durableId="632369705">
    <w:abstractNumId w:val="1"/>
  </w:num>
  <w:num w:numId="30" w16cid:durableId="873733868">
    <w:abstractNumId w:val="0"/>
  </w:num>
  <w:num w:numId="31" w16cid:durableId="932709123">
    <w:abstractNumId w:val="9"/>
  </w:num>
  <w:num w:numId="32" w16cid:durableId="2117938458">
    <w:abstractNumId w:val="7"/>
  </w:num>
  <w:num w:numId="33" w16cid:durableId="71974995">
    <w:abstractNumId w:val="6"/>
  </w:num>
  <w:num w:numId="34" w16cid:durableId="1183932259">
    <w:abstractNumId w:val="5"/>
  </w:num>
  <w:num w:numId="35" w16cid:durableId="1330257010">
    <w:abstractNumId w:val="4"/>
  </w:num>
  <w:num w:numId="36" w16cid:durableId="780612210">
    <w:abstractNumId w:val="8"/>
  </w:num>
  <w:num w:numId="37" w16cid:durableId="93717781">
    <w:abstractNumId w:val="3"/>
  </w:num>
  <w:num w:numId="38" w16cid:durableId="2137992409">
    <w:abstractNumId w:val="2"/>
  </w:num>
  <w:num w:numId="39" w16cid:durableId="1493565670">
    <w:abstractNumId w:val="1"/>
  </w:num>
  <w:num w:numId="40" w16cid:durableId="1710448927">
    <w:abstractNumId w:val="0"/>
  </w:num>
  <w:num w:numId="41" w16cid:durableId="1924029470">
    <w:abstractNumId w:val="10"/>
  </w:num>
  <w:num w:numId="42" w16cid:durableId="1626110166">
    <w:abstractNumId w:val="10"/>
  </w:num>
  <w:num w:numId="43" w16cid:durableId="565918031">
    <w:abstractNumId w:val="10"/>
  </w:num>
  <w:num w:numId="44" w16cid:durableId="8245141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DC"/>
    <w:rsid w:val="00002272"/>
    <w:rsid w:val="000039DC"/>
    <w:rsid w:val="00064002"/>
    <w:rsid w:val="000677B9"/>
    <w:rsid w:val="000831BA"/>
    <w:rsid w:val="00095D58"/>
    <w:rsid w:val="000A42CC"/>
    <w:rsid w:val="000E7DD9"/>
    <w:rsid w:val="0010095E"/>
    <w:rsid w:val="00125B37"/>
    <w:rsid w:val="001279C5"/>
    <w:rsid w:val="0014346A"/>
    <w:rsid w:val="00187494"/>
    <w:rsid w:val="001F32AE"/>
    <w:rsid w:val="002767FF"/>
    <w:rsid w:val="0029677D"/>
    <w:rsid w:val="00297327"/>
    <w:rsid w:val="002B18FE"/>
    <w:rsid w:val="002B5493"/>
    <w:rsid w:val="002C2751"/>
    <w:rsid w:val="00343214"/>
    <w:rsid w:val="00361C00"/>
    <w:rsid w:val="00395FA1"/>
    <w:rsid w:val="003B64F8"/>
    <w:rsid w:val="003E15D4"/>
    <w:rsid w:val="004042C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9EC"/>
    <w:rsid w:val="00786EC0"/>
    <w:rsid w:val="007D1690"/>
    <w:rsid w:val="007E22AD"/>
    <w:rsid w:val="00817416"/>
    <w:rsid w:val="00842779"/>
    <w:rsid w:val="0084282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112"/>
    <w:rsid w:val="00A1687D"/>
    <w:rsid w:val="00A43E52"/>
    <w:rsid w:val="00A4678D"/>
    <w:rsid w:val="00A778C7"/>
    <w:rsid w:val="00A9339C"/>
    <w:rsid w:val="00AB441E"/>
    <w:rsid w:val="00AB6293"/>
    <w:rsid w:val="00AE0928"/>
    <w:rsid w:val="00AF3B82"/>
    <w:rsid w:val="00B12E95"/>
    <w:rsid w:val="00B15BD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EF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2/2026"/>
    <w:docVar w:name="dvlangue" w:val="PL"/>
    <w:docVar w:name="dvnumam" w:val="0"/>
    <w:docVar w:name="dvpe" w:val="784.266"/>
    <w:docVar w:name="dvrapporteur" w:val="Sprawozdawca: "/>
    <w:docVar w:name="dvtitre" w:val="Rezolucja Parlamentu Europejskiego z dnia  2026 r. w sprawie sprawozdania Komisji dotyczącego Ukrainy – 2025 r.(2025/225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BB65DC"/>
  <w15:chartTrackingRefBased/>
  <w15:docId w15:val="{97ABD31A-2525-426F-93A0-9DB50FB7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7779E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7779E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779E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779E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779E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779E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79EC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rsid w:val="007779EC"/>
    <w:rPr>
      <w:sz w:val="24"/>
      <w:szCs w:val="24"/>
      <w:lang w:val="pl-PL" w:eastAsia="en-US"/>
    </w:rPr>
  </w:style>
  <w:style w:type="paragraph" w:styleId="Revision">
    <w:name w:val="Revision"/>
    <w:hidden/>
    <w:uiPriority w:val="99"/>
    <w:semiHidden/>
    <w:rsid w:val="00E06EF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95/oj" TargetMode="External" /><Relationship Id="rId2" Type="http://schemas.openxmlformats.org/officeDocument/2006/relationships/hyperlink" Target="http://data.europa.eu/eli/reg/2022/2065/oj" TargetMode="External" /><Relationship Id="rId3" Type="http://schemas.openxmlformats.org/officeDocument/2006/relationships/hyperlink" Target="http://data.europa.eu/eli/dir/2001/55/oj" TargetMode="External" /><Relationship Id="rId4" Type="http://schemas.openxmlformats.org/officeDocument/2006/relationships/hyperlink" Target="http://data.europa.eu/eli/reg/2012/260/oj" TargetMode="External" /><Relationship Id="rId5" Type="http://schemas.openxmlformats.org/officeDocument/2006/relationships/hyperlink" Target="http://data.europa.eu/eli/reg/2024/7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11790</Words>
  <Characters>81153</Characters>
  <Application>Microsoft Office Word</Application>
  <DocSecurity>0</DocSecurity>
  <Lines>676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2026-08-19T09:04:00Z</dcterms:created>
  <dcterms:modified xsi:type="dcterms:W3CDTF">2026-08-19T09:04:00Z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A10-0172/2026</vt:lpwstr>
  </property>
  <property fmtid="{D5CDD505-2E9C-101B-9397-08002B2CF9AE}" pid="4" name="&lt;Type&gt;">
    <vt:lpwstr>RR</vt:lpwstr>
  </property>
</Properties>
</file>