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356F37B" w14:textId="77777777" w:rsidTr="0010095E">
        <w:tblPrEx>
          <w:tblW w:w="9072" w:type="dxa"/>
          <w:tblLook w:val="01E0"/>
        </w:tblPrEx>
        <w:trPr>
          <w:trHeight w:hRule="exact" w:val="1418"/>
        </w:trPr>
        <w:tc>
          <w:tcPr>
            <w:tcW w:w="6804" w:type="dxa"/>
            <w:shd w:val="clear" w:color="auto" w:fill="auto"/>
            <w:vAlign w:val="center"/>
          </w:tcPr>
          <w:p w:rsidR="00751A4A" w:rsidRPr="00F01EC1" w:rsidP="0010095E" w14:paraId="082BC857" w14:textId="77777777">
            <w:pPr>
              <w:pStyle w:val="EPName"/>
            </w:pPr>
            <w:r w:rsidRPr="00F01EC1">
              <w:t>Parlamentul European</w:t>
            </w:r>
          </w:p>
          <w:p w:rsidR="00751A4A" w:rsidRPr="00F01EC1" w:rsidP="005F1B17" w14:paraId="12B16E9A" w14:textId="77777777">
            <w:pPr>
              <w:pStyle w:val="EPTerm"/>
              <w:rPr>
                <w:rStyle w:val="HideTWBExt"/>
                <w:noProof w:val="0"/>
                <w:vanish w:val="0"/>
                <w:color w:val="auto"/>
              </w:rPr>
            </w:pPr>
            <w:r w:rsidRPr="00F01EC1">
              <w:t>2024</w:t>
            </w:r>
            <w:r w:rsidRPr="00F01EC1" w:rsidR="00817416">
              <w:t>-202</w:t>
            </w:r>
            <w:r w:rsidRPr="00F01EC1">
              <w:t>9</w:t>
            </w:r>
          </w:p>
        </w:tc>
        <w:tc>
          <w:tcPr>
            <w:tcW w:w="2268" w:type="dxa"/>
            <w:shd w:val="clear" w:color="auto" w:fill="auto"/>
          </w:tcPr>
          <w:p w:rsidR="00751A4A" w:rsidRPr="00F01EC1" w:rsidP="0010095E" w14:paraId="3BECB7E0" w14:textId="77777777">
            <w:pPr>
              <w:pStyle w:val="EPLogo"/>
            </w:pPr>
            <w:r w:rsidRPr="00F01EC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01EC1" w:rsidP="004C5D52" w14:paraId="39C766C3" w14:textId="77777777">
      <w:pPr>
        <w:pStyle w:val="LineTop"/>
      </w:pPr>
    </w:p>
    <w:p w:rsidR="00680577" w:rsidRPr="00F01EC1" w:rsidP="00680577" w14:paraId="31BE1FB5" w14:textId="77777777">
      <w:pPr>
        <w:pStyle w:val="EPBodyTA1"/>
      </w:pPr>
      <w:r w:rsidRPr="00F01EC1">
        <w:t>TEXTE ADOPTATE</w:t>
      </w:r>
    </w:p>
    <w:p w:rsidR="00D058B8" w:rsidRPr="00F01EC1" w:rsidP="00D058B8" w14:paraId="65D32690" w14:textId="77777777">
      <w:pPr>
        <w:pStyle w:val="LineBottom"/>
      </w:pPr>
    </w:p>
    <w:p w:rsidR="0062209B" w:rsidRPr="00F01EC1" w:rsidP="0062209B" w14:paraId="707B4AE9" w14:textId="79A7F1DC">
      <w:pPr>
        <w:pStyle w:val="ATHeading1"/>
      </w:pPr>
      <w:bookmarkStart w:id="0" w:name="TANumber"/>
      <w:r w:rsidRPr="00F01EC1">
        <w:t>P10_TA(2026)0</w:t>
      </w:r>
      <w:bookmarkEnd w:id="0"/>
      <w:r w:rsidRPr="00F01EC1" w:rsidR="00F07830">
        <w:t>259</w:t>
      </w:r>
    </w:p>
    <w:p w:rsidR="0062209B" w:rsidRPr="00F01EC1" w:rsidP="0062209B" w14:paraId="44F5BC5D" w14:textId="68170692">
      <w:pPr>
        <w:pStyle w:val="ATHeading2"/>
      </w:pPr>
      <w:bookmarkStart w:id="1" w:name="title"/>
      <w:r w:rsidRPr="00F01EC1">
        <w:t xml:space="preserve">Raportul Comisiei </w:t>
      </w:r>
      <w:r w:rsidR="00366360">
        <w:t>pe</w:t>
      </w:r>
      <w:r w:rsidRPr="00F01EC1">
        <w:t xml:space="preserve"> 2025 privind Ucraina</w:t>
      </w:r>
      <w:bookmarkEnd w:id="1"/>
    </w:p>
    <w:p w:rsidR="0062209B" w:rsidRPr="00F01EC1" w:rsidP="0062209B" w14:paraId="22480F08" w14:textId="77777777">
      <w:pPr>
        <w:rPr>
          <w:i/>
          <w:vanish/>
        </w:rPr>
      </w:pPr>
      <w:r>
        <w:rPr>
          <w:i/>
        </w:rPr>
        <w:fldChar w:fldCharType="begin"/>
      </w:r>
      <w:r w:rsidRPr="00F01EC1">
        <w:rPr>
          <w:i/>
        </w:rPr>
        <w:instrText xml:space="preserve"> TC"(</w:instrText>
      </w:r>
      <w:bookmarkStart w:id="2" w:name="DocNumber"/>
      <w:r w:rsidRPr="00F01EC1">
        <w:rPr>
          <w:i/>
        </w:rPr>
        <w:instrText>A10-0172/2026</w:instrText>
      </w:r>
      <w:bookmarkEnd w:id="2"/>
      <w:r w:rsidRPr="00F01EC1">
        <w:rPr>
          <w:i/>
        </w:rPr>
        <w:instrText xml:space="preserve"> - Raportor: Michael Gahler)"\l3 \n&gt; \* MERGEFORMAT </w:instrText>
      </w:r>
      <w:r>
        <w:rPr>
          <w:i/>
        </w:rPr>
        <w:fldChar w:fldCharType="end"/>
      </w:r>
    </w:p>
    <w:p w:rsidR="0062209B" w:rsidRPr="00F01EC1" w:rsidP="0062209B" w14:paraId="4175782E" w14:textId="77777777">
      <w:pPr>
        <w:rPr>
          <w:vanish/>
        </w:rPr>
      </w:pPr>
      <w:bookmarkStart w:id="3" w:name="Commission"/>
      <w:r w:rsidRPr="00F01EC1">
        <w:rPr>
          <w:vanish/>
        </w:rPr>
        <w:t>Comisia pentru afaceri externe</w:t>
      </w:r>
      <w:bookmarkEnd w:id="3"/>
    </w:p>
    <w:p w:rsidR="0062209B" w:rsidRPr="00F01EC1" w:rsidP="0062209B" w14:paraId="5290411F" w14:textId="77777777">
      <w:pPr>
        <w:rPr>
          <w:vanish/>
        </w:rPr>
      </w:pPr>
      <w:bookmarkStart w:id="4" w:name="PE"/>
      <w:r w:rsidRPr="00F01EC1">
        <w:rPr>
          <w:vanish/>
        </w:rPr>
        <w:t>PE784.266</w:t>
      </w:r>
      <w:bookmarkEnd w:id="4"/>
    </w:p>
    <w:p w:rsidR="0062209B" w:rsidRPr="00F01EC1" w:rsidP="0062209B" w14:paraId="031F15E3" w14:textId="1070CABF">
      <w:pPr>
        <w:pStyle w:val="ATHeading3"/>
      </w:pPr>
      <w:bookmarkStart w:id="5" w:name="Sujet"/>
      <w:r w:rsidRPr="00F01EC1">
        <w:t xml:space="preserve">Rezoluția Parlamentului European din 8 iulie 2026 referitoare la raportul Comisiei </w:t>
      </w:r>
      <w:r w:rsidR="00366360">
        <w:t>pe</w:t>
      </w:r>
      <w:r w:rsidRPr="00F01EC1">
        <w:t xml:space="preserve"> 2025 privind Ucraina</w:t>
      </w:r>
      <w:bookmarkEnd w:id="5"/>
      <w:r w:rsidRPr="00F01EC1">
        <w:t xml:space="preserve"> </w:t>
      </w:r>
      <w:bookmarkStart w:id="6" w:name="References"/>
      <w:r w:rsidRPr="00F01EC1">
        <w:t>(2025/2259(INI))</w:t>
      </w:r>
      <w:bookmarkEnd w:id="6"/>
    </w:p>
    <w:p w:rsidR="0044629B" w:rsidRPr="00F01EC1" w:rsidP="0044629B" w14:paraId="5EB2179A" w14:textId="77777777">
      <w:pPr>
        <w:pStyle w:val="Normal12"/>
      </w:pPr>
      <w:r w:rsidRPr="00F01EC1">
        <w:rPr>
          <w:i/>
          <w:iCs/>
        </w:rPr>
        <w:t>Parlamentul European</w:t>
      </w:r>
      <w:r w:rsidRPr="00F01EC1">
        <w:t>,</w:t>
      </w:r>
    </w:p>
    <w:p w:rsidR="0044629B" w:rsidRPr="00F01EC1" w:rsidP="0044629B" w14:paraId="71405E70" w14:textId="77777777">
      <w:pPr>
        <w:pStyle w:val="NormalHanging"/>
      </w:pPr>
      <w:r w:rsidRPr="00F01EC1">
        <w:t>–</w:t>
      </w:r>
      <w:r w:rsidRPr="00F01EC1">
        <w:tab/>
        <w:t>având în vedere rezoluțiile sale anterioare referitoare la Ucraina,</w:t>
      </w:r>
    </w:p>
    <w:p w:rsidR="0044629B" w:rsidRPr="00F01EC1" w:rsidP="0044629B" w14:paraId="4D73D351" w14:textId="77777777">
      <w:pPr>
        <w:pStyle w:val="NormalHanging"/>
        <w:rPr>
          <w:rStyle w:val="HideTWBExt"/>
          <w:rFonts w:eastAsiaTheme="minorHAnsi"/>
          <w:iCs/>
          <w:vanish w:val="0"/>
          <w:kern w:val="2"/>
        </w:rPr>
      </w:pPr>
      <w:r w:rsidRPr="00F01EC1">
        <w:t>–</w:t>
      </w:r>
      <w:r w:rsidRPr="00F01EC1">
        <w:tab/>
        <w:t>având în vedere concluziile Consiliului European din 24 iunie 2022 de acordare a statutului de candidat Ucrainei, din 15 decembrie 2023 de aprobare a deschiderii negocierilor de aderare și din 20 martie 2025,</w:t>
      </w:r>
    </w:p>
    <w:p w:rsidR="0044629B" w:rsidRPr="00F01EC1" w:rsidP="0044629B" w14:paraId="6F7EA22A" w14:textId="77777777">
      <w:pPr>
        <w:pStyle w:val="NormalHanging"/>
        <w:rPr>
          <w:iCs/>
        </w:rPr>
      </w:pPr>
      <w:r w:rsidRPr="00F01EC1">
        <w:t>–</w:t>
      </w:r>
      <w:r w:rsidRPr="00F01EC1">
        <w:tab/>
        <w:t>având în vedere rezoluția sa din 11 martie 2026 referitoare la strategia de extindere a UE</w:t>
      </w:r>
      <w:r>
        <w:rPr>
          <w:rStyle w:val="FootnoteReference"/>
          <w:iCs/>
        </w:rPr>
        <w:footnoteReference w:id="2"/>
      </w:r>
      <w:r w:rsidRPr="00F01EC1">
        <w:t>,</w:t>
      </w:r>
    </w:p>
    <w:p w:rsidR="0044629B" w:rsidRPr="00F01EC1" w:rsidP="0044629B" w14:paraId="682019FE" w14:textId="77777777">
      <w:pPr>
        <w:pStyle w:val="NormalHanging"/>
        <w:rPr>
          <w:iCs/>
        </w:rPr>
      </w:pPr>
      <w:r w:rsidRPr="00F01EC1">
        <w:t>–</w:t>
      </w:r>
      <w:r w:rsidRPr="00F01EC1">
        <w:tab/>
        <w:t>având în vedere rezoluția sa din 21 ianuarie 2026 referitoare la punerea în aplicare a politicii de securitate și apărare comune – raportul anual pe 2025</w:t>
      </w:r>
      <w:r>
        <w:rPr>
          <w:rStyle w:val="FootnoteReference"/>
          <w:iCs/>
        </w:rPr>
        <w:footnoteReference w:id="3"/>
      </w:r>
      <w:r w:rsidRPr="00F01EC1">
        <w:t xml:space="preserve"> și rezoluția sa din 11 martie 2026 referitoare la strategia de extindere a UE</w:t>
      </w:r>
      <w:r>
        <w:rPr>
          <w:rStyle w:val="FootnoteReference"/>
          <w:iCs/>
        </w:rPr>
        <w:footnoteReference w:id="4"/>
      </w:r>
      <w:r w:rsidRPr="00F01EC1">
        <w:t>,</w:t>
      </w:r>
    </w:p>
    <w:p w:rsidR="0044629B" w:rsidRPr="00F01EC1" w:rsidP="0044629B" w14:paraId="3292257A" w14:textId="77777777">
      <w:pPr>
        <w:pStyle w:val="NormalHanging"/>
        <w:rPr>
          <w:iCs/>
        </w:rPr>
      </w:pPr>
      <w:r w:rsidRPr="00F01EC1">
        <w:t>–</w:t>
      </w:r>
      <w:r w:rsidRPr="00F01EC1">
        <w:tab/>
        <w:t>având în vedere Mecanismul pentru Ucraina și Planul pentru Ucraina,</w:t>
      </w:r>
    </w:p>
    <w:p w:rsidR="0044629B" w:rsidRPr="00F01EC1" w:rsidP="0044629B" w14:paraId="2BB48AFE" w14:textId="77777777">
      <w:pPr>
        <w:pStyle w:val="NormalHanging"/>
        <w:rPr>
          <w:iCs/>
        </w:rPr>
      </w:pPr>
      <w:r w:rsidRPr="00F01EC1">
        <w:t>–</w:t>
      </w:r>
      <w:r w:rsidRPr="00F01EC1">
        <w:tab/>
        <w:t xml:space="preserve">având în vedere declarația comună din 11 decembrie 2025 a </w:t>
      </w:r>
      <w:r w:rsidRPr="00F01EC1">
        <w:t>comisarei</w:t>
      </w:r>
      <w:r w:rsidRPr="00F01EC1">
        <w:t xml:space="preserve"> Marta </w:t>
      </w:r>
      <w:r w:rsidRPr="00F01EC1">
        <w:t>Kos</w:t>
      </w:r>
      <w:r w:rsidRPr="00F01EC1">
        <w:t xml:space="preserve"> și a viceprim-ministrului Ucrainei, </w:t>
      </w:r>
      <w:r w:rsidRPr="00F01EC1">
        <w:t>Taras</w:t>
      </w:r>
      <w:r w:rsidRPr="00F01EC1">
        <w:t xml:space="preserve"> </w:t>
      </w:r>
      <w:r w:rsidRPr="00F01EC1">
        <w:t>Kacika</w:t>
      </w:r>
      <w:r w:rsidRPr="00F01EC1">
        <w:t>,</w:t>
      </w:r>
    </w:p>
    <w:p w:rsidR="0044629B" w:rsidRPr="00F01EC1" w:rsidP="0044629B" w14:paraId="48450BAA" w14:textId="77777777">
      <w:pPr>
        <w:pStyle w:val="NormalHanging"/>
        <w:rPr>
          <w:iCs/>
        </w:rPr>
      </w:pPr>
      <w:r w:rsidRPr="00F01EC1">
        <w:t>–</w:t>
      </w:r>
      <w:r w:rsidRPr="00F01EC1">
        <w:tab/>
        <w:t>având în vedere foile de parcurs ale Ucrainei privind statul de drept, reforma administrației publice și funcționarea instituțiilor democratice, precum și planul de acțiune privind protecția drepturilor persoanelor aparținând minorităților (comunităților) naționale ale Ucrainei, aprobat în mai 2025,</w:t>
      </w:r>
    </w:p>
    <w:p w:rsidR="0044629B" w:rsidRPr="00F01EC1" w:rsidP="0044629B" w14:paraId="1BDD46FC" w14:textId="77777777">
      <w:pPr>
        <w:pStyle w:val="NormalHanging"/>
        <w:rPr>
          <w:iCs/>
        </w:rPr>
      </w:pPr>
      <w:r w:rsidRPr="00F01EC1">
        <w:t>–</w:t>
      </w:r>
      <w:r w:rsidRPr="00F01EC1">
        <w:tab/>
        <w:t>având în vedere Programul național pentru apropierea acquis-ului, adoptat de Guvernul Ucrainei la 1 aprilie 2026,</w:t>
      </w:r>
    </w:p>
    <w:p w:rsidR="0044629B" w:rsidRPr="00F01EC1" w:rsidP="0044629B" w14:paraId="12F8FD4D" w14:textId="77777777">
      <w:pPr>
        <w:pStyle w:val="NormalHanging"/>
      </w:pPr>
      <w:r w:rsidRPr="00F01EC1">
        <w:t>–</w:t>
      </w:r>
      <w:r w:rsidRPr="00F01EC1">
        <w:tab/>
        <w:t>având în vedere documentul de lucru al serviciilor Comisiei din 4 noiembrie 2025 intitulat „Raportul din 2025 privind Ucraina” (SWD(2025)0759) și comunicarea însoțitoare a Comisiei intitulată „Comunicarea din 2025 privind politica de extindere a UE” (COM(2025)0690),</w:t>
      </w:r>
    </w:p>
    <w:p w:rsidR="0044629B" w:rsidRPr="00F01EC1" w:rsidP="0044629B" w14:paraId="751A3EF2" w14:textId="77777777">
      <w:pPr>
        <w:pStyle w:val="NormalHanging"/>
      </w:pPr>
      <w:r w:rsidRPr="00F01EC1">
        <w:t>–</w:t>
      </w:r>
      <w:r w:rsidRPr="00F01EC1">
        <w:tab/>
        <w:t>având în vedere articolul 55 din Regulamentul său de procedură,</w:t>
      </w:r>
    </w:p>
    <w:p w:rsidR="0044629B" w:rsidRPr="00F01EC1" w:rsidP="0044629B" w14:paraId="0AEDD12A" w14:textId="77777777">
      <w:pPr>
        <w:pStyle w:val="NormalHanging"/>
      </w:pPr>
      <w:r w:rsidRPr="00F01EC1">
        <w:t>–</w:t>
      </w:r>
      <w:r w:rsidRPr="00F01EC1">
        <w:tab/>
        <w:t>având în vedere raportul Comisiei pentru afaceri externe (A10-0172/2026),</w:t>
      </w:r>
    </w:p>
    <w:p w:rsidR="0044629B" w:rsidRPr="00F01EC1" w:rsidP="0044629B" w14:paraId="607DE67D" w14:textId="77777777">
      <w:pPr>
        <w:pStyle w:val="NormalHanging"/>
      </w:pPr>
      <w:r w:rsidRPr="00F01EC1">
        <w:t>A.</w:t>
      </w:r>
      <w:r w:rsidRPr="00F01EC1">
        <w:tab/>
        <w:t>întrucât Parlamentul condamnă, în termenii cei mai fermi, războiul de agresiune al Rusiei împotriva Ucrainei, care constituie o încălcare flagrantă a Cartei ONU și a principiilor fundamentale ale dreptului internațional și ale dreptului umanitar internațional, astfel cum o dovedesc crimele de război la scară largă și sistematice, crimele împotriva umanității și deportarea forțată a mii de cetățeni ucraineni pe teritoriul Rusiei, în special a copiilor, toate acestea fiind acte care impun tragerea la răspundere deplină și înfăptuirea justiției; întrucât Parlamentul sprijină dreptul Ucrainei la suveranitate, independență și integritate teritorială în cadrul frontierelor sale recunoscute la nivel internațional; întrucât Rusia a invadat Ucraina și ar putea opri în orice moment războiul brutal pe care îl poartă împotriva țării vecine;</w:t>
      </w:r>
    </w:p>
    <w:p w:rsidR="0044629B" w:rsidRPr="00F01EC1" w:rsidP="0044629B" w14:paraId="59002605" w14:textId="77777777">
      <w:pPr>
        <w:pStyle w:val="NormalHanging"/>
        <w:rPr>
          <w:bCs/>
          <w:iCs/>
        </w:rPr>
      </w:pPr>
      <w:r w:rsidRPr="00F01EC1">
        <w:t>B.</w:t>
      </w:r>
      <w:r w:rsidRPr="00F01EC1">
        <w:tab/>
        <w:t xml:space="preserve">întrucât Rusia, cu sprijinul politic, material și militar oferit de aliații săi, în special Belarus, Iran și Coreea de Nord, precum și cu susținerea Chinei, poartă un război de agresiune la scară largă ilegal, neprovocat și nejustificat împotriva Ucrainei începând cu 24 februarie 2022; întrucât războiul Rusiei împotriva Ucrainei a început în 2014 cu ocuparea și anexarea ilegală a </w:t>
      </w:r>
      <w:r w:rsidRPr="00F01EC1">
        <w:t>Crimeei</w:t>
      </w:r>
      <w:r w:rsidRPr="00F01EC1">
        <w:t xml:space="preserve"> și ocuparea ulterioară a unor părți din regiunile Donețk și </w:t>
      </w:r>
      <w:r w:rsidRPr="00F01EC1">
        <w:t>Luhansk</w:t>
      </w:r>
      <w:r w:rsidRPr="00F01EC1">
        <w:t>;</w:t>
      </w:r>
    </w:p>
    <w:p w:rsidR="0044629B" w:rsidRPr="00F01EC1" w:rsidP="0044629B" w14:paraId="75BF7B22" w14:textId="77777777">
      <w:pPr>
        <w:pStyle w:val="NormalHanging"/>
        <w:rPr>
          <w:bCs/>
          <w:iCs/>
        </w:rPr>
      </w:pPr>
      <w:r w:rsidRPr="00F01EC1">
        <w:t>C.</w:t>
      </w:r>
      <w:r w:rsidRPr="00F01EC1">
        <w:tab/>
        <w:t>întrucât încălcările recente și persistente ale suveranității statelor europene de către Rusia confirmă că obiectivele acesteia se extind cu mult dincolo de Ucraina și reprezintă o amenințare existențială la libertatea și democrația din Europa;</w:t>
      </w:r>
    </w:p>
    <w:p w:rsidR="0044629B" w:rsidRPr="00F01EC1" w:rsidP="0044629B" w14:paraId="4DE3C814" w14:textId="628DC2E3">
      <w:pPr>
        <w:pStyle w:val="NormalHanging"/>
        <w:rPr>
          <w:bCs/>
          <w:iCs/>
        </w:rPr>
      </w:pPr>
      <w:r w:rsidRPr="00F01EC1">
        <w:t>D.</w:t>
      </w:r>
      <w:r w:rsidRPr="00F01EC1">
        <w:tab/>
        <w:t>întrucât, în pofida unei ample condamnări internaționale și a unor sancțiuni fără precedent, Rusia își intensifică eforturile de război prin atacuri specifice asupra infrastructurii energetice critice, a clădirilor rezidențiale și a infrastructurii civile</w:t>
      </w:r>
      <w:r w:rsidRPr="00F01EC1" w:rsidR="00F07830">
        <w:t xml:space="preserve">, precum și asupra patrimoniului cultural și a siturilor religioase, cum ar fi Lavra </w:t>
      </w:r>
      <w:r w:rsidRPr="00F01EC1" w:rsidR="00F07830">
        <w:t>Pecerska</w:t>
      </w:r>
      <w:r w:rsidRPr="00F01EC1" w:rsidR="00F07830">
        <w:t xml:space="preserve"> din Kiev</w:t>
      </w:r>
      <w:r w:rsidRPr="00F01EC1">
        <w:t>; întrucât milioane de persoane din Ucraina au supraviețuit temperaturilor de iarnă recente care coboară sub zero grade, cu un acces limitat la energie electrică, încălzire și apă curentă; întrucât daunele aduse mediului de Rusia în ultimii patru ani au avut consecințe devastatoare și pentru resursele naturale din Ucraina și ecosistemele sale critice, precum și pentru sănătatea, mijloacele de trai și securitatea populației sale;</w:t>
      </w:r>
    </w:p>
    <w:p w:rsidR="0044629B" w:rsidRPr="00F01EC1" w:rsidP="0044629B" w14:paraId="367F8381" w14:textId="77777777">
      <w:pPr>
        <w:pStyle w:val="NormalHanging"/>
        <w:rPr>
          <w:bCs/>
          <w:iCs/>
        </w:rPr>
      </w:pPr>
      <w:r w:rsidRPr="00F01EC1">
        <w:t>E.</w:t>
      </w:r>
      <w:r w:rsidRPr="00F01EC1">
        <w:tab/>
        <w:t>întrucât, ca urmare a invaziei ruse, peste 4 milioane de ucraineni locuiesc în prezent în state membre ale UE în cadrul mecanismului de protecție temporară și beneficiază de drepturi de ședere, acces la piața muncii, locuință, asistență medicală, asistență socială și educație pentru copiii lor;</w:t>
      </w:r>
    </w:p>
    <w:p w:rsidR="0044629B" w:rsidRPr="00F01EC1" w:rsidP="0044629B" w14:paraId="54E4B657" w14:textId="77777777">
      <w:pPr>
        <w:pStyle w:val="NormalHanging"/>
        <w:rPr>
          <w:b/>
          <w:i/>
        </w:rPr>
      </w:pPr>
      <w:r w:rsidRPr="00F01EC1">
        <w:t>F.</w:t>
      </w:r>
      <w:r w:rsidRPr="00F01EC1">
        <w:tab/>
        <w:t>întrucât, prin apărarea împotriva Rusiei, Ucraina contribuie semnificativ la securitatea Uniunii Europene; întrucât UE și statele sale membre sunt cel mai mare furnizor de asistență financiară, economică, militară și umanitară al Ucrainei de la începutul invaziei pe scară largă; întrucât, de la începutul războiului de agresiune al Rusiei împotriva Ucrainei, UE și statele sale membre au acordat până în prezent Ucrainei asistență militară în valoare de aproximativ 75 de miliarde EUR; întrucât sprijinul pentru Ucraina ar trebui să contribuie, de asemenea, la consolidarea bazei industriale și tehnologice de apărare europene (EDTIB) și a autonomiei strategice a Uniunii și nu trebuie să conducă la o dependență mai mare de actorii externi;</w:t>
      </w:r>
    </w:p>
    <w:p w:rsidR="0044629B" w:rsidRPr="00F01EC1" w:rsidP="0044629B" w14:paraId="65341693" w14:textId="77777777">
      <w:pPr>
        <w:pStyle w:val="NormalHanging"/>
        <w:rPr>
          <w:bCs/>
          <w:iCs/>
        </w:rPr>
      </w:pPr>
      <w:r w:rsidRPr="00F01EC1">
        <w:t>G.</w:t>
      </w:r>
      <w:r w:rsidRPr="00F01EC1">
        <w:tab/>
        <w:t>întrucât, de la începutul ocupării ilegale și care continuă a unor părți din teritoriul Ucrainei în februarie 2014, Federația Rusă a comis încălcări persistente și la scară largă ale drepturilor omului și libertăților fundamentale în teritoriile ocupate temporar;</w:t>
      </w:r>
    </w:p>
    <w:p w:rsidR="0044629B" w:rsidRPr="00F01EC1" w:rsidP="0044629B" w14:paraId="1A52DF9E" w14:textId="77777777">
      <w:pPr>
        <w:pStyle w:val="NormalHanging"/>
        <w:rPr>
          <w:bCs/>
          <w:iCs/>
        </w:rPr>
      </w:pPr>
      <w:r w:rsidRPr="00F01EC1">
        <w:t>H.</w:t>
      </w:r>
      <w:r w:rsidRPr="00F01EC1">
        <w:tab/>
        <w:t>întrucât Ucraina și organismele internaționale au documentat sute de execuții de prizonieri de război ucraineni de către forțele ruse; întrucât aceste execuții constituie încălcări grave ale dreptului internațional și ale drepturilor omului și sunt recunoscute în mod explicit drept crime de război potrivit Convențiilor de la Geneva și Statutului de la Roma al Curții Penale Internaționale;</w:t>
      </w:r>
    </w:p>
    <w:p w:rsidR="0044629B" w:rsidRPr="00F01EC1" w:rsidP="0044629B" w14:paraId="78597E8C" w14:textId="77777777">
      <w:pPr>
        <w:pStyle w:val="NormalHanging"/>
        <w:rPr>
          <w:bCs/>
          <w:iCs/>
        </w:rPr>
      </w:pPr>
      <w:r w:rsidRPr="00F01EC1">
        <w:t>I.</w:t>
      </w:r>
      <w:r w:rsidRPr="00F01EC1">
        <w:tab/>
        <w:t>întrucât cel puțin 20 000 și, posibil, până la 35 000 de copii ucraineni au fost deportați forțat în Rusia și Belarus sau deținuți în teritoriile ucrainene ocupate temporar;</w:t>
      </w:r>
    </w:p>
    <w:p w:rsidR="0044629B" w:rsidRPr="00F01EC1" w:rsidP="0044629B" w14:paraId="1C58AC02" w14:textId="50463744">
      <w:pPr>
        <w:pStyle w:val="NormalHanging"/>
        <w:rPr>
          <w:bCs/>
          <w:iCs/>
        </w:rPr>
      </w:pPr>
      <w:r w:rsidRPr="00F01EC1">
        <w:t>J.</w:t>
      </w:r>
      <w:r w:rsidRPr="00F01EC1">
        <w:tab/>
        <w:t xml:space="preserve">întrucât, ca răspuns la războiul de agresiune al Rusiei, a fost instituit la Haga Centrul internațional pentru urmărirea în justiție a crimei de agresiune împotriva Ucrainei, precum și Registrul daunelor pentru Ucraina și este în curs de instituire Tribunalul Special pentru Crima de Agresiune împotriva Ucrainei; întrucât Comisia a adoptat o propunere de inițiere a procesului prin care Uniunea Europeană să devină membru fondator al tribunalului special; întrucât Curtea Penală Internațională i-a inculpat pe Vladimir Putin și Maria </w:t>
      </w:r>
      <w:r w:rsidRPr="00F01EC1">
        <w:t>Lvova-Belova</w:t>
      </w:r>
      <w:r w:rsidRPr="00F01EC1">
        <w:t xml:space="preserve"> pentru crime de război; întrucât o Comisie internațională privind cererile de despăgubire pentru Ucraina și-a început lucrările în paralel cu cea de a 135-a sesiune a Comitetului de Miniștri al Consiliului Europei, la Chișinău, Moldova, la 14 mai 2026; întrucât Comisia internațională de despăgubire va consolida capacitatea de a asigura tragerea la răspundere pentru crimele internaționale comise în Ucraina și împotriva Ucrainei și pentru a susține dreptul Ucrainei la reparații integrale pentru daunele suferite în urma acțiunilor ilegale ale Rusiei;</w:t>
      </w:r>
    </w:p>
    <w:p w:rsidR="0044629B" w:rsidRPr="00F01EC1" w:rsidP="0044629B" w14:paraId="10CB98FA" w14:textId="77777777">
      <w:pPr>
        <w:pStyle w:val="NormalHanging"/>
      </w:pPr>
      <w:r w:rsidRPr="00F01EC1">
        <w:t>K.</w:t>
      </w:r>
      <w:r w:rsidRPr="00F01EC1">
        <w:tab/>
        <w:t>întrucât Ucraina a dat dovadă de o reziliență remarcabilă și determinare pe drumul său către aderarea la UE – alegere care reflectă voința susținută a poporului ucrainean, în pofida războiului de agresiune al Rusiei care continuă și care a dus la moartea a mii de oameni, a provocat traume profunde supraviețuitorilor, familiilor victimelor, veteranilor și familiilor acestora, precum și societății civile, a lăsat multe orașe și infrastructură civilă vitală în ruine și a dus la ocuparea continuată a unor părți din teritoriul său de către forțele ruse;</w:t>
      </w:r>
    </w:p>
    <w:p w:rsidR="0044629B" w:rsidRPr="00F01EC1" w:rsidP="0044629B" w14:paraId="6DB876E6" w14:textId="77777777">
      <w:pPr>
        <w:pStyle w:val="NormalHanging"/>
        <w:rPr>
          <w:bCs/>
          <w:iCs/>
        </w:rPr>
      </w:pPr>
      <w:r w:rsidRPr="00F01EC1">
        <w:t>L.</w:t>
      </w:r>
      <w:r w:rsidRPr="00F01EC1">
        <w:tab/>
        <w:t>întrucât Ucraina nu luptă doar pentru dreptul de a trăi liber și de a-și alege liber alianțele, nu numai pentru suveranitatea, pacea, stabilitatea și securitatea ei, ci și pentru păstrarea esenței democratice, aflată sub presiune existențială; întrucât reziliența democrației Ucrainei va fi judecată în cele din urmă nu numai pentru capacitatea sa de a rezista la agresiunea externă, ci și pentru disponibilitatea sa de a proteja pluralismul, incluziunea, deschiderea și diversitatea politică în interiorul țării;</w:t>
      </w:r>
    </w:p>
    <w:p w:rsidR="0044629B" w:rsidRPr="00F01EC1" w:rsidP="0044629B" w14:paraId="58B64BB7" w14:textId="77777777">
      <w:pPr>
        <w:pStyle w:val="NormalHanging"/>
        <w:rPr>
          <w:bCs/>
          <w:iCs/>
        </w:rPr>
      </w:pPr>
      <w:r w:rsidRPr="00F01EC1">
        <w:t>M.</w:t>
      </w:r>
      <w:r w:rsidRPr="00F01EC1">
        <w:tab/>
        <w:t>întrucât integrarea europeană a Ucrainei reprezintă o investiție strategică în pace, securitate, democrație și prosperitate pentru întregul continent; întrucât sprijinul neclintit al UE pentru suveranitatea, integritatea teritorială și independența Ucrainei nu depinde de viteza integrării europene a țării;</w:t>
      </w:r>
    </w:p>
    <w:p w:rsidR="0044629B" w:rsidRPr="00F01EC1" w:rsidP="0044629B" w14:paraId="6483968D" w14:textId="77777777">
      <w:pPr>
        <w:pStyle w:val="NormalHanging"/>
      </w:pPr>
      <w:r w:rsidRPr="00F01EC1">
        <w:t>N.</w:t>
      </w:r>
      <w:r w:rsidRPr="00F01EC1">
        <w:tab/>
        <w:t>întrucât actualele criterii de la Copenhaga impun nu doar alinierea formală la dreptul UE, ci și aplicarea efectivă și garantarea drepturilor fundamentale, a democrației și a statului de drept; întrucât parcursul fiecărei țări către integrarea în UE trebuie apreciat în funcție de meritele proprii și nicio țară nu ar trebui asociată cu o altă țară sau tratată ca parte a unui pachet;</w:t>
      </w:r>
    </w:p>
    <w:p w:rsidR="0044629B" w:rsidRPr="00F01EC1" w:rsidP="0044629B" w14:paraId="27338EB8" w14:textId="77777777">
      <w:pPr>
        <w:pStyle w:val="NormalHanging"/>
      </w:pPr>
      <w:r w:rsidRPr="00F01EC1">
        <w:t>O.</w:t>
      </w:r>
      <w:r w:rsidRPr="00F01EC1">
        <w:tab/>
        <w:t>întrucât Ucraina își menține angajamentul de a-și alinia legislația la acquis-</w:t>
      </w:r>
      <w:r w:rsidRPr="00F01EC1">
        <w:t>ul</w:t>
      </w:r>
      <w:r w:rsidRPr="00F01EC1">
        <w:t xml:space="preserve"> UE și a continuat să adopte măsuri pentru implementarea reformelor, în pofida războiului de agresiune purtat de Rusia; întrucât, în 2025, Ucraina pusese în aplicare 84 % din Acordul de asociere UE-Ucraina</w:t>
      </w:r>
      <w:r>
        <w:rPr>
          <w:rStyle w:val="FootnoteReference"/>
        </w:rPr>
        <w:footnoteReference w:id="5"/>
      </w:r>
      <w:r w:rsidRPr="00F01EC1">
        <w:t>;</w:t>
      </w:r>
    </w:p>
    <w:p w:rsidR="0044629B" w:rsidRPr="00F01EC1" w:rsidP="0044629B" w14:paraId="7FF6E71B" w14:textId="77777777">
      <w:pPr>
        <w:pStyle w:val="NormalHanging"/>
        <w:rPr>
          <w:bCs/>
          <w:iCs/>
        </w:rPr>
      </w:pPr>
      <w:r w:rsidRPr="00F01EC1">
        <w:t>P.</w:t>
      </w:r>
      <w:r w:rsidRPr="00F01EC1">
        <w:tab/>
        <w:t>întrucât Comisia a confirmat că Ucraina a finalizat procesul bilateral de examinare pentru toate capitolele de negocieri și este pregătită să deschidă toate grupurile tematice de capitole de negociere, începând cu grupul tematic al elementelor fundamentale;</w:t>
      </w:r>
    </w:p>
    <w:p w:rsidR="0044629B" w:rsidRPr="00F01EC1" w:rsidP="0044629B" w14:paraId="3E0CF4D7" w14:textId="77777777">
      <w:pPr>
        <w:pStyle w:val="NormalHanging"/>
      </w:pPr>
      <w:r w:rsidRPr="00F01EC1">
        <w:t>Q.</w:t>
      </w:r>
      <w:r w:rsidRPr="00F01EC1">
        <w:tab/>
        <w:t>întrucât s-au înregistrat progrese, dar e nevoie de mai multe eforturi pentru a consolida, printre altele, statul de drept în Ucraina și pentru a combate corupția;</w:t>
      </w:r>
    </w:p>
    <w:p w:rsidR="0044629B" w:rsidRPr="00F01EC1" w:rsidP="0044629B" w14:paraId="1219A3AA" w14:textId="77777777">
      <w:pPr>
        <w:pStyle w:val="NormalHanging"/>
      </w:pPr>
      <w:r w:rsidRPr="00F01EC1">
        <w:t>R.</w:t>
      </w:r>
      <w:r w:rsidRPr="00F01EC1">
        <w:tab/>
        <w:t>întrucât, pentru asigurarea utilizării transparente și responsabile a sprijinului financiar internațional și din partea UE și a fondurilor viitoare pentru reconstrucție, este nevoie de instituții anticorupție solide, independente și funcționale, precum și de supraveghere democratică eficientă care să implice societatea civilă și partenerii sociali;</w:t>
      </w:r>
    </w:p>
    <w:p w:rsidR="0044629B" w:rsidRPr="00F01EC1" w:rsidP="0044629B" w14:paraId="7CA87623" w14:textId="77777777">
      <w:pPr>
        <w:pStyle w:val="NormalHanging"/>
      </w:pPr>
      <w:r w:rsidRPr="00F01EC1">
        <w:t>S.</w:t>
      </w:r>
      <w:r w:rsidRPr="00F01EC1">
        <w:tab/>
        <w:t>întrucât experții internaționali care lucrează în comisiile de selecție a magistraților au contribuit la consolidarea încrederii publicului în sistemul judiciar prin întărirea independenței acestuia; întrucât implicarea experților internaționali în selecția Comisiei Superioare pentru Calificarea Judecătorilor s-a finalizat la 1 iunie 2025;</w:t>
      </w:r>
    </w:p>
    <w:p w:rsidR="0044629B" w:rsidRPr="00F01EC1" w:rsidP="0044629B" w14:paraId="65C9248F" w14:textId="77777777">
      <w:pPr>
        <w:pStyle w:val="NormalHanging"/>
      </w:pPr>
      <w:r w:rsidRPr="00F01EC1">
        <w:t>T.</w:t>
      </w:r>
      <w:r w:rsidRPr="00F01EC1">
        <w:tab/>
        <w:t>întrucât instituțiile democratice din Ucraina au dat dovadă de adaptabilitate, arătând că, chiar și în toiul războiului de agresiune al Rusiei care continuă și sub legea marțială, continuă să servească interesele cetățenilor și să pună în aplicare reformele legate de aderarea la UE; întrucât Parlamentul salută semnalele potrivit cărora pregătirile pentru alegeri ar putea începe odată cu încetarea aplicării legii marțiale și după ce situația de securitate permite organizarea de alegeri în conformitate cu standardele internaționale; întrucât Ucraina ar trebui să depună în continuare eforturi pentru a-și proteja democrația și pentru a asigura transparența și echilibrul puterilor;</w:t>
      </w:r>
    </w:p>
    <w:p w:rsidR="0044629B" w:rsidRPr="00F01EC1" w:rsidP="0044629B" w14:paraId="708C67ED" w14:textId="77777777">
      <w:pPr>
        <w:pStyle w:val="NormalHanging"/>
      </w:pPr>
      <w:r w:rsidRPr="00F01EC1">
        <w:t>U.</w:t>
      </w:r>
      <w:r w:rsidRPr="00F01EC1">
        <w:tab/>
        <w:t>întrucât societatea civilă rămâne un pilon al rezilienței și democrației în Ucraina, deși unele presiuni exercitate asupra activiștilor și organizațiilor sindicale suscită îngrijorări și necesită acțiuni guvernamentale;</w:t>
      </w:r>
    </w:p>
    <w:p w:rsidR="0044629B" w:rsidRPr="00F01EC1" w:rsidP="0044629B" w14:paraId="557BD11A" w14:textId="77777777">
      <w:pPr>
        <w:pStyle w:val="NormalHanging"/>
        <w:rPr>
          <w:bCs/>
          <w:iCs/>
        </w:rPr>
      </w:pPr>
      <w:r w:rsidRPr="00F01EC1">
        <w:t>V.</w:t>
      </w:r>
      <w:r w:rsidRPr="00F01EC1">
        <w:tab/>
        <w:t>întrucât integrarea în UE are un sprijin larg în întreaga societate și în toate instituțiile ucrainene și rămâne o forță motrice fundamentală pentru dezvoltarea democratică a Ucrainei, întrucât aderarea Ucrainei la UE va întări Uniunea, contribuind la reziliența sa geopolitică, sporindu-i potențialul economic și consolidându-i angajamentul față de valorile comune ale democrației, statului de drept și libertății,</w:t>
      </w:r>
    </w:p>
    <w:p w:rsidR="0044629B" w:rsidRPr="00F01EC1" w:rsidP="0044629B" w14:paraId="0A11C2C4" w14:textId="77777777">
      <w:pPr>
        <w:pStyle w:val="NormalHanging"/>
      </w:pPr>
      <w:r w:rsidRPr="00F01EC1">
        <w:t>W.</w:t>
      </w:r>
      <w:r w:rsidRPr="00F01EC1">
        <w:tab/>
        <w:t xml:space="preserve">întrucât cel mai recent raport </w:t>
      </w:r>
      <w:r w:rsidRPr="00F01EC1">
        <w:t>Eurobarometru</w:t>
      </w:r>
      <w:r w:rsidRPr="00F01EC1">
        <w:t xml:space="preserve"> privind extinderea arată că 56 % dintre cetățenii Uniunii sprijină extinderea în continuare a acesteia, Ucraina fiind cel mai favorizat candidat la aderare, odată ce toate criteriile de aderare la UE au fost îndeplinite;</w:t>
      </w:r>
    </w:p>
    <w:p w:rsidR="00F07830" w:rsidRPr="00F01EC1" w:rsidP="0044629B" w14:paraId="66865E1D" w14:textId="7E5167A2">
      <w:pPr>
        <w:pStyle w:val="NormalHanging"/>
        <w:rPr>
          <w:bCs/>
          <w:iCs/>
        </w:rPr>
      </w:pPr>
      <w:r w:rsidRPr="00F01EC1">
        <w:rPr>
          <w:bCs/>
          <w:iCs/>
        </w:rPr>
        <w:t>X</w:t>
      </w:r>
      <w:r w:rsidRPr="00F01EC1">
        <w:rPr>
          <w:bCs/>
          <w:iCs/>
        </w:rPr>
        <w:t>.</w:t>
      </w:r>
      <w:r w:rsidRPr="00F01EC1">
        <w:rPr>
          <w:bCs/>
          <w:iCs/>
        </w:rPr>
        <w:tab/>
        <w:t xml:space="preserve">întrucât declarația comună semnată la 11 decembrie 2025 de </w:t>
      </w:r>
      <w:r w:rsidRPr="00F01EC1">
        <w:rPr>
          <w:bCs/>
          <w:iCs/>
        </w:rPr>
        <w:t>comisara</w:t>
      </w:r>
      <w:r w:rsidRPr="00F01EC1">
        <w:rPr>
          <w:bCs/>
          <w:iCs/>
        </w:rPr>
        <w:t xml:space="preserve"> Marta </w:t>
      </w:r>
      <w:r w:rsidRPr="00F01EC1">
        <w:rPr>
          <w:bCs/>
          <w:iCs/>
        </w:rPr>
        <w:t>Kos</w:t>
      </w:r>
      <w:r w:rsidRPr="00F01EC1">
        <w:rPr>
          <w:bCs/>
          <w:iCs/>
        </w:rPr>
        <w:t xml:space="preserve"> și de viceprim-ministrul Ucrainei, </w:t>
      </w:r>
      <w:r w:rsidRPr="00F01EC1">
        <w:rPr>
          <w:bCs/>
          <w:iCs/>
        </w:rPr>
        <w:t>Taras</w:t>
      </w:r>
      <w:r w:rsidRPr="00F01EC1">
        <w:rPr>
          <w:bCs/>
          <w:iCs/>
        </w:rPr>
        <w:t xml:space="preserve"> </w:t>
      </w:r>
      <w:r w:rsidRPr="00F01EC1">
        <w:rPr>
          <w:bCs/>
          <w:iCs/>
        </w:rPr>
        <w:t>Kacika</w:t>
      </w:r>
      <w:r w:rsidRPr="00F01EC1">
        <w:rPr>
          <w:bCs/>
          <w:iCs/>
        </w:rPr>
        <w:t xml:space="preserve"> (cunoscută sub numele de planul „</w:t>
      </w:r>
      <w:r w:rsidRPr="00F01EC1">
        <w:rPr>
          <w:bCs/>
          <w:iCs/>
        </w:rPr>
        <w:t>Kos-</w:t>
      </w:r>
      <w:r w:rsidRPr="00F01EC1">
        <w:rPr>
          <w:bCs/>
          <w:iCs/>
        </w:rPr>
        <w:t>Kacika</w:t>
      </w:r>
      <w:r w:rsidRPr="00F01EC1">
        <w:rPr>
          <w:bCs/>
          <w:iCs/>
        </w:rPr>
        <w:t>”) este un plan prioritar de reformă în 10 puncte, care urmează să fie pus în aplicare până la sfârșitul anului 2026; întrucât aceste reforme vizează consolidarea statului de drept, a procedurilor judiciare și a independenței instituțiilor anticorupție din Ucraina; întrucât punerea în aplicare deplină și fără echivoc a acestor măsuri va fi o dovadă concretă importantă a angajamentului Ucrainei; întrucât grupurile de reflecție relevante consideră că aproximativ 15</w:t>
      </w:r>
      <w:r w:rsidRPr="00F01EC1" w:rsidR="00FB6670">
        <w:rPr>
          <w:bCs/>
          <w:iCs/>
        </w:rPr>
        <w:t> </w:t>
      </w:r>
      <w:r w:rsidRPr="00F01EC1">
        <w:rPr>
          <w:bCs/>
          <w:iCs/>
        </w:rPr>
        <w:t>% din plan a fost pus în aplicare până la jumătatea anului 2026;</w:t>
      </w:r>
    </w:p>
    <w:p w:rsidR="0044629B" w:rsidRPr="00F01EC1" w:rsidP="0044629B" w14:paraId="66699764" w14:textId="30C31DD2">
      <w:pPr>
        <w:pStyle w:val="NormalHanging"/>
        <w:rPr>
          <w:bCs/>
          <w:iCs/>
        </w:rPr>
      </w:pPr>
      <w:r w:rsidRPr="00F01EC1">
        <w:t>Y</w:t>
      </w:r>
      <w:r w:rsidRPr="00F01EC1">
        <w:t>.</w:t>
      </w:r>
      <w:r w:rsidRPr="00F01EC1">
        <w:tab/>
        <w:t>întrucât Rusia continuă să depună eforturi și să-și intensifice acțiunile de justificare a agresiunii împotriva Ucrainei prin distorsionarea deliberată a istoriei și prin manipularea relatărilor istorice, prin utilizarea strategică a discursurilor religioase, culturale și bazate pe valori menite să denatureze discursul public, negând identitatea națională și suveranitatea Ucrainei și anulându-le legitimitatea și împiedicând aderarea sa la Uniunea Europeană; întrucât aceste activități corespund doctrinei militare ruse aprobate la 25 decembrie 2014 și documentelor strategice ulterioare, inclusiv Strategiei de securitate națională a Federației Ruse aprobată de președintele Vladimir Putin la 31 decembrie 2015, în care se subliniază protejarea „valorilor spirituale și morale ruse tradiționale” împotriva influenței occidentale percepute; întrucât această abordare a fost consolidată și mai mult în Strategia de securitate națională din 2021, care a ridicat protejarea „valorilor tradiționale”, promovarea conceptului de „Lume rusă” („</w:t>
      </w:r>
      <w:r w:rsidRPr="00F01EC1">
        <w:t>Ruski</w:t>
      </w:r>
      <w:r w:rsidRPr="00F01EC1">
        <w:t xml:space="preserve"> Mir”) și protecția „compatrioților din străinătate” la rangul de priorități centrale de securitate națională, demonstrând astfel utilizarea susținută și sistematică a discursurilor culturale, religioase și legate de civilizație ca instrumente de influență geopolitică și justificare a agresiunii împotriva Ucrainei;</w:t>
      </w:r>
    </w:p>
    <w:p w:rsidR="0044629B" w:rsidRPr="00F01EC1" w:rsidP="0044629B" w14:paraId="7BE1CE63" w14:textId="485BCD44">
      <w:pPr>
        <w:pStyle w:val="NormalHanging"/>
        <w:rPr>
          <w:bCs/>
          <w:iCs/>
        </w:rPr>
      </w:pPr>
      <w:r w:rsidRPr="00F01EC1">
        <w:t>Z</w:t>
      </w:r>
      <w:r w:rsidRPr="00F01EC1">
        <w:t>.</w:t>
      </w:r>
      <w:r w:rsidRPr="00F01EC1">
        <w:tab/>
        <w:t>întrucât, potrivit Ministerului Politicilor Sociale din Ucraina, peste trei milioane de cetățeni ucraineni sunt recunoscuți ca având una sau mai multe dizabilități, iar acest număr se preconizează că va crește cu 17 000 în fiecare lună, în mare parte din cauza războiului în curs;</w:t>
      </w:r>
    </w:p>
    <w:p w:rsidR="0044629B" w:rsidRPr="00F01EC1" w:rsidP="0044629B" w14:paraId="20B79DDC" w14:textId="04DE8A97">
      <w:pPr>
        <w:pStyle w:val="NormalHanging"/>
        <w:rPr>
          <w:bCs/>
          <w:iCs/>
        </w:rPr>
      </w:pPr>
      <w:r w:rsidRPr="00F01EC1">
        <w:t>AA</w:t>
      </w:r>
      <w:r w:rsidRPr="00F01EC1">
        <w:t>.</w:t>
      </w:r>
      <w:r w:rsidRPr="00F01EC1">
        <w:tab/>
        <w:t>întrucât daunele aduse mediului de Rusia au avut consecințe devastatoare pentru resursele naturale ale Ucrainei, pentru ecosistemele critice și pentru sănătatea, mijloacele de trai și securitatea cetățenilor săi; întrucât redresarea verde are ca scop remedierea acestor daune și plasarea Ucrainei pe o nouă cale către sustenabilitatea socială și a mediului, aliniată la legislația de mediu din acquis-</w:t>
      </w:r>
      <w:r w:rsidRPr="00F01EC1">
        <w:t>ul</w:t>
      </w:r>
      <w:r w:rsidRPr="00F01EC1">
        <w:t xml:space="preserve"> UE;</w:t>
      </w:r>
    </w:p>
    <w:p w:rsidR="0044629B" w:rsidRPr="00F01EC1" w:rsidP="0044629B" w14:paraId="3F2FB7FF" w14:textId="68777102">
      <w:pPr>
        <w:pStyle w:val="NormalHanging"/>
        <w:rPr>
          <w:bCs/>
          <w:iCs/>
        </w:rPr>
      </w:pPr>
      <w:r w:rsidRPr="00F01EC1">
        <w:t>AB</w:t>
      </w:r>
      <w:r w:rsidRPr="00F01EC1">
        <w:t>.</w:t>
      </w:r>
      <w:r w:rsidRPr="00F01EC1">
        <w:tab/>
        <w:t>întrucât un sondaj din 2024 efectuat de Institutul Internațional de Sociologie din Kiev a confirmat că atitudinea societății ucrainene față de persoanele LGBTIQ+ a rămas predominant neutră sau pozitivă, peste 70 % din cetățenii ucraineni intervievați sprijinind drepturile egale pentru persoanele LGBTIQ+;</w:t>
      </w:r>
    </w:p>
    <w:p w:rsidR="0044629B" w:rsidRPr="00F01EC1" w:rsidP="0044629B" w14:paraId="24B27885" w14:textId="6AE0D85F">
      <w:pPr>
        <w:pStyle w:val="NormalHanging"/>
      </w:pPr>
      <w:r w:rsidRPr="00F01EC1">
        <w:t>AC</w:t>
      </w:r>
      <w:r w:rsidRPr="00F01EC1">
        <w:t>.</w:t>
      </w:r>
      <w:r w:rsidRPr="00F01EC1">
        <w:tab/>
        <w:t>întrucât războiul de agresiune al Rusiei împotriva Ucrainei a cauzat suferință umană și distrugeri imense, iar amploarea dezastrului uman face imperios necesară căutarea unei păci juste, sustenabile și durabile</w:t>
      </w:r>
      <w:r w:rsidRPr="00F01EC1" w:rsidR="00F07830">
        <w:t>;</w:t>
      </w:r>
    </w:p>
    <w:p w:rsidR="00F07830" w:rsidRPr="00F01EC1" w:rsidP="0044629B" w14:paraId="3D2DFF77" w14:textId="0A2B5449">
      <w:pPr>
        <w:pStyle w:val="NormalHanging"/>
      </w:pPr>
      <w:r w:rsidRPr="00F01EC1">
        <w:t>AD</w:t>
      </w:r>
      <w:r w:rsidRPr="00F01EC1">
        <w:t>.</w:t>
      </w:r>
      <w:r w:rsidRPr="00F01EC1">
        <w:tab/>
        <w:t>întrucât noua lege privind achizițiile publice, care a fost adoptată de Rada Supremă a Ucrainei la 27 mai 2026 și care a intrat în vigoare la 24 iunie 2026, este considerată, în mare măsură, o reformă veritabilă, aliniată la legislația UE și care stabilește garanții în materie de transparență și de combatere a corupției în cazul licitațiilor mari; întrucât adoptarea acestei legislații a deblocat 3,4 miliarde USD sub formă de sprijin bugetar direct acordat Ucrainei de către Banca Mondială;</w:t>
      </w:r>
    </w:p>
    <w:p w:rsidR="00F07830" w:rsidRPr="00F01EC1" w:rsidP="0044629B" w14:paraId="155C63C9" w14:textId="7561F9E6">
      <w:pPr>
        <w:pStyle w:val="NormalHanging"/>
      </w:pPr>
      <w:r w:rsidRPr="00F01EC1">
        <w:t>AE</w:t>
      </w:r>
      <w:r w:rsidRPr="00F01EC1">
        <w:t>.</w:t>
      </w:r>
      <w:r w:rsidRPr="00F01EC1">
        <w:tab/>
        <w:t>întrucât, la 15 iunie 2026, UE a început negocierile de aderare cu Ucraina și Moldova cu privire la grupul tematic 1: Elemente fundamentale, constând în: Capitolul 23: Sistemul judiciar și drepturile fundamentale, Capitolul 24: Justiție, libertate și securitate, Capitolul 5: Achiziții publice, Capitolul 18: Statistici și capitolul 32: Controlul financiar</w:t>
      </w:r>
      <w:r w:rsidRPr="00F01EC1" w:rsidR="00BD743A">
        <w:t>;</w:t>
      </w:r>
      <w:r w:rsidRPr="00F01EC1">
        <w:t xml:space="preserve"> întrucât, negocierile privind grupul tematic „elemente fundamentale” sunt primele care se deschid și ultimele care se închid în procesul de aderare, iar progresele înregistrate cu privire la acest grup tematic determină ritmul general al negocierilor;</w:t>
      </w:r>
    </w:p>
    <w:p w:rsidR="00F07830" w:rsidRPr="00F01EC1" w:rsidP="0044629B" w14:paraId="01A41218" w14:textId="357CC2F0">
      <w:pPr>
        <w:pStyle w:val="NormalHanging"/>
      </w:pPr>
      <w:r w:rsidRPr="00F01EC1">
        <w:t>AF</w:t>
      </w:r>
      <w:r w:rsidRPr="00F01EC1">
        <w:t>.</w:t>
      </w:r>
      <w:r w:rsidRPr="00F01EC1">
        <w:tab/>
        <w:t>întrucât diferite state membre au distribuit documente neoficiale privind dinamica aderării Ucrainei la UE și opțiunile de consolidare a viitoarelor tratate de aderare la UE;</w:t>
      </w:r>
    </w:p>
    <w:p w:rsidR="00F07830" w:rsidRPr="00F01EC1" w:rsidP="0044629B" w14:paraId="37877A26" w14:textId="1088998A">
      <w:pPr>
        <w:pStyle w:val="NormalHanging"/>
      </w:pPr>
      <w:r w:rsidRPr="00F01EC1">
        <w:t>AG</w:t>
      </w:r>
      <w:r w:rsidRPr="00F01EC1">
        <w:t>.</w:t>
      </w:r>
      <w:r w:rsidRPr="00F01EC1">
        <w:tab/>
        <w:t>întrucât analiza comună efectuată de Serviciul European de Acțiune Externă și de Centrul pentru combaterea dezinformării din Ucraina a identificat strategii și operațiuni ale Rusiei privind acțiunile străine de manipulare a informațiilor și ingerințele străine (FIMI) pentru a submina și a eroda, atât în Ucraina, cât și în UE, sprijinul public în ceea ce privește procesul de aderare a Ucrainei la UE,</w:t>
      </w:r>
    </w:p>
    <w:p w:rsidR="0044629B" w:rsidRPr="00F01EC1" w:rsidP="0044629B" w14:paraId="6DC659B6" w14:textId="77777777">
      <w:pPr>
        <w:pStyle w:val="NormalHanging"/>
        <w:rPr>
          <w:b/>
          <w:i/>
          <w:iCs/>
        </w:rPr>
      </w:pPr>
      <w:r w:rsidRPr="00F01EC1">
        <w:rPr>
          <w:b/>
          <w:i/>
        </w:rPr>
        <w:t>I. Situația actuală a războiului de agresiune al Rusiei și a sancțiunilor UE</w:t>
      </w:r>
    </w:p>
    <w:p w:rsidR="0044629B" w:rsidRPr="00F01EC1" w:rsidP="0044629B" w14:paraId="6D6C7B53" w14:textId="77777777">
      <w:pPr>
        <w:pStyle w:val="NormalHanging12a"/>
      </w:pPr>
      <w:r w:rsidRPr="00F01EC1">
        <w:t>1.</w:t>
      </w:r>
      <w:r w:rsidRPr="00F01EC1">
        <w:tab/>
        <w:t>condamnă în termenii cei mai fermi războiul ilegal de agresiune al Rusiei împotriva Ucrainei aflat în curs și își reafirmă solidaritatea de neclintit cu poporul ucrainean și sprijinul pentru independența, suveranitatea și integritatea teritorială a acestei țări, în cadrul frontierelor sale recunoscute pe plan internațional; își reiterează politica de nerecunoaștere a teritoriilor din Ucraina ocupate ilegal și temporar de Rusia, inclusiv Crimeea;</w:t>
      </w:r>
    </w:p>
    <w:p w:rsidR="0044629B" w:rsidRPr="00F01EC1" w:rsidP="0044629B" w14:paraId="75C401AE" w14:textId="77777777">
      <w:pPr>
        <w:pStyle w:val="NormalHanging12a"/>
      </w:pPr>
      <w:r w:rsidRPr="00F01EC1">
        <w:t>2.</w:t>
      </w:r>
      <w:r w:rsidRPr="00F01EC1">
        <w:tab/>
        <w:t>solicită Federației Ruse să înceteze imediat și necondiționat toate activitățile militare din Ucraina și împotriva Ucrainei și să își retragă toate forțele și echipamentele militare de pe întregul teritoriu al Ucrainei din interiorul frontierelor acesteia recunoscute la nivel internațional, inclusiv din apele sale teritoriale; subliniază că poporul curajos al Ucrainei a plătit prețul suprem pentru a proteja Ucraina și, prin extensie, securitatea Europei;</w:t>
      </w:r>
    </w:p>
    <w:p w:rsidR="0044629B" w:rsidRPr="00F01EC1" w:rsidP="0044629B" w14:paraId="7B816B04" w14:textId="77777777">
      <w:pPr>
        <w:pStyle w:val="NormalHanging12a"/>
      </w:pPr>
      <w:r w:rsidRPr="00F01EC1">
        <w:t>3.</w:t>
      </w:r>
      <w:r w:rsidRPr="00F01EC1">
        <w:tab/>
        <w:t>își exprimă profunda compasiune și solidaritatea deplină față de toți cei afectați de războiul de agresiune al Federației Ruse împotriva Ucrainei, inclusiv față de membrii forțelor armate, veterani, familiile celor uciși sau răniți, persoanele strămutate în interiorul țării, refugiați și toți civilii care suferă consecințele umanitare, medicale, psihologice, sociale și economice grave ale războiului;</w:t>
      </w:r>
    </w:p>
    <w:p w:rsidR="0044629B" w:rsidRPr="00F01EC1" w:rsidP="0044629B" w14:paraId="2EF36D91" w14:textId="77777777">
      <w:pPr>
        <w:pStyle w:val="NormalHanging12a"/>
      </w:pPr>
      <w:r w:rsidRPr="00F01EC1">
        <w:t>4.</w:t>
      </w:r>
      <w:r w:rsidRPr="00F01EC1">
        <w:tab/>
        <w:t>condamnă atacurile generalizate și sistematice comise de Federația Rusă împotriva populației civile ucrainene, în special prin atacuri asupra infrastructurii critice de energie și apă, care constituie încălcări flagrante ale dreptului internațional umanitar;</w:t>
      </w:r>
    </w:p>
    <w:p w:rsidR="0044629B" w:rsidRPr="00F01EC1" w:rsidP="0044629B" w14:paraId="4BBF29EB" w14:textId="77777777">
      <w:pPr>
        <w:pStyle w:val="NormalHanging12a"/>
      </w:pPr>
      <w:r w:rsidRPr="00F01EC1">
        <w:t>5.</w:t>
      </w:r>
      <w:r w:rsidRPr="00F01EC1">
        <w:tab/>
        <w:t xml:space="preserve">regretă profund încălcările grave ale drepturilor copiilor ucraineni, care includ omoruri, maltratare, strămutare forțată și deportare, precum și adopția ilegală, modificarea datelor cu caracter personal și restricționarea contactului cu familiile; condamnă, de asemenea, rusificarea forțată și expunerea la instruire </w:t>
      </w:r>
      <w:r w:rsidRPr="00F01EC1">
        <w:t>militaro</w:t>
      </w:r>
      <w:r w:rsidRPr="00F01EC1">
        <w:t xml:space="preserve">-patriotică, la propagandă de război și la militarizare; solicită returnarea imediată, în condiții de siguranță și necondiționată a copiilor răpiți și invită UE să acorde prioritate sănătății mintale a copiilor ca o componentă specifică a sprijinului său pentru redresare; invită Comisia și statele membre să consolideze sprijinul acordat autorităților ucrainene, precum și organizațiilor internaționale și neguvernamentale, pentru documentarea acestor crime și pentru identificarea, repatrierea, reintegrarea, reabilitarea și sprijinirea copiilor afectați; salută </w:t>
      </w:r>
      <w:r w:rsidRPr="00F01EC1">
        <w:t>implicarea tot mai mare în Coaliția internațională pentru întoarcerea copiilor ucraineni, ca platformă centrală pentru acțiuni internaționale coordonate care vizează returnarea copiilor ucraineni deportați ilegal și strămutați forțat;</w:t>
      </w:r>
    </w:p>
    <w:p w:rsidR="0044629B" w:rsidRPr="00F01EC1" w:rsidP="0044629B" w14:paraId="7FB7F8D4" w14:textId="77777777">
      <w:pPr>
        <w:pStyle w:val="NormalHanging12a"/>
      </w:pPr>
      <w:r w:rsidRPr="00F01EC1">
        <w:t>6.</w:t>
      </w:r>
      <w:r w:rsidRPr="00F01EC1">
        <w:tab/>
        <w:t xml:space="preserve">condamnă deteriorarea drastică a situației drepturilor omului în zonele sub ocupație rusă, cum ar fi detențiile arbitrare și disparițiile, tortura, </w:t>
      </w:r>
      <w:r w:rsidRPr="00F01EC1">
        <w:t>pașaportizarea</w:t>
      </w:r>
      <w:r w:rsidRPr="00F01EC1">
        <w:t xml:space="preserve"> și mobilizarea forțată a cetățenilor ucraineni în teritoriile ocupate temporar, execuțiile prizonierilor de război și deportările ilegale; afirmă din nou cu fermitate dreptul inalienabil al tuturor cetățenilor ucraineni strămutați forțat ca urmare a agresiunii ruse de a se întoarce la locuințele lor în condiții de siguranță, în mod voluntar și fără condiții prealabile după eliberarea deplină de sub ocupație și restabilirea integrității teritoriale a Ucrainei;</w:t>
      </w:r>
    </w:p>
    <w:p w:rsidR="0044629B" w:rsidRPr="00F01EC1" w:rsidP="0044629B" w14:paraId="4FD1E2C3" w14:textId="77777777">
      <w:pPr>
        <w:pStyle w:val="NormalHanging12a"/>
      </w:pPr>
      <w:r w:rsidRPr="00F01EC1">
        <w:t>7.</w:t>
      </w:r>
      <w:r w:rsidRPr="00F01EC1">
        <w:tab/>
        <w:t>condamnă cu fermitate impunerea ilegală de către Federația Rusă a administrației sale de ocupație în teritoriile Ucrainei ocupate temporar, precum și însușirea sistematică și ilegală de către aceasta a proprietății publice și private, jefuirea și îndepărtarea ilegală a bunurilor și patrimoniului cultural al Ucrainei, desființarea activităților economice și exploatarea acestor teritorii pentru propriile sale interese politice și economice;</w:t>
      </w:r>
    </w:p>
    <w:p w:rsidR="0044629B" w:rsidRPr="00F01EC1" w:rsidP="0044629B" w14:paraId="41F53585" w14:textId="77777777">
      <w:pPr>
        <w:pStyle w:val="NormalHanging12a"/>
      </w:pPr>
      <w:r w:rsidRPr="00F01EC1">
        <w:t>8.</w:t>
      </w:r>
      <w:r w:rsidRPr="00F01EC1">
        <w:tab/>
        <w:t>condamnă cu fermitate recrutarea de către Federația Rusă a unor resortisanți străini, inclusiv din țări terțe, pentru a participa la războiul său de agresiune împotriva Ucrainei, adesea prin practici înșelătoare și prin exploatarea condițiilor socioeconomice vulnerabile; subliniază că aceste practici se soldează cu trafic de persoane și încălcări grave ale drepturilor omului; invită UE și statele sale membre, împreună cu partenerii internaționali, să combată aceste practici, inclusiv prin sancțiuni, acțiuni de sensibilizare și sprijin pentru victime și îndeamnă țările terțe să împiedice o astfel de recrutare;</w:t>
      </w:r>
    </w:p>
    <w:p w:rsidR="0044629B" w:rsidRPr="00F01EC1" w:rsidP="0044629B" w14:paraId="7713119F" w14:textId="77777777">
      <w:pPr>
        <w:pStyle w:val="NormalHanging12a"/>
      </w:pPr>
      <w:r w:rsidRPr="00F01EC1">
        <w:t>9.</w:t>
      </w:r>
      <w:r w:rsidRPr="00F01EC1">
        <w:tab/>
        <w:t>condamnă tratamentul inuman aplicat de Federația Rusă prizonierilor de război ucraineni, care include tortura și execuțiile, cu încălcarea dreptului internațional umanitar, și solicită eliberarea lor imediată și necondiționată; invită UE, statele sale membre și comunitatea internațională să își intensifice eforturile, inclusiv prin mijloace diplomatice și juridice, pentru a asigura respectarea dreptului internațional și a facilita continuarea schimburilor de prizonieri; invită Comitetul Internațional al Crucii Roșii să își exercite pe deplin mandatul în temeiul dreptului internațional umanitar, asigurând accesul neîngrădit și periodic la toate locurile în care sunt ținuți prizonieri de război și civili ucraineni, inclusiv cei plasați în detenție; observă că Ucraina continuă să își respecte obligațiile prevăzute de dreptul internațional în modul în care tratează prizonierii de război;</w:t>
      </w:r>
    </w:p>
    <w:p w:rsidR="0044629B" w:rsidRPr="00F01EC1" w:rsidP="0044629B" w14:paraId="3197E697" w14:textId="77777777">
      <w:pPr>
        <w:pStyle w:val="NormalHanging12a"/>
      </w:pPr>
      <w:r w:rsidRPr="00F01EC1">
        <w:t>10.</w:t>
      </w:r>
      <w:r w:rsidRPr="00F01EC1">
        <w:tab/>
        <w:t>invită Comisia și statele membre să sporească semnificativ asistența în domeniul sănătății și să se asigure că nevoile de reabilitare sunt reflectate pe deplin în cadrele de sprijin din partea UE; îndeamnă Comisia și statele membre să susțină și să extindă, după caz, sprijinul pentru refugiații ucraineni găzduiți în prezent în toate statele membre, precum și pentru persoanele strămutate în interiorul Ucrainei;</w:t>
      </w:r>
    </w:p>
    <w:p w:rsidR="0044629B" w:rsidRPr="00F01EC1" w:rsidP="0044629B" w14:paraId="2B760300" w14:textId="16A5E42A">
      <w:pPr>
        <w:pStyle w:val="NormalHanging12a"/>
      </w:pPr>
      <w:r w:rsidRPr="00F01EC1">
        <w:t>11.</w:t>
      </w:r>
      <w:r w:rsidRPr="00F01EC1">
        <w:tab/>
        <w:t xml:space="preserve">invită UE și statele sale membre să combată dezinformarea rusească privind războiul </w:t>
      </w:r>
      <w:r w:rsidRPr="00F01EC1" w:rsidR="00F07830">
        <w:t xml:space="preserve">său de agresiune și privind procesul de aderare a Ucrainei la UE </w:t>
      </w:r>
      <w:r w:rsidRPr="00F01EC1">
        <w:t xml:space="preserve">prin restricționarea deplină a activităților asociate cu organizațiile mass-media controlate de statul rus și contribuitorii acestora din toate statele membre ale UE, prin extinderea listelor de sancțiuni individuale relevante, prin urmărirea răspunderii juridice a celor care au fost complici la propaganda desfășurată de stat, prin consolidarea alfabetizării digitale, prin promovarea informațiilor bazate pe fapte, acordând o atenție specială țărilor vizate în mod specific de propaganda rusă în afara Europei, și trăgând la răspundere platformele </w:t>
      </w:r>
      <w:r w:rsidRPr="00F01EC1">
        <w:t>de comunicare socială pentru răspândirea de conținut nociv prin asigurarea respectării cu strictețe a Regulamentului privind serviciile digitale</w:t>
      </w:r>
      <w:r>
        <w:rPr>
          <w:rStyle w:val="FootnoteReference"/>
        </w:rPr>
        <w:footnoteReference w:id="6"/>
      </w:r>
      <w:r w:rsidRPr="00F01EC1">
        <w:t>; </w:t>
      </w:r>
    </w:p>
    <w:p w:rsidR="0044629B" w:rsidRPr="00F01EC1" w:rsidP="0044629B" w14:paraId="695DF02A" w14:textId="77777777">
      <w:pPr>
        <w:pStyle w:val="NormalHanging12a"/>
      </w:pPr>
      <w:r w:rsidRPr="00F01EC1">
        <w:t>12.</w:t>
      </w:r>
      <w:r w:rsidRPr="00F01EC1">
        <w:tab/>
        <w:t>subliniază hotărât dreptul inerent al Ucrainei la autoapărare, în conformitate cu articolul 51 din Carta ONU, inclusiv dreptul Ucrainei, angajată într-o luptă defensivă, de a lovi ținte legitime pe teritoriul agresorului, Rusia; observă cu profundă îngrijorare reducerea cu 99 % a ajutorului militar acordat de SUA în 2025; salută, prin urmare, inițiativa NATO privind Lista de cerințe prioritare pentru Ucraina, precum și misiunea NATO de asistență în materie de securitate și formare pentru Ucraina; salută rolul de lider al UE și al statelor sale membre în calitate de principal furnizor de sprijin financiar și militar pentru Ucraina, inclusiv prin inițiativele de instruire ale misiunii de asistență militară a UE în sprijinul Ucrainei și prin finanțarea și furnizarea de sprijin militar, cum ar fi sistemele de apărare aeriană și capabilitățile de atac în adâncime; solicită UE și statelor sale membre să mărească sprijinul pentru a susține dreptul Ucrainei la autoapărare; subliniază că o asistență militară suficientă și previzibilă, inclusiv accesul la finanțare pentru producția de arme, sprijinul pentru o astfel de producție în afara Ucrainei și cooperarea dintre EDTIB și industria de apărare a Ucrainei, sunt esențiale pentru rezistența efectivă a Ucrainei la agresiunea Rusiei, în special având în vedere reducerea drastică a ajutorului militar al SUA;</w:t>
      </w:r>
    </w:p>
    <w:p w:rsidR="0044629B" w:rsidRPr="00F01EC1" w:rsidP="0044629B" w14:paraId="53D35AF1" w14:textId="77777777">
      <w:pPr>
        <w:pStyle w:val="NormalHanging12a"/>
      </w:pPr>
      <w:r w:rsidRPr="00F01EC1">
        <w:t>13.</w:t>
      </w:r>
      <w:r w:rsidRPr="00F01EC1">
        <w:tab/>
        <w:t>constată că ritmul câștigurilor teritoriale ale Rusiei în Ucraina a încetinit în 2026, iar Ucraina a recâștigat teritorii în aprilie 2026, în timp ce Rusia a suferit pierderi deosebit de mari; este convins că Ucraina poate și trebuie să învingă și că rezultatul conflictului nu este predeterminat; consideră, prin urmare, că sprijinul militar susținut și consolidat din partea UE poate avea un impact decisiv pe câmpul de luptă; invită statele membre să acționeze cu mai multă determinare și urgent, inclusiv prin intensificarea semnificativă și accelerarea furnizării și finanțării de arme și muniție pentru Ucraina;</w:t>
      </w:r>
    </w:p>
    <w:p w:rsidR="0044629B" w:rsidRPr="00F01EC1" w:rsidP="0044629B" w14:paraId="6E54A7AA" w14:textId="77777777">
      <w:pPr>
        <w:pStyle w:val="NormalHanging12a"/>
      </w:pPr>
      <w:r w:rsidRPr="00F01EC1">
        <w:t>14.</w:t>
      </w:r>
      <w:r w:rsidRPr="00F01EC1">
        <w:tab/>
        <w:t>mai precis, îndeamnă Germania să trimită rachete Taurus cu rază lungă de acțiune în Ucraina și invită celelalte state membre să doteze urgent Ucrainei cu capabilități suplimentare de apărare aeriană, în special sisteme Patriot, precum și rachete pentru sistemele Patriot, SAMP/T, NASAMS, IRIS-T și HAWK;</w:t>
      </w:r>
    </w:p>
    <w:p w:rsidR="0044629B" w:rsidRPr="00F01EC1" w:rsidP="0044629B" w14:paraId="40B115FA" w14:textId="77777777">
      <w:pPr>
        <w:pStyle w:val="NormalHanging12a"/>
      </w:pPr>
      <w:r w:rsidRPr="00F01EC1">
        <w:t>15.</w:t>
      </w:r>
      <w:r w:rsidRPr="00F01EC1">
        <w:tab/>
        <w:t xml:space="preserve">salută eforturile diplomatice internaționale de a pune capăt războiului și abordarea constructivă a Ucrainei; accentuează însă că negocierile de pace trebuie să fie precedate de o încetare a focului durabilă; subliniază că orice pace trebuie să fie justă și durabilă, cu respectarea deplină a suveranității și integrității teritoriale a Ucrainei; evidențiază că niciun acord de pace nu ar trebui să aducă atingere intereselor strategice ucrainene și europene și nici să limiteze capacitatea Ucrainei de a se apăra și de a-și alege alianțele politice și de securitate fără drept de veto din partea Rusiei; accentuează că acesta trebuie să se bazeze pe respectarea deplină a principiilor dreptului internațional, pe tragerea la răspundere pentru crimele de război, crimele împotriva umanității și crima de agresiune, precum și pe reparații din partea Rusiei pentru daunele masive cauzate în Ucraina; subliniază că acesta ar trebui să includă un angajament al Rusiei de a înceta imediat războiul hibrid împotriva UE și a partenerilor săi, inclusiv a Ucrainei, și ar trebui să includă, de asemenea, returnarea tuturor copiilor ucraineni răpiți și a civililor ucraineni încarcerați, precum și un schimb deplin de prizonieri de război, inclusiv a </w:t>
      </w:r>
      <w:r w:rsidRPr="00F01EC1">
        <w:t>rămășițelor soldaților decedați; evidențiază că orice astfel de acord ar trebui să ofere garanții de securitate solide și credibile, echivalente cu nivelul de protecție oferit de articolul 5 din Tratatul de la Washington și de articolul 42 alineatul (7) din Tratatul privind Uniunea Europeană, de îndată ce starea de război s-a încheiat oficial; recunoaște că Ucraina consideră că aderarea la UE este o garanție importantă de securitate, în special având în vedere 42 alineatul (7) din Tratatul privind Uniunea Europeană;</w:t>
      </w:r>
    </w:p>
    <w:p w:rsidR="0044629B" w:rsidRPr="00F01EC1" w:rsidP="0044629B" w14:paraId="64A4DCFA" w14:textId="77777777">
      <w:pPr>
        <w:pStyle w:val="NormalHanging12a"/>
        <w:rPr>
          <w:bCs/>
          <w:iCs/>
        </w:rPr>
      </w:pPr>
      <w:r w:rsidRPr="00F01EC1">
        <w:t>16.</w:t>
      </w:r>
      <w:r w:rsidRPr="00F01EC1">
        <w:tab/>
        <w:t>reiterează că numai Ucraina poate stabili termenii unui acord de pace acceptabil pentru poporul său; insistă că nicio decizie cu privire la Ucraina nu ar trebui luată fără Ucraina și nicio decizie cu privire la Europa, fără Europa; reafirmă că orice acord menit să pună capăt războiului de agresiune al Rusiei împotriva Ucrainei depășește cu mult Rusia și Ucraina, având implicații profunde pentru ordinea de securitate europeană în ansamblu; subliniază că orice astfel de acord poate fi încheiat numai cu participarea UE și a statelor sale membre; invită Comisia și statele membre să analizeze posibilitatea de a numi și de a împuternici pe deplin un negociator european la nivel înalt care să reprezinte UE și statele sale membre în discuțiile diplomatice cu un mandat precis definit; invită Comisia, Serviciul European de Acțiune Externă și Consiliul să elaboreze, în coordonare cu Ucraina și în consultare cu statele membre, un document de scenarii strategice pentru arhitectura de securitate și cooperare postbelică de pe continentul european, care să reflecte lecțiile învățate din trecut și să conțină parametri potențiali ai viitoarelor relații cu Rusia după sfârșitul războiului, inclusiv aspecte legate de securitate, energie, frontiere, responsabilitate și despăgubiri;</w:t>
      </w:r>
    </w:p>
    <w:p w:rsidR="0044629B" w:rsidRPr="00F01EC1" w:rsidP="0044629B" w14:paraId="23BE55C3" w14:textId="77777777">
      <w:pPr>
        <w:pStyle w:val="NormalHanging12a"/>
      </w:pPr>
      <w:r w:rsidRPr="00F01EC1">
        <w:t>17.</w:t>
      </w:r>
      <w:r w:rsidRPr="00F01EC1">
        <w:tab/>
        <w:t xml:space="preserve">regretă profund că, până în prezent, Rusia nu a manifestat nicio dorință de a stabili o pace durabilă și își folosește contactele diplomatice cu Statele Unite numai ca parte a unei campanii de război psihologic menit să submineze sprijinul internațional pentru Ucraina; în acest sens, reiterează necesitatea de a mări presiunea asupra Rusiei și condamnă relaxarea parțială a sancțiunilor împotriva Rusiei decisă de Statele Unite; denunță poziția Statelor Unite de a condiționa garanțiile de securitate ale SUA pentru Ucraina de retragerea Ucrainei din </w:t>
      </w:r>
      <w:r w:rsidRPr="00F01EC1">
        <w:t>Donbas</w:t>
      </w:r>
      <w:r w:rsidRPr="00F01EC1">
        <w:t>; reamintește că colaborarea directă cu Rusia fără a exercita o presiune semnificativă, renunțarea publică la influența majoră, reducerea sprijinului militar, refuzul de a aplica sancțiuni suplimentare și eliminarea celor deja în vigoare, șantajarea Ucrainei pentru a acorda acces preferențial întreprinderilor din SUA pentru reconstrucție și accesul la resurse naturale, precum și încercarea de a constrânge Ucraina să facă concesii teritoriale și să renunțe la dreptul său legitim la autoapărare sunt elemente ale unui efort diplomatic sortit eșecului;</w:t>
      </w:r>
    </w:p>
    <w:p w:rsidR="00C75718" w:rsidRPr="00F01EC1" w:rsidP="0044629B" w14:paraId="675F3649" w14:textId="68D38E54">
      <w:pPr>
        <w:pStyle w:val="NormalHanging12a"/>
        <w:rPr>
          <w:bCs/>
          <w:iCs/>
        </w:rPr>
      </w:pPr>
      <w:r w:rsidRPr="00F01EC1">
        <w:rPr>
          <w:bCs/>
          <w:iCs/>
        </w:rPr>
        <w:t>18</w:t>
      </w:r>
      <w:r w:rsidRPr="00F01EC1">
        <w:rPr>
          <w:bCs/>
          <w:iCs/>
        </w:rPr>
        <w:t>.</w:t>
      </w:r>
      <w:r w:rsidRPr="00F01EC1">
        <w:rPr>
          <w:bCs/>
          <w:iCs/>
        </w:rPr>
        <w:tab/>
        <w:t xml:space="preserve">salută declarația liderilor G7 privind Ucraina din iunie 2026, inclusiv angajamentul (a) de a sprijini noul impuls de pe câmpul de luptă și accelerarea acestuia, inclusiv prin luarea în considerare a extinderii eligibilității pentru Ucraina a beneficiului licențelor pentru a permite o creștere a producției militare a Ucrainei și (b) de a crește presiunea asupra economiei de război a Rusiei; solicită UE și statelor sale membre să ia toate măsurile necesare pentru a asigura punerea în practică; </w:t>
      </w:r>
    </w:p>
    <w:p w:rsidR="0044629B" w:rsidRPr="00F01EC1" w:rsidP="0044629B" w14:paraId="57ECE5BE" w14:textId="4ED9B4DD">
      <w:pPr>
        <w:pStyle w:val="NormalHanging12a"/>
        <w:rPr>
          <w:bCs/>
          <w:iCs/>
        </w:rPr>
      </w:pPr>
      <w:r w:rsidRPr="00F01EC1">
        <w:t>19</w:t>
      </w:r>
      <w:r w:rsidRPr="00F01EC1">
        <w:t>.</w:t>
      </w:r>
      <w:r w:rsidRPr="00F01EC1">
        <w:tab/>
        <w:t xml:space="preserve">insistă că UE și statele sale membre, alături de parteneri și aliați, trebuie să contribuie la garanții de securitate solide și obligatorii din punct de vedere juridic pentru Ucraina, pentru a descuraja noi agresiuni din partea Rusiei, care ar trebui să fie consolidate prin mecanisme obligatorii pentru monitorizarea conformității, coordonarea sistematică a asistenței și garantarea sprijinului susținut pe termen lung pentru suveranitatea, integritatea teritorială și reconstrucția Ucrainei; salută concluziile reuniunii „Coaliției de voință” de la Paris din 6 ianuarie 2026; salută călduros propunerea privind o forță multinațională de asigurare a securității pentru Ucraina și încurajează toate statele </w:t>
      </w:r>
      <w:r w:rsidRPr="00F01EC1">
        <w:t xml:space="preserve">membre ale UE să reflecteze temeinic asupra modului în care pot sprijini cel mai bine o astfel de forță; salută acordul de a finaliza angajamentul obligatoriu din punct de vedere politic și juridic de restabilire a păcii și securității în cazul unui viitor atac armat desfășurat de Rusia, precum și un cadru clar pentru sprijinirea Ucrainei; își reiterează apelurile pentru o coaliție a statelor membre ale UE dispuse să analizeze modalitățile de creare a unei zone de protecție aeriană integrată cu caracter defensiv, condusă de Europa, care să utilizeze patrule aeriene de luptă deasupra zonelor necontestate din Ucraina, ceea ce ar contribui la protejarea civililor ucraineni împotriva atacurilor fără discriminare asupra infrastructurii civile, ar oferi o apărare </w:t>
      </w:r>
      <w:r w:rsidRPr="00F01EC1">
        <w:t>proactivă</w:t>
      </w:r>
      <w:r w:rsidRPr="00F01EC1">
        <w:t xml:space="preserve"> împotriva incursiunilor Rusiei în spațiul aerian al UE și ar transfera echilibrul de putere pentru a forța Rusia să se așeze la masa negocierilor;</w:t>
      </w:r>
    </w:p>
    <w:p w:rsidR="0044629B" w:rsidRPr="00F01EC1" w:rsidP="0044629B" w14:paraId="363683F0" w14:textId="10FC61F9">
      <w:pPr>
        <w:pStyle w:val="NormalHanging12a"/>
        <w:rPr>
          <w:bCs/>
          <w:iCs/>
        </w:rPr>
      </w:pPr>
      <w:r w:rsidRPr="00F01EC1">
        <w:t>20</w:t>
      </w:r>
      <w:r w:rsidRPr="00F01EC1">
        <w:t>.</w:t>
      </w:r>
      <w:r w:rsidRPr="00F01EC1">
        <w:tab/>
        <w:t xml:space="preserve">solicită, având în vedere necesitatea unei presiuni mai mari asupra Rusiei, sancțiuni sporite, mai cuprinzătoare și structurale împotriva Rusiei și a aliaților săi, cu scopul de a o priva de resursele necesare pentru a-și finanța mașinăria militară și pentru a-și susține agresiunea împotriva Ucrainei, inclusiv sancțiuni individuale specifice în temeiul regimului mondial de sancțiuni al UE în materie de drepturi ale omului (Legea </w:t>
      </w:r>
      <w:r w:rsidRPr="00F01EC1">
        <w:t>Magnițki</w:t>
      </w:r>
      <w:r w:rsidRPr="00F01EC1">
        <w:t xml:space="preserve"> a UE) împotriva celor responsabili de încălcări grave ale drepturilor omului; solicită o mai bună aliniere a listelor de sancțiuni la cele ale partenerilor care împărtășesc aceeași viziune; solicită insistent mărirea capacității administrative și a resurselor financiare pentru a îmbunătăți conceperea, punerea în aplicare și asigurarea respectării sancțiunilor UE; insistă ca nicio sancțiune să nu fie ridicată înainte ca un acord de pace să fie negociat și aplicat în mod durabil; îndeamnă Consiliul și statele membre să abordeze în mod sistematic problema eludării sancțiunilor; subliniază că sancțiunile au un impact clar asupra economiei ruse, dar reiterează că regimul de sancțiuni trebuie să fie mai larg, iar punerea sa în aplicare trebuie să fie mai strictă pentru a se atinge efectul scontat, și anume limitarea fondurilor de care dispune Rusia pentru războiul său de agresiune; solicită, prin urmare, consolidarea și extinderea sancțiunilor care vizează sursele principale de venit ale Rusiei, printre care se numără sectorul energetic, al materiilor prime, cel financiar și cel al transporturilor; îndeamnă UE și statele sale membre să acționeze în mod coordonat în vederea interzicerii comerțului și a activităților comerciale cu Rusia și Belarus, acordând o atenție deosebită produselor și tehnologiilor cu potențiale aplicații cu dublă utilizare, și să interzică tranzitul mărfurilor către și dinspre Uniune pe teritoriile lor; solicită interzicerea totală a produselor siderurgice rusești</w:t>
      </w:r>
      <w:r w:rsidRPr="00F01EC1" w:rsidR="00F02101">
        <w:t xml:space="preserve"> și a exportului de alumină către Rusia</w:t>
      </w:r>
      <w:r w:rsidRPr="00F01EC1">
        <w:t>;</w:t>
      </w:r>
    </w:p>
    <w:p w:rsidR="0044629B" w:rsidRPr="00F01EC1" w:rsidP="0044629B" w14:paraId="647066D3" w14:textId="3D473F36">
      <w:pPr>
        <w:pStyle w:val="NormalHanging12a"/>
        <w:rPr>
          <w:bCs/>
          <w:iCs/>
        </w:rPr>
      </w:pPr>
      <w:r w:rsidRPr="00F01EC1">
        <w:t>21</w:t>
      </w:r>
      <w:r w:rsidRPr="00F01EC1">
        <w:t>.</w:t>
      </w:r>
      <w:r w:rsidRPr="00F01EC1">
        <w:tab/>
        <w:t>solicită intensificarea eforturilor de destructurare a operațiunilor flotei fantomă a Rusiei, care reprezintă un risc substanțial și în creștere pentru siguranța maritimă</w:t>
      </w:r>
      <w:r w:rsidRPr="00F01EC1" w:rsidR="0033742F">
        <w:t xml:space="preserve"> și mediu</w:t>
      </w:r>
      <w:r w:rsidRPr="00F01EC1">
        <w:t>, în special în Marea Baltică, de o importanță strategică majoră</w:t>
      </w:r>
      <w:r w:rsidRPr="00F01EC1" w:rsidR="0033742F">
        <w:t>; solicită, în acest sens, o cooperare mai strânsă între autoritățile din statele membre din jurul Mării Baltice, pentru a se asigura că operațiunile flotei fantomă sunt oprite în mod eficace</w:t>
      </w:r>
      <w:r w:rsidRPr="00F01EC1">
        <w:t>; îndeamnă statele membre să respecte cu strictețe legislația UE și să pună capăt tuturor importurilor de gaz natural lichefiat și de gaze naturale din Rusia, întrucât veniturile din acestea sprijină constant mașinăria de război a Rusiei și subminează eficacitatea sancțiunilor UE și sprijinul UE pentru Ucraina;</w:t>
      </w:r>
    </w:p>
    <w:p w:rsidR="0044629B" w:rsidRPr="00F01EC1" w:rsidP="0044629B" w14:paraId="4725A849" w14:textId="7150C578">
      <w:pPr>
        <w:pStyle w:val="NormalHanging12a"/>
        <w:rPr>
          <w:bCs/>
          <w:iCs/>
        </w:rPr>
      </w:pPr>
      <w:bookmarkStart w:id="7" w:name="_Hlk229052168"/>
      <w:r w:rsidRPr="00F01EC1">
        <w:t>22</w:t>
      </w:r>
      <w:r w:rsidRPr="00F01EC1">
        <w:t>.</w:t>
      </w:r>
      <w:r w:rsidRPr="00F01EC1">
        <w:tab/>
        <w:t xml:space="preserve">regretă deciziile dure luate de Comitetul Internațional Olimpic și de Comitetul Internațional </w:t>
      </w:r>
      <w:r w:rsidRPr="00F01EC1">
        <w:t>Paralimpic</w:t>
      </w:r>
      <w:r w:rsidRPr="00F01EC1">
        <w:t xml:space="preserve"> în ceea ce privește libertatea de exprimare a sportivilor ucraineni în timpul Jocurilor Olimpice și </w:t>
      </w:r>
      <w:r w:rsidRPr="00F01EC1">
        <w:t>Paralimpice</w:t>
      </w:r>
      <w:r w:rsidRPr="00F01EC1">
        <w:t xml:space="preserve"> de iarnă de la Milano Cortina din 2026, precum și decizia World </w:t>
      </w:r>
      <w:r w:rsidRPr="00F01EC1">
        <w:t>Aquatics</w:t>
      </w:r>
      <w:r w:rsidRPr="00F01EC1">
        <w:t xml:space="preserve"> de a elimina sancțiunile împotriva sportivilor ruși și belaruși și decizia Bienalei de la Veneția de a readmite artiști ruși; subliniază că sportul și cultura sunt utilizate în mod activ de regimurile rus și belarus pentru </w:t>
      </w:r>
      <w:r w:rsidRPr="00F01EC1">
        <w:t>propaganda de stat și pentru a modifica discursul privind autorii încălcărilor grave ale drepturilor omului și ai crimelor de război; își exprimă solidaritatea cu sportivii ucraineni care au fost discriminați și solicită UE și statelor sale membre să asigure aplicarea și respectarea deplină a dreptului european al concurenței; solicită să se împiedice eliberarea vizelor UE sportivilor și artiștilor ruși care nu se distanțează de războiul de agresiune al Rusiei împotriva Ucrainei;</w:t>
      </w:r>
    </w:p>
    <w:bookmarkEnd w:id="7"/>
    <w:p w:rsidR="0044629B" w:rsidRPr="00F01EC1" w:rsidP="0044629B" w14:paraId="0AB5C71F" w14:textId="77777777">
      <w:pPr>
        <w:pStyle w:val="NormalWeb"/>
        <w:rPr>
          <w:b/>
          <w:bCs/>
          <w:i/>
          <w:iCs/>
        </w:rPr>
      </w:pPr>
      <w:r w:rsidRPr="00F01EC1">
        <w:rPr>
          <w:b/>
          <w:i/>
        </w:rPr>
        <w:t>II. Sprijin financiar pe termen lung pentru Ucraina și despăgubiri de război</w:t>
      </w:r>
    </w:p>
    <w:p w:rsidR="0044629B" w:rsidRPr="00F01EC1" w:rsidP="0044629B" w14:paraId="7AA4B87D" w14:textId="18C2F885">
      <w:pPr>
        <w:pStyle w:val="NormalWeb"/>
        <w:ind w:left="720" w:hanging="720"/>
      </w:pPr>
      <w:r w:rsidRPr="00F01EC1">
        <w:t>23</w:t>
      </w:r>
      <w:r w:rsidRPr="00F01EC1">
        <w:t>.</w:t>
      </w:r>
      <w:r w:rsidRPr="00F01EC1">
        <w:tab/>
        <w:t>salută anunțul Comisiei din ianuarie 2026 potrivit căruia va oferi sprijin critic în valoare de 90 de miliarde EUR pentru nevoile bugetare și militare ale Ucrainei în perioada bienală 2026-2027 și salută flexibilitatea necesară prevăzută în pachet în cadrul regimului de derogare prevăzut la articolul 13 alineatul (5) din propunerea de regulament de instituire a împrumutului pentru sprijinirea Ucrainei pentru 2026 și 2027</w:t>
      </w:r>
      <w:r>
        <w:rPr>
          <w:rStyle w:val="FootnoteReference"/>
        </w:rPr>
        <w:footnoteReference w:id="7"/>
      </w:r>
      <w:r w:rsidRPr="00F01EC1">
        <w:t xml:space="preserve">; consideră îmbucurător că Consiliul </w:t>
      </w:r>
      <w:r w:rsidRPr="00F01EC1" w:rsidR="007E77A6">
        <w:t>a soluționat</w:t>
      </w:r>
      <w:r w:rsidRPr="00F01EC1">
        <w:t xml:space="preserve"> impasul care împiedică operaționalizarea împrumutului pentru sprijinirea Ucrainei și solicită deblocarea Fondului de asistență pentru Ucraina din cadrul Instrumentului european pentru pace; invită guvernele Ungariei, Slovaciei și Cehiei să își reanalizeze decizia de neparticipare și să participe la garanțiile pentru împrumut;</w:t>
      </w:r>
      <w:r w:rsidRPr="00F01EC1" w:rsidR="007E77A6">
        <w:t xml:space="preserve"> salută prima tranșă de 3,2 miliarde EUR din cadrul împrumutului pentru sprijinirea Ucrainei, care a fost plătită Ucrainei la 25 iunie 2026;</w:t>
      </w:r>
    </w:p>
    <w:p w:rsidR="0044629B" w:rsidRPr="00F01EC1" w:rsidP="0044629B" w14:paraId="1C469783" w14:textId="0AC4B90C">
      <w:pPr>
        <w:pStyle w:val="NormalWeb"/>
        <w:ind w:left="720" w:hanging="720"/>
        <w:rPr>
          <w:bCs/>
          <w:iCs/>
        </w:rPr>
      </w:pPr>
      <w:r w:rsidRPr="00F01EC1">
        <w:t>24</w:t>
      </w:r>
      <w:r w:rsidRPr="00F01EC1">
        <w:t>.</w:t>
      </w:r>
      <w:r w:rsidRPr="00F01EC1">
        <w:tab/>
        <w:t>invită Comisia și statele membre să adopte o abordare mai cuprinzătoare, pe termen lung și strategică privind sprijinul acordat Ucrainei, care să depășească măsurile de asistență ad-hoc; subliniază că este necesară o strategie structurată și multidimensională a UE care să combine sprijinul militar, economic și industrial susținut; solicită, în această privință, o extindere semnificativă a capacităților europene de producție în domeniul apărării și instituirea unor mecanisme de achiziții coordonate paneuropene pentru a asigura furnizarea suficientă și în timp util de muniție și echipamente în Ucraina;</w:t>
      </w:r>
    </w:p>
    <w:p w:rsidR="0044629B" w:rsidRPr="00F01EC1" w:rsidP="0044629B" w14:paraId="5B2F390E" w14:textId="37FBB3B6">
      <w:pPr>
        <w:pStyle w:val="NormalWeb"/>
        <w:ind w:left="720" w:hanging="720"/>
        <w:rPr>
          <w:bCs/>
          <w:iCs/>
        </w:rPr>
      </w:pPr>
      <w:r w:rsidRPr="00F01EC1">
        <w:t>25</w:t>
      </w:r>
      <w:r w:rsidRPr="00F01EC1">
        <w:t>.</w:t>
      </w:r>
      <w:r w:rsidRPr="00F01EC1">
        <w:tab/>
        <w:t>își reafirmă convingerea fermă că Rusia trebuie să plătească pentru daunele masive cauzate în Ucraina; evidențiază necesitatea unui cadru financiar multianual previzibil pentru Ucraina, care va ajuta Ucraina să acopere cheltuielile pentru redresare și apărare în timpul agresiunii ruse fără o incertitudine anuală; regretă că Comisia și Consiliul nu au fost de acord cu propunerea Comisiei privind un împrumut asociat reparațiilor</w:t>
      </w:r>
      <w:r>
        <w:rPr>
          <w:rStyle w:val="FootnoteReference"/>
          <w:bCs/>
          <w:iCs/>
        </w:rPr>
        <w:footnoteReference w:id="8"/>
      </w:r>
      <w:r w:rsidRPr="00F01EC1">
        <w:t xml:space="preserve"> utilizând soldurile de numerar asociate activelor suverane ruse și salută solicitările Consiliului adresate Comisiei de a continua să lucreze la aspectele tehnice și juridice ale instrumentelor de instituire a unui împrumut asociat reparațiilor pe baza soldurilor de numerar asociate activelor blocate ale Rusiei pentru a plăti pentru </w:t>
      </w:r>
      <w:r w:rsidRPr="00F01EC1">
        <w:t>apărarea, reconstrucția și despăgubirile Ucrainei; reafirmă necesitatea de a transfera aceste active blocate către un vehicul juridic cu scop special;</w:t>
      </w:r>
    </w:p>
    <w:p w:rsidR="0044629B" w:rsidRPr="00F01EC1" w:rsidP="0044629B" w14:paraId="3DACBE54" w14:textId="26858202">
      <w:pPr>
        <w:pStyle w:val="NormalWeb"/>
        <w:ind w:left="720" w:hanging="720"/>
        <w:rPr>
          <w:bCs/>
          <w:iCs/>
        </w:rPr>
      </w:pPr>
      <w:r w:rsidRPr="00F01EC1">
        <w:t>26</w:t>
      </w:r>
      <w:r w:rsidRPr="00F01EC1">
        <w:t>.</w:t>
      </w:r>
      <w:r w:rsidRPr="00F01EC1">
        <w:tab/>
        <w:t>salută acordul privind Convenția de înființare a unei Comisii internaționale privind cererile de despăgubire pentru Ucraina și îndeamnă la ratificarea rapidă a acesteia; salută propunerea Comisiei de a iniția procesul prin care UE devine membru fondator al Tribunalului Special pentru Crima de Agresiune împotriva Ucrainei ca un pas către asigurarea tragerii la răspundere pentru crima de agresiune și către sprijinirea eforturilor internaționale de asigurare a justiției; solicită un sprijin mai ferm din partea UE pentru strângerea și păstrarea probelor privind crimele de război comise de Rusia în Ucraina, inclusiv majorarea semnificativă a asistenței financiare, tehnice și criminalistice acordate procurorilor ucraineni și organismelor de anchetă care investighează crimele de război;</w:t>
      </w:r>
    </w:p>
    <w:p w:rsidR="0044629B" w:rsidRPr="00F01EC1" w:rsidP="0044629B" w14:paraId="270E7A1A" w14:textId="77777777">
      <w:pPr>
        <w:pStyle w:val="Normal12a"/>
        <w:rPr>
          <w:i/>
          <w:iCs/>
        </w:rPr>
      </w:pPr>
      <w:r w:rsidRPr="00F01EC1">
        <w:rPr>
          <w:b/>
          <w:i/>
        </w:rPr>
        <w:t xml:space="preserve">III. Angajamentul față de aderarea la UE și privind negocierile de aderare </w:t>
      </w:r>
    </w:p>
    <w:p w:rsidR="0044629B" w:rsidRPr="00F01EC1" w:rsidP="0044629B" w14:paraId="716F0C43" w14:textId="4281528A">
      <w:pPr>
        <w:pStyle w:val="NormalHanging12a"/>
      </w:pPr>
      <w:r w:rsidRPr="00F01EC1">
        <w:t>27</w:t>
      </w:r>
      <w:r w:rsidRPr="00F01EC1">
        <w:t>.</w:t>
      </w:r>
      <w:r w:rsidRPr="00F01EC1">
        <w:tab/>
        <w:t>salută călduros angajamentul continuu al Ucrainei de a îndeplini cerințele de aderare la UE și capacitatea sa de a realiza progrese pe calea aderării la UE; subliniază că progresele realizate de Ucraina trebuie luate în considerare întotdeauna în contextul războiului de agresiune al Rusiei care continuă și al impactului negativ al războiului asupra proceselor democratice și administrației publice din Ucraina;</w:t>
      </w:r>
      <w:r w:rsidRPr="00F01EC1">
        <w:rPr>
          <w:b/>
          <w:i/>
        </w:rPr>
        <w:t xml:space="preserve"> </w:t>
      </w:r>
    </w:p>
    <w:p w:rsidR="0044629B" w:rsidRPr="00F01EC1" w:rsidP="0044629B" w14:paraId="4C3657DB" w14:textId="764840BC">
      <w:pPr>
        <w:pStyle w:val="NormalHanging12a"/>
      </w:pPr>
      <w:r w:rsidRPr="00F01EC1">
        <w:t>28</w:t>
      </w:r>
      <w:r w:rsidRPr="00F01EC1">
        <w:t>.</w:t>
      </w:r>
      <w:r w:rsidRPr="00F01EC1">
        <w:tab/>
        <w:t>reafirmă că, deși procesul de extindere a UE trebuie să rămână strict obiectiv și bazat pe merite, pe criteriile de la Copenhaga și pe condițiile cadrului de extindere, extinderea constituie o investiție geostrategică reciproc avantajoasă în pacea, stabilitatea și securitatea continentului european, precum și o obligație morală; subliniază, prin urmare, că viitorul Ucrainei este în UE și recunoaște integrarea europeană a Ucrainei ca prioritate strategică pentru Uniune;</w:t>
      </w:r>
    </w:p>
    <w:p w:rsidR="0044629B" w:rsidRPr="00F01EC1" w:rsidP="0044629B" w14:paraId="5BD54D97" w14:textId="4CE86CE0">
      <w:pPr>
        <w:pStyle w:val="NormalHanging12a"/>
      </w:pPr>
      <w:r w:rsidRPr="00F01EC1">
        <w:t>29</w:t>
      </w:r>
      <w:r w:rsidRPr="00F01EC1">
        <w:t>.</w:t>
      </w:r>
      <w:r w:rsidRPr="00F01EC1">
        <w:tab/>
        <w:t>salută adoptarea Programului național al Ucrainei pentru adaptarea legislației ucrainene la dreptul Uniunii Europene ca instrument central pentru planificarea structurată și transparentă a procesului de aliniere legislativă, inclusiv a calendarului propriu ambițios pentru finalizarea tuturor etapelor necesare pentru a îndeplini criteriile de referință până în 2027;</w:t>
      </w:r>
    </w:p>
    <w:p w:rsidR="0044629B" w:rsidRPr="00F01EC1" w:rsidP="0044629B" w14:paraId="210E7C50" w14:textId="0BA59B87">
      <w:pPr>
        <w:pStyle w:val="NormalHanging12a"/>
      </w:pPr>
      <w:r w:rsidRPr="00F01EC1">
        <w:t>30</w:t>
      </w:r>
      <w:r w:rsidRPr="00F01EC1">
        <w:t>.</w:t>
      </w:r>
      <w:r w:rsidRPr="00F01EC1">
        <w:tab/>
        <w:t>salută finalizarea procesului de examinare analitică pentru toate grupurile tematice și ia act de evaluările Comisiei și ale Consiliului potrivit cărora Ucraina a avansat substanțial în direcția deschiderii grupurilor tematice de capitole de negociere; salută invitația adresată Consiliului, în martie 2026, de către Consiliul European, de a deschide fără întârziere toate grupurile tematice de capitole de negociere și invită Consiliul să acționeze imediat pentru a da curs acestei decizii, începând cu grupul tematic al elementelor fundamentale; între timp, salută decizia Comisiei și a președinției cipriote a Consiliului de a continua negocierile la nivel tehnic în perspectiva deschiderii negocierilor în viitor;</w:t>
      </w:r>
    </w:p>
    <w:p w:rsidR="0044629B" w:rsidRPr="00F01EC1" w:rsidP="0044629B" w14:paraId="43C3D677" w14:textId="6978EB1D">
      <w:pPr>
        <w:pStyle w:val="NormalHanging12a"/>
      </w:pPr>
      <w:r w:rsidRPr="00F01EC1">
        <w:t>31</w:t>
      </w:r>
      <w:r w:rsidRPr="00F01EC1">
        <w:t>.</w:t>
      </w:r>
      <w:r w:rsidRPr="00F01EC1">
        <w:tab/>
        <w:t xml:space="preserve">îndeamnă cu fermitate toate statele membre, în special noul guvern </w:t>
      </w:r>
      <w:r w:rsidRPr="00F01EC1" w:rsidR="00957BB5">
        <w:t>maghiar</w:t>
      </w:r>
      <w:r w:rsidRPr="00F01EC1">
        <w:t>, să înceteze să se opună deschiderii grupurilor tematice de negociere și să nu mai utilizeze perspectiva aderării Ucrainei la UE în politica internă și în campaniile politice;</w:t>
      </w:r>
      <w:r w:rsidRPr="00F01EC1" w:rsidR="00385089">
        <w:t xml:space="preserve"> salută deschiderea primului grup tematic fundamental de capitole de negociere de aderare și se așteaptă ca grupurile</w:t>
      </w:r>
      <w:r w:rsidRPr="00F01EC1" w:rsidR="00D3054C">
        <w:t xml:space="preserve"> tematice</w:t>
      </w:r>
      <w:r w:rsidRPr="00F01EC1" w:rsidR="00385089">
        <w:t xml:space="preserve"> ulterioare să urmeze;</w:t>
      </w:r>
    </w:p>
    <w:p w:rsidR="0044629B" w:rsidRPr="00F01EC1" w:rsidP="0044629B" w14:paraId="4B075F0F" w14:textId="5EE0981E">
      <w:pPr>
        <w:pStyle w:val="NormalHanging12a"/>
      </w:pPr>
      <w:r w:rsidRPr="00F01EC1">
        <w:t>32</w:t>
      </w:r>
      <w:r w:rsidRPr="00F01EC1">
        <w:t>.</w:t>
      </w:r>
      <w:r w:rsidRPr="00F01EC1">
        <w:tab/>
        <w:t>este conștient de faptul că posibila aderare a Ucrainei la Uniune va avea implicații bugetare semnificative; subliniază, cu toate acestea, că se preconizează că majoritatea costurilor de reconstrucție vor fi acoperite din alte surse decât bugetul UE și vor necesita, pe lângă eforturile interne uriașe, contribuția instituțiilor financiare internaționale, a investițiilor private și a țărilor partenere; subliniază că este important să fie menținut și consolidat în continuare sprijinul public în statele membre și în Ucraina pentru procesul de extindere și pentru aderarea Ucrainei, pentru care este nevoie de o comunicare adaptată și bazată pe fapte la nivelul UE și la nivel național, inclusiv cu privire la modul de abordare a preocupărilor legitime cu privire la impactul asupra anumitor sectoare economice și politici ale UE, cum ar fi politica agricolă comună;</w:t>
      </w:r>
    </w:p>
    <w:p w:rsidR="0044629B" w:rsidRPr="00F01EC1" w:rsidP="0044629B" w14:paraId="74D69564" w14:textId="693895E8">
      <w:pPr>
        <w:pStyle w:val="NormalHanging12a"/>
      </w:pPr>
      <w:r w:rsidRPr="00F01EC1">
        <w:t>33</w:t>
      </w:r>
      <w:r w:rsidRPr="00F01EC1">
        <w:t>.</w:t>
      </w:r>
      <w:r w:rsidRPr="00F01EC1">
        <w:tab/>
        <w:t xml:space="preserve">solicită Consiliului, Comisiei și statelor membre să dea dovadă de gândire cât se poate de inovatoare pentru a se asigura că discuțiile referitoare la aderarea Ucrainei la UE nu devin un factor negativ în negocierile de pace, pentru alte state în curs de aderare sau pentru politica internă a Ucrainei; </w:t>
      </w:r>
      <w:r w:rsidRPr="00F01EC1" w:rsidR="00385089">
        <w:t xml:space="preserve">invită statele membre să se implice activ și constructiv în discutarea propunerilor care vizează promovarea integrării europene a Ucrainei, reflectând în același timp interesele strategice ale UE, ținând seama de dinamica din țările în curs de aderare, inclusiv de încercările Rusiei de a submina sprijinul public pentru extinderea UE și aderarea la UE, și promovând securitatea viitoare a Ucrainei și a continentului european; </w:t>
      </w:r>
      <w:r w:rsidRPr="00F01EC1">
        <w:t>solicită din nou să se consolideze capacitatea UE de a acționa prin simplificarea proceselor decizionale, cum ar fi introducerea votului cu majoritate calificată în etapele intermediare ale procesului de extindere atunci când se decide cu privire la deschiderea și închiderea grupurilor tematice individuale de capitole de negociere și a capitolelor de negociere, în deplină conformitate cu tratatele;</w:t>
      </w:r>
    </w:p>
    <w:p w:rsidR="00D22B0C" w:rsidRPr="00F01EC1" w:rsidP="0044629B" w14:paraId="2CFFAEC6" w14:textId="37A49BEE">
      <w:pPr>
        <w:pStyle w:val="NormalHanging12a"/>
      </w:pPr>
      <w:r w:rsidRPr="00F01EC1">
        <w:t>34</w:t>
      </w:r>
      <w:r w:rsidRPr="00F01EC1">
        <w:t>.</w:t>
      </w:r>
      <w:r w:rsidRPr="00F01EC1">
        <w:tab/>
        <w:t xml:space="preserve">reamintește poziția sa adoptată anterior cu privire la masacrul de la </w:t>
      </w:r>
      <w:r w:rsidRPr="00F01EC1">
        <w:t>Volînia</w:t>
      </w:r>
      <w:r w:rsidRPr="00F01EC1">
        <w:t xml:space="preserve">; regretă recenta escaladare inutilă și neprovocată de către președintele </w:t>
      </w:r>
      <w:r w:rsidRPr="00F01EC1">
        <w:t>Volodîmîr</w:t>
      </w:r>
      <w:r w:rsidRPr="00F01EC1">
        <w:t xml:space="preserve"> </w:t>
      </w:r>
      <w:r w:rsidRPr="00F01EC1">
        <w:t>Zelenskîi</w:t>
      </w:r>
      <w:r w:rsidRPr="00F01EC1">
        <w:t xml:space="preserve"> prin redenumirea unei unități militare de elită a forțelor armate ucrainene după eroii Armatei Insurgente Ucrainene (UPA); regretă nerespectarea sensibilităților și durerea Poloniei legate de nenumăratele victime ale UPA, al căror număr este estimat la mai multe zeci de mii, și de familiile acestora, în special având în vedere sprijinul ferm al Poloniei pentru lupta Ucrainei împotriva agresiunii Rusiei; consideră că această decizie subminează relațiile de vecinătate și eforturile anterioare de a aborda aspectele nerezolvate și dureroase ale relațiilor istorice bilaterale într-un spirit de reconciliere reală și sinceră și nu este conformă cu valorile europene; solicită detensionarea situației și reînnoirea eforturilor cu bună credință în vederea reconcilierii;</w:t>
      </w:r>
    </w:p>
    <w:p w:rsidR="0044629B" w:rsidRPr="00F01EC1" w:rsidP="0044629B" w14:paraId="672E2073" w14:textId="3ADBCB69">
      <w:pPr>
        <w:pStyle w:val="NormalHanging12a"/>
      </w:pPr>
      <w:r w:rsidRPr="00F01EC1">
        <w:t>35</w:t>
      </w:r>
      <w:r w:rsidRPr="00F01EC1">
        <w:t>.</w:t>
      </w:r>
      <w:r w:rsidRPr="00F01EC1">
        <w:tab/>
        <w:t>consideră că politica de cooperare și orientată spre viitor a Ucrainei față de țările învecinate, inclusiv soluționarea litigiilor bilaterale și dialogul istoric, contribuie la realizarea de progrese în procesul de aderare și subliniază că procesul de aderare nu ar trebui utilizat în mod abuziv pentru a obstrucționa progresele bazate pe merite pe calea europeană sau pentru a depăși interesele strategice mai ample ale Uniunii și că astfel de chestiuni trebuie abordate mai degrabă printr-un dialog deschis și o cooperare reală;</w:t>
      </w:r>
    </w:p>
    <w:p w:rsidR="0044629B" w:rsidRPr="00F01EC1" w:rsidP="0044629B" w14:paraId="6F9FD72F" w14:textId="77777777">
      <w:pPr>
        <w:pStyle w:val="Normal12a"/>
        <w:rPr>
          <w:bCs/>
          <w:i/>
          <w:iCs/>
        </w:rPr>
      </w:pPr>
      <w:r w:rsidRPr="00F01EC1">
        <w:rPr>
          <w:b/>
          <w:i/>
        </w:rPr>
        <w:t>IV. Democrația și instituțiile democratice</w:t>
      </w:r>
      <w:r w:rsidRPr="00F01EC1">
        <w:rPr>
          <w:i/>
        </w:rPr>
        <w:t xml:space="preserve"> </w:t>
      </w:r>
    </w:p>
    <w:p w:rsidR="0044629B" w:rsidRPr="00F01EC1" w:rsidP="0044629B" w14:paraId="620F0621" w14:textId="1D1744BA">
      <w:pPr>
        <w:pStyle w:val="NormalHanging12a"/>
      </w:pPr>
      <w:r w:rsidRPr="00F01EC1">
        <w:t>36</w:t>
      </w:r>
      <w:r w:rsidRPr="00F01EC1">
        <w:t>.</w:t>
      </w:r>
      <w:r w:rsidRPr="00F01EC1">
        <w:tab/>
        <w:t xml:space="preserve">salută eforturile extraordinare ale Ucrainei de consolidare a instituțiilor democratice pe timp de război; este preocupat, cu toate acestea, de recenta deteriorare a relațiilor dintre puterea legislativă și cea executivă; îndeamnă ferm toate părțile interesate să restabilească relații productive între guvern și Rada Supremă și invită toți actorii politici din Ucraina, în special pe cei aflați în prezent la putere, să promoveze unitatea politică </w:t>
      </w:r>
      <w:r w:rsidRPr="00F01EC1">
        <w:t>și elaborarea de politici coerente și favorabile incluziunii, îndemnând forțele politice ale Ucrainei să rămână unite în jurul apărării țării și al căii sale de integrare în UE; în mod specific, invită autoritățile ucrainene să respecte principiul repartizării competențelor, a pluralismului pluripartit și a incluziunii, asigurând respectarea competențelor și drepturilor autorităților locale și ale organismelor de autoadministrare locale, respectarea statului de drept și a libertăților fundamentale, inclusiv a pluralismului mass-mediei, în conformitate cu principiile și valorile democratice pe care ucrainenii le apără atât de ferm și curajos; invită instituțiile UE să își intensifice colaborarea cu Rada Supremă;</w:t>
      </w:r>
    </w:p>
    <w:p w:rsidR="0044629B" w:rsidRPr="00F01EC1" w:rsidP="0044629B" w14:paraId="756B1B18" w14:textId="20B45549">
      <w:pPr>
        <w:pStyle w:val="NormalHanging12a"/>
        <w:rPr>
          <w:bCs/>
          <w:iCs/>
        </w:rPr>
      </w:pPr>
      <w:r w:rsidRPr="00F01EC1">
        <w:t>37</w:t>
      </w:r>
      <w:r w:rsidRPr="00F01EC1">
        <w:t>.</w:t>
      </w:r>
      <w:r w:rsidRPr="00F01EC1">
        <w:tab/>
        <w:t>reafirmă importanța vitală a unității politice interne ca pilon fundamental al rezilienței pe termen lung a Ucrainei față de agresiunea continuă a Federației Ruse; reiterează, de asemenea, importanța menținerii pluralismului parlamentar ca piatră de temelie a guvernanței democratice; subliniază necesitatea unei cooperări constructive și semnificative între toate forțele politice parlamentare reprezentate în Rada Supremă, cu scopul de a consolida reziliența politică, militară, economică și socială, precum și punerea în aplicare a criteriilor de aderare la UE;</w:t>
      </w:r>
    </w:p>
    <w:p w:rsidR="0044629B" w:rsidRPr="00F01EC1" w:rsidP="0044629B" w14:paraId="28FB5245" w14:textId="41389076">
      <w:pPr>
        <w:pStyle w:val="NormalHanging12a"/>
      </w:pPr>
      <w:r w:rsidRPr="00F01EC1">
        <w:t>38</w:t>
      </w:r>
      <w:r w:rsidRPr="00F01EC1">
        <w:t>.</w:t>
      </w:r>
      <w:r w:rsidRPr="00F01EC1">
        <w:tab/>
        <w:t>reafirmă rolul central al Radei Supreme în adoptarea rapidă a reformelor; subliniază importanța respectării și consolidării rolului instituțional al Radei Supreme și sprijină eforturile de reformă în curs de a consolida capacitatea sa legislativă, supravegherea executivului și responsabilitatea față de public; este preocupat de întârzierile în adoptarea unor astfel de legi și invită Rada Supremă și membrii săi să instituie o procedură accelerată pentru adoptarea rapidă a acestora, susținând totodată pe deplin controlul parlamentar al propunerilor legislative;</w:t>
      </w:r>
    </w:p>
    <w:p w:rsidR="0044629B" w:rsidRPr="00F01EC1" w:rsidP="0044629B" w14:paraId="4C8FDFEE" w14:textId="320AC886">
      <w:pPr>
        <w:pStyle w:val="NormalHanging12a"/>
      </w:pPr>
      <w:r w:rsidRPr="00F01EC1">
        <w:t>39</w:t>
      </w:r>
      <w:r w:rsidRPr="00F01EC1">
        <w:t>.</w:t>
      </w:r>
      <w:r w:rsidRPr="00F01EC1">
        <w:tab/>
        <w:t>îndeamnă Guvernul Ucrainei și opoziția să caute în mod activ mijloace și modalități practice, inclusiv explorând noi abordări ale cooperării politice cuprinzătoare, pentru a coopera pentru promovarea reformelor europene pe calea către aderarea la UE a Ucrainei; își reiterează îngrijorarea cu privire la restricțiile privind călătoriile în străinătate ale membrilor Radei Supreme a Ucrainei și repetă recomandarea sa de a elimina restricțiile privind deplasările în străinătate legate de mandat și politice pentru membrii parlamentului; recomandă consolidarea capacității de legiferare a Radei Supreme pentru a produce o legislație de mai bună calitate și pentru a combate „</w:t>
      </w:r>
      <w:r w:rsidRPr="00F01EC1">
        <w:t>spammingul</w:t>
      </w:r>
      <w:r w:rsidRPr="00F01EC1">
        <w:t xml:space="preserve"> legislativ”, în situațiile în care circulă mai multe proiecte de legi paralele de slabă calitate pe aceeași temă;</w:t>
      </w:r>
    </w:p>
    <w:p w:rsidR="0044629B" w:rsidRPr="00F01EC1" w:rsidP="0044629B" w14:paraId="468E9683" w14:textId="62BB855C">
      <w:pPr>
        <w:pStyle w:val="NormalHanging12a"/>
      </w:pPr>
      <w:r w:rsidRPr="00F01EC1">
        <w:t>40</w:t>
      </w:r>
      <w:r w:rsidRPr="00F01EC1">
        <w:t>.</w:t>
      </w:r>
      <w:r w:rsidRPr="00F01EC1">
        <w:tab/>
        <w:t xml:space="preserve">salută participarea constantă a Ucrainei la Parteneriatul estic și la Adunarea Parlamentară </w:t>
      </w:r>
      <w:r w:rsidRPr="00F01EC1">
        <w:t>Euronest</w:t>
      </w:r>
      <w:r w:rsidRPr="00F01EC1">
        <w:t>; salută participarea membrilor din opoziție ai Radei Supreme la reuniunile acesteia;</w:t>
      </w:r>
    </w:p>
    <w:p w:rsidR="00613CC2" w:rsidRPr="00F01EC1" w:rsidP="0044629B" w14:paraId="315CE4C6" w14:textId="6FCDEC78">
      <w:pPr>
        <w:pStyle w:val="NormalHanging12a"/>
      </w:pPr>
      <w:r w:rsidRPr="00F01EC1">
        <w:t>41</w:t>
      </w:r>
      <w:r w:rsidRPr="00F01EC1">
        <w:t>.</w:t>
      </w:r>
      <w:r w:rsidRPr="00F01EC1">
        <w:tab/>
        <w:t xml:space="preserve">subliniază importanța cultivării unei culturi politice constructive și a promovării unei cooperări bazate pe încredere între partidele politice din Ucraina; constată participarea activă a parlamentarilor ucraineni la Dialogul Jean </w:t>
      </w:r>
      <w:r w:rsidRPr="00F01EC1">
        <w:t>Monnet</w:t>
      </w:r>
      <w:r w:rsidRPr="00F01EC1">
        <w:t xml:space="preserve"> pentru Pace și Democrație cu Rada Supremă a Ucrainei și că anul acesta se împlinesc 10 ani de la lansarea sa în octombrie 2016; salută acest format ca instrument susținut și constructiv de dialog între partide, care a ajutat conducerea și toate facțiunile și grupurile parlamentare din Rada Supremă să ajungă la un consens cu privire la reformele instituționale; încurajează Rada Supremă să convoace o nouă rundă pentru a consolida reformele necesare pentru procesul de aderare a Ucrainei;</w:t>
      </w:r>
    </w:p>
    <w:p w:rsidR="0044629B" w:rsidRPr="00F01EC1" w:rsidP="0044629B" w14:paraId="6730EC64" w14:textId="4EF7FB9A">
      <w:pPr>
        <w:pStyle w:val="NormalHanging12a"/>
      </w:pPr>
      <w:r w:rsidRPr="00F01EC1">
        <w:t>42</w:t>
      </w:r>
      <w:r w:rsidRPr="00F01EC1">
        <w:t>.</w:t>
      </w:r>
      <w:r w:rsidRPr="00F01EC1">
        <w:tab/>
        <w:t>recunoaște eforturile extraordinare ale Ucrainei de pregătire a alegerilor democratice, care urmează să aibă loc după ridicarea legii marțiale, și insistă să se acorde timpul adecvat pentru îndeplinirea standardelor și condițiilor necesare în vederea unor alegeri libere și corecte; reamintește că, în conformitate cu principiile democratice recunoscute pe scară largă și cu Constituția Ucrainei, alegerile nu pot avea loc în timpul războiului și în regimul legii marțiale și că acestea necesită o situație generală sigură și un timp adecvat pentru pregătirea și accesul la informații pentru a respecta standardele internaționale; consideră, prin urmare, că presiunea exercitată de administrația SUA asupra Ucrainei pentru a organiza alegeri în timp ce războiul de agresiune al Rusiei continuă, iar țara se află sub legea marțială, este inadecvată și consideră că acest lucru nu servește scopului legitimității democratice;</w:t>
      </w:r>
    </w:p>
    <w:p w:rsidR="0044629B" w:rsidRPr="00F01EC1" w:rsidP="0044629B" w14:paraId="5AE99922" w14:textId="1A7C3357">
      <w:pPr>
        <w:pStyle w:val="NormalHanging12a"/>
      </w:pPr>
      <w:r w:rsidRPr="00F01EC1">
        <w:t>43</w:t>
      </w:r>
      <w:r w:rsidRPr="00F01EC1">
        <w:t>.</w:t>
      </w:r>
      <w:r w:rsidRPr="00F01EC1">
        <w:tab/>
        <w:t>recunoaște activitatea importantă a grupurilor de lucru create de Rada Supremă cu scopul de a elabora o legislație electorală pentru primele alegeri de după război; invită UE și statele sale membre să acorde asistență pentru reformarea legislației electorale a Ucrainei, inclusiv pentru eliminarea obstacolelor care împiedică persoanele strămutate forțat să participe la alegerile parlamentare și prezidențiale, și să acorde asistență financiară, în special pentru organizarea votării în afara Ucrainei; recomandă ca Uniunea Europeană să sprijine pe deplin și să pregătească o misiune internațională de observare a alegerilor pe termen lung;</w:t>
      </w:r>
    </w:p>
    <w:p w:rsidR="0044629B" w:rsidRPr="00F01EC1" w:rsidP="0044629B" w14:paraId="4EA4A144" w14:textId="29CA55C4">
      <w:pPr>
        <w:pStyle w:val="NormalHanging12a"/>
      </w:pPr>
      <w:r w:rsidRPr="00F01EC1">
        <w:t>44</w:t>
      </w:r>
      <w:r w:rsidRPr="00F01EC1">
        <w:t>.</w:t>
      </w:r>
      <w:r w:rsidRPr="00F01EC1">
        <w:tab/>
        <w:t>reamintește că războiul de agresiune al Rusiei este purtat și în sfera informațiilor și condamnă ferm tentativele Rusiei de a delegitima instituțiile ucrainene; subliniază că războiul cognitiv al Rusiei vizează sprijinul public acordat Ucrainei în democrațiile europene, inclusiv prin asistență pentru diverse partide politice; insistă, prin urmare, ca Ucraina să primească asistență din partea UE pentru combaterea acțiunilor străine de manipulare a informațiilor și a ingerințelor străine în timpul alegerilor sale postbelice, similară asistenței acordate Republicii Moldova, și îndeamnă Ucraina și UE să își unească forțele în acest scop;</w:t>
      </w:r>
    </w:p>
    <w:p w:rsidR="0044629B" w:rsidRPr="00F01EC1" w:rsidP="0044629B" w14:paraId="1CCB8778" w14:textId="52490CC7">
      <w:pPr>
        <w:pStyle w:val="NormalHanging12a"/>
      </w:pPr>
      <w:r w:rsidRPr="00F01EC1">
        <w:t>45</w:t>
      </w:r>
      <w:r w:rsidRPr="00F01EC1">
        <w:t>.</w:t>
      </w:r>
      <w:r w:rsidRPr="00F01EC1">
        <w:tab/>
        <w:t>salută reluarea transmisiilor parlamentare, care a consolidat legitimitatea democratică a Ucrainei; recunoaște provocările legate de menținerea pluralismului mass-mediei în condiții de război; subliniază că nicio restricție introdusă în astfel de circumstanțe extraordinare nu are un caracter permanent și că astfel de restricții ar trebui revizuite și ajustate periodic, dacă este oportun și posibil, în funcție de evoluția situației; evidențiază că prelungirea războiului nu justifică în sine continuarea nelimitată a restricțiilor și că, pe măsură ce reziliența Ucrainei se consolidează, aceste măsuri ar trebui diminuate treptat, rămânând în vigoare doar măsurile strict necesare și proporționale cu considerentele de securitate națională;</w:t>
      </w:r>
    </w:p>
    <w:p w:rsidR="0044629B" w:rsidRPr="00F01EC1" w:rsidP="0044629B" w14:paraId="4718D14C" w14:textId="77777777">
      <w:pPr>
        <w:pStyle w:val="NormalHanging12a"/>
        <w:rPr>
          <w:b/>
          <w:bCs/>
          <w:i/>
          <w:iCs/>
        </w:rPr>
      </w:pPr>
      <w:r w:rsidRPr="00F01EC1">
        <w:rPr>
          <w:b/>
          <w:i/>
        </w:rPr>
        <w:t>V. Statul de drept și reformele judiciare</w:t>
      </w:r>
    </w:p>
    <w:p w:rsidR="0044629B" w:rsidRPr="00F01EC1" w:rsidP="0044629B" w14:paraId="1E222E1F" w14:textId="4FF9E7DD">
      <w:pPr>
        <w:pStyle w:val="NormalHanging12a"/>
      </w:pPr>
      <w:r w:rsidRPr="00F01EC1">
        <w:t>46</w:t>
      </w:r>
      <w:r w:rsidRPr="00F01EC1">
        <w:t>.</w:t>
      </w:r>
      <w:r w:rsidRPr="00F01EC1">
        <w:tab/>
        <w:t xml:space="preserve">salută adoptarea planului prioritar de reformă în 10 puncte (așa-numitul „plan </w:t>
      </w:r>
      <w:r w:rsidRPr="00F01EC1">
        <w:t>Kos-Kacika</w:t>
      </w:r>
      <w:r w:rsidRPr="00F01EC1">
        <w:t>”) convenit de UE și Ucraina în decembrie 2025, ca pas important către consolidarea statului de drept, promovarea reformei judiciare și intensificarea eforturilor anticorupție; salută efortul continuu de a pune în aplicare planul și încurajează Ucraina să ajungă la rezultate concrete cât mai curând posibil, făcând progrese în ceea ce privește reformele dincolo de stadiul de dezbatere sau de grupuri de lucru;</w:t>
      </w:r>
      <w:r w:rsidRPr="00F01EC1" w:rsidR="00120A43">
        <w:t xml:space="preserve"> subliniază că nivelul de punere în aplicare a planului la jumătatea anului 2026, de aproximativ 15</w:t>
      </w:r>
      <w:r w:rsidRPr="00F01EC1" w:rsidR="007D618D">
        <w:t> </w:t>
      </w:r>
      <w:r w:rsidRPr="00F01EC1" w:rsidR="00120A43">
        <w:t>%, măsurat de comunitatea ucraineană de grupuri de reflecție, ar trebui considerat nesatisfăcător pentru Ucraina;</w:t>
      </w:r>
    </w:p>
    <w:p w:rsidR="0044629B" w:rsidRPr="00F01EC1" w:rsidP="0044629B" w14:paraId="2050291D" w14:textId="4140E1ED">
      <w:pPr>
        <w:pStyle w:val="NormalHanging12a"/>
      </w:pPr>
      <w:r w:rsidRPr="00F01EC1">
        <w:t>47</w:t>
      </w:r>
      <w:r w:rsidRPr="00F01EC1">
        <w:t>.</w:t>
      </w:r>
      <w:r w:rsidRPr="00F01EC1">
        <w:tab/>
        <w:t>subliniază importanța punerii sale în aplicare complete și în timp util, inclusiv prin intermediul unor jaloane clar definite, al unor indicatori măsurabili și al unor mecanisme eficiente de monitorizare; își exprimă îngrijorarea cu privire la progresele limitate înregistrate în anumite domenii prioritare și îndeamnă autoritățile ucrainene să accelereze punerea în aplicare pe baza unor criterii de referință clare și a unui angajament politic susținut, deoarece punerea în aplicare la timp, credibilă și eficace va fi esențială pentru consolidarea rezilienței democratice a Ucrainei și pentru promovarea procesului său de aderare la UE;</w:t>
      </w:r>
    </w:p>
    <w:p w:rsidR="0044629B" w:rsidRPr="00F01EC1" w:rsidP="0044629B" w14:paraId="3E460CCF" w14:textId="7128165D">
      <w:pPr>
        <w:pStyle w:val="NormalHanging12a"/>
      </w:pPr>
      <w:r w:rsidRPr="00F01EC1">
        <w:t>48</w:t>
      </w:r>
      <w:r w:rsidRPr="00F01EC1">
        <w:t>.</w:t>
      </w:r>
      <w:r w:rsidRPr="00F01EC1">
        <w:tab/>
        <w:t xml:space="preserve">salută crearea inițiativei emblematice Ukraine2EU, inițiată de UE, Lituania și Danemarca și căreia i s-au alăturat ulterior Suedia, Irlanda și Polonia, care acordă asistență specifică instituțiilor de stat ucrainene pentru parcurgerea etapelor necesare pentru a finaliza procesul de aderare la UE și a se pregăti pentru aderarea la UE; subliniază importanța unor proiecte de asistență tehnică precum cel menționat și solicită ca acestea să fie sprijinite în permanență și ca mai multe state membre să se implice; salută, de asemenea, eforturile organizațiilor societății civile de monitorizare a punerii în aplicare, care sprijină promovarea unor reforme suplimentare; </w:t>
      </w:r>
    </w:p>
    <w:p w:rsidR="0044629B" w:rsidRPr="00F01EC1" w:rsidP="0044629B" w14:paraId="206641C9" w14:textId="29EEE2C0">
      <w:pPr>
        <w:pStyle w:val="NormalHanging12a"/>
      </w:pPr>
      <w:r w:rsidRPr="00F01EC1">
        <w:t>49</w:t>
      </w:r>
      <w:r w:rsidRPr="00F01EC1">
        <w:t>.</w:t>
      </w:r>
      <w:r w:rsidRPr="00F01EC1">
        <w:tab/>
        <w:t xml:space="preserve">salută progresele înregistrate de Ucraina în ceea ce privește reforma sistemului judiciar și lupta împotriva corupției și recunoaște că aceste progrese sunt realizate sub presiunea extraordinară a războiului; solicită progrese susținute și accelerate în aceste domenii critice, deoarece un stat de drept puternic permite transparența și asumarea răspunderii în procesele de reconstrucție și de redresare economică și îmbunătățește climatul de investiții și încrederea partenerilor internaționali; salută punerea în aplicare a foii de parcurs privind statul de drept, adoptată în mai 2025, și subliniază că aceste progrese sunt direct legate de creșterea încrederii publicului în instituțiile statului; </w:t>
      </w:r>
    </w:p>
    <w:p w:rsidR="0044629B" w:rsidRPr="00F01EC1" w:rsidP="0044629B" w14:paraId="0DF674AB" w14:textId="4C7DA80E">
      <w:pPr>
        <w:pStyle w:val="NormalHanging12a"/>
      </w:pPr>
      <w:r w:rsidRPr="00F01EC1">
        <w:t>50</w:t>
      </w:r>
      <w:r w:rsidRPr="00F01EC1">
        <w:t>.</w:t>
      </w:r>
      <w:r w:rsidRPr="00F01EC1">
        <w:tab/>
        <w:t xml:space="preserve">este în continuare îngrijorat pentru că nu au fost numiți judecători verificați la nivel internațional în cadrul Curții Constituționale; solicită Radei Supreme să adopte Legea privind Curtea Constituțională în conformitate cu avizele Comisiei de la Veneția, asigurând o procedură de selecție transparentă, cu participarea experților internaționali și o majoritate parlamentară de două treimi pentru numiri; îndeamnă Ucraina să valorifice expertiza și asistența internațională disponibilă pentru a-și transforma sistemul judiciar, recunoscând totodată că îmbunătățirea instituțională necesită punerea în aplicare a unor măsuri mai ample de consolidare a performanței și a independenței; solicită realizarea de progrese privind o reformă cuprinzătoare a Asociației naționale a barourilor din Ucraina, în mod prioritar în 2026; </w:t>
      </w:r>
    </w:p>
    <w:p w:rsidR="0044629B" w:rsidRPr="00F01EC1" w:rsidP="0044629B" w14:paraId="42E683E3" w14:textId="0BA505CB">
      <w:pPr>
        <w:pStyle w:val="NormalHanging12a"/>
      </w:pPr>
      <w:r w:rsidRPr="00F01EC1">
        <w:t>51</w:t>
      </w:r>
      <w:r w:rsidRPr="00F01EC1">
        <w:t>.</w:t>
      </w:r>
      <w:r w:rsidRPr="00F01EC1">
        <w:tab/>
        <w:t>îndeamnă Ucraina să depună mai multe eforturi pentru a asigura profesionalismul și integritatea persoanelor care ocupă funcții judiciare; subliniază că este nevoie de numiri transparente în sistemul judiciar și de investigări și sancționări eficace ale infracțiunilor de corupție la toate nivelurile; încurajează Ucraina să reformeze procesele de selectare și destituire a procurorului general și să limiteze influența necuvenită asupra cauzelor individuale, inclusiv prin atribuirea automată a cauzelor și prin limitarea accesului la dosarele cauzelor; încurajează sistemul judiciar să investească în continuare în noi tehnologii pentru a contribui la depășirea problemei lipsei de personal și a volumelor de muncă mari; felicită sistemul judiciar pentru că își continuă activitatea în condiții dificile și societatea civilă din Ucraina pentru monitorizarea punerii în aplicare a reformelor privind statul de drept;</w:t>
      </w:r>
    </w:p>
    <w:p w:rsidR="0044629B" w:rsidRPr="00F01EC1" w:rsidP="0044629B" w14:paraId="205E650C" w14:textId="54DBF504">
      <w:pPr>
        <w:pStyle w:val="NormalHanging12a"/>
      </w:pPr>
      <w:r w:rsidRPr="00F01EC1">
        <w:t>52</w:t>
      </w:r>
      <w:r w:rsidRPr="00F01EC1">
        <w:t>.</w:t>
      </w:r>
      <w:r w:rsidRPr="00F01EC1">
        <w:tab/>
        <w:t xml:space="preserve">solicită o reformă a Serviciului de Securitate (SBU) și a Biroului de Stat pentru Investigații (SBI), pe baza inițiativei președintelui </w:t>
      </w:r>
      <w:r w:rsidRPr="00F01EC1">
        <w:t>Zelenski</w:t>
      </w:r>
      <w:r w:rsidRPr="00F01EC1">
        <w:t xml:space="preserve">, astfel cum a fost anunțată la </w:t>
      </w:r>
      <w:r w:rsidRPr="00F01EC1">
        <w:t xml:space="preserve">2 ianuarie 2026, în special pentru ca SBU să pună accentul pe activitatea de contrainformații, combatere a terorismului și alte surse de amenințări la adresa securității, precum și pe potențialul de abuz de putere și pe susținerea drepturilor omului; apreciază eforturile depuse pentru reformarea acestor instituții pe timp de război; regretă însă că proiectul de lege privind reforma SBI nu a fost adoptat în plenul Radei Supreme până la sfârșitul lunii aprilie 2026; recunoaște contribuțiile Misiunii UE de consiliere în Ucraina datorită activității sale importante privind integrarea europeană, inclusiv privind reforma sectorului securității, statul de drept și asumarea răspunderii; </w:t>
      </w:r>
    </w:p>
    <w:p w:rsidR="0044629B" w:rsidRPr="00F01EC1" w:rsidP="0044629B" w14:paraId="60573F12" w14:textId="1553841B">
      <w:pPr>
        <w:pStyle w:val="NormalHanging12a"/>
      </w:pPr>
      <w:r w:rsidRPr="00F01EC1">
        <w:t>53</w:t>
      </w:r>
      <w:r w:rsidRPr="00F01EC1">
        <w:t>.</w:t>
      </w:r>
      <w:r w:rsidRPr="00F01EC1">
        <w:tab/>
        <w:t xml:space="preserve">solicită o revizuire a Codului de procedură penală și a legislației conexe pentru a asigura o justiție rapidă și de înaltă calitate, în special printr-o revizuire a dispozițiilor care prevăd închiderea automată a anchetelor din cauza expirării termenelor de cercetare preliminară și a scurtării termenelor de cercetare, care pun în pericol anchetarea eficace a cazurilor penale complexe, inclusiv a cazurilor de corupție la nivel înalt; îndeamnă, de asemenea, autoritățile ucrainene să ia masuri în legătură cu practicile de arestare preventivă și abuzurile la adresa drepturilor procedurale; încurajează o mai mare transparență în ceea ce privește accesul la evidențele publice, recunoscând totodată nevoile în materie de securitate pe timp de război; salută introducerea unei noi legi privind activitățile de lobby; </w:t>
      </w:r>
    </w:p>
    <w:p w:rsidR="0044629B" w:rsidRPr="00F01EC1" w:rsidP="0044629B" w14:paraId="0E1B7AD8" w14:textId="3FFFB7A1">
      <w:pPr>
        <w:pStyle w:val="NormalHanging12a"/>
      </w:pPr>
      <w:r w:rsidRPr="00F01EC1">
        <w:t>54</w:t>
      </w:r>
      <w:r w:rsidRPr="00F01EC1">
        <w:t>.</w:t>
      </w:r>
      <w:r w:rsidRPr="00F01EC1">
        <w:tab/>
        <w:t>îndeamnă autoritățile ucrainene să se abțină de la orice proceduri judiciare motivate politic și de la introducerea unor sancțiuni personale împotriva reprezentanților și liderilor opoziției și împotriva liderilor organizațiilor societății civile; accentuează că astfel de practici riscă să submineze standardele democratice și încrederea publicului;</w:t>
      </w:r>
    </w:p>
    <w:p w:rsidR="00120A43" w:rsidRPr="00F01EC1" w:rsidP="0044629B" w14:paraId="26B9BB1A" w14:textId="6A939158">
      <w:pPr>
        <w:pStyle w:val="NormalHanging12a"/>
      </w:pPr>
      <w:r w:rsidRPr="00F01EC1">
        <w:t>55</w:t>
      </w:r>
      <w:r w:rsidRPr="00F01EC1">
        <w:t>.</w:t>
      </w:r>
      <w:r w:rsidRPr="00F01EC1">
        <w:tab/>
        <w:t>invită autoritățile ucrainene să elimine din legislația națională încălcările standardelor europene și internaționale general recunoscute privind independența parlamentară, cum ar fi mandatul de reprezentare liberă, separarea puterilor și principiul securității juridice, în măsura în care acestea se referă la asimilarea eronată a unui membru al Parlamentului Ucrainei cu statutul de funcționar public; subliniază că un deputat în Parlamentul Ucrainei exercită un mandat de reprezentare și nu aparține niciunei ierarhii administrative, nu este numit într-o funcție, nu îndeplinește funcții oficiale și, prin urmare, nu poate fi definit în legislația națională ca funcționar public;</w:t>
      </w:r>
    </w:p>
    <w:p w:rsidR="0044629B" w:rsidRPr="00F01EC1" w:rsidP="0044629B" w14:paraId="4F447A1F" w14:textId="77777777">
      <w:pPr>
        <w:pStyle w:val="NormalHanging12a"/>
        <w:rPr>
          <w:b/>
          <w:bCs/>
          <w:i/>
          <w:iCs/>
        </w:rPr>
      </w:pPr>
      <w:r w:rsidRPr="00F01EC1">
        <w:rPr>
          <w:b/>
          <w:i/>
        </w:rPr>
        <w:t>VI. Combaterea corupției</w:t>
      </w:r>
    </w:p>
    <w:p w:rsidR="0044629B" w:rsidRPr="00F01EC1" w:rsidP="0044629B" w14:paraId="110DE64F" w14:textId="503481B1">
      <w:pPr>
        <w:pStyle w:val="NormalHanging12a"/>
        <w:rPr>
          <w:bCs/>
          <w:iCs/>
        </w:rPr>
      </w:pPr>
      <w:r w:rsidRPr="00F01EC1">
        <w:t>56</w:t>
      </w:r>
      <w:r w:rsidRPr="00F01EC1">
        <w:t>.</w:t>
      </w:r>
      <w:r w:rsidRPr="00F01EC1">
        <w:tab/>
        <w:t>salută progresele înregistrate de agențiile specializate de combatere a corupției în descoperirea și urmărirea penală a cazurilor care implică persoane de nivel înalt și salută punerea în aplicare a mecanismelor de avertizare în interes public; evidențiază că expunerea recentă a corupției la nivel înalt este o dovadă atât a necesității de a continua lupta împotriva corupției, cât și a succesului eforturilor depuse în acest sens; recunoaște că Ucraina a înregistrat un succes remarcabil în cercetarea și urmărirea penală a cazurilor de corupție; subliniază că un istoric solid și ireversibil al investigațiilor, al urmăririlor penale și al condamnărilor definitive în cauzele de corupție la nivel înalt rămâne esențial; avertizează că orice regres în ceea ce privește reformele anticorupție ar submina grav încrederea publicului și calea integrării europene a Ucrainei;</w:t>
      </w:r>
    </w:p>
    <w:p w:rsidR="0044629B" w:rsidRPr="00F01EC1" w:rsidP="0044629B" w14:paraId="5D491F84" w14:textId="096033DA">
      <w:pPr>
        <w:pStyle w:val="NormalHanging12a"/>
        <w:rPr>
          <w:bCs/>
          <w:iCs/>
        </w:rPr>
      </w:pPr>
      <w:r w:rsidRPr="00F01EC1">
        <w:t>57</w:t>
      </w:r>
      <w:r w:rsidRPr="00F01EC1">
        <w:t>.</w:t>
      </w:r>
      <w:r w:rsidRPr="00F01EC1">
        <w:tab/>
        <w:t xml:space="preserve">salută recrutarea la scară largă a unor noi angajați pentru Biroul Național Anticorupție al Ucrainei (NABU) și Parchetul Specializat Anticorupție (SAPO); salută, de asemenea, aprobarea strategiei de dezvoltare a NABU și inițierea lucrărilor pentru strategia de dezvoltare instituțională a SAPO; </w:t>
      </w:r>
    </w:p>
    <w:p w:rsidR="0044629B" w:rsidRPr="00F01EC1" w:rsidP="0044629B" w14:paraId="594AFB58" w14:textId="4AB1EFC9">
      <w:pPr>
        <w:pStyle w:val="NormalHanging12a"/>
        <w:rPr>
          <w:bCs/>
          <w:iCs/>
        </w:rPr>
      </w:pPr>
      <w:r w:rsidRPr="00F01EC1">
        <w:t>58</w:t>
      </w:r>
      <w:r w:rsidRPr="00F01EC1">
        <w:t>.</w:t>
      </w:r>
      <w:r w:rsidRPr="00F01EC1">
        <w:tab/>
        <w:t>evidențiază activitatea crucială desfășurată de instituții esențiale de combatere a corupției, cum ar fi NABU, precum și eforturile depuse de societatea civilă pentru a menține independența administrațiilor anticorupție și a crește eficiența acestora; salută numirea membrilor internaționali ai comisiei de selecție pentru SAPO, exprimându-și în același timp îngrijorarea cu privire la problemele etice semnalate în legătură cu unul dintre membrii ucraineni; salută progresele substanțiale înregistrate în intervievarea candidaților pentru Înalta Curte Anticorupție printr-un proces riguros, independent, incluziv și transparent de către Consiliul Public al Experților Internaționali și Comisia Superioară pentru Calificarea Judecătorilor;</w:t>
      </w:r>
    </w:p>
    <w:p w:rsidR="0044629B" w:rsidRPr="00F01EC1" w:rsidP="0044629B" w14:paraId="2C994A7E" w14:textId="2748D7B3">
      <w:pPr>
        <w:pStyle w:val="NormalHanging12a"/>
        <w:rPr>
          <w:bCs/>
          <w:iCs/>
        </w:rPr>
      </w:pPr>
      <w:r w:rsidRPr="00F01EC1">
        <w:t>59</w:t>
      </w:r>
      <w:r w:rsidRPr="00F01EC1">
        <w:t>.</w:t>
      </w:r>
      <w:r w:rsidRPr="00F01EC1">
        <w:tab/>
        <w:t xml:space="preserve">insistă ca autoritățile ucrainene să garanteze independența instituțională și operațională a NABU și a SAPO; condamnă orice ingerință politică, instrumentalizare sau intimidare care vizează instituțiile de combatere a corupției, inclusiv inspecțiile, urmăririle penale și constrângerile operaționale nejustificate, și solicită încetarea imediată a presiunii necuvenite exercitate de serviciile de securitate și informații, inclusiv de SBU; accentuează că protejarea NABU și a SAPO este o condiție prealabilă principală pentru statul de drept, procesul de aderare a Ucrainei la UE și utilizarea credibilă a sprijinului internațional; </w:t>
      </w:r>
    </w:p>
    <w:p w:rsidR="0044629B" w:rsidRPr="00F01EC1" w:rsidP="0044629B" w14:paraId="0FCB905A" w14:textId="3087B429">
      <w:pPr>
        <w:pStyle w:val="NormalHanging12a"/>
        <w:rPr>
          <w:bCs/>
          <w:iCs/>
        </w:rPr>
      </w:pPr>
      <w:r w:rsidRPr="00F01EC1">
        <w:t>60</w:t>
      </w:r>
      <w:r w:rsidRPr="00F01EC1">
        <w:t>.</w:t>
      </w:r>
      <w:r w:rsidRPr="00F01EC1">
        <w:tab/>
        <w:t>reafirmă că este nevoie ca Agenția Națională pentru Prevenirea Corupției să își îmbunătățească procedurile de verificare a declarațiilor de avere și să își concentreze eforturile asupra înalților funcționari din domeniile identificate ca având risc ridicat; îndeamnă Ucraina să pună în aplicare pe deplin reforma Agenției de recuperare și gestionare a activelor, inclusiv normele interne necesare ale acesteia; regretă că autoritățile de aplicare a legii, altele decât organismele anticorupție specializate, au înregistrat progrese limitate în îmbunătățirea rezultatelor în cazurile de anticorupție;</w:t>
      </w:r>
    </w:p>
    <w:p w:rsidR="0044629B" w:rsidRPr="00F01EC1" w:rsidP="0044629B" w14:paraId="0F6D989A" w14:textId="61176355">
      <w:pPr>
        <w:pStyle w:val="NormalHanging12a"/>
        <w:rPr>
          <w:bCs/>
          <w:iCs/>
        </w:rPr>
      </w:pPr>
      <w:r w:rsidRPr="00F01EC1">
        <w:t>61</w:t>
      </w:r>
      <w:r w:rsidRPr="00F01EC1">
        <w:t>.</w:t>
      </w:r>
      <w:r w:rsidRPr="00F01EC1">
        <w:tab/>
        <w:t>salută aderarea Ucrainei la Grupul de lucru privind combaterea dării și luării de mită al Organizației pentru Cooperare și Dezvoltare Economică (OCDE) ca un pas pozitiv către aderarea deplină și ca o afirmare suplimentară a angajamentului Ucrainei față de standardele internaționale de transparență și bună guvernanță; recunoaște în progresele înregistrate de Ucraina în punerea în aplicare a legislației de combatere a dării și luării de mită pentru tranzacțiile internaționale marca unei țări care se integrează în comunitatea mondială a actorilor economici responsabili și încurajează Ucraina să își continue eforturile pentru a menține aceste progrese;</w:t>
      </w:r>
    </w:p>
    <w:p w:rsidR="0044629B" w:rsidRPr="00F01EC1" w:rsidP="0044629B" w14:paraId="7A83FF7E" w14:textId="594A96EF">
      <w:pPr>
        <w:pStyle w:val="NormalHanging12a"/>
        <w:rPr>
          <w:bCs/>
          <w:iCs/>
        </w:rPr>
      </w:pPr>
      <w:r w:rsidRPr="00F01EC1">
        <w:t>62</w:t>
      </w:r>
      <w:r w:rsidRPr="00F01EC1">
        <w:t>.</w:t>
      </w:r>
      <w:r w:rsidRPr="00F01EC1">
        <w:tab/>
        <w:t>reafirmă importanța luptei continue împotriva criminalității organizate; îndeamnă Ucraina să depună și mai multe eforturi pentru a intensifica lupta împotriva escrocheriilor și a fraudei online;</w:t>
      </w:r>
    </w:p>
    <w:p w:rsidR="0044629B" w:rsidRPr="00F01EC1" w:rsidP="0044629B" w14:paraId="34ED83C7" w14:textId="77777777">
      <w:pPr>
        <w:pStyle w:val="Normal12a"/>
        <w:rPr>
          <w:i/>
          <w:iCs/>
        </w:rPr>
      </w:pPr>
      <w:r w:rsidRPr="00F01EC1">
        <w:rPr>
          <w:b/>
          <w:i/>
        </w:rPr>
        <w:t>VII. Libertățile fundamentale și drepturile omului</w:t>
      </w:r>
    </w:p>
    <w:p w:rsidR="0044629B" w:rsidRPr="00F01EC1" w:rsidP="0044629B" w14:paraId="16E53EA4" w14:textId="1D8D2D9C">
      <w:pPr>
        <w:pStyle w:val="NormalHanging12a"/>
      </w:pPr>
      <w:r w:rsidRPr="00F01EC1">
        <w:t>63</w:t>
      </w:r>
      <w:r w:rsidRPr="00F01EC1">
        <w:t>.</w:t>
      </w:r>
      <w:r w:rsidRPr="00F01EC1">
        <w:tab/>
        <w:t xml:space="preserve">salută angajamentul Ucrainei de a respecta drepturile fundamentale în pofida agresiunii în curs a Rusiei și salută în special planul de acțiune pentru minoritățile naționale; încurajează Ucraina să mențină un dialog structurat și constructiv cu statele membre vecine cu privire la drepturile persoanelor aparținând minorităților naționale, în conformitate cu standardele europene și recomandările Comisiei de la Veneția; apreciază eforturile autorităților ucrainene pentru reformarea sistemului de învățământ și își exprimă speranța că prevederile Legii educației care vor intra în vigoare în 2027 nu vor submina dreptul la educație în limba maternă al minorităților naționale; </w:t>
      </w:r>
    </w:p>
    <w:p w:rsidR="0044629B" w:rsidRPr="00F01EC1" w:rsidP="0044629B" w14:paraId="73A0C8C8" w14:textId="4C1B8AE5">
      <w:pPr>
        <w:pStyle w:val="NormalHanging12a"/>
      </w:pPr>
      <w:r w:rsidRPr="00F01EC1">
        <w:t>64</w:t>
      </w:r>
      <w:r w:rsidRPr="00F01EC1">
        <w:t>.</w:t>
      </w:r>
      <w:r w:rsidRPr="00F01EC1">
        <w:tab/>
        <w:t xml:space="preserve">invită Ucraina să asigure un sprijin continuu pentru libertatea de exprimare și independența mass-mediei; invită Ucraina să se asigure că restricțiile impuse de legea marțială sunt strict necesare și proporționale; solicită investigarea promptă, independentă și eficientă a cazurilor de intimidare și hărțuire directă, precum și a formelor indirecte de presiune asupra jurnaliștilor și a instituțiilor media; reamintește rolul crucial pe care îl are finanțarea adecvată în asigurarea independenței radiodifuziunii publice, permițându-i să își îndeplinească rolul consacrat în legislația Ucrainei, și invită autoritățile ucrainene să se asigure că conținutul produs de mass-media finanțată din fonduri publice este reprezentativ pentru pluralismul politic și societal al Ucrainei; </w:t>
      </w:r>
    </w:p>
    <w:p w:rsidR="0044629B" w:rsidRPr="00F01EC1" w:rsidP="0044629B" w14:paraId="7A438B20" w14:textId="57AC4922">
      <w:pPr>
        <w:pStyle w:val="NormalHanging12a"/>
      </w:pPr>
      <w:r w:rsidRPr="00F01EC1">
        <w:t>65</w:t>
      </w:r>
      <w:r w:rsidRPr="00F01EC1">
        <w:t>.</w:t>
      </w:r>
      <w:r w:rsidRPr="00F01EC1">
        <w:tab/>
        <w:t xml:space="preserve">încurajează adoptarea Legii nr. 13597 care consolidează protecțiile juridice împotriva discriminării, infracțiunilor motivate de ură și discursului de incitare la ură pe criterii de rasă, culoare a pielii, convingeri politice, religioase și de altă natură, gen, orientare sexuală, identitate de gen, naționalitate, origine etnică, socială sau străină, vârstă, stare de sănătate, dizabilitate, situație familială și proprietate, drepturi și responsabilități familiale, reședință, limbă, ocupație sau pe alte criterii, în conformitate cu angajamentele asumate de Ucraina în temeiul acordului de asociere și al procesului de aderare la UE; </w:t>
      </w:r>
    </w:p>
    <w:p w:rsidR="0044629B" w:rsidRPr="00F01EC1" w:rsidP="0044629B" w14:paraId="0C3D4F2D" w14:textId="077E844F">
      <w:pPr>
        <w:pStyle w:val="NormalHanging12a"/>
      </w:pPr>
      <w:r w:rsidRPr="00F01EC1">
        <w:t>66</w:t>
      </w:r>
      <w:r w:rsidRPr="00F01EC1">
        <w:t>.</w:t>
      </w:r>
      <w:r w:rsidRPr="00F01EC1">
        <w:tab/>
        <w:t xml:space="preserve">salută eforturile depuse în prezent de Ucraina pentru a-și moderniza legislația civilă; subliniază că este important să se asigure faptul că orice astfel de reforme sunt în deplină conformitate cu standardele UE privind egalitatea și nediscriminarea, inclusiv protecția drepturilor femeilor și ale persoanelor LGBTIQ+; salută hotărârea pronunțată recent de Curtea Supremă a Ucrainei prin care un cuplu de persoane de același sex este recunoscut ca familie de facto; solicită adoptarea proiectului de lege nr. 9103 privind recunoașterea juridică a parteneriatelor civile în Ucraina; </w:t>
      </w:r>
    </w:p>
    <w:p w:rsidR="0044629B" w:rsidRPr="00F01EC1" w:rsidP="0044629B" w14:paraId="27133143" w14:textId="1BA66DD8">
      <w:pPr>
        <w:pStyle w:val="NormalHanging12a"/>
      </w:pPr>
      <w:r w:rsidRPr="00F01EC1">
        <w:t>67</w:t>
      </w:r>
      <w:r w:rsidRPr="00F01EC1">
        <w:t>.</w:t>
      </w:r>
      <w:r w:rsidRPr="00F01EC1">
        <w:tab/>
        <w:t xml:space="preserve">salută activitățile de monitorizare și activism din partea societății civile ucrainene care au condus la o promisiune a legiuitorilor ucraineni de a retrage proiectele de amendamente la Codul familiei care ar fi permis instanțelor să aprobe căsătoria timpurie pentru fetele cu vârsta de 14 ani în cazuri excepționale; îndeamnă Rada Supremă să se asigure că aceste dispoziții sunt într-adevăr retrase definitiv; </w:t>
      </w:r>
    </w:p>
    <w:p w:rsidR="0044629B" w:rsidRPr="00F01EC1" w:rsidP="0044629B" w14:paraId="2655AEDC" w14:textId="5AD0B236">
      <w:pPr>
        <w:pStyle w:val="NormalHanging12a"/>
      </w:pPr>
      <w:r w:rsidRPr="00F01EC1">
        <w:t>68</w:t>
      </w:r>
      <w:r w:rsidRPr="00F01EC1">
        <w:t>.</w:t>
      </w:r>
      <w:r w:rsidRPr="00F01EC1">
        <w:tab/>
        <w:t xml:space="preserve">invită Ucraina să procedeze la adoptarea legislației blocate privind protecția datelor cu caracter personal; </w:t>
      </w:r>
    </w:p>
    <w:p w:rsidR="0044629B" w:rsidRPr="00F01EC1" w:rsidP="0044629B" w14:paraId="4021E764" w14:textId="1351AB0B">
      <w:pPr>
        <w:pStyle w:val="NormalHanging12a"/>
      </w:pPr>
      <w:r w:rsidRPr="00F01EC1">
        <w:t>69</w:t>
      </w:r>
      <w:r w:rsidRPr="00F01EC1">
        <w:t>.</w:t>
      </w:r>
      <w:r w:rsidRPr="00F01EC1">
        <w:tab/>
        <w:t>salută adoptarea unei strategii de dezinstituționalizare și activitatea privind reforma în domeniul serviciilor de accesibilitate și reabilitare; accentuează totuși că este necesar să se adopte rapid legislație privind reabilitarea persoanelor cu dizabilități, veghind totodată ca aceste reforme incluzive să ajungă la nivel local și la nivelul comunităților;</w:t>
      </w:r>
    </w:p>
    <w:p w:rsidR="0044629B" w:rsidRPr="00F01EC1" w:rsidP="0044629B" w14:paraId="6FB6CD61" w14:textId="3F1B8E47">
      <w:pPr>
        <w:pStyle w:val="NormalHanging12a"/>
        <w:rPr>
          <w:b/>
          <w:i/>
        </w:rPr>
      </w:pPr>
      <w:r w:rsidRPr="00F01EC1">
        <w:t>70</w:t>
      </w:r>
      <w:r w:rsidRPr="00F01EC1">
        <w:t>.</w:t>
      </w:r>
      <w:r w:rsidRPr="00F01EC1">
        <w:rPr>
          <w:b/>
          <w:i/>
        </w:rPr>
        <w:tab/>
      </w:r>
      <w:r w:rsidRPr="00F01EC1">
        <w:t>ia act de adoptarea legii care va permite parohiilor ortodoxe din Ucraina să înceteze afilierea la jurisdicția Patriarhiei Moscovei și să decidă liber asupra noii lor afilieri ierarhice; constată că, în august 2024, parohiile ortodoxe române din Ucraina au depus o cerere de recunoaștere a asociației religioase „Biserica Ortodoxă Română din Ucraina”, la care pot adera parohiile care încetează afilierea la Patriarhia Moscovei; invită autoritățile ucrainene să înregistreze fără alte întârzieri asociația religioasă „Biserica Ortodoxă Română din Ucraina”;</w:t>
      </w:r>
    </w:p>
    <w:p w:rsidR="0044629B" w:rsidRPr="00F01EC1" w:rsidP="0044629B" w14:paraId="52F1EB36" w14:textId="77777777">
      <w:pPr>
        <w:pStyle w:val="NormalHanging12a"/>
        <w:rPr>
          <w:b/>
          <w:bCs/>
          <w:i/>
          <w:iCs/>
        </w:rPr>
      </w:pPr>
      <w:r w:rsidRPr="00F01EC1">
        <w:rPr>
          <w:b/>
          <w:i/>
        </w:rPr>
        <w:t>VIII. Rolul societății civile</w:t>
      </w:r>
    </w:p>
    <w:p w:rsidR="0044629B" w:rsidRPr="00F01EC1" w:rsidP="0044629B" w14:paraId="25D962E4" w14:textId="1F2E05FF">
      <w:pPr>
        <w:pStyle w:val="NormalHanging12a"/>
      </w:pPr>
      <w:r w:rsidRPr="00F01EC1">
        <w:t>71</w:t>
      </w:r>
      <w:r w:rsidRPr="00F01EC1">
        <w:t>.</w:t>
      </w:r>
      <w:r w:rsidRPr="00F01EC1">
        <w:tab/>
        <w:t>felicită societatea civilă ucraineană pentru că a rămas activă în ciuda dificultăților cu care se confruntă pe timp de război; îndeamnă toate autoritățile ucrainene să asigure consultări sistematice și semnificative cu societatea civilă și cu partenerii sociali, să se asigure că contribuțiile primite din partea acestora sunt luate cum se cuvine în considerare și să combată orice formă de presiune politică asupra organizațiilor societății civile; invită Ucraina să adopte Legea privind căile de atac ale cetățenilor pentru a asigura buna guvernanță și participarea cetățenilor; recunoaște importanța societății civile pentru consolidarea rezilienței poporului ucrainean în timpul războiului și evidențiază rolul crucial pe care trebuie să îl joace societatea civilă în redresarea sustenabilă a Ucrainei după război;</w:t>
      </w:r>
    </w:p>
    <w:p w:rsidR="0044629B" w:rsidRPr="00F01EC1" w:rsidP="0044629B" w14:paraId="1FB38A5D" w14:textId="43A8D710">
      <w:pPr>
        <w:pStyle w:val="NormalHanging12a"/>
      </w:pPr>
      <w:r w:rsidRPr="00F01EC1">
        <w:t>72</w:t>
      </w:r>
      <w:r w:rsidRPr="00F01EC1">
        <w:t>.</w:t>
      </w:r>
      <w:r w:rsidRPr="00F01EC1">
        <w:tab/>
        <w:t>salută utilizarea instrumentelor digitale pentru democrație, inclusiv a petițiilor electronice și a scrisorilor deschise, și sprijină forme mai structurate și instituționalizate de implicare civică, inclusiv pentru comunitățile din diasporă;</w:t>
      </w:r>
    </w:p>
    <w:p w:rsidR="0044629B" w:rsidRPr="00F01EC1" w:rsidP="0044629B" w14:paraId="45CFDAD7" w14:textId="3F4F48F8">
      <w:pPr>
        <w:pStyle w:val="NormalHanging12a"/>
      </w:pPr>
      <w:r w:rsidRPr="00F01EC1">
        <w:t>73</w:t>
      </w:r>
      <w:r w:rsidRPr="00F01EC1">
        <w:t>.</w:t>
      </w:r>
      <w:r w:rsidRPr="00F01EC1">
        <w:tab/>
        <w:t>invită Comisia să includă sistematic societatea civilă și alte organizații și instituții societale relevante din Ucraina în conceperea și monitorizarea sprijinului financiar și a reformelor UE;</w:t>
      </w:r>
    </w:p>
    <w:p w:rsidR="0044629B" w:rsidRPr="00F01EC1" w:rsidP="0044629B" w14:paraId="520B47C4" w14:textId="5FAF28DC">
      <w:pPr>
        <w:pStyle w:val="Normal12a"/>
        <w:ind w:left="567" w:hanging="567"/>
        <w:rPr>
          <w:bCs/>
        </w:rPr>
      </w:pPr>
      <w:r w:rsidRPr="00F01EC1">
        <w:t>74</w:t>
      </w:r>
      <w:r w:rsidRPr="00F01EC1">
        <w:t>.</w:t>
      </w:r>
      <w:r w:rsidRPr="00F01EC1">
        <w:tab/>
        <w:t xml:space="preserve">salută contribuția organizațiilor neguvernamentale europene și internaționale la schimbul de experiență și la sprijinul pentru societatea civilă ucraineană, în special implicarea lor în combaterea campaniilor de dezinformare ale Rusiei îndreptate împotriva Ucrainei și ucrainenilor în interiorul UE; solicită intensificarea în continuare a cooperării cu aceste organizații, pentru a proteja drepturile fundamentale, a consolida reziliența în materie de informare și a sprijini discursul public credibil; </w:t>
      </w:r>
    </w:p>
    <w:p w:rsidR="0044629B" w:rsidRPr="00F01EC1" w:rsidP="0044629B" w14:paraId="15CD05FE" w14:textId="77777777">
      <w:pPr>
        <w:pStyle w:val="Normal12a"/>
        <w:rPr>
          <w:i/>
          <w:iCs/>
        </w:rPr>
      </w:pPr>
      <w:r w:rsidRPr="00F01EC1">
        <w:rPr>
          <w:b/>
          <w:i/>
        </w:rPr>
        <w:t>IX. Integrarea pe piața unică</w:t>
      </w:r>
    </w:p>
    <w:p w:rsidR="0044629B" w:rsidRPr="00F01EC1" w:rsidP="0044629B" w14:paraId="756BA84D" w14:textId="5DBF66CC">
      <w:pPr>
        <w:pStyle w:val="NormalHanging12a"/>
        <w:rPr>
          <w:bCs/>
          <w:iCs/>
        </w:rPr>
      </w:pPr>
      <w:r w:rsidRPr="00F01EC1">
        <w:t>75</w:t>
      </w:r>
      <w:r w:rsidRPr="00F01EC1">
        <w:t>.</w:t>
      </w:r>
      <w:r w:rsidRPr="00F01EC1">
        <w:tab/>
        <w:t>subliniază că este important să se accelereze integrarea treptată a Ucrainei pe piața unică a UE, care are beneficii economice pentru ambele părți, Ucraina și statele membre; accentuează că acesta este un element crucial al sprijinului economic din partea UE în lupta împotriva agresiunii ruse și în pregătirea industriei ucrainene pentru a funcționa în condițiile de pe piața unică a UE; recomandă ca Ucraina să urmeze cele 10 priorități prezentate în planul prioritar de acțiune pentru zona de liber schimb aprofundată și cuprinzătoare UE-Ucraina;</w:t>
      </w:r>
    </w:p>
    <w:p w:rsidR="0044629B" w:rsidRPr="00F01EC1" w:rsidP="0044629B" w14:paraId="3E2499AB" w14:textId="12D78903">
      <w:pPr>
        <w:pStyle w:val="NormalHanging12a"/>
        <w:rPr>
          <w:bCs/>
          <w:iCs/>
        </w:rPr>
      </w:pPr>
      <w:r w:rsidRPr="00F01EC1">
        <w:t>76</w:t>
      </w:r>
      <w:r w:rsidRPr="00F01EC1">
        <w:t>.</w:t>
      </w:r>
      <w:r w:rsidRPr="00F01EC1">
        <w:tab/>
        <w:t>invită Comisia și statele membre să țină seama de legăturile strânse dintre reconstrucție și integrarea viitoare a Ucrainei pe piața unică a UE; subliniază că planul de reconstrucție ar trebui să includă măsuri de promovare a alinierii în materie de reglementare și să sprijine investițiile în infrastructura critică, rețelele de transport și legăturile feroviare, facilitând astfel respectarea standardelor pieței unice și consolidând cooperarea comercială și economică cu statele membre;</w:t>
      </w:r>
    </w:p>
    <w:p w:rsidR="0044629B" w:rsidRPr="00F01EC1" w:rsidP="0044629B" w14:paraId="1D280D2A" w14:textId="71AFF6F4">
      <w:pPr>
        <w:pStyle w:val="NormalHanging12a"/>
        <w:rPr>
          <w:bCs/>
          <w:iCs/>
        </w:rPr>
      </w:pPr>
      <w:r w:rsidRPr="00F01EC1">
        <w:t>77</w:t>
      </w:r>
      <w:r w:rsidRPr="00F01EC1">
        <w:t>.</w:t>
      </w:r>
      <w:r w:rsidRPr="00F01EC1">
        <w:tab/>
        <w:t>salută aderarea Ucrainei la spațiul UE de roaming la prețurile de pe piața națională în ianuarie 2026, care va oferi populației ucrainene unul dintre beneficiile cele mai concrete și resimțite imediat ale procesului de aderare a țării la UE;</w:t>
      </w:r>
    </w:p>
    <w:p w:rsidR="0044629B" w:rsidRPr="00F01EC1" w:rsidP="0044629B" w14:paraId="248DC825" w14:textId="06A1D7B2">
      <w:pPr>
        <w:pStyle w:val="NormalHanging12a"/>
      </w:pPr>
      <w:r w:rsidRPr="00F01EC1">
        <w:t>78</w:t>
      </w:r>
      <w:r w:rsidRPr="00F01EC1">
        <w:t>.</w:t>
      </w:r>
      <w:r w:rsidRPr="00F01EC1">
        <w:tab/>
        <w:t>salută eforturile crescute ale Ucrainei de a-și alinia pozițiile la UE și la Organizația Mondială a Comerțului; încurajează o coordonare strânsă cu UE în ceea ce privește negocierile comerciale internaționale, în special în vederea integrării treptate a Ucrainei pe piața unică a UE și a consolidării participării sale la lanțurile valorice mondiale;</w:t>
      </w:r>
    </w:p>
    <w:p w:rsidR="0044629B" w:rsidRPr="00F01EC1" w:rsidP="0044629B" w14:paraId="6E43FCA5" w14:textId="77777777">
      <w:pPr>
        <w:pStyle w:val="NormalHanging12a"/>
        <w:rPr>
          <w:b/>
          <w:bCs/>
          <w:i/>
          <w:iCs/>
        </w:rPr>
      </w:pPr>
      <w:r w:rsidRPr="00F01EC1">
        <w:rPr>
          <w:b/>
          <w:i/>
        </w:rPr>
        <w:t>X. Cooperarea în domeniul apărării</w:t>
      </w:r>
    </w:p>
    <w:p w:rsidR="0044629B" w:rsidRPr="00F01EC1" w:rsidP="0044629B" w14:paraId="4140318A" w14:textId="09DC6E41">
      <w:pPr>
        <w:pStyle w:val="NormalHanging12a"/>
      </w:pPr>
      <w:r w:rsidRPr="00F01EC1">
        <w:t>79</w:t>
      </w:r>
      <w:r w:rsidRPr="00F01EC1">
        <w:t>.</w:t>
      </w:r>
      <w:r w:rsidRPr="00F01EC1">
        <w:tab/>
        <w:t>recunoaște că industria de apărare a Ucrainei a devenit o componentă vitală și complementară a securității europene, mai ales în ceea ce privește capacitatea de producție a dronelor, inovarea testată în luptă în domeniul sistemelor fără pilot, războiul electronic și software-</w:t>
      </w:r>
      <w:r w:rsidRPr="00F01EC1">
        <w:t>ul</w:t>
      </w:r>
      <w:r w:rsidRPr="00F01EC1">
        <w:t xml:space="preserve"> folosit pe câmpul de luptă;</w:t>
      </w:r>
    </w:p>
    <w:p w:rsidR="0044629B" w:rsidRPr="00F01EC1" w:rsidP="0044629B" w14:paraId="56B94EAD" w14:textId="687E7BFE">
      <w:pPr>
        <w:pStyle w:val="NormalHanging12a"/>
        <w:rPr>
          <w:iCs/>
        </w:rPr>
      </w:pPr>
      <w:r w:rsidRPr="00F01EC1">
        <w:t>80</w:t>
      </w:r>
      <w:r w:rsidRPr="00F01EC1">
        <w:t>.</w:t>
      </w:r>
      <w:r w:rsidRPr="00F01EC1">
        <w:tab/>
        <w:t xml:space="preserve">salută, prin urmare, cooperarea tot mai accentuată în materie de securitate și apărare dintre Ucraina și UE și statele sale membre, în special prin intermediul Instrumentului european pentru pace, și solicită o cooperare consolidată în cadrul instrumentului „Acțiunea pentru securitatea Europei” (SAFE) și al Programului privind industria europeană de apărare (EDIP) pentru a răspunde nevoilor critice în materie de apărare ale Ucrainei și a facilita integrarea industriei de apărare a Ucrainei în ecosistemul industrial al UE; subliniază importanța aderării Ucrainei la Fondul european de apărare ca țară asociată și solicită desfășurarea rapidă a negocierilor necesare; salută instituirea unui Grup operativ UE-Ucraina pentru cooperare industrială în domeniul apărării și a inițiativei </w:t>
      </w:r>
      <w:r w:rsidRPr="00F01EC1">
        <w:t>BraveTech</w:t>
      </w:r>
      <w:r w:rsidRPr="00F01EC1">
        <w:t xml:space="preserve"> EU; invită UE să sprijine integrarea bazei tehnologice și industriale de apărare a Ucrainei în EDTIB, inclusiv prin EDIP și viitorul Fond european pentru competitivitate; recunoaște că expertiza ucraineană pe câmpul de luptă a fost demonstrată din nou în Orientul Mijlociu prin apărarea statelor din Golf; reafirmă că Ucraina are armata cu cea mai mare experiență din Europa;</w:t>
      </w:r>
    </w:p>
    <w:p w:rsidR="0044629B" w:rsidRPr="00F01EC1" w:rsidP="0044629B" w14:paraId="1E0C30FF" w14:textId="5767AAF2">
      <w:pPr>
        <w:pStyle w:val="NormalHanging12a"/>
        <w:rPr>
          <w:bCs/>
          <w:iCs/>
        </w:rPr>
      </w:pPr>
      <w:r w:rsidRPr="00F01EC1">
        <w:t>81</w:t>
      </w:r>
      <w:r w:rsidRPr="00F01EC1">
        <w:t>.</w:t>
      </w:r>
      <w:r w:rsidRPr="00F01EC1">
        <w:tab/>
        <w:t>subliniază importanța strategică a organizării de exerciții militare comune periodice și a integrării treptate a Ucrainei în cadrele operaționale și de instruire conduse de UE, ca modalitate de consolidare a pregătirii, a interoperabilității cu forțele europene și a alinierii la standardele NATO; solicită, în plus, mai multe inițiative de investiții comune între Uniune și Ucraina în sectorul industriei de apărare, inclusiv dezvoltarea și producția de echipamente militare în comun, care ar consolida capabilitățile de autoapărare ale Ucrainei; solicită măsuri susținute pentru a consolida legătura dintre baza tehnologică și industrială de apărare ucraineană și cea europeană, a reduce dependențele strategice și a contribui la securitatea și stabilitatea pe termen lung pe continentul european;</w:t>
      </w:r>
    </w:p>
    <w:p w:rsidR="0044629B" w:rsidRPr="00F01EC1" w:rsidP="0044629B" w14:paraId="54C05A90" w14:textId="3F15E06E">
      <w:pPr>
        <w:pStyle w:val="NormalHanging12a"/>
        <w:rPr>
          <w:bCs/>
          <w:iCs/>
        </w:rPr>
      </w:pPr>
      <w:r w:rsidRPr="00F01EC1">
        <w:t>82</w:t>
      </w:r>
      <w:r w:rsidRPr="00F01EC1">
        <w:t>.</w:t>
      </w:r>
      <w:r w:rsidRPr="00F01EC1">
        <w:tab/>
        <w:t xml:space="preserve">accentuează importanța strategică a consolidării mobilității militare pentru a sprijini apărarea și reziliența Ucrainei, asigurând desfășurarea rapidă de echipamente și ajutor umanitar pentru forțele ucrainene; subliniază rolul critic al statelor de pe litoralul Mării Negre și al țărilor de la frontiera de est în facilitarea unor rute de tranzit securizate, în </w:t>
      </w:r>
      <w:r w:rsidRPr="00F01EC1">
        <w:t>prepoziționarea</w:t>
      </w:r>
      <w:r w:rsidRPr="00F01EC1">
        <w:t xml:space="preserve"> materialelor și în coordonarea operațională comună cu Ucraina; invită Comisia și statele membre să consolideze infrastructura, interoperabilitatea și cadrele logistice în aceste regiuni, inclusiv prin exerciții comune și investiții specifice, pentru a întări capacitățile operaționale ale Ucrainei, a-i consolida integritatea teritorială și a descuraja alte agresiuni;</w:t>
      </w:r>
    </w:p>
    <w:p w:rsidR="0044629B" w:rsidRPr="00F01EC1" w:rsidP="0044629B" w14:paraId="725F1B6E" w14:textId="454F9F9F">
      <w:pPr>
        <w:pStyle w:val="NormalHanging12a"/>
        <w:rPr>
          <w:bCs/>
          <w:iCs/>
        </w:rPr>
      </w:pPr>
      <w:r w:rsidRPr="00F01EC1">
        <w:t>83</w:t>
      </w:r>
      <w:r w:rsidRPr="00F01EC1">
        <w:t>.</w:t>
      </w:r>
      <w:r w:rsidRPr="00F01EC1">
        <w:tab/>
        <w:t xml:space="preserve">salută adoptarea strategiei Ucrainei pentru politica privind veteranii 2030; accentuează importanța reintegrării efective a veteranilor de război ucraineni în viața civilă ca o componentă importantă a redresării pe termen lung a Ucrainei și a coeziunii sociale; evidențiază creșterea numărului de veterani cu dizabilități și necesitatea de a consolida punerea în aplicare a politicilor în materie de accesibilitate și drepturile persoanelor cu dizabilități; solicită UE și statelor sale membre să sprijine în continuare Ucraina în acest sens; recunoaște valoarea strategică a experienței veteranilor ucraineni pentru securitatea și apărarea europeană, inclusiv a know-how-ului lor unic în materie de război modern, de exemplu în contracararea sistemelor fără pilot, medicina pe câmpul </w:t>
      </w:r>
      <w:r w:rsidRPr="00F01EC1">
        <w:t>de luptă și evacuarea victimelor într-un conflict de mare intensitate; subliniază necesitatea de a preveni vulnerabilitatea lor la marginalizarea socială și manipularea ostilă, inclusiv de către Federația Rusă;</w:t>
      </w:r>
    </w:p>
    <w:p w:rsidR="0044629B" w:rsidRPr="00F01EC1" w:rsidP="0044629B" w14:paraId="45AC31FD" w14:textId="1AAB716D">
      <w:pPr>
        <w:pStyle w:val="NormalHanging12a"/>
        <w:rPr>
          <w:bCs/>
          <w:iCs/>
        </w:rPr>
      </w:pPr>
      <w:r w:rsidRPr="00F01EC1">
        <w:t>84</w:t>
      </w:r>
      <w:r w:rsidRPr="00F01EC1">
        <w:t>.</w:t>
      </w:r>
      <w:r w:rsidRPr="00F01EC1">
        <w:tab/>
        <w:t>invită Comisia să elaboreze cadre adecvate pentru a integra experiența unică pe timp de război a Ucrainei în ceea ce privește protecția civilă, reziliența infrastructurii critice, combaterea dezinformării și guvernanța în contextul unei agresiuni militare la scară largă în politicile de pregătire, reziliență și securitate ale Uniunii;</w:t>
      </w:r>
    </w:p>
    <w:p w:rsidR="0044629B" w:rsidRPr="00F01EC1" w:rsidP="0044629B" w14:paraId="7A068774" w14:textId="3E2B3432">
      <w:pPr>
        <w:pStyle w:val="NormalHanging12a"/>
        <w:rPr>
          <w:bCs/>
          <w:iCs/>
        </w:rPr>
      </w:pPr>
      <w:r w:rsidRPr="00F01EC1">
        <w:t>85</w:t>
      </w:r>
      <w:r w:rsidRPr="00F01EC1">
        <w:t>.</w:t>
      </w:r>
      <w:r w:rsidRPr="00F01EC1">
        <w:tab/>
        <w:t>recunoaște asistența politică, financiară, umanitară și militară substanțială acordată Ucrainei de țări din afara UE și de parteneri internaționali de când Federația Rusă a început invazia pe scară largă în 2022; subliniază că această coaliție largă de sprijin reflectă un angajament comun de a respecta dreptul internațional și principiile consacrate în Carta Organizației Națiunilor Unite; evidențiază, în acest sens, contribuția importantă a Statelor Unite, care au furnizat asistență militară în valoare de peste 66,9 miliarde USD; remarcă, de asemenea, rolul important al Regatului Unit, al Canadei, al Japoniei, al Norvegiei, al Noii Zeelande și al Australiei, care s-au aliniat la sancțiunile internaționale împotriva Federației Ruse și au contribuit la sprijinirea armatei ucrainene și la instruirea personalului, precum și la asistența umanitară și macrofinanciară pentru Ucraina; recunoaște asistența importantă acordată de Turcia, inclusiv sprijinul militar și umanitar și eforturile sale diplomatice; recunoaște, în continuare, asistența umanitară acordată de Republica Moldova, care a demonstrat solidaritate regională în fața agresiunii continue a Rusiei;</w:t>
      </w:r>
    </w:p>
    <w:p w:rsidR="0044629B" w:rsidRPr="00F01EC1" w:rsidP="0044629B" w14:paraId="67877775" w14:textId="77777777">
      <w:pPr>
        <w:pStyle w:val="NormalHanging12a"/>
        <w:rPr>
          <w:b/>
          <w:i/>
          <w:iCs/>
        </w:rPr>
      </w:pPr>
      <w:r w:rsidRPr="00F01EC1">
        <w:rPr>
          <w:b/>
          <w:i/>
        </w:rPr>
        <w:t>XI. Cooperarea regională și relațiile de bună vecinătate</w:t>
      </w:r>
    </w:p>
    <w:p w:rsidR="0044629B" w:rsidRPr="00F01EC1" w:rsidP="0044629B" w14:paraId="52FEA955" w14:textId="1A7E3496">
      <w:pPr>
        <w:pStyle w:val="NormalHanging12a"/>
        <w:rPr>
          <w:bCs/>
          <w:iCs/>
        </w:rPr>
      </w:pPr>
      <w:r w:rsidRPr="00F01EC1">
        <w:t>86</w:t>
      </w:r>
      <w:r w:rsidRPr="00F01EC1">
        <w:t>.</w:t>
      </w:r>
      <w:r w:rsidRPr="00F01EC1">
        <w:tab/>
        <w:t xml:space="preserve">ia act de rezolvarea diferendului dintre Ucraina și Ungaria (și Slovacia) cu privire la întreruperea furnizării de petrol rusesc prin conducta Drujba; subliniază că nu a existat un deficit de aprovizionare în Ungaria sau Slovacia ca urmare a diferendului, având în vedere opțiunile alternative de transport ușor accesibile prin conducta Adria, care au avantajul suplimentar de a nu sponsoriza economia Rusiei; observă că întreprinderile maghiare și-au mărit importurile de energie din Rusia după începerea agresiunii Rusiei împotriva Ucrainei, contrar politicilor UE; constată că prețurile la combustibili în Ungaria sunt peste media europeană și că argumentele privind creșterea costului prin conducta Adria sunt false; </w:t>
      </w:r>
    </w:p>
    <w:p w:rsidR="0044629B" w:rsidRPr="00F01EC1" w:rsidP="0044629B" w14:paraId="0EB2F5F4" w14:textId="76B430D6">
      <w:pPr>
        <w:pStyle w:val="NormalHanging12a"/>
        <w:rPr>
          <w:bCs/>
          <w:iCs/>
        </w:rPr>
      </w:pPr>
      <w:r w:rsidRPr="00F01EC1">
        <w:t>87</w:t>
      </w:r>
      <w:r w:rsidRPr="00F01EC1">
        <w:t>.</w:t>
      </w:r>
      <w:r w:rsidRPr="00F01EC1">
        <w:tab/>
        <w:t xml:space="preserve">subliniază obligația tuturor statelor membre, nu numai a guvernelor ungar și slovac, de a elimina treptat dependențele de furnizarea de energie din Rusia și de infrastructura energetică rusă; </w:t>
      </w:r>
    </w:p>
    <w:p w:rsidR="0044629B" w:rsidRPr="00F01EC1" w:rsidP="0044629B" w14:paraId="02923D7A" w14:textId="79C2737B">
      <w:pPr>
        <w:pStyle w:val="NormalHanging12a"/>
        <w:rPr>
          <w:bCs/>
          <w:iCs/>
        </w:rPr>
      </w:pPr>
      <w:r w:rsidRPr="00F01EC1">
        <w:t>88</w:t>
      </w:r>
      <w:r w:rsidRPr="00F01EC1">
        <w:t>.</w:t>
      </w:r>
      <w:r w:rsidRPr="00F01EC1">
        <w:tab/>
        <w:t xml:space="preserve">condamnă acțiunile anterioare ale autorităților maghiare de aplicare a legii în ceea ce privește reținerea personalului bănci ucrainene </w:t>
      </w:r>
      <w:r w:rsidRPr="00F01EC1">
        <w:t>Oșadbank</w:t>
      </w:r>
      <w:r w:rsidRPr="00F01EC1">
        <w:t xml:space="preserve"> și confiscarea numerarului și a aurului, care au fost autorizate în prealabil în mod corespunzător de autoritățile vamale ungare; salută recenta soluționare a diferendului;</w:t>
      </w:r>
    </w:p>
    <w:p w:rsidR="0044629B" w:rsidRPr="00F01EC1" w:rsidP="0044629B" w14:paraId="3F4D2EC3" w14:textId="77777777">
      <w:pPr>
        <w:pStyle w:val="NormalHanging12a"/>
        <w:rPr>
          <w:i/>
          <w:iCs/>
        </w:rPr>
      </w:pPr>
      <w:r w:rsidRPr="00F01EC1">
        <w:rPr>
          <w:b/>
          <w:i/>
        </w:rPr>
        <w:t>XII. Reformele socioeconomice</w:t>
      </w:r>
    </w:p>
    <w:p w:rsidR="0044629B" w:rsidRPr="00F01EC1" w:rsidP="0044629B" w14:paraId="0F07C696" w14:textId="33D52BB2">
      <w:pPr>
        <w:pStyle w:val="NormalHanging12a"/>
      </w:pPr>
      <w:r w:rsidRPr="00F01EC1">
        <w:t>89</w:t>
      </w:r>
      <w:r w:rsidRPr="00F01EC1">
        <w:t>.</w:t>
      </w:r>
      <w:r w:rsidRPr="00F01EC1">
        <w:tab/>
        <w:t xml:space="preserve">salută adoptarea de către Ucraina a reformei administrației publice și integrarea practică în curs a Ucrainei în structurile de guvernanță și în cadrele economice, de reglementare și de securitate ale UE; încurajează guvernul ucrainean să adopte o abordare sistemică a reformei administrației publice și a gestionării finanțelor publice, asigurând alinierea la foaia de parcurs existentă, și să îmbunătățească eficiența; salută adoptarea Strategiei </w:t>
      </w:r>
      <w:r w:rsidRPr="00F01EC1">
        <w:t xml:space="preserve">pentru reforma sistemului de gestionare a finanțelor publice pentru perioada 2026-2030 și încurajează finalizarea rapidă și adoptarea Strategiei privind reforma administrației publice pentru perioada 2026-2030; salută succesul programului Create </w:t>
      </w:r>
      <w:r w:rsidRPr="00F01EC1">
        <w:t>Ukraine</w:t>
      </w:r>
      <w:r w:rsidRPr="00F01EC1">
        <w:t>, care, bazându-se pe experiența dobândită în Lituania, ajută tineri ucraineni cu experiență internațională valoroasă să intre în sectorul public din Ucraina; încurajează extinderea acestei inițiative și a unor inițiative similare pentru a atrage profesioniști înapoi în Ucraina și pentru a contribui la aderarea țării la UE și la reconstrucția ei după război;</w:t>
      </w:r>
    </w:p>
    <w:p w:rsidR="0044629B" w:rsidRPr="00F01EC1" w:rsidP="0044629B" w14:paraId="385A2782" w14:textId="13FA28CE">
      <w:pPr>
        <w:pStyle w:val="NormalHanging12a"/>
        <w:rPr>
          <w:bCs/>
          <w:iCs/>
        </w:rPr>
      </w:pPr>
      <w:r w:rsidRPr="00F01EC1">
        <w:t>90</w:t>
      </w:r>
      <w:r w:rsidRPr="00F01EC1">
        <w:t>.</w:t>
      </w:r>
      <w:r w:rsidRPr="00F01EC1">
        <w:tab/>
        <w:t>salută progresele înregistrate în reformarea Biroului pentru Securitate Economică din Ucraina și a Agenției sale de recuperare și gestionare a activelor; salută, de asemenea, numirea șefului Administrației vamale de stat a Ucrainei și subliniază importanța promovării reformei vamale;</w:t>
      </w:r>
    </w:p>
    <w:p w:rsidR="0044629B" w:rsidRPr="00F01EC1" w:rsidP="0044629B" w14:paraId="75AA76D9" w14:textId="7EFC11D7">
      <w:pPr>
        <w:pStyle w:val="NormalHanging12a"/>
        <w:rPr>
          <w:bCs/>
          <w:iCs/>
        </w:rPr>
      </w:pPr>
      <w:r w:rsidRPr="00F01EC1">
        <w:t>91</w:t>
      </w:r>
      <w:r w:rsidRPr="00F01EC1">
        <w:t>.</w:t>
      </w:r>
      <w:r w:rsidRPr="00F01EC1">
        <w:tab/>
        <w:t xml:space="preserve">observă constatările pozitive incluse în rapoartele cele mai recente ale Băncii Mondiale și ale Fondului Monetar Internațional, care indică reziliența economică a Ucrainei și progresele înregistrate de aceasta în stabilizarea macroeconomică în ciuda războiului care continuă; salută adoptarea recentă a programului Fondului Monetar Internațional în valoare de 1,8 miliarde USD și reformele conexe; îndeamnă Ucraina să continue rapid punerea în aplicare a reformelor; </w:t>
      </w:r>
    </w:p>
    <w:p w:rsidR="0044629B" w:rsidRPr="00F01EC1" w:rsidP="0044629B" w14:paraId="279E4DC2" w14:textId="27456F5A">
      <w:pPr>
        <w:pStyle w:val="NormalHanging12a"/>
        <w:rPr>
          <w:bCs/>
          <w:iCs/>
        </w:rPr>
      </w:pPr>
      <w:r w:rsidRPr="00F01EC1">
        <w:t>92</w:t>
      </w:r>
      <w:r w:rsidRPr="00F01EC1">
        <w:t>.</w:t>
      </w:r>
      <w:r w:rsidRPr="00F01EC1">
        <w:tab/>
        <w:t>solicită din nou Ucrainei și statelor membre să coopereze îndeaproape în vederea valorificării la maximum a potențialului de participare economică a populației de refugiați și a diasporei ucrainene, pentru a asigura reziliența și caracterul incluziv al redresării și reconstrucției economice actuale și viitoare a Ucrainei; invită Comisia să facă propuneri concrete în acest sens; observă că Directiva privind protecția temporară</w:t>
      </w:r>
      <w:r>
        <w:rPr>
          <w:rStyle w:val="FootnoteReference"/>
          <w:bCs/>
          <w:iCs/>
        </w:rPr>
        <w:footnoteReference w:id="9"/>
      </w:r>
      <w:r w:rsidRPr="00F01EC1">
        <w:t xml:space="preserve">, care a conferit statut juridic unui număr de peste 4 milioane de cetățeni ucraineni în UE, va expira în martie 2027; solicită UE, statelor sale membre și Ucrainei să acționeze în direcția unei politici coordonate, armonizate și comunicate în mod adecvat, care să asigure certitudine pentru cetățenii ucraineni care se pregătesc să se întoarcă sau care caută căi legale pentru a rămâne în țările gazdă; </w:t>
      </w:r>
    </w:p>
    <w:p w:rsidR="0044629B" w:rsidRPr="00F01EC1" w:rsidP="0044629B" w14:paraId="7F19C6BE" w14:textId="2DCD881E">
      <w:pPr>
        <w:pStyle w:val="NormalHanging12a"/>
        <w:rPr>
          <w:bCs/>
          <w:iCs/>
        </w:rPr>
      </w:pPr>
      <w:r w:rsidRPr="00F01EC1">
        <w:t>93</w:t>
      </w:r>
      <w:r w:rsidRPr="00F01EC1">
        <w:t>.</w:t>
      </w:r>
      <w:r w:rsidRPr="00F01EC1">
        <w:tab/>
        <w:t xml:space="preserve">subliniază că reconstrucția Ucrainei și planurile de pregătire conexe trebuie să fie strâns legate de reformele sale în vederea aderării la UE și ghidate de principiile echității sociale, sustenabilității, transparenței și asumării răspunderii la nivel local într-o manieră incluzivă; subliniază, de asemenea, că reconstrucția Ucrainei trebuie să se bazeze pe un stat de drept solid, pe o guvernanță transparentă și pe incluziunea democratică; subliniază că reforma judiciară, eforturile de combatere a corupției și îmbunătățirea administrației publice nu sunt doar condiții pentru aderarea la UE, ci sunt și fundamentale pentru atragerea investițiilor și restabilirea încrederii în rândul partenerilor și al cetățenilor Ucrainei; solicită integrarea unor abordări care iau în considerare dimensiunea de gen în toate eforturile de reconstrucție, inclusiv o mai mare reprezentare a femeilor și a minorităților în procesele decizionale pentru a asigura cel mai mare impact și sustenabilitate pe termen lung; </w:t>
      </w:r>
    </w:p>
    <w:p w:rsidR="0044629B" w:rsidRPr="00F01EC1" w:rsidP="0044629B" w14:paraId="1AEA5ADD" w14:textId="40EBB81F">
      <w:pPr>
        <w:pStyle w:val="NormalHanging12a"/>
        <w:rPr>
          <w:bCs/>
          <w:iCs/>
        </w:rPr>
      </w:pPr>
      <w:r w:rsidRPr="00F01EC1">
        <w:t>94</w:t>
      </w:r>
      <w:r w:rsidRPr="00F01EC1">
        <w:t>.</w:t>
      </w:r>
      <w:r w:rsidRPr="00F01EC1">
        <w:tab/>
        <w:t xml:space="preserve">subliniază că politica de coeziune a UE, fiind instrumentul principal pentru promovarea unității economice, sociale și teritoriale, este esențială pentru realizarea obiectivelor </w:t>
      </w:r>
      <w:r w:rsidRPr="00F01EC1">
        <w:t>politicii regionale a UE și pentru intensificarea cooperării dintre regiunile UE și Ucraina; solicită ca această politică să fie luată pe deplin în considerare în cadrul cooperării regionale și de vecinătate;</w:t>
      </w:r>
    </w:p>
    <w:p w:rsidR="0044629B" w:rsidRPr="00F01EC1" w:rsidP="0044629B" w14:paraId="2BACA33B" w14:textId="2E035335">
      <w:pPr>
        <w:pStyle w:val="NormalHanging12a"/>
        <w:rPr>
          <w:bCs/>
          <w:iCs/>
        </w:rPr>
      </w:pPr>
      <w:r w:rsidRPr="00F01EC1">
        <w:t>95</w:t>
      </w:r>
      <w:r w:rsidRPr="00F01EC1">
        <w:t>.</w:t>
      </w:r>
      <w:r w:rsidRPr="00F01EC1">
        <w:tab/>
        <w:t>evidențiază importanța tot mai mare a Ucrainei ca partener strategic pentru Uniunea Europeană în furnizarea de produse de bază esențiale și materii prime critice, inclusiv de produse agricole precum cerealele, semințele oleaginoase și uleiurile vegetale, precum și de litiu, titan și alte resurse minerale esențiale pentru tranziția verde și cea digitală; îndeamnă la transparență, răspundere publică și garanții ale intereselor naționale în toate procesele de privatizare și de investiții; observă că o parte semnificativă resurselor critice se află în teritoriile ocupate temporar de Federația Rusă; accentuează, prin urmare, că este necesară consolidarea solidarității UE cu Ucraina în protejarea resurselor sale naturale, a capacității sale agricole și a integrității sale teritoriale;</w:t>
      </w:r>
    </w:p>
    <w:p w:rsidR="0044629B" w:rsidRPr="00F01EC1" w:rsidP="0044629B" w14:paraId="18FEEB33" w14:textId="10AE21BD">
      <w:pPr>
        <w:pStyle w:val="NormalHanging12a"/>
        <w:rPr>
          <w:bCs/>
          <w:iCs/>
        </w:rPr>
      </w:pPr>
      <w:r w:rsidRPr="00F01EC1">
        <w:t>96</w:t>
      </w:r>
      <w:r w:rsidRPr="00F01EC1">
        <w:t>.</w:t>
      </w:r>
      <w:r w:rsidRPr="00F01EC1">
        <w:tab/>
        <w:t xml:space="preserve">salută eforturile de a îmbunătăți dialogul social tripartit în Ucraina, inclusiv cu sprijinul acordului de parteneriat semnat recent cu UE și Organizația Internațională a Muncii; insistă că principiile Pilonului european al drepturilor sociale și toate convențiile relevante ale OIM trebuie respectate pe tot parcursul procesului de preaderare; invită Ucraina să continue apropierea standardelor în domeniul muncii, îndeosebi în ceea ce privește libertatea de întrunire și dialogul social; accentuează că este nevoie de consultări ample cu sindicatele și cu societatea civilă și recomandă să se țină seama de competența Organizației Internaționale a Muncii în acest domeniu; îndeamnă Ucraina și Comisia să colaboreze cu parteneri sociali esențiali, inclusiv cu sindicatele independente, pentru conceperea, punerea în aplicare și monitorizarea reformelor socioeconomice, recunoscând în același timp că este necesar ca măsurile de reformă să îmbunătățească climatul de afaceri și </w:t>
      </w:r>
      <w:r w:rsidRPr="00F01EC1" w:rsidR="000B0D2C">
        <w:t xml:space="preserve">funcționarea </w:t>
      </w:r>
      <w:r w:rsidRPr="00F01EC1">
        <w:t xml:space="preserve">economiei de piață; solicită să se pună accentul mai mult pe măsurile de corectare a denaturărilor pieței și pe măsurile de protecție socială; </w:t>
      </w:r>
    </w:p>
    <w:p w:rsidR="0044629B" w:rsidRPr="00F01EC1" w:rsidP="0044629B" w14:paraId="0691B210" w14:textId="035118F2">
      <w:pPr>
        <w:pStyle w:val="NormalHanging12a"/>
        <w:rPr>
          <w:bCs/>
          <w:iCs/>
        </w:rPr>
      </w:pPr>
      <w:r w:rsidRPr="00F01EC1">
        <w:t>97</w:t>
      </w:r>
      <w:r w:rsidRPr="00F01EC1">
        <w:t>.</w:t>
      </w:r>
      <w:r w:rsidRPr="00F01EC1">
        <w:tab/>
        <w:t>ia act de relatările privind ingerința statului în afacerile sindicale, inclusiv confiscarea proprietății sindicatelor; solicită restituirea activelor confiscate ale sindicatelor; invită autoritățile ucrainene să se asigure că membrii sindicatelor își pot exercita liber mandatul și solicită protecție juridică deplină împotriva practicilor antisindicale; îndeamnă Comisia și Serviciul European de Acțiune Externă să monitorizeze activ situația drepturilor lucrătorilor din Ucraina, în strânsă cooperare cu Confederația Europeană a Sindicatelor și OIM;</w:t>
      </w:r>
    </w:p>
    <w:p w:rsidR="0044629B" w:rsidRPr="00F01EC1" w:rsidP="0044629B" w14:paraId="1E68BB93" w14:textId="5936A1C0">
      <w:pPr>
        <w:pStyle w:val="NormalHanging12a"/>
      </w:pPr>
      <w:r w:rsidRPr="00F01EC1">
        <w:t>98</w:t>
      </w:r>
      <w:r w:rsidRPr="00F01EC1">
        <w:t>.</w:t>
      </w:r>
      <w:r w:rsidRPr="00F01EC1">
        <w:tab/>
        <w:t>solicită eforturi susținute pentru liberalizarea circulației capitalurilor, inclusiv prin alinierea la Regulamentul privind zona unică de plăți în euro</w:t>
      </w:r>
      <w:r>
        <w:rPr>
          <w:rStyle w:val="FootnoteReference"/>
        </w:rPr>
        <w:footnoteReference w:id="10"/>
      </w:r>
      <w:r w:rsidRPr="00F01EC1">
        <w:t>, și pentru consolidarea luptei împotriva spălării banilor și a finanțării terorismului;</w:t>
      </w:r>
    </w:p>
    <w:p w:rsidR="0044629B" w:rsidRPr="00F01EC1" w:rsidP="0044629B" w14:paraId="32F0ACE0" w14:textId="1FE8388B">
      <w:pPr>
        <w:pStyle w:val="NormalHanging12a"/>
        <w:rPr>
          <w:bCs/>
          <w:iCs/>
        </w:rPr>
      </w:pPr>
      <w:r w:rsidRPr="00F01EC1">
        <w:t>99</w:t>
      </w:r>
      <w:r w:rsidRPr="00F01EC1">
        <w:t>.</w:t>
      </w:r>
      <w:r w:rsidRPr="00F01EC1">
        <w:tab/>
        <w:t>salută guvernanța eficace pe mai multe niveluri aplicată de Ucraina; salută progresele înregistrate către descentralizare, în conformitate cu cerințele pentru aderarea la UE; solicită continuarea reformelor pentru a consolida autonomia locală în conformitate cu principiile Cartei europene a autonomiei locale;</w:t>
      </w:r>
    </w:p>
    <w:p w:rsidR="0044629B" w:rsidRPr="00F01EC1" w:rsidP="0044629B" w14:paraId="5624E93C" w14:textId="2ACDE54B">
      <w:pPr>
        <w:pStyle w:val="NormalHanging12a"/>
      </w:pPr>
      <w:r w:rsidRPr="00F01EC1">
        <w:t>100</w:t>
      </w:r>
      <w:r w:rsidRPr="00F01EC1">
        <w:t>.</w:t>
      </w:r>
      <w:r w:rsidRPr="00F01EC1">
        <w:tab/>
        <w:t>felicită Ucraina pentru îndeplinirea a 63 din cele 68 de condiții de reformă prezentate în Planul pentru Ucraina, concepute inițial pentru a fi puse în aplicare după sfârșitul războiului și realizate cu toate acestea în timpul războiului, permițând plata a 26,8 miliarde EUR în 2025; solicită eforturi susținute de punere în aplicare, în conformitate cu Regulamentul (UE) 2024/792</w:t>
      </w:r>
      <w:r>
        <w:rPr>
          <w:rStyle w:val="FootnoteReference"/>
        </w:rPr>
        <w:footnoteReference w:id="11"/>
      </w:r>
      <w:r w:rsidRPr="00F01EC1">
        <w:t>, în special pentru a încuraja Ucraina să se alinieze la legislația UE privind achizițiile publice;</w:t>
      </w:r>
    </w:p>
    <w:p w:rsidR="0044629B" w:rsidRPr="00F01EC1" w:rsidP="0044629B" w14:paraId="61149729" w14:textId="37E23BF3">
      <w:pPr>
        <w:pStyle w:val="NormalHanging12a"/>
        <w:rPr>
          <w:b/>
          <w:i/>
        </w:rPr>
      </w:pPr>
      <w:r w:rsidRPr="00F01EC1">
        <w:t>101</w:t>
      </w:r>
      <w:r w:rsidRPr="00F01EC1">
        <w:t>.</w:t>
      </w:r>
      <w:r w:rsidRPr="00F01EC1">
        <w:rPr>
          <w:b/>
          <w:i/>
        </w:rPr>
        <w:tab/>
      </w:r>
      <w:r w:rsidRPr="00F01EC1">
        <w:t>salută activitatea esențială desfășurată zilnic de serviciile de sănătate ucrainene, în special de asistenții medicali ucraineni, pe tot parcursul războiului; observă că o mare parte a lucrătorilor din sectorul îngrijirilor publice primesc salariul minim, care în prezent este de 6 658 UAH net; reamintește că venitul minim de subzistență real pentru o persoană, calculat de Ministerul politicii sociale în decembrie 2025, era de 10 979 UAH; evidențiază, de asemenea, necesitatea de a introduce o reglementare specifică și rezonabilă a volumului de muncă al asistenților medicali;</w:t>
      </w:r>
    </w:p>
    <w:p w:rsidR="0044629B" w:rsidRPr="00F01EC1" w:rsidP="0044629B" w14:paraId="6DF7DD1A" w14:textId="77777777">
      <w:pPr>
        <w:pStyle w:val="Normal12a"/>
        <w:rPr>
          <w:i/>
          <w:iCs/>
        </w:rPr>
      </w:pPr>
      <w:r w:rsidRPr="00F01EC1">
        <w:rPr>
          <w:b/>
          <w:i/>
        </w:rPr>
        <w:t>XIII. Energia, transporturile și dezvoltarea durabilă</w:t>
      </w:r>
    </w:p>
    <w:p w:rsidR="0044629B" w:rsidRPr="00F01EC1" w:rsidP="0044629B" w14:paraId="58EA2D26" w14:textId="7D229A9D">
      <w:pPr>
        <w:pStyle w:val="NormalHanging12a"/>
      </w:pPr>
      <w:r w:rsidRPr="00F01EC1">
        <w:t>102</w:t>
      </w:r>
      <w:r w:rsidRPr="00F01EC1">
        <w:t>.</w:t>
      </w:r>
      <w:r w:rsidRPr="00F01EC1">
        <w:tab/>
        <w:t>salută progresele substanțiale înregistrate în ceea ce privește reformele din sectorul energetic și alinierea Ucrainei la obiectivele Pactului verde european și ale Pactului pentru o industrie curată și felicită Ucraina pentru progresele semnificative înregistrate în punerea în aplicare a planului său național privind energia și clima, în pofida distrugerii pe scară largă de către Rusia a infrastructurii sale energetice; accentuează că alinierea la inițiativele UE, inclusiv la Pactul verde european și Pactul pentru o industrie curată, ar trebui să țină seama de nevoile imediate de reconstrucție ale Ucrainei, de competitivitatea sa economică și de securitatea sa energetică pe termen lung;</w:t>
      </w:r>
    </w:p>
    <w:p w:rsidR="0044629B" w:rsidRPr="00F01EC1" w:rsidP="0044629B" w14:paraId="2AD2EAA4" w14:textId="339261DC">
      <w:pPr>
        <w:pStyle w:val="NormalHanging12a"/>
        <w:rPr>
          <w:bCs/>
          <w:iCs/>
        </w:rPr>
      </w:pPr>
      <w:r w:rsidRPr="00F01EC1">
        <w:t>103</w:t>
      </w:r>
      <w:r w:rsidRPr="00F01EC1">
        <w:t>.</w:t>
      </w:r>
      <w:r w:rsidRPr="00F01EC1">
        <w:tab/>
        <w:t>invită UE și statele sale membre să intensifice sprijinul pentru sistemul energetic al Ucrainei, subliniind că o mai mare reziliență în Ucraina contribuie direct la securitatea energetică mai amplă a Europei; accentuează că sprijinul susținut și previzibil în domeniul energiei pentru Ucraina este esențial pentru protejarea rezilienței civile, a stabilității economice și a continuității serviciilor critice în mijlocul atacurilor continue și înainte de iarna următoare; invită Comisia să identifice reconstrucția sectorului energetic ca fiind o prioritate, trecând de la ajutorul de urgență ad-hoc la mecanisme pe termen lung pentru redresare, protecție și modernizare a sectorului energetic;</w:t>
      </w:r>
    </w:p>
    <w:p w:rsidR="0044629B" w:rsidRPr="00F01EC1" w:rsidP="0044629B" w14:paraId="78805544" w14:textId="11C11342">
      <w:pPr>
        <w:pStyle w:val="NormalHanging12a"/>
        <w:rPr>
          <w:bCs/>
          <w:iCs/>
        </w:rPr>
      </w:pPr>
      <w:r w:rsidRPr="00F01EC1">
        <w:t>104</w:t>
      </w:r>
      <w:r w:rsidRPr="00F01EC1">
        <w:t>.</w:t>
      </w:r>
      <w:r w:rsidRPr="00F01EC1">
        <w:tab/>
        <w:t>subliniază că Ucraina are un potențial substanțial ca furnizor de energie și de produse mari consumatoare de energie pentru restul Europei; solicită accelerarea integrării Ucrainei pe piața energiei din UE, ca unul dintre elementele care contribuie la securitatea Uniunii, inclusiv prin sincronizare în materie de reglementare și prin investiții în surse regenerabile de energie; solicită să se continue dezvoltarea interconexiunilor energetice cu statele membre învecinate cu UE și cu partenerii regionali, cum ar fi Republica Moldova, în vederea unei integrări mai aprofundate pe piața UE a energiei; invită Comisia și statele membre să mărească investițiile în extinderea și modernizarea interconexiunilor energetice transfrontaliere cu Ucraina și să integreze în continuare și să armonizeze rețelele de transport ca un pas pregătitor central către integrarea Ucrainei pe piața internă a energiei din UE;</w:t>
      </w:r>
    </w:p>
    <w:p w:rsidR="0044629B" w:rsidRPr="00F01EC1" w:rsidP="0044629B" w14:paraId="6E53FAAD" w14:textId="370C98C1">
      <w:pPr>
        <w:pStyle w:val="NormalHanging12a"/>
        <w:rPr>
          <w:bCs/>
          <w:iCs/>
        </w:rPr>
      </w:pPr>
      <w:r w:rsidRPr="00F01EC1">
        <w:t>105</w:t>
      </w:r>
      <w:r w:rsidRPr="00F01EC1">
        <w:t>.</w:t>
      </w:r>
      <w:r w:rsidRPr="00F01EC1">
        <w:tab/>
        <w:t xml:space="preserve">constată importanța strategică a unui viitor acord privind vânzarea a două reactoare nucleare de tip VVER-1000 din Bulgaria către Ucraina, ca exemplu de aprofundare a cooperării energetice și constată, de asemenea, că acest lucru va contribui la securitatea energetică a Ucrainei; subliniază potențialul acestui proiect de a consolida conectivitatea energetică regională și integrarea sistemului energetic ucrainean în cel al UE; încurajează dezvoltarea în continuare a unor inițiative comune în domenii precum infrastructura energetică, inclusiv liniile de transport al energiei electrice și capacitățile de stocare a energiei, precum și îmbunătățirea legăturilor de transport </w:t>
      </w:r>
      <w:r w:rsidRPr="00F01EC1">
        <w:t>intermodal</w:t>
      </w:r>
      <w:r w:rsidRPr="00F01EC1">
        <w:t>, în vederea facilitării lanțurilor de aprovizionare, a logisticii și a comerțului între cele două țări și în regiunea extinsă a Mării Negre;</w:t>
      </w:r>
    </w:p>
    <w:p w:rsidR="0044629B" w:rsidRPr="00F01EC1" w:rsidP="0044629B" w14:paraId="26C4AB1F" w14:textId="794CEC6A">
      <w:pPr>
        <w:pStyle w:val="NormalHanging12a"/>
        <w:rPr>
          <w:bCs/>
          <w:iCs/>
        </w:rPr>
      </w:pPr>
      <w:r w:rsidRPr="00F01EC1">
        <w:t>106</w:t>
      </w:r>
      <w:r w:rsidRPr="00F01EC1">
        <w:t>.</w:t>
      </w:r>
      <w:r w:rsidRPr="00F01EC1">
        <w:tab/>
        <w:t xml:space="preserve">ia act de apelurile Ucrainei referitoare la o exceptare temporară pe motiv de forță majoră de la introducerea mecanismului de ajustare a carbonului la frontieră sau a măsurilor conexe pentru a ține seama de impactul războiului de agresiune al Rusiei asupra capacității Ucrainei de a reduce amprenta de carbon a industriilor sale; încurajează Comisia să se angajeze în consultări cu scopul de a identifica soluții temporare reciproc acceptabile în acest sens; </w:t>
      </w:r>
    </w:p>
    <w:p w:rsidR="0044629B" w:rsidRPr="00F01EC1" w:rsidP="0044629B" w14:paraId="61E589DE" w14:textId="1716A994">
      <w:pPr>
        <w:pStyle w:val="NormalHanging12a"/>
        <w:rPr>
          <w:bCs/>
          <w:iCs/>
        </w:rPr>
      </w:pPr>
      <w:r w:rsidRPr="00F01EC1">
        <w:t>107</w:t>
      </w:r>
      <w:r w:rsidRPr="00F01EC1">
        <w:t>.</w:t>
      </w:r>
      <w:r w:rsidRPr="00F01EC1">
        <w:tab/>
        <w:t>îndeamnă Ucraina să profite de procesul de reconstrucție pentru a reconstrui mai bine, utilizând oricând este posibil tehnologiile cu impactul cel mai redus asupra climei și soluțiile cele mai rentabile și mai fiabile pentru sectorul energetic al Ucrainei, investind în surse regenerabile de energie și în eficiența energetică și reducând la minimum impactul asupra mediului de-a lungul întregului lanț de producție; salută implicarea continuă a Comisiei în acest domeniu pentru a sprijini reforma sectorului energetic al Ucrainei; invită Comisia și autoritățile ucrainene să utilizeze strategic fondurile din cadrul Mecanismului pentru Ucraina pentru a acorda prioritate investițiilor în surse regenerabile de energie; solicită progrese în punerea în aplicare a angajamentelor existente în cadrul Planului pentru Ucraina și al pachetelor din cadrul Comunității Energiei, inclusiv separarea societăților regionale de distribuție a energiei;</w:t>
      </w:r>
    </w:p>
    <w:p w:rsidR="0044629B" w:rsidRPr="00F01EC1" w:rsidP="0044629B" w14:paraId="3DE70009" w14:textId="5B744B09">
      <w:pPr>
        <w:pStyle w:val="NormalHanging12a"/>
        <w:rPr>
          <w:bCs/>
          <w:iCs/>
        </w:rPr>
      </w:pPr>
      <w:r w:rsidRPr="00F01EC1">
        <w:t>108</w:t>
      </w:r>
      <w:r w:rsidRPr="00F01EC1">
        <w:t>.</w:t>
      </w:r>
      <w:r w:rsidRPr="00F01EC1">
        <w:tab/>
        <w:t>salută eforturile Ucrainei de a-și alinia politica în domeniul transporturilor cu acquis-</w:t>
      </w:r>
      <w:r w:rsidRPr="00F01EC1">
        <w:t>ul</w:t>
      </w:r>
      <w:r w:rsidRPr="00F01EC1">
        <w:t xml:space="preserve"> UE și de a consolida conectivitatea cu Uniunea; subliniază că este importantă punerea în aplicare a strategiei naționale în domeniul transporturilor și a strategiei pentru dezvoltarea și extinderea infrastructurii de frontieră cu statele membre ale UE și Republica Moldova; solicită accelerarea modernizării sustenabile a infrastructurii feroviare, rutiere, portuare și de trecere a frontierei în conformitate cu prioritățile TEN-T; invită Ucraina să accelereze reforma în sectorul feroviar, inclusiv alinierea cu acquis-</w:t>
      </w:r>
      <w:r w:rsidRPr="00F01EC1">
        <w:t>ul</w:t>
      </w:r>
      <w:r w:rsidRPr="00F01EC1">
        <w:t xml:space="preserve"> UE privind siguranța feroviară și interoperabilitatea;</w:t>
      </w:r>
    </w:p>
    <w:p w:rsidR="0044629B" w:rsidRPr="00F01EC1" w:rsidP="0044629B" w14:paraId="61F932CF" w14:textId="176F81EC">
      <w:pPr>
        <w:pStyle w:val="NormalHanging12a"/>
        <w:rPr>
          <w:bCs/>
          <w:iCs/>
        </w:rPr>
      </w:pPr>
      <w:r w:rsidRPr="00F01EC1">
        <w:t>109</w:t>
      </w:r>
      <w:r w:rsidRPr="00F01EC1">
        <w:t>.</w:t>
      </w:r>
      <w:r w:rsidRPr="00F01EC1">
        <w:tab/>
        <w:t>evidențiază, în același timp, că respectarea standardelor de mediu în punerea în aplicare a proiectelor în domeniul energiei și transporturilor este extrem de importantă pentru promovarea agendei de reformă necesare pentru parcursul Ucrainei către aderarea la UE; subliniază importanța sprijinului acordat de UE Ucrainei pentru a reconstrui mai bine, pe o bază de sustenabilitate socială și a mediului; invită UE și statele sale membre să intensifice sprijinul pentru Ucraina, atât financiar, cât și prin cunoștințe de specialitate, pentru a accelera alinierea ei la acquis-</w:t>
      </w:r>
      <w:r w:rsidRPr="00F01EC1">
        <w:t>ul</w:t>
      </w:r>
      <w:r w:rsidRPr="00F01EC1">
        <w:t xml:space="preserve"> UE în domeniul mediului;</w:t>
      </w:r>
    </w:p>
    <w:p w:rsidR="0044629B" w:rsidRPr="00F01EC1" w:rsidP="0044629B" w14:paraId="301F0B5D" w14:textId="2BD7F28F">
      <w:pPr>
        <w:pStyle w:val="NormalHanging12a"/>
        <w:rPr>
          <w:bCs/>
          <w:iCs/>
        </w:rPr>
      </w:pPr>
      <w:r w:rsidRPr="00F01EC1">
        <w:t>110</w:t>
      </w:r>
      <w:r w:rsidRPr="00F01EC1">
        <w:t>.</w:t>
      </w:r>
      <w:r w:rsidRPr="00F01EC1">
        <w:tab/>
        <w:t xml:space="preserve">evidențiază că Ucraina se confruntă în continuare cu provocări semnificative în materie de mediu, care au fost exacerbate și mai mult de războiul care continuă; observă că prelungirea conflictului continuă să aibă un impact negativ grav asupra mediului, incluzând poluarea solului și a apei, degradarea ecosistemelor și creșterea presiunii asupra resurselor naturale; își exprimă îngrijorarea cu privire la declinul rezultat al </w:t>
      </w:r>
      <w:r w:rsidRPr="00F01EC1">
        <w:t>biodiversității, inclusiv la daunele provocate ecosistemelor forestiere, de stepă și de zone umede; subliniază că este importantă integrarea protecției și a sustenabilității mediului în eforturile de redresare și reconstrucție; solicită consolidarea guvernanței în materie de mediu, îmbunătățirea sistemelor de monitorizare și punerea în aplicare efectivă a procedurilor de evaluare a impactului asupra mediului și de evaluare strategică de mediu, în conformitate cu acquis-</w:t>
      </w:r>
      <w:r w:rsidRPr="00F01EC1">
        <w:t>ul</w:t>
      </w:r>
      <w:r w:rsidRPr="00F01EC1">
        <w:t xml:space="preserve"> UE prevăzut la capitolul 27;</w:t>
      </w:r>
    </w:p>
    <w:p w:rsidR="0044629B" w:rsidRPr="00F01EC1" w:rsidP="0044629B" w14:paraId="3203B24C" w14:textId="168117CA">
      <w:pPr>
        <w:pStyle w:val="NormalHanging12a"/>
        <w:rPr>
          <w:bCs/>
          <w:iCs/>
        </w:rPr>
      </w:pPr>
      <w:r w:rsidRPr="00F01EC1">
        <w:t>111</w:t>
      </w:r>
      <w:r w:rsidRPr="00F01EC1">
        <w:t>.</w:t>
      </w:r>
      <w:r w:rsidRPr="00F01EC1">
        <w:tab/>
        <w:t xml:space="preserve">își exprimă îngrijorarea cu privire la dezvoltarea parcurilor de turbine eoliene în zone de platou protejate din Munții Carpați din vestul Ucrainei, în special cu privire la instalarea planificată a 30 de turbine pe Muntele </w:t>
      </w:r>
      <w:r w:rsidRPr="00F01EC1">
        <w:t>Runa</w:t>
      </w:r>
      <w:r w:rsidRPr="00F01EC1">
        <w:t>; subliniază că energia eoliană oferă o alternativă mai sigură și mai sustenabilă la combustibilii fosili și invită Ucraina să își valorifice potențialul ridicat de dezvoltare a energiei eoliene în afara zonelor protejate; subliniază că producția de energie verde și conservarea naturii nu trebuie să se excludă reciproc în Ucraina, întrucât există alte suprafețe de teren desemnate deja pentru dezvoltarea infrastructurii energetice, fără habitate unice și păduri virgine, și cu drumuri de acces preexistente;</w:t>
      </w:r>
    </w:p>
    <w:p w:rsidR="0044629B" w:rsidRPr="00F01EC1" w:rsidP="0044629B" w14:paraId="52DBDA56" w14:textId="717A70EE">
      <w:pPr>
        <w:pStyle w:val="NormalHanging12a"/>
        <w:rPr>
          <w:bCs/>
          <w:iCs/>
        </w:rPr>
      </w:pPr>
      <w:r w:rsidRPr="00F01EC1">
        <w:t>112</w:t>
      </w:r>
      <w:r w:rsidRPr="00F01EC1">
        <w:t>.</w:t>
      </w:r>
      <w:r w:rsidRPr="00F01EC1">
        <w:tab/>
        <w:t xml:space="preserve">își exprimă profunda îngrijorare cu privire la situația din prezent de la Centrala nucleară </w:t>
      </w:r>
      <w:r w:rsidRPr="00F01EC1">
        <w:t>Zaporijia</w:t>
      </w:r>
      <w:r w:rsidRPr="00F01EC1">
        <w:t>, care se află în continuare sub controlul ilegal al Rusiei și continuă să prezinte riscuri semnificative pentru siguranța și securitatea nucleară din cauza activității militare care continuă în vecinătatea sa; subliniază că implicarea Agenției Internaționale pentru Energie Atomică, deși este esențială pentru asigurarea siguranței și securității nucleare, ar trebui să rămână strict de natură tehnică; evidențiază, în acest context, că această implicare ar trebui să aibă loc cu respectarea deplină a suveranității și a integrității teritoriale a Ucrainei și nu ar trebui interpretată ca afectând statutul instalației; reafirmă că este important să se asigure funcționarea în condiții de siguranță și securitate a centralei, în conformitate cu standardele internaționale de securitate nucleară și sub autoritatea legitimă a Ucrainei;</w:t>
      </w:r>
    </w:p>
    <w:p w:rsidR="0044629B" w:rsidRPr="00F01EC1" w:rsidP="0044629B" w14:paraId="5753EF15" w14:textId="014B3E6B">
      <w:pPr>
        <w:pStyle w:val="NormalHanging12a"/>
        <w:rPr>
          <w:bCs/>
          <w:iCs/>
        </w:rPr>
      </w:pPr>
      <w:r w:rsidRPr="00F01EC1">
        <w:t>113</w:t>
      </w:r>
      <w:r w:rsidRPr="00F01EC1">
        <w:t>.</w:t>
      </w:r>
      <w:r w:rsidRPr="00F01EC1">
        <w:tab/>
        <w:t>reamintește că în anul 2026 se împlinesc 40 de ani de la dezastrul nuclear de la Cernobîl, care rămâne unul dintre cele mai grave accidente nucleare din istorie; condamnă cu fermitate atacurile țintite ale Rusiei asupra Centralei nucleare de la Cernobîl și daunele catastrofale aduse scutului său de protecție, care a fost construit pentru a ține sub control materialele radioactive și nu își mai poate îndeplini principala funcție de siguranță, generând riscuri grave de securitate nucleară; constată că costul reparațiilor este estimat la 500 milioane EUR;</w:t>
      </w:r>
    </w:p>
    <w:p w:rsidR="0044629B" w:rsidRPr="00F01EC1" w:rsidP="0044629B" w14:paraId="4A07CA4D" w14:textId="77777777">
      <w:pPr>
        <w:pStyle w:val="NormalCenter12a"/>
      </w:pPr>
      <w:r w:rsidRPr="00F01EC1">
        <w:t>°</w:t>
      </w:r>
    </w:p>
    <w:p w:rsidR="0044629B" w:rsidRPr="00F01EC1" w:rsidP="0044629B" w14:paraId="27E8C55D" w14:textId="77777777">
      <w:pPr>
        <w:pStyle w:val="NormalCenter12a"/>
      </w:pPr>
      <w:r w:rsidRPr="00F01EC1">
        <w:t>°</w:t>
      </w:r>
      <w:r w:rsidRPr="00F01EC1">
        <w:tab/>
        <w:t>°</w:t>
      </w:r>
    </w:p>
    <w:p w:rsidR="002F4C20" w:rsidRPr="00F01EC1" w:rsidP="002F4C20" w14:paraId="27E84F03" w14:textId="3EA64E56">
      <w:pPr>
        <w:pStyle w:val="NormalHanging12a"/>
      </w:pPr>
      <w:r w:rsidRPr="00F01EC1">
        <w:t>114</w:t>
      </w:r>
      <w:r w:rsidRPr="00F01EC1" w:rsidR="0044629B">
        <w:t>.</w:t>
      </w:r>
      <w:r w:rsidRPr="00F01EC1" w:rsidR="0044629B">
        <w:tab/>
        <w:t>încredințează Președintei sarcina de a transmite prezenta rezoluție Consiliului, Comisiei, Vicepreședintei Comisiei/Înaltei Reprezentante a Uniunii pentru afaceri externe și politica de securitate, guvernelor și parlamentelor statelor membre și guvernului și parlamentului Ucrainei.</w:t>
      </w:r>
    </w:p>
    <w:p w:rsidR="00E365E1" w:rsidRPr="00F01EC1" w:rsidP="0062209B" w14:paraId="036D2E49" w14:textId="35A3F73D"/>
    <w:sectPr w:rsidSect="002F4C20">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2209B" w:rsidRPr="002F4C20" w14:paraId="3878A7E6" w14:textId="77777777">
      <w:r w:rsidRPr="002F4C20">
        <w:separator/>
      </w:r>
    </w:p>
  </w:footnote>
  <w:footnote w:type="continuationSeparator" w:id="1">
    <w:p w:rsidR="0062209B" w:rsidRPr="002F4C20" w14:paraId="053E7605" w14:textId="77777777">
      <w:r w:rsidRPr="002F4C20">
        <w:continuationSeparator/>
      </w:r>
    </w:p>
  </w:footnote>
  <w:footnote w:id="2">
    <w:p w:rsidR="0044629B" w:rsidRPr="002F4C20" w:rsidP="002F4C20" w14:paraId="2EE9B773" w14:textId="4DB9A9A9">
      <w:pPr>
        <w:pStyle w:val="FootnoteText"/>
        <w:ind w:left="567" w:hanging="567"/>
        <w:rPr>
          <w:sz w:val="24"/>
          <w:lang w:val="ro-RO"/>
        </w:rPr>
      </w:pPr>
      <w:r w:rsidRPr="002F4C20">
        <w:rPr>
          <w:rStyle w:val="FootnoteReference"/>
          <w:sz w:val="24"/>
          <w:lang w:val="ro-RO"/>
        </w:rPr>
        <w:footnoteRef/>
      </w:r>
      <w:r w:rsidRPr="002F4C20" w:rsidR="002F4C20">
        <w:rPr>
          <w:sz w:val="24"/>
          <w:lang w:val="ro-RO"/>
        </w:rPr>
        <w:t xml:space="preserve"> </w:t>
      </w:r>
      <w:r w:rsidRPr="002F4C20" w:rsidR="002F4C20">
        <w:rPr>
          <w:sz w:val="24"/>
          <w:lang w:val="ro-RO"/>
        </w:rPr>
        <w:tab/>
      </w:r>
      <w:r w:rsidRPr="002F4C20">
        <w:rPr>
          <w:sz w:val="24"/>
          <w:lang w:val="ro-RO"/>
        </w:rPr>
        <w:t>Texte adoptate, P10_TA(2026)0077.</w:t>
      </w:r>
    </w:p>
  </w:footnote>
  <w:footnote w:id="3">
    <w:p w:rsidR="0044629B" w:rsidRPr="002F4C20" w:rsidP="002F4C20" w14:paraId="572F714C" w14:textId="532CADF5">
      <w:pPr>
        <w:pStyle w:val="FootnoteText"/>
        <w:ind w:left="567" w:hanging="567"/>
        <w:rPr>
          <w:sz w:val="24"/>
          <w:lang w:val="ro-RO"/>
        </w:rPr>
      </w:pPr>
      <w:r w:rsidRPr="002F4C20">
        <w:rPr>
          <w:rStyle w:val="FootnoteReference"/>
          <w:sz w:val="24"/>
          <w:lang w:val="ro-RO"/>
        </w:rPr>
        <w:footnoteRef/>
      </w:r>
      <w:r w:rsidRPr="002F4C20" w:rsidR="002F4C20">
        <w:rPr>
          <w:sz w:val="24"/>
          <w:lang w:val="ro-RO"/>
        </w:rPr>
        <w:t xml:space="preserve"> </w:t>
      </w:r>
      <w:r w:rsidRPr="002F4C20" w:rsidR="002F4C20">
        <w:rPr>
          <w:sz w:val="24"/>
          <w:lang w:val="ro-RO"/>
        </w:rPr>
        <w:tab/>
      </w:r>
      <w:r w:rsidRPr="002F4C20">
        <w:rPr>
          <w:sz w:val="24"/>
          <w:lang w:val="ro-RO"/>
        </w:rPr>
        <w:t>Texte adoptate, P10_TA(2026)0013.</w:t>
      </w:r>
    </w:p>
  </w:footnote>
  <w:footnote w:id="4">
    <w:p w:rsidR="0044629B" w:rsidRPr="002F4C20" w:rsidP="002F4C20" w14:paraId="521A4521" w14:textId="36D0D8D2">
      <w:pPr>
        <w:pStyle w:val="FootnoteText"/>
        <w:ind w:left="567" w:hanging="567"/>
        <w:rPr>
          <w:sz w:val="24"/>
          <w:lang w:val="ro-RO"/>
        </w:rPr>
      </w:pPr>
      <w:r w:rsidRPr="002F4C20">
        <w:rPr>
          <w:rStyle w:val="FootnoteReference"/>
          <w:sz w:val="24"/>
          <w:lang w:val="ro-RO"/>
        </w:rPr>
        <w:footnoteRef/>
      </w:r>
      <w:r w:rsidRPr="002F4C20" w:rsidR="002F4C20">
        <w:rPr>
          <w:sz w:val="24"/>
          <w:lang w:val="ro-RO"/>
        </w:rPr>
        <w:t xml:space="preserve"> </w:t>
      </w:r>
      <w:r w:rsidRPr="002F4C20" w:rsidR="002F4C20">
        <w:rPr>
          <w:sz w:val="24"/>
          <w:lang w:val="ro-RO"/>
        </w:rPr>
        <w:tab/>
      </w:r>
      <w:r w:rsidRPr="002F4C20">
        <w:rPr>
          <w:sz w:val="24"/>
          <w:lang w:val="ro-RO"/>
        </w:rPr>
        <w:t>Texte adoptate, P10_TA(2026)0077.</w:t>
      </w:r>
    </w:p>
  </w:footnote>
  <w:footnote w:id="5">
    <w:p w:rsidR="0044629B" w:rsidRPr="002F4C20" w:rsidP="000B0D2C" w14:paraId="6AB589ED" w14:textId="0D180D51">
      <w:pPr>
        <w:ind w:left="567" w:hanging="567"/>
      </w:pPr>
      <w:r w:rsidRPr="002F4C20">
        <w:rPr>
          <w:rStyle w:val="FootnoteReference"/>
        </w:rPr>
        <w:footnoteRef/>
      </w:r>
      <w:r w:rsidRPr="002F4C20" w:rsidR="002F4C20">
        <w:t xml:space="preserve"> </w:t>
      </w:r>
      <w:r w:rsidRPr="002F4C20" w:rsidR="002F4C20">
        <w:tab/>
      </w:r>
      <w:r w:rsidRPr="002F4C20">
        <w:t>Acord de asociere între Uniunea Europeană și statele membre ale acesteia, pe de o parte, și Ucraina, pe de altă parte (ELI:</w:t>
      </w:r>
      <w:r w:rsidR="000B0D2C">
        <w:t> </w:t>
      </w:r>
      <w:hyperlink r:id="rId1" w:history="1">
        <w:r w:rsidRPr="002F4C20">
          <w:rPr>
            <w:rStyle w:val="Hyperlink"/>
          </w:rPr>
          <w:t>http://data.europa.eu/eli/agree_internation/2014/295/oj</w:t>
        </w:r>
      </w:hyperlink>
      <w:r w:rsidRPr="002F4C20">
        <w:t>).</w:t>
      </w:r>
    </w:p>
  </w:footnote>
  <w:footnote w:id="6">
    <w:p w:rsidR="0044629B" w:rsidRPr="002F4C20" w:rsidP="002F4C20" w14:paraId="51794973" w14:textId="6702F767">
      <w:pPr>
        <w:pStyle w:val="FootnoteText"/>
        <w:ind w:left="567" w:hanging="567"/>
        <w:rPr>
          <w:sz w:val="24"/>
          <w:lang w:val="ro-RO"/>
        </w:rPr>
      </w:pPr>
      <w:r w:rsidRPr="002F4C20">
        <w:rPr>
          <w:rStyle w:val="FootnoteReference"/>
          <w:sz w:val="24"/>
          <w:lang w:val="ro-RO"/>
        </w:rPr>
        <w:footnoteRef/>
      </w:r>
      <w:r w:rsidRPr="002F4C20" w:rsidR="002F4C20">
        <w:rPr>
          <w:sz w:val="24"/>
          <w:lang w:val="ro-RO"/>
        </w:rPr>
        <w:t xml:space="preserve"> </w:t>
      </w:r>
      <w:r w:rsidRPr="002F4C20" w:rsidR="002F4C20">
        <w:rPr>
          <w:sz w:val="24"/>
          <w:lang w:val="ro-RO"/>
        </w:rPr>
        <w:tab/>
      </w:r>
      <w:r w:rsidRPr="002F4C20">
        <w:rPr>
          <w:sz w:val="24"/>
          <w:lang w:val="ro-RO"/>
        </w:rPr>
        <w:t xml:space="preserve">Regulamentul (UE) 2022/2065 al Parlamentului European și al Consiliului din 19 octombrie 2022 privind o piață unică pentru serviciile digitale și de modificare a Directivei 2000/31/CE (Regulamentul privind serviciile digitale) (JO L 277, 27.10.2022, p. 1, </w:t>
      </w:r>
      <w:hyperlink r:id="rId2" w:history="1">
        <w:r w:rsidRPr="002F4C20">
          <w:rPr>
            <w:rStyle w:val="Hyperlink"/>
            <w:sz w:val="24"/>
            <w:lang w:val="ro-RO"/>
          </w:rPr>
          <w:t>http://data.europa.eu/eli/reg/2022/2065/oj</w:t>
        </w:r>
      </w:hyperlink>
      <w:r w:rsidRPr="002F4C20">
        <w:rPr>
          <w:sz w:val="24"/>
          <w:lang w:val="ro-RO"/>
        </w:rPr>
        <w:t>).</w:t>
      </w:r>
    </w:p>
  </w:footnote>
  <w:footnote w:id="7">
    <w:p w:rsidR="0044629B" w:rsidRPr="002F4C20" w:rsidP="002F4C20" w14:paraId="3503A063" w14:textId="05ECFB18">
      <w:pPr>
        <w:pStyle w:val="FootnoteText"/>
        <w:ind w:left="567" w:hanging="567"/>
        <w:rPr>
          <w:sz w:val="24"/>
          <w:lang w:val="ro-RO"/>
        </w:rPr>
      </w:pPr>
      <w:r w:rsidRPr="002F4C20">
        <w:rPr>
          <w:rStyle w:val="FootnoteReference"/>
          <w:sz w:val="24"/>
          <w:lang w:val="ro-RO"/>
        </w:rPr>
        <w:footnoteRef/>
      </w:r>
      <w:r w:rsidRPr="002F4C20" w:rsidR="002F4C20">
        <w:rPr>
          <w:sz w:val="24"/>
          <w:lang w:val="ro-RO"/>
        </w:rPr>
        <w:t xml:space="preserve"> </w:t>
      </w:r>
      <w:r w:rsidRPr="002F4C20" w:rsidR="002F4C20">
        <w:rPr>
          <w:sz w:val="24"/>
          <w:lang w:val="ro-RO"/>
        </w:rPr>
        <w:tab/>
      </w:r>
      <w:r w:rsidRPr="002F4C20">
        <w:rPr>
          <w:sz w:val="24"/>
          <w:lang w:val="ro-RO"/>
        </w:rPr>
        <w:t>Propunerea Comisiei din 14 ianuarie 2026 de regulament al Parlamentului European și al Consiliului de punere în aplicare a unei cooperări consolidate în ceea ce privește instituirea împrumutului pentru sprijinirea Ucrainei pentru 2026 și 2027 (COM(2026)0020).</w:t>
      </w:r>
    </w:p>
  </w:footnote>
  <w:footnote w:id="8">
    <w:p w:rsidR="0044629B" w:rsidRPr="002F4C20" w:rsidP="002F4C20" w14:paraId="672CC71C" w14:textId="6EC393B8">
      <w:pPr>
        <w:pStyle w:val="FootnoteText"/>
        <w:ind w:left="567" w:hanging="567"/>
        <w:rPr>
          <w:sz w:val="24"/>
          <w:lang w:val="ro-RO"/>
        </w:rPr>
      </w:pPr>
      <w:r w:rsidRPr="002F4C20">
        <w:rPr>
          <w:rStyle w:val="FootnoteReference"/>
          <w:sz w:val="24"/>
          <w:lang w:val="ro-RO"/>
        </w:rPr>
        <w:footnoteRef/>
      </w:r>
      <w:r w:rsidRPr="002F4C20" w:rsidR="002F4C20">
        <w:rPr>
          <w:sz w:val="24"/>
          <w:lang w:val="ro-RO"/>
        </w:rPr>
        <w:t xml:space="preserve"> </w:t>
      </w:r>
      <w:r w:rsidRPr="002F4C20" w:rsidR="002F4C20">
        <w:rPr>
          <w:sz w:val="24"/>
          <w:lang w:val="ro-RO"/>
        </w:rPr>
        <w:tab/>
      </w:r>
      <w:r w:rsidRPr="002F4C20">
        <w:rPr>
          <w:sz w:val="24"/>
          <w:lang w:val="ro-RO"/>
        </w:rPr>
        <w:t>Propunerea Comisiei din 3 decembrie 2025 de regulament al Parlamentului European și al Consiliului de instituire a împrumutului asociat reparațiilor pentru Ucraina și de modificare a Regulamentului (UE) 2024/792 al Parlamentului European și al Consiliului din 29 februarie 2024 de instituire a Mecanismului pentru Ucraina (COM(2025)3502).</w:t>
      </w:r>
    </w:p>
  </w:footnote>
  <w:footnote w:id="9">
    <w:p w:rsidR="0044629B" w:rsidRPr="002F4C20" w:rsidP="002F4C20" w14:paraId="3BDF7283" w14:textId="6A9AD492">
      <w:pPr>
        <w:pStyle w:val="FootnoteText"/>
        <w:ind w:left="567" w:hanging="567"/>
        <w:rPr>
          <w:sz w:val="24"/>
          <w:lang w:val="ro-RO"/>
        </w:rPr>
      </w:pPr>
      <w:r w:rsidRPr="002F4C20">
        <w:rPr>
          <w:rStyle w:val="FootnoteReference"/>
          <w:sz w:val="24"/>
          <w:lang w:val="ro-RO"/>
        </w:rPr>
        <w:footnoteRef/>
      </w:r>
      <w:r w:rsidRPr="002F4C20" w:rsidR="002F4C20">
        <w:rPr>
          <w:sz w:val="24"/>
          <w:lang w:val="ro-RO"/>
        </w:rPr>
        <w:t xml:space="preserve"> </w:t>
      </w:r>
      <w:r w:rsidRPr="002F4C20" w:rsidR="002F4C20">
        <w:rPr>
          <w:sz w:val="24"/>
          <w:lang w:val="ro-RO"/>
        </w:rPr>
        <w:tab/>
      </w:r>
      <w:r w:rsidRPr="002F4C20">
        <w:rPr>
          <w:sz w:val="24"/>
          <w:lang w:val="ro-RO"/>
        </w:rPr>
        <w:t xml:space="preserve">Directiva 2001/55/CE a Consiliului din 20 iulie 2001 privind standardele minime pentru acordarea protecției temporare, în cazul unui aflux masiv de persoane strămutate, și măsurile de promovare a unui echilibru între eforturile statelor membre pentru primirea acestor persoane și suportarea consecințelor acestei primiri, (JO L 212, 7.8.2001, p. 12, ELI: </w:t>
      </w:r>
      <w:hyperlink r:id="rId3" w:history="1">
        <w:r w:rsidRPr="002F4C20">
          <w:rPr>
            <w:rStyle w:val="Hyperlink"/>
            <w:sz w:val="24"/>
            <w:lang w:val="ro-RO"/>
          </w:rPr>
          <w:t>http://data.europa.eu/eli/dir/2001/55/oj</w:t>
        </w:r>
      </w:hyperlink>
      <w:r w:rsidRPr="002F4C20">
        <w:rPr>
          <w:sz w:val="24"/>
          <w:lang w:val="ro-RO"/>
        </w:rPr>
        <w:t>).</w:t>
      </w:r>
    </w:p>
  </w:footnote>
  <w:footnote w:id="10">
    <w:p w:rsidR="00044077" w:rsidRPr="002F4C20" w:rsidP="002F4C20" w14:paraId="618D3C27" w14:textId="5EF70904">
      <w:pPr>
        <w:pStyle w:val="FootnoteText"/>
        <w:ind w:left="567" w:hanging="567"/>
        <w:rPr>
          <w:sz w:val="24"/>
          <w:lang w:val="ro-RO"/>
        </w:rPr>
      </w:pPr>
      <w:r>
        <w:rPr>
          <w:rStyle w:val="FootnoteReference"/>
        </w:rPr>
        <w:footnoteRef/>
      </w:r>
      <w:r w:rsidRPr="002F4C20">
        <w:rPr>
          <w:sz w:val="24"/>
          <w:vertAlign w:val="superscript"/>
          <w:lang w:val="ro-RO"/>
        </w:rPr>
        <w:t xml:space="preserve"> </w:t>
      </w:r>
      <w:r w:rsidRPr="002F4C20">
        <w:rPr>
          <w:sz w:val="24"/>
          <w:vertAlign w:val="superscript"/>
          <w:lang w:val="ro-RO"/>
        </w:rPr>
        <w:tab/>
      </w:r>
      <w:r w:rsidRPr="002F4C20">
        <w:rPr>
          <w:sz w:val="24"/>
          <w:lang w:val="ro-RO"/>
        </w:rPr>
        <w:t xml:space="preserve">Regulamentul (UE) nr. 260/2012 al Parlamentului European și al Consiliului din 14 martie 2012 de stabilire a cerințelor tehnice și comerciale aplicabile operațiunilor de transfer de credit și de debitare directă în euro și de modificare a Regulamentului (CE) nr. 924/2009 (JO L 94, 30.3.2012, p. 22, ELI: </w:t>
      </w:r>
      <w:hyperlink r:id="rId4" w:tgtFrame="http://data.europa.eu/eli/reg/2012/260/oj" w:history="1">
        <w:r w:rsidRPr="002F4C20">
          <w:rPr>
            <w:rStyle w:val="Hyperlink"/>
            <w:sz w:val="24"/>
            <w:lang w:val="ro-RO"/>
          </w:rPr>
          <w:t>http://data.europa.eu/eli/reg/2012/260/oj</w:t>
        </w:r>
      </w:hyperlink>
      <w:r w:rsidRPr="002F4C20">
        <w:rPr>
          <w:sz w:val="24"/>
          <w:lang w:val="ro-RO"/>
        </w:rPr>
        <w:t>).</w:t>
      </w:r>
    </w:p>
  </w:footnote>
  <w:footnote w:id="11">
    <w:p w:rsidR="00044077" w:rsidRPr="002F4C20" w:rsidP="002F4C20" w14:paraId="5AD342F6" w14:textId="5A930866">
      <w:pPr>
        <w:pStyle w:val="FootnoteText"/>
        <w:ind w:left="567" w:hanging="567"/>
        <w:rPr>
          <w:sz w:val="24"/>
          <w:lang w:val="ro-RO"/>
        </w:rPr>
      </w:pPr>
      <w:r>
        <w:rPr>
          <w:rStyle w:val="FootnoteReference"/>
        </w:rPr>
        <w:footnoteRef/>
      </w:r>
      <w:r w:rsidRPr="002F4C20">
        <w:rPr>
          <w:sz w:val="24"/>
          <w:vertAlign w:val="superscript"/>
          <w:lang w:val="ro-RO"/>
        </w:rPr>
        <w:t xml:space="preserve"> </w:t>
      </w:r>
      <w:r w:rsidRPr="002F4C20">
        <w:rPr>
          <w:sz w:val="24"/>
          <w:vertAlign w:val="superscript"/>
          <w:lang w:val="ro-RO"/>
        </w:rPr>
        <w:tab/>
      </w:r>
      <w:r w:rsidRPr="002F4C20">
        <w:rPr>
          <w:sz w:val="24"/>
          <w:lang w:val="ro-RO"/>
        </w:rPr>
        <w:t xml:space="preserve">Regulamentul (UE) 2024/792 al Parlamentului European și al Consiliului din 29 februarie 2024 de instituire a Mecanismului pentru Ucraina (JO L, 2024/792, 29.2.2024, ELI: </w:t>
      </w:r>
      <w:hyperlink r:id="rId5" w:tgtFrame="http://data.europa.eu/eli/reg/2024/792/oj" w:history="1">
        <w:r w:rsidRPr="002F4C20">
          <w:rPr>
            <w:rStyle w:val="Hyperlink"/>
            <w:sz w:val="24"/>
            <w:lang w:val="ro-RO"/>
          </w:rPr>
          <w:t>http://data.europa.eu/eli/reg/2024/792/oj</w:t>
        </w:r>
      </w:hyperlink>
      <w:r w:rsidRPr="002F4C20">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1930293">
    <w:abstractNumId w:val="9"/>
  </w:num>
  <w:num w:numId="2" w16cid:durableId="275256288">
    <w:abstractNumId w:val="9"/>
  </w:num>
  <w:num w:numId="3" w16cid:durableId="1985546518">
    <w:abstractNumId w:val="7"/>
  </w:num>
  <w:num w:numId="4" w16cid:durableId="1674796824">
    <w:abstractNumId w:val="7"/>
  </w:num>
  <w:num w:numId="5" w16cid:durableId="1025331318">
    <w:abstractNumId w:val="6"/>
  </w:num>
  <w:num w:numId="6" w16cid:durableId="15471895">
    <w:abstractNumId w:val="6"/>
  </w:num>
  <w:num w:numId="7" w16cid:durableId="2112816579">
    <w:abstractNumId w:val="5"/>
  </w:num>
  <w:num w:numId="8" w16cid:durableId="155809797">
    <w:abstractNumId w:val="5"/>
  </w:num>
  <w:num w:numId="9" w16cid:durableId="1349480824">
    <w:abstractNumId w:val="4"/>
  </w:num>
  <w:num w:numId="10" w16cid:durableId="1418165787">
    <w:abstractNumId w:val="4"/>
  </w:num>
  <w:num w:numId="11" w16cid:durableId="940723689">
    <w:abstractNumId w:val="8"/>
  </w:num>
  <w:num w:numId="12" w16cid:durableId="591623691">
    <w:abstractNumId w:val="8"/>
  </w:num>
  <w:num w:numId="13" w16cid:durableId="1925603278">
    <w:abstractNumId w:val="3"/>
  </w:num>
  <w:num w:numId="14" w16cid:durableId="1434132678">
    <w:abstractNumId w:val="3"/>
  </w:num>
  <w:num w:numId="15" w16cid:durableId="1108965312">
    <w:abstractNumId w:val="2"/>
  </w:num>
  <w:num w:numId="16" w16cid:durableId="911699821">
    <w:abstractNumId w:val="2"/>
  </w:num>
  <w:num w:numId="17" w16cid:durableId="1654335510">
    <w:abstractNumId w:val="1"/>
  </w:num>
  <w:num w:numId="18" w16cid:durableId="696933847">
    <w:abstractNumId w:val="1"/>
  </w:num>
  <w:num w:numId="19" w16cid:durableId="285696115">
    <w:abstractNumId w:val="0"/>
  </w:num>
  <w:num w:numId="20" w16cid:durableId="613291049">
    <w:abstractNumId w:val="0"/>
  </w:num>
  <w:num w:numId="21" w16cid:durableId="1861166307">
    <w:abstractNumId w:val="9"/>
  </w:num>
  <w:num w:numId="22" w16cid:durableId="1628392712">
    <w:abstractNumId w:val="7"/>
  </w:num>
  <w:num w:numId="23" w16cid:durableId="1336305734">
    <w:abstractNumId w:val="6"/>
  </w:num>
  <w:num w:numId="24" w16cid:durableId="326254758">
    <w:abstractNumId w:val="5"/>
  </w:num>
  <w:num w:numId="25" w16cid:durableId="743836044">
    <w:abstractNumId w:val="4"/>
  </w:num>
  <w:num w:numId="26" w16cid:durableId="1222595817">
    <w:abstractNumId w:val="8"/>
  </w:num>
  <w:num w:numId="27" w16cid:durableId="643511183">
    <w:abstractNumId w:val="3"/>
  </w:num>
  <w:num w:numId="28" w16cid:durableId="1702126167">
    <w:abstractNumId w:val="2"/>
  </w:num>
  <w:num w:numId="29" w16cid:durableId="1131904159">
    <w:abstractNumId w:val="1"/>
  </w:num>
  <w:num w:numId="30" w16cid:durableId="1094671162">
    <w:abstractNumId w:val="0"/>
  </w:num>
  <w:num w:numId="31" w16cid:durableId="1347363098">
    <w:abstractNumId w:val="9"/>
  </w:num>
  <w:num w:numId="32" w16cid:durableId="1148010623">
    <w:abstractNumId w:val="7"/>
  </w:num>
  <w:num w:numId="33" w16cid:durableId="400905988">
    <w:abstractNumId w:val="6"/>
  </w:num>
  <w:num w:numId="34" w16cid:durableId="2131119776">
    <w:abstractNumId w:val="5"/>
  </w:num>
  <w:num w:numId="35" w16cid:durableId="2010054659">
    <w:abstractNumId w:val="4"/>
  </w:num>
  <w:num w:numId="36" w16cid:durableId="230309141">
    <w:abstractNumId w:val="8"/>
  </w:num>
  <w:num w:numId="37" w16cid:durableId="437792510">
    <w:abstractNumId w:val="3"/>
  </w:num>
  <w:num w:numId="38" w16cid:durableId="1333728181">
    <w:abstractNumId w:val="2"/>
  </w:num>
  <w:num w:numId="39" w16cid:durableId="33969431">
    <w:abstractNumId w:val="1"/>
  </w:num>
  <w:num w:numId="40" w16cid:durableId="1863516710">
    <w:abstractNumId w:val="0"/>
  </w:num>
  <w:num w:numId="41" w16cid:durableId="1660378430">
    <w:abstractNumId w:val="10"/>
  </w:num>
  <w:num w:numId="42" w16cid:durableId="1430395962">
    <w:abstractNumId w:val="10"/>
  </w:num>
  <w:num w:numId="43" w16cid:durableId="1334332545">
    <w:abstractNumId w:val="10"/>
  </w:num>
  <w:num w:numId="44" w16cid:durableId="18236898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Formatting/>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09B"/>
    <w:rsid w:val="00002272"/>
    <w:rsid w:val="00044077"/>
    <w:rsid w:val="00064002"/>
    <w:rsid w:val="000677B9"/>
    <w:rsid w:val="000831BA"/>
    <w:rsid w:val="000A42CC"/>
    <w:rsid w:val="000B0D2C"/>
    <w:rsid w:val="000E7DD9"/>
    <w:rsid w:val="0010095E"/>
    <w:rsid w:val="00120A43"/>
    <w:rsid w:val="00125B37"/>
    <w:rsid w:val="00187494"/>
    <w:rsid w:val="001F32AE"/>
    <w:rsid w:val="002767FF"/>
    <w:rsid w:val="002B18FE"/>
    <w:rsid w:val="002B5493"/>
    <w:rsid w:val="002F4C20"/>
    <w:rsid w:val="0033742F"/>
    <w:rsid w:val="00343214"/>
    <w:rsid w:val="00361C00"/>
    <w:rsid w:val="00366360"/>
    <w:rsid w:val="00385089"/>
    <w:rsid w:val="00395FA1"/>
    <w:rsid w:val="003E15D4"/>
    <w:rsid w:val="00411CCE"/>
    <w:rsid w:val="0041666E"/>
    <w:rsid w:val="00421060"/>
    <w:rsid w:val="0044629B"/>
    <w:rsid w:val="00471C19"/>
    <w:rsid w:val="004867E3"/>
    <w:rsid w:val="00494A28"/>
    <w:rsid w:val="004C0004"/>
    <w:rsid w:val="004C5D52"/>
    <w:rsid w:val="0050519A"/>
    <w:rsid w:val="005072A1"/>
    <w:rsid w:val="00514517"/>
    <w:rsid w:val="00545827"/>
    <w:rsid w:val="00560270"/>
    <w:rsid w:val="005C2568"/>
    <w:rsid w:val="005D0F91"/>
    <w:rsid w:val="005D0FC8"/>
    <w:rsid w:val="005F1B17"/>
    <w:rsid w:val="006037C0"/>
    <w:rsid w:val="00613CC2"/>
    <w:rsid w:val="0062209B"/>
    <w:rsid w:val="00655957"/>
    <w:rsid w:val="006631B6"/>
    <w:rsid w:val="00680577"/>
    <w:rsid w:val="006F74FA"/>
    <w:rsid w:val="00722943"/>
    <w:rsid w:val="00731ADD"/>
    <w:rsid w:val="00734777"/>
    <w:rsid w:val="00747932"/>
    <w:rsid w:val="00751A4A"/>
    <w:rsid w:val="00756632"/>
    <w:rsid w:val="00762C74"/>
    <w:rsid w:val="00786EC0"/>
    <w:rsid w:val="007D1690"/>
    <w:rsid w:val="007D618D"/>
    <w:rsid w:val="007E22AD"/>
    <w:rsid w:val="007E77A6"/>
    <w:rsid w:val="00817416"/>
    <w:rsid w:val="00842779"/>
    <w:rsid w:val="00865F67"/>
    <w:rsid w:val="00881A7B"/>
    <w:rsid w:val="008840E5"/>
    <w:rsid w:val="00887B3E"/>
    <w:rsid w:val="008C2AC6"/>
    <w:rsid w:val="00930C23"/>
    <w:rsid w:val="0093193B"/>
    <w:rsid w:val="009509D8"/>
    <w:rsid w:val="00950B64"/>
    <w:rsid w:val="00957BB5"/>
    <w:rsid w:val="00981893"/>
    <w:rsid w:val="00A1687D"/>
    <w:rsid w:val="00A43E52"/>
    <w:rsid w:val="00A4678D"/>
    <w:rsid w:val="00A778C7"/>
    <w:rsid w:val="00AB441E"/>
    <w:rsid w:val="00AB6293"/>
    <w:rsid w:val="00AE0928"/>
    <w:rsid w:val="00AE120C"/>
    <w:rsid w:val="00AF3B82"/>
    <w:rsid w:val="00B12E95"/>
    <w:rsid w:val="00B22876"/>
    <w:rsid w:val="00B27A92"/>
    <w:rsid w:val="00B558F0"/>
    <w:rsid w:val="00BD48FE"/>
    <w:rsid w:val="00BD743A"/>
    <w:rsid w:val="00BD7BD8"/>
    <w:rsid w:val="00BE6ADC"/>
    <w:rsid w:val="00C05BFE"/>
    <w:rsid w:val="00C23CD4"/>
    <w:rsid w:val="00C61C0C"/>
    <w:rsid w:val="00C75718"/>
    <w:rsid w:val="00C941CB"/>
    <w:rsid w:val="00CC2357"/>
    <w:rsid w:val="00CF071A"/>
    <w:rsid w:val="00D058B8"/>
    <w:rsid w:val="00D22B0C"/>
    <w:rsid w:val="00D3054C"/>
    <w:rsid w:val="00D56C11"/>
    <w:rsid w:val="00D834A0"/>
    <w:rsid w:val="00D872DF"/>
    <w:rsid w:val="00D91E21"/>
    <w:rsid w:val="00DA7FCD"/>
    <w:rsid w:val="00E365E1"/>
    <w:rsid w:val="00E6334D"/>
    <w:rsid w:val="00E820A4"/>
    <w:rsid w:val="00EB006A"/>
    <w:rsid w:val="00EB4772"/>
    <w:rsid w:val="00EC4D39"/>
    <w:rsid w:val="00ED169E"/>
    <w:rsid w:val="00ED4235"/>
    <w:rsid w:val="00F01EC1"/>
    <w:rsid w:val="00F02101"/>
    <w:rsid w:val="00F04346"/>
    <w:rsid w:val="00F075DC"/>
    <w:rsid w:val="00F07830"/>
    <w:rsid w:val="00F149E9"/>
    <w:rsid w:val="00F5134D"/>
    <w:rsid w:val="00F74202"/>
    <w:rsid w:val="00F87713"/>
    <w:rsid w:val="00FB4360"/>
    <w:rsid w:val="00FB6670"/>
    <w:rsid w:val="00FD0C70"/>
  </w:rsids>
  <w:docVars>
    <w:docVar w:name="dvdocse" w:val="A10-0172/2026"/>
    <w:docVar w:name="dvlangue" w:val="RO"/>
    <w:docVar w:name="dvnumam" w:val="0"/>
    <w:docVar w:name="dvpe" w:val="784.266"/>
    <w:docVar w:name="dvrapporteur" w:val="Raportor: "/>
    <w:docVar w:name="dvtitre" w:val="Rezoluția Parlamentului European din 8 iulie 2026 referitoare la raportul Comisiei din 2025 privind Ucraina(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5907CA9"/>
  <w15:chartTrackingRefBased/>
  <w15:docId w15:val="{C48FEC41-BE28-4F8E-AF65-74A7CCAB5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4629B"/>
    <w:pPr>
      <w:widowControl/>
      <w:spacing w:after="240"/>
    </w:pPr>
    <w:rPr>
      <w:szCs w:val="24"/>
      <w:lang w:eastAsia="en-US"/>
    </w:rPr>
  </w:style>
  <w:style w:type="paragraph" w:customStyle="1" w:styleId="NormalHanging12a">
    <w:name w:val="NormalHanging12a"/>
    <w:basedOn w:val="Normal"/>
    <w:link w:val="NormalHanging12aChar"/>
    <w:rsid w:val="0044629B"/>
    <w:pPr>
      <w:widowControl/>
      <w:spacing w:after="240"/>
      <w:ind w:left="566" w:hanging="566"/>
    </w:pPr>
    <w:rPr>
      <w:szCs w:val="24"/>
      <w:lang w:eastAsia="en-US"/>
    </w:rPr>
  </w:style>
  <w:style w:type="paragraph" w:customStyle="1" w:styleId="Normal12">
    <w:name w:val="Normal12"/>
    <w:basedOn w:val="Normal"/>
    <w:rsid w:val="0044629B"/>
    <w:pPr>
      <w:widowControl/>
      <w:spacing w:after="240"/>
    </w:pPr>
    <w:rPr>
      <w:szCs w:val="24"/>
      <w:lang w:eastAsia="en-US"/>
    </w:rPr>
  </w:style>
  <w:style w:type="paragraph" w:customStyle="1" w:styleId="NormalHanging">
    <w:name w:val="NormalHanging"/>
    <w:basedOn w:val="Normal"/>
    <w:rsid w:val="0044629B"/>
    <w:pPr>
      <w:widowControl/>
      <w:spacing w:after="240"/>
      <w:ind w:left="566" w:hanging="566"/>
    </w:pPr>
    <w:rPr>
      <w:szCs w:val="24"/>
      <w:lang w:eastAsia="en-US"/>
    </w:rPr>
  </w:style>
  <w:style w:type="paragraph" w:customStyle="1" w:styleId="NormalCenter12a">
    <w:name w:val="NormalCenter12a"/>
    <w:basedOn w:val="Normal"/>
    <w:rsid w:val="0044629B"/>
    <w:pPr>
      <w:widowControl/>
      <w:spacing w:after="240"/>
      <w:jc w:val="center"/>
    </w:pPr>
    <w:rPr>
      <w:szCs w:val="24"/>
      <w:lang w:eastAsia="en-US"/>
    </w:rPr>
  </w:style>
  <w:style w:type="character" w:styleId="Hyperlink">
    <w:name w:val="Hyperlink"/>
    <w:basedOn w:val="DefaultParagraphFont"/>
    <w:rsid w:val="0044629B"/>
    <w:rPr>
      <w:color w:val="0000FF"/>
      <w:u w:val="single"/>
    </w:rPr>
  </w:style>
  <w:style w:type="paragraph" w:styleId="NormalWeb">
    <w:name w:val="Normal (Web)"/>
    <w:basedOn w:val="Normal"/>
    <w:uiPriority w:val="99"/>
    <w:unhideWhenUsed/>
    <w:rsid w:val="0044629B"/>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44629B"/>
    <w:rPr>
      <w:sz w:val="24"/>
      <w:szCs w:val="24"/>
      <w:lang w:val="ro-RO" w:eastAsia="en-US"/>
    </w:rPr>
  </w:style>
  <w:style w:type="paragraph" w:styleId="Revision">
    <w:name w:val="Revision"/>
    <w:hidden/>
    <w:uiPriority w:val="99"/>
    <w:semiHidden/>
    <w:rsid w:val="00044077"/>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13602</Words>
  <Characters>82407</Characters>
  <Application>Microsoft Office Word</Application>
  <DocSecurity>0</DocSecurity>
  <Lines>686</Lines>
  <Paragraphs>191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2026-08-06T08:47:00Z</dcterms:created>
  <dcterms:modified xsi:type="dcterms:W3CDTF">2026-08-06T08:47:00Z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A10-0172/2026</vt:lpwstr>
  </property>
  <property fmtid="{D5CDD505-2E9C-101B-9397-08002B2CF9AE}" pid="4" name="&lt;Type&gt;">
    <vt:lpwstr>RR</vt:lpwstr>
  </property>
</Properties>
</file>