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3FC0D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4A6B" w:rsidP="0010095E" w14:paraId="3D7FC5F9" w14:textId="2EDB670C">
            <w:pPr>
              <w:pStyle w:val="EPName"/>
            </w:pPr>
            <w:r w:rsidRPr="00C24A6B">
              <w:t>Európsky parlament</w:t>
            </w:r>
          </w:p>
          <w:p w:rsidR="00751A4A" w:rsidRPr="00C24A6B" w:rsidP="005F1B17" w14:paraId="69DABA6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4A6B">
              <w:t>2024</w:t>
            </w:r>
            <w:r w:rsidRPr="00C24A6B" w:rsidR="00817416">
              <w:t>-202</w:t>
            </w:r>
            <w:r w:rsidRPr="00C24A6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24A6B" w:rsidP="0010095E" w14:paraId="072DA5D6" w14:textId="77777777">
            <w:pPr>
              <w:pStyle w:val="EPLogo"/>
            </w:pPr>
            <w:r w:rsidRPr="00C24A6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4A6B" w:rsidP="004C5D52" w14:paraId="11D681A8" w14:textId="77777777">
      <w:pPr>
        <w:pStyle w:val="LineTop"/>
      </w:pPr>
    </w:p>
    <w:p w:rsidR="00680577" w:rsidRPr="00C24A6B" w:rsidP="00680577" w14:paraId="6D38B350" w14:textId="36407267">
      <w:pPr>
        <w:pStyle w:val="EPBodyTA1"/>
      </w:pPr>
      <w:r w:rsidRPr="00C24A6B">
        <w:t>PRIJATÉ TEXTY</w:t>
      </w:r>
    </w:p>
    <w:p w:rsidR="00D058B8" w:rsidRPr="00C24A6B" w:rsidP="00D058B8" w14:paraId="3344077D" w14:textId="77777777">
      <w:pPr>
        <w:pStyle w:val="LineBottom"/>
      </w:pPr>
    </w:p>
    <w:p w:rsidR="00A4730C" w:rsidRPr="00C24A6B" w:rsidP="00A4730C" w14:paraId="5377CCA6" w14:textId="600D5483">
      <w:pPr>
        <w:pStyle w:val="ATHeading1"/>
      </w:pPr>
      <w:bookmarkStart w:id="0" w:name="TANumber"/>
      <w:r w:rsidRPr="00C24A6B">
        <w:t>P10_TA(2026)0</w:t>
      </w:r>
      <w:r w:rsidRPr="00C24A6B" w:rsidR="008E1DCA">
        <w:t>2</w:t>
      </w:r>
      <w:bookmarkEnd w:id="0"/>
      <w:r w:rsidR="0096109A">
        <w:t>59</w:t>
      </w:r>
    </w:p>
    <w:p w:rsidR="00A4730C" w:rsidRPr="00C24A6B" w:rsidP="00A4730C" w14:paraId="3C77C6A8" w14:textId="77777777">
      <w:pPr>
        <w:pStyle w:val="ATHeading2"/>
      </w:pPr>
      <w:bookmarkStart w:id="1" w:name="title"/>
      <w:r w:rsidRPr="00C24A6B">
        <w:t>Správa Komisie o Ukrajine za rok 2025</w:t>
      </w:r>
      <w:bookmarkEnd w:id="1"/>
    </w:p>
    <w:p w:rsidR="00A4730C" w:rsidRPr="00C24A6B" w:rsidP="00A4730C" w14:paraId="7D51D6EE" w14:textId="77777777">
      <w:pPr>
        <w:rPr>
          <w:i/>
          <w:vanish/>
        </w:rPr>
      </w:pPr>
      <w:r>
        <w:rPr>
          <w:i/>
        </w:rPr>
        <w:fldChar w:fldCharType="begin"/>
      </w:r>
      <w:r w:rsidRPr="00C24A6B">
        <w:rPr>
          <w:i/>
        </w:rPr>
        <w:instrText xml:space="preserve"> TC"(</w:instrText>
      </w:r>
      <w:bookmarkStart w:id="2" w:name="DocNumber"/>
      <w:r w:rsidRPr="00C24A6B">
        <w:rPr>
          <w:i/>
        </w:rPr>
        <w:instrText>A10-0172/2026</w:instrText>
      </w:r>
      <w:bookmarkEnd w:id="2"/>
      <w:r w:rsidRPr="00C24A6B">
        <w:rPr>
          <w:i/>
        </w:rPr>
        <w:instrText xml:space="preserve"> - Spravodajca: Michael Gahler)"\l3 \n&gt; \* MERGEFORMAT </w:instrText>
      </w:r>
      <w:r>
        <w:rPr>
          <w:i/>
        </w:rPr>
        <w:fldChar w:fldCharType="end"/>
      </w:r>
    </w:p>
    <w:p w:rsidR="00A4730C" w:rsidRPr="00C24A6B" w:rsidP="00A4730C" w14:paraId="3EBCE2BE" w14:textId="77777777">
      <w:pPr>
        <w:rPr>
          <w:vanish/>
        </w:rPr>
      </w:pPr>
      <w:bookmarkStart w:id="3" w:name="Commission"/>
      <w:r w:rsidRPr="00C24A6B">
        <w:rPr>
          <w:vanish/>
        </w:rPr>
        <w:t>Výbor pre zahraničné veci</w:t>
      </w:r>
      <w:bookmarkEnd w:id="3"/>
    </w:p>
    <w:p w:rsidR="00A4730C" w:rsidRPr="00C24A6B" w:rsidP="00A4730C" w14:paraId="2E57524D" w14:textId="77777777">
      <w:pPr>
        <w:rPr>
          <w:vanish/>
        </w:rPr>
      </w:pPr>
      <w:bookmarkStart w:id="4" w:name="PE"/>
      <w:r w:rsidRPr="00C24A6B">
        <w:rPr>
          <w:vanish/>
        </w:rPr>
        <w:t>PE784.266</w:t>
      </w:r>
      <w:bookmarkEnd w:id="4"/>
    </w:p>
    <w:p w:rsidR="00A4730C" w:rsidRPr="00C24A6B" w:rsidP="00A4730C" w14:paraId="031DE724" w14:textId="027D0FD9">
      <w:pPr>
        <w:pStyle w:val="ATHeading3"/>
      </w:pPr>
      <w:bookmarkStart w:id="5" w:name="Sujet"/>
      <w:r w:rsidRPr="00C24A6B">
        <w:t>Uznesenie Európskeho parlamentu z</w:t>
      </w:r>
      <w:r w:rsidRPr="00C24A6B" w:rsidR="00BD7972">
        <w:t xml:space="preserve"> 8. júla</w:t>
      </w:r>
      <w:r w:rsidRPr="00C24A6B">
        <w:t xml:space="preserve"> 2026 o správe Komisie o Ukrajine za rok 2025</w:t>
      </w:r>
      <w:bookmarkEnd w:id="5"/>
      <w:r w:rsidRPr="00C24A6B">
        <w:t xml:space="preserve"> </w:t>
      </w:r>
      <w:bookmarkStart w:id="6" w:name="References"/>
      <w:r w:rsidRPr="00C24A6B">
        <w:t>(2025/2259(INI))</w:t>
      </w:r>
      <w:bookmarkEnd w:id="6"/>
    </w:p>
    <w:p w:rsidR="00E44D9F" w:rsidRPr="00C24A6B" w:rsidP="00E44D9F" w14:paraId="2B93F27B" w14:textId="77777777">
      <w:pPr>
        <w:pStyle w:val="Normal12"/>
      </w:pPr>
      <w:r w:rsidRPr="00C24A6B">
        <w:rPr>
          <w:i/>
        </w:rPr>
        <w:t>Európsky parlament</w:t>
      </w:r>
      <w:r w:rsidRPr="00C24A6B">
        <w:t>,</w:t>
      </w:r>
    </w:p>
    <w:p w:rsidR="00E44D9F" w:rsidRPr="00C24A6B" w:rsidP="00E44D9F" w14:paraId="65CA16A6" w14:textId="77777777">
      <w:pPr>
        <w:pStyle w:val="NormalHanging"/>
      </w:pPr>
      <w:r w:rsidRPr="00C24A6B">
        <w:t>–</w:t>
      </w:r>
      <w:r w:rsidRPr="00C24A6B">
        <w:tab/>
        <w:t>so zreteľom na svoje predchádzajúce uznesenia o Ukrajine,</w:t>
      </w:r>
    </w:p>
    <w:p w:rsidR="00E44D9F" w:rsidRPr="00C24A6B" w:rsidP="00E44D9F" w14:paraId="14D3C077" w14:textId="77777777">
      <w:pPr>
        <w:pStyle w:val="NormalHanging"/>
        <w:rPr>
          <w:rStyle w:val="HideTWBExt"/>
          <w:rFonts w:ascii="Times New Roman" w:hAnsi="Times New Roman" w:eastAsiaTheme="minorHAnsi"/>
          <w:iCs/>
          <w:vanish w:val="0"/>
          <w:color w:val="auto"/>
          <w:kern w:val="2"/>
          <w:sz w:val="24"/>
        </w:rPr>
      </w:pPr>
      <w:r w:rsidRPr="00C24A6B">
        <w:t>–</w:t>
      </w:r>
      <w:r w:rsidRPr="00C24A6B">
        <w:tab/>
        <w:t>so zreteľom na závery Európskej rady z 24. júna 2022, ktorými sa Ukrajine udelil štatút kandidátskej krajiny, z 15. decembra 2023, v ktorých sa schválilo začatie prístupových rokovaní, a z 20. marca 2025,</w:t>
      </w:r>
    </w:p>
    <w:p w:rsidR="00E44D9F" w:rsidRPr="00C24A6B" w:rsidP="00E44D9F" w14:paraId="1A8B46C3" w14:textId="77777777">
      <w:pPr>
        <w:pStyle w:val="NormalHanging"/>
        <w:rPr>
          <w:iCs/>
        </w:rPr>
      </w:pPr>
      <w:r w:rsidRPr="00C24A6B">
        <w:t>–</w:t>
      </w:r>
      <w:r w:rsidRPr="00C24A6B">
        <w:tab/>
        <w:t>so zreteľom na svoje uznesenie z 11. marca 2026 o stratégii rozširovania EÚ</w:t>
      </w:r>
      <w:r>
        <w:rPr>
          <w:rStyle w:val="FootnoteReference"/>
          <w:iCs/>
        </w:rPr>
        <w:footnoteReference w:id="2"/>
      </w:r>
      <w:r w:rsidRPr="00C24A6B">
        <w:t>,</w:t>
      </w:r>
    </w:p>
    <w:p w:rsidR="00E44D9F" w:rsidRPr="00C24A6B" w:rsidP="00E44D9F" w14:paraId="6C265CC9" w14:textId="77777777">
      <w:pPr>
        <w:pStyle w:val="NormalHanging"/>
        <w:rPr>
          <w:iCs/>
        </w:rPr>
      </w:pPr>
      <w:r w:rsidRPr="00C24A6B">
        <w:t>–</w:t>
      </w:r>
      <w:r w:rsidRPr="00C24A6B">
        <w:tab/>
        <w:t>so zreteľom na svoje uznesenie z 21. januára 2026 o vykonávaní spoločnej bezpečnostnej a obrannej politiky – výročná správa za rok 2025</w:t>
      </w:r>
      <w:r>
        <w:rPr>
          <w:rStyle w:val="FootnoteReference"/>
          <w:iCs/>
        </w:rPr>
        <w:footnoteReference w:id="3"/>
      </w:r>
      <w:r w:rsidRPr="00C24A6B">
        <w:t xml:space="preserve"> a svoje uznesenie z 11. marca 2026 o stratégii rozširovania EÚ</w:t>
      </w:r>
      <w:r>
        <w:rPr>
          <w:rStyle w:val="FootnoteReference"/>
          <w:iCs/>
        </w:rPr>
        <w:footnoteReference w:id="4"/>
      </w:r>
      <w:r w:rsidRPr="00C24A6B">
        <w:t>,</w:t>
      </w:r>
    </w:p>
    <w:p w:rsidR="00E44D9F" w:rsidRPr="00C24A6B" w:rsidP="00E44D9F" w14:paraId="16C282D5" w14:textId="77777777">
      <w:pPr>
        <w:pStyle w:val="NormalHanging"/>
        <w:rPr>
          <w:iCs/>
        </w:rPr>
      </w:pPr>
      <w:r w:rsidRPr="00C24A6B">
        <w:t>–</w:t>
      </w:r>
      <w:r w:rsidRPr="00C24A6B">
        <w:tab/>
        <w:t>so zreteľom na Nástroj pre Ukrajinu a Plán pre Ukrajinu,</w:t>
      </w:r>
    </w:p>
    <w:p w:rsidR="00E44D9F" w:rsidRPr="00C24A6B" w:rsidP="00E44D9F" w14:paraId="3F21E9F0" w14:textId="77777777">
      <w:pPr>
        <w:pStyle w:val="NormalHanging"/>
        <w:rPr>
          <w:iCs/>
        </w:rPr>
      </w:pPr>
      <w:r w:rsidRPr="00C24A6B">
        <w:t>–</w:t>
      </w:r>
      <w:r w:rsidRPr="00C24A6B">
        <w:tab/>
        <w:t xml:space="preserve">so zreteľom na spoločné vyhlásenie komisárky Marty </w:t>
      </w:r>
      <w:r w:rsidRPr="00C24A6B">
        <w:t>Kosovej</w:t>
      </w:r>
      <w:r w:rsidRPr="00C24A6B">
        <w:t xml:space="preserve"> a podpredsedu ukrajinskej vlády </w:t>
      </w:r>
      <w:r w:rsidRPr="00C24A6B">
        <w:t>Tarasa</w:t>
      </w:r>
      <w:r w:rsidRPr="00C24A6B">
        <w:t xml:space="preserve"> Kačku z 11. decembra 2025,</w:t>
      </w:r>
    </w:p>
    <w:p w:rsidR="00E44D9F" w:rsidRPr="00C24A6B" w:rsidP="00E44D9F" w14:paraId="13187DBF" w14:textId="77777777">
      <w:pPr>
        <w:pStyle w:val="NormalHanging"/>
        <w:rPr>
          <w:iCs/>
        </w:rPr>
      </w:pPr>
      <w:r w:rsidRPr="00C24A6B">
        <w:t>–</w:t>
      </w:r>
      <w:r w:rsidRPr="00C24A6B">
        <w:tab/>
        <w:t>so zreteľom na plány Ukrajiny v oblasti právneho štátu, reformy verejnej správy a fungovania demokratických inštitúcií, ako aj na jej akčný plán na ochranu práv osôb patriacich k národnostným (komunitám), ktoré boli schválené v máji 2025,</w:t>
      </w:r>
    </w:p>
    <w:p w:rsidR="00E44D9F" w:rsidRPr="00C24A6B" w:rsidP="00E44D9F" w14:paraId="2D9CCEE5" w14:textId="5B99CB0C">
      <w:pPr>
        <w:pStyle w:val="NormalHanging"/>
        <w:rPr>
          <w:iCs/>
        </w:rPr>
      </w:pPr>
      <w:r w:rsidRPr="00C24A6B">
        <w:t>–</w:t>
      </w:r>
      <w:r w:rsidRPr="00C24A6B">
        <w:tab/>
        <w:t xml:space="preserve">so zreteľom na Národný program aproximácie </w:t>
      </w:r>
      <w:r w:rsidRPr="00C24A6B">
        <w:t>acquis</w:t>
      </w:r>
      <w:r w:rsidRPr="00C24A6B">
        <w:t>, ktorý vláda Ukrajiny prijala 1</w:t>
      </w:r>
      <w:r w:rsidR="007301ED">
        <w:t>.</w:t>
      </w:r>
      <w:r w:rsidRPr="00C24A6B">
        <w:t> apríla 2026,</w:t>
      </w:r>
    </w:p>
    <w:p w:rsidR="00E44D9F" w:rsidRPr="00C24A6B" w:rsidP="00E44D9F" w14:paraId="73B9FE1B" w14:textId="77777777">
      <w:pPr>
        <w:pStyle w:val="NormalHanging"/>
      </w:pPr>
      <w:r w:rsidRPr="00C24A6B">
        <w:t>–</w:t>
      </w:r>
      <w:r w:rsidRPr="00C24A6B">
        <w:tab/>
        <w:t>so zreteľom na pracovný dokument útvarov Komisie zo 4. novembra 2025 s názvom Správa o Ukrajine za rok 2025 (SWD(2025)0759) a na sprievodné oznámenie Komisie s názvom Oznámenie o politike rozširovania EÚ za rok 2025 (COM(2025)0690),</w:t>
      </w:r>
    </w:p>
    <w:p w:rsidR="00E44D9F" w:rsidRPr="00C24A6B" w:rsidP="00E44D9F" w14:paraId="4156469F" w14:textId="77777777">
      <w:pPr>
        <w:pStyle w:val="NormalHanging"/>
      </w:pPr>
      <w:r w:rsidRPr="00C24A6B">
        <w:t>–</w:t>
      </w:r>
      <w:r w:rsidRPr="00C24A6B">
        <w:tab/>
        <w:t>so zreteľom na článok 55 rokovacieho poriadku,</w:t>
      </w:r>
    </w:p>
    <w:p w:rsidR="00E44D9F" w:rsidRPr="00C24A6B" w:rsidP="00E44D9F" w14:paraId="25E0227F" w14:textId="77777777">
      <w:pPr>
        <w:pStyle w:val="NormalHanging"/>
      </w:pPr>
      <w:r w:rsidRPr="00C24A6B">
        <w:t>–</w:t>
      </w:r>
      <w:r w:rsidRPr="00C24A6B">
        <w:tab/>
        <w:t>so zreteľom na správu Výboru pre zahraničné veci (A10-0172/2026),</w:t>
      </w:r>
    </w:p>
    <w:p w:rsidR="00E44D9F" w:rsidRPr="00C24A6B" w:rsidP="00E44D9F" w14:paraId="229828B9" w14:textId="550E861A">
      <w:pPr>
        <w:pStyle w:val="NormalHanging"/>
      </w:pPr>
      <w:r w:rsidRPr="00C24A6B">
        <w:t>A.</w:t>
      </w:r>
      <w:r w:rsidRPr="00C24A6B">
        <w:tab/>
        <w:t xml:space="preserve">keďže </w:t>
      </w:r>
      <w:r w:rsidRPr="00C24A6B" w:rsidR="00BD7972">
        <w:t>Európsky p</w:t>
      </w:r>
      <w:r w:rsidRPr="00C24A6B">
        <w:t xml:space="preserve">arlament čo najdôraznejšie odsudzuje útočnú vojnu Ruska proti Ukrajine, ktorá je hrubým porušením Charty OSN a základných zásad medzinárodného práva a medzinárodného humanitárneho práva, ktorá sa vyznačuje rozsiahlymi a systematickými vojnovými zločinmi, zločinmi proti ľudskosti, ako aj násilnou deportáciou tisícov Ukrajincov na územie Ruska, najmä detí, pričom ide o činy, ktoré si vyžadujú plné vyvodenie zodpovednosti a spravodlivosť; keďže </w:t>
      </w:r>
      <w:r w:rsidRPr="00C24A6B" w:rsidR="00BD7972">
        <w:t>Európsky p</w:t>
      </w:r>
      <w:r w:rsidRPr="00C24A6B">
        <w:t>arlament podporuje právo Ukrajiny na zvrchovanosť, nezávislosť a územnú celistvosť v rámci jej medzinárodne uznaných hraníc; keďže Rusko napadlo Ukrajinu a mohlo by kedykoľvek zastaviť brutálnu vojnu, ktorú vedie proti svojmu susedovi;</w:t>
      </w:r>
    </w:p>
    <w:p w:rsidR="00E44D9F" w:rsidRPr="00C24A6B" w:rsidP="00E44D9F" w14:paraId="425EF8BB" w14:textId="77777777">
      <w:pPr>
        <w:pStyle w:val="NormalHanging"/>
        <w:rPr>
          <w:bCs/>
          <w:iCs/>
        </w:rPr>
      </w:pPr>
      <w:r w:rsidRPr="00C24A6B">
        <w:t>B.</w:t>
      </w:r>
      <w:r w:rsidRPr="00C24A6B">
        <w:tab/>
        <w:t>keďže Rusko vedie od 24. februára 2022 nezákonnú, nevyprovokovanú a neodôvodnenú komplexnú útočnú vojnu proti Ukrajine, a to s politickou, materiálnou a vojenskou podporou, ktorú poskytujú jeho spojenci – najmä Bielorusko, Irán a Severná Kórea, ako aj Čína; keďže vojna Ruska proti Ukrajine sa začala v roku 2014 nezákonným obsadením a anexiou Krymu a následnou okupáciou častí Doneckej a </w:t>
      </w:r>
      <w:r w:rsidRPr="00C24A6B">
        <w:t>Luhanskej</w:t>
      </w:r>
      <w:r w:rsidRPr="00C24A6B">
        <w:t xml:space="preserve"> oblasti;</w:t>
      </w:r>
    </w:p>
    <w:p w:rsidR="00E44D9F" w:rsidRPr="00C24A6B" w:rsidP="00E44D9F" w14:paraId="5078E843" w14:textId="77777777">
      <w:pPr>
        <w:pStyle w:val="NormalHanging"/>
        <w:rPr>
          <w:bCs/>
          <w:iCs/>
        </w:rPr>
      </w:pPr>
      <w:r w:rsidRPr="00C24A6B">
        <w:t>C.</w:t>
      </w:r>
      <w:r w:rsidRPr="00C24A6B">
        <w:tab/>
        <w:t>keďže nedávne a pokračujúce porušovanie zvrchovanosti európskych štátov zo strany Ruska potvrdzuje, že jeho ciele ďaleko presahujú hranice Ukrajiny a predstavujú existenčnú hrozbu pre európsku slobodu a demokraciu;</w:t>
      </w:r>
    </w:p>
    <w:p w:rsidR="00E44D9F" w:rsidRPr="00C24A6B" w:rsidP="00E44D9F" w14:paraId="4973335F" w14:textId="0E0D3CA6">
      <w:pPr>
        <w:pStyle w:val="NormalHanging"/>
        <w:rPr>
          <w:bCs/>
          <w:iCs/>
        </w:rPr>
      </w:pPr>
      <w:r w:rsidRPr="00C24A6B">
        <w:t>D.</w:t>
      </w:r>
      <w:r w:rsidRPr="00C24A6B">
        <w:tab/>
        <w:t>keďže Rusko napriek rozsiahlemu medzinárodnému odsúdeniu a bezprecedentným sankciám stupňuje svoje vojnové úsilie prostredníctvom cielených útokov na kritickú energetickú infraštruktúru</w:t>
      </w:r>
      <w:r w:rsidRPr="00621DDF" w:rsidR="0030006D">
        <w:rPr>
          <w:bCs/>
          <w:iCs/>
        </w:rPr>
        <w:t>,</w:t>
      </w:r>
      <w:r w:rsidRPr="0004233A" w:rsidR="0004233A">
        <w:t xml:space="preserve"> </w:t>
      </w:r>
      <w:r w:rsidRPr="0004233A" w:rsidR="0004233A">
        <w:rPr>
          <w:bCs/>
          <w:iCs/>
        </w:rPr>
        <w:t>obytné budovy a civilnú infraštruktúru</w:t>
      </w:r>
      <w:r w:rsidR="0004233A">
        <w:rPr>
          <w:bCs/>
          <w:iCs/>
        </w:rPr>
        <w:t>,</w:t>
      </w:r>
      <w:r w:rsidRPr="00621DDF" w:rsidR="0030006D">
        <w:rPr>
          <w:bCs/>
          <w:iCs/>
        </w:rPr>
        <w:t xml:space="preserve"> ako aj na lokality kultúrneho dedičstva a miesta náboženského významu, ako je Kyjevsko-</w:t>
      </w:r>
      <w:r w:rsidRPr="00621DDF" w:rsidR="0030006D">
        <w:rPr>
          <w:bCs/>
          <w:iCs/>
        </w:rPr>
        <w:t>pečerská</w:t>
      </w:r>
      <w:r w:rsidRPr="00621DDF" w:rsidR="0030006D">
        <w:rPr>
          <w:bCs/>
          <w:iCs/>
        </w:rPr>
        <w:t xml:space="preserve"> </w:t>
      </w:r>
      <w:r w:rsidRPr="00621DDF" w:rsidR="0030006D">
        <w:rPr>
          <w:bCs/>
          <w:iCs/>
        </w:rPr>
        <w:t>lavra</w:t>
      </w:r>
      <w:r w:rsidRPr="00C24A6B">
        <w:t>,; keďže milióny ľudí na Ukrajine prežili mrazivé zimné teploty pri obmedzených dodávkach elektriny, tepla a tečúcej vody; keďže škody na životnom prostredí spôsobené Ruskom majú za posledné štyri roky takisto ničivé dôsledky na ukrajinské prírodné zdroje, kritické ekosystémy a zdravie, ako aj na živobytie a bezpečnosť ukrajinských obyvateľov;</w:t>
      </w:r>
    </w:p>
    <w:p w:rsidR="00E44D9F" w:rsidRPr="00C24A6B" w:rsidP="00E44D9F" w14:paraId="6386A5F7" w14:textId="77777777">
      <w:pPr>
        <w:pStyle w:val="NormalHanging"/>
        <w:rPr>
          <w:bCs/>
          <w:iCs/>
        </w:rPr>
      </w:pPr>
      <w:r w:rsidRPr="00C24A6B">
        <w:t>E.</w:t>
      </w:r>
      <w:r w:rsidRPr="00C24A6B">
        <w:tab/>
        <w:t>keďže v dôsledku ruskej invázie viac ako 4 milióny Ukrajincov v súčasnosti žije v členských štátoch EÚ vďaka mechanizmu dočasnej ochrany a využíva práva na pobyt, prístup na trh práce, bývanie, zdravotnú starostlivosť, sociálnu pomoc a vzdelávanie svojich detí;</w:t>
      </w:r>
    </w:p>
    <w:p w:rsidR="00E44D9F" w:rsidRPr="00C24A6B" w:rsidP="00E44D9F" w14:paraId="3F99E87F" w14:textId="77777777">
      <w:pPr>
        <w:pStyle w:val="NormalHanging"/>
        <w:rPr>
          <w:b/>
          <w:i/>
        </w:rPr>
      </w:pPr>
      <w:r w:rsidRPr="00C24A6B">
        <w:t>F.</w:t>
      </w:r>
      <w:r w:rsidRPr="00C24A6B">
        <w:tab/>
        <w:t>keďže Ukrajina svojou obranou proti Rusku významne prispieva k bezpečnosti Európskej únie; keďže EÚ a jej členské štáty poskytujú Ukrajine od začiatku tejto komplexnej vojenskej invázie najväčšiu finančnú, hospodársku, vojenskú a humanitárnu pomoc; keďže od začiatku útočnej vojny Ruska proti Ukrajine poskytli EÚ a jej členské štáty Ukrajine vojenskú pomoc vo výške približne 75 miliárd EUR; keďže podpora pre Ukrajinu musí prispieť aj k posilneniu európskej obrannej technologickej a priemyselnej základne (EDTIB) a k strategickej autonómii EÚ a nesmie viesť k zvýšeniu závislosti od vonkajších subjektov;</w:t>
      </w:r>
    </w:p>
    <w:p w:rsidR="00E44D9F" w:rsidRPr="00C24A6B" w:rsidP="00E44D9F" w14:paraId="0E791BF8" w14:textId="77777777">
      <w:pPr>
        <w:pStyle w:val="NormalHanging"/>
        <w:rPr>
          <w:bCs/>
          <w:iCs/>
        </w:rPr>
      </w:pPr>
      <w:r w:rsidRPr="00C24A6B">
        <w:t>G.</w:t>
      </w:r>
      <w:r w:rsidRPr="00C24A6B">
        <w:tab/>
        <w:t>keďže Ruská federácia sa od začiatku nezákonnej a pokračujúcej okupácie časti ukrajinského územia vo februári 2014 na dočasne okupovaných územiach dopúšťa sústavného a rozsiahleho porušovania ľudských práv a základných slobôd;</w:t>
      </w:r>
    </w:p>
    <w:p w:rsidR="00E44D9F" w:rsidRPr="00C24A6B" w:rsidP="00E44D9F" w14:paraId="5732A5AD" w14:textId="77777777">
      <w:pPr>
        <w:pStyle w:val="NormalHanging"/>
        <w:rPr>
          <w:bCs/>
          <w:iCs/>
        </w:rPr>
      </w:pPr>
      <w:r w:rsidRPr="00C24A6B">
        <w:t>H.</w:t>
      </w:r>
      <w:r w:rsidRPr="00C24A6B">
        <w:tab/>
        <w:t>keďže Ukrajina a medzinárodné orgány zaznamenali stovky popráv ukrajinských vojnových zajatcov príslušníkmi ruských ozbrojených síl; keďže tieto popravy sú vážnym porušením medzinárodného práva a ľudských práv a v Ženevských dohovoroch a Rímskom štatúte Medzinárodného trestného súdu sa výslovne uznávajú za vojnové zločiny;</w:t>
      </w:r>
    </w:p>
    <w:p w:rsidR="00E44D9F" w:rsidRPr="00C24A6B" w:rsidP="00E44D9F" w14:paraId="4D0ABA9C" w14:textId="77777777">
      <w:pPr>
        <w:pStyle w:val="NormalHanging"/>
        <w:rPr>
          <w:bCs/>
          <w:iCs/>
        </w:rPr>
      </w:pPr>
      <w:r w:rsidRPr="00C24A6B">
        <w:t>I.</w:t>
      </w:r>
      <w:r w:rsidRPr="00C24A6B">
        <w:tab/>
        <w:t>keďže najmenej 20 000 a možno až 35 000 ukrajinských detí bolo násilne deportovaných do Ruska a Bieloruska alebo zadržaných na dočasne okupovaných ukrajinských územiach;</w:t>
      </w:r>
    </w:p>
    <w:p w:rsidR="00E44D9F" w:rsidRPr="00C24A6B" w:rsidP="00E44D9F" w14:paraId="2FA5C791" w14:textId="293B657E">
      <w:pPr>
        <w:pStyle w:val="NormalHanging"/>
        <w:rPr>
          <w:bCs/>
          <w:iCs/>
        </w:rPr>
      </w:pPr>
      <w:r w:rsidRPr="00C24A6B">
        <w:t>J.</w:t>
      </w:r>
      <w:r w:rsidRPr="00C24A6B">
        <w:tab/>
        <w:t xml:space="preserve">keďže v reakcii na útočnú vojnu Ruska bolo v Haagu zriadené Medzinárodné centrum pre stíhanie zločinu agresie, ako aj register škôd spôsobených agresiou Ruskej federácie voči Ukrajine, a v súčasnosti prebieha proces zriadenia Osobitného tribunálu pre zločin agresie voči Ukrajine; keďže Komisia prijala návrh na začatie procesu, ktorý povedie k tomu, že sa Európska únia stane zakladajúcim členom tohto osobitného tribunálu; keďže Medzinárodný trestný súd obvinil Vladimíra Putina a </w:t>
      </w:r>
      <w:r w:rsidRPr="00C24A6B">
        <w:t>Mariu</w:t>
      </w:r>
      <w:r w:rsidRPr="00C24A6B">
        <w:t xml:space="preserve"> </w:t>
      </w:r>
      <w:r w:rsidRPr="00C24A6B">
        <w:t>Ľvovú-Belovú</w:t>
      </w:r>
      <w:r w:rsidRPr="00C24A6B">
        <w:t xml:space="preserve"> z vojnových zločinov; keďže v rámci 135. zasadnutia Výboru ministrov Rady Európy 14. mája 2026 v Kišiňove bola slávnostne otvorená Medzinárodná nároková komisia pre Ukrajinu; keďže táto komisia posilní schopnosť zabezpečiť, aby sa vyvodila zodpovednosť za medzinárodné zločiny spáchané na Ukrajine a voči Ukrajine, ako aj schopnosť presadzovať právo Ukrajiny na úplnú náhradu škôd spôsobených nezákonným konaním Ruska;</w:t>
      </w:r>
    </w:p>
    <w:p w:rsidR="00E44D9F" w:rsidRPr="00C24A6B" w:rsidP="00E44D9F" w14:paraId="05E5D7CD" w14:textId="77777777">
      <w:pPr>
        <w:pStyle w:val="NormalHanging"/>
      </w:pPr>
      <w:r w:rsidRPr="00C24A6B">
        <w:t>K.</w:t>
      </w:r>
      <w:r w:rsidRPr="00C24A6B">
        <w:tab/>
        <w:t>keďže Ukrajina preukázala pozoruhodnú odolnosť a odhodlanie pokračovať na svojej ceste k členstvu EÚ, a to aj napriek prebiehajúcej ruskej útočnej vojne, ktorá si vyžiadala tisíce mŕtvych, spôsobila hlbokú traumu veteránom a ich rodinám a občianskej spoločnosti, zanechala mnohé mestá a dôležitú občiansku infraštruktúru v troskách a viedla k pretrvávajúcej okupácii častí jej územia ruskými silami;</w:t>
      </w:r>
    </w:p>
    <w:p w:rsidR="00E44D9F" w:rsidRPr="00C24A6B" w:rsidP="00E44D9F" w14:paraId="5D9489F2" w14:textId="77777777">
      <w:pPr>
        <w:pStyle w:val="NormalHanging"/>
        <w:rPr>
          <w:bCs/>
          <w:iCs/>
        </w:rPr>
      </w:pPr>
      <w:r w:rsidRPr="00C24A6B">
        <w:t>L.</w:t>
      </w:r>
      <w:r w:rsidRPr="00C24A6B">
        <w:tab/>
        <w:t xml:space="preserve">keďže Ukrajina bojuje nielen za právo na slobodný život a slobodnú voľbu spojenectiev, za svoju zvrchovanosť, mier, stabilitu a bezpečnosť, ale aj za zachovanie demokratickej podstaty pod existenčným tlakom; keďže odolnosť ukrajinskej demokracie sa v konečnom dôsledku bude posudzovať nielen podľa jej schopnosti odolávať vonkajšej agresii, ale aj podľa jej ochoty chrániť pluralizmus, </w:t>
      </w:r>
      <w:r w:rsidRPr="00C24A6B">
        <w:t>inkluzívnosť</w:t>
      </w:r>
      <w:r w:rsidRPr="00C24A6B">
        <w:t>, otvorenosť a politickú rozmanitosť vo svojej krajine;</w:t>
      </w:r>
    </w:p>
    <w:p w:rsidR="00E44D9F" w:rsidRPr="00C24A6B" w:rsidP="00E44D9F" w14:paraId="267CE4C7" w14:textId="77777777">
      <w:pPr>
        <w:pStyle w:val="NormalHanging"/>
        <w:rPr>
          <w:bCs/>
          <w:iCs/>
        </w:rPr>
      </w:pPr>
      <w:r w:rsidRPr="00C24A6B">
        <w:t>M.</w:t>
      </w:r>
      <w:r w:rsidRPr="00C24A6B">
        <w:tab/>
        <w:t>keďže európska integrácia Ukrajiny je strategickou investíciou do mieru, bezpečnosti, demokracie a prosperity celého kontinentu; keďže neochvejná podpora EÚ zvrchovanosti, územnej celistvosti a nezávislosti Ukrajiny nezávisí od rýchlosti európskej integrácie krajiny;</w:t>
      </w:r>
    </w:p>
    <w:p w:rsidR="00E44D9F" w:rsidRPr="00C24A6B" w:rsidP="00E44D9F" w14:paraId="2061744C" w14:textId="77777777">
      <w:pPr>
        <w:pStyle w:val="NormalHanging"/>
      </w:pPr>
      <w:r w:rsidRPr="00C24A6B">
        <w:t>N.</w:t>
      </w:r>
      <w:r w:rsidRPr="00C24A6B">
        <w:tab/>
        <w:t>keďže v rámci súčasných kodanských kritérií sa vyžaduje nielen formálne zosúladenie s právom EÚ, ale aj účinné uplatňovanie a záruky základných práv, demokracie a právneho štátu; keďže cesta každej krajiny k integrácii do EÚ sa musí posudzovať na základe jej vlastných dosiahnutých výsledkov a žiadna krajina by sa nemala spájať s inou krajinou ani by sa k nej nemalo pristupovať ako k súčasti balíka;</w:t>
      </w:r>
    </w:p>
    <w:p w:rsidR="00E44D9F" w:rsidRPr="00C24A6B" w:rsidP="00E44D9F" w14:paraId="55B73E75" w14:textId="77777777">
      <w:pPr>
        <w:pStyle w:val="NormalHanging"/>
      </w:pPr>
      <w:r w:rsidRPr="00C24A6B">
        <w:t>O.</w:t>
      </w:r>
      <w:r w:rsidRPr="00C24A6B">
        <w:tab/>
        <w:t xml:space="preserve">keďže Ukrajina je naďalej odhodlaná zosúlaďovať svoje právne predpisy s </w:t>
      </w:r>
      <w:r w:rsidRPr="00C24A6B">
        <w:rPr>
          <w:i/>
        </w:rPr>
        <w:t>acquis</w:t>
      </w:r>
      <w:r w:rsidRPr="00C24A6B">
        <w:t xml:space="preserve"> EÚ a napriek útočnej vojne Ruska pokračuje vo vykonávaní reforiem; keďže v roku 2025 Ukrajina dosiahla 84 % plnenie Dohody o pridružení medzi EÚ a Ukrajinou</w:t>
      </w:r>
      <w:r>
        <w:rPr>
          <w:rStyle w:val="FootnoteReference"/>
        </w:rPr>
        <w:footnoteReference w:id="5"/>
      </w:r>
      <w:r w:rsidRPr="00C24A6B">
        <w:t>;</w:t>
      </w:r>
    </w:p>
    <w:p w:rsidR="00E44D9F" w:rsidRPr="00C24A6B" w:rsidP="00E44D9F" w14:paraId="71E3E6D7" w14:textId="77777777">
      <w:pPr>
        <w:pStyle w:val="NormalHanging"/>
        <w:rPr>
          <w:bCs/>
          <w:iCs/>
        </w:rPr>
      </w:pPr>
      <w:r w:rsidRPr="00C24A6B">
        <w:t>P.</w:t>
      </w:r>
      <w:r w:rsidRPr="00C24A6B">
        <w:tab/>
        <w:t>keďže Komisia potvrdila, že Ukrajina ukončila dvojstranný proces preverovania vo všetkých rokovacích kapitolách a je pripravená otvoriť všetky rokovacie bloky, začínajúc blokom základných hodnôt;</w:t>
      </w:r>
    </w:p>
    <w:p w:rsidR="00E44D9F" w:rsidRPr="00C24A6B" w:rsidP="00E44D9F" w14:paraId="4F1BCC3A" w14:textId="77777777">
      <w:pPr>
        <w:pStyle w:val="NormalHanging"/>
      </w:pPr>
      <w:r w:rsidRPr="00C24A6B">
        <w:t>Q.</w:t>
      </w:r>
      <w:r w:rsidRPr="00C24A6B">
        <w:tab/>
        <w:t>keďže napriek dosiahnutému pokroku treba vynaložiť ďalšie úsilie, okrem iného na posilnenie právneho štátu na Ukrajine a boj proti korupcii;</w:t>
      </w:r>
    </w:p>
    <w:p w:rsidR="00E44D9F" w:rsidRPr="00C24A6B" w:rsidP="00E44D9F" w14:paraId="7876AC4D" w14:textId="77777777">
      <w:pPr>
        <w:pStyle w:val="NormalHanging"/>
      </w:pPr>
      <w:r w:rsidRPr="00C24A6B">
        <w:t>R.</w:t>
      </w:r>
      <w:r w:rsidRPr="00C24A6B">
        <w:tab/>
        <w:t>keďže zabezpečenie transparentného a zodpovedného využívania medzinárodnej finančnej podpory a finančnej podpory EÚ a budúcich finančných prostriedkov na obnovu si vyžaduje silné, nezávislé a dobre fungujúce protikorupčné inštitúcie, ako aj účinný demokratický dohľad, do ktorého sa zapojí občianska spoločnosť a sociálni partneri;</w:t>
      </w:r>
    </w:p>
    <w:p w:rsidR="00E44D9F" w:rsidRPr="00C24A6B" w:rsidP="00E44D9F" w14:paraId="7BBD0100" w14:textId="77777777">
      <w:pPr>
        <w:pStyle w:val="NormalHanging"/>
      </w:pPr>
      <w:r w:rsidRPr="00C24A6B">
        <w:t>S.</w:t>
      </w:r>
      <w:r w:rsidRPr="00C24A6B">
        <w:tab/>
        <w:t>keďže k zvýšeniu nezávislosti súdnictva prispela pomoc medzinárodných expertov pracujúcich v komisiách pre výber sudcov, čo viedlo aj k posilneniu dôvery verejnosti v súdny systém; keďže účasť medzinárodných expertov na výbere členov Najvyššej kvalifikačnej komisie sudcov sa skončila 1. júna 2025;</w:t>
      </w:r>
    </w:p>
    <w:p w:rsidR="00E44D9F" w:rsidRPr="00C24A6B" w:rsidP="00E44D9F" w14:paraId="1CDC6718" w14:textId="66B168A4">
      <w:pPr>
        <w:pStyle w:val="NormalHanging"/>
      </w:pPr>
      <w:r w:rsidRPr="00C24A6B">
        <w:t>T.</w:t>
      </w:r>
      <w:r w:rsidRPr="00C24A6B">
        <w:tab/>
        <w:t xml:space="preserve">keďže ukrajinské demokratické inštitúcie preukázali svoju schopnosť prispôsobiť sa, pretože aj v čase prebiehajúcej ruskej útočnej vojny a stanného práva naďalej slúžia záujmom občanov a vykonávajú reformy súvisiace s pristúpením k EÚ; keďže </w:t>
      </w:r>
      <w:r w:rsidRPr="00C24A6B" w:rsidR="00BD7972">
        <w:t>Európsky p</w:t>
      </w:r>
      <w:r w:rsidRPr="00C24A6B">
        <w:t>arlament víta náznaky, že prípravy na voľby sa môžu začať, keď sa skončí stanné právo a bezpečnostná situácia umožní zorganizovanie volieb v súlade s medzinárodnými normami; keďže Ukrajina by sa mala naďalej usilovať o ochranu svojej demokracie a zabezpečiť transparentnosť a rovnováhu moci;</w:t>
      </w:r>
    </w:p>
    <w:p w:rsidR="00E44D9F" w:rsidRPr="00C24A6B" w:rsidP="00E44D9F" w14:paraId="4E6BD491" w14:textId="77777777">
      <w:pPr>
        <w:pStyle w:val="NormalHanging"/>
      </w:pPr>
      <w:r w:rsidRPr="00C24A6B">
        <w:t>U.</w:t>
      </w:r>
      <w:r w:rsidRPr="00C24A6B">
        <w:tab/>
        <w:t>keďže občianska spoločnosť zostáva pilierom odolnosti a demokracie na Ukrajine, hoci prípady nátlaku na aktivistov a odborové zväzy vyvolávajú obavy a vyžadujú si vládne opatrenia;</w:t>
      </w:r>
    </w:p>
    <w:p w:rsidR="00E44D9F" w:rsidRPr="00C24A6B" w:rsidP="00E44D9F" w14:paraId="19C69825" w14:textId="77777777">
      <w:pPr>
        <w:pStyle w:val="NormalHanging"/>
        <w:rPr>
          <w:bCs/>
          <w:iCs/>
        </w:rPr>
      </w:pPr>
      <w:r w:rsidRPr="00C24A6B">
        <w:t>V.</w:t>
      </w:r>
      <w:r w:rsidRPr="00C24A6B">
        <w:tab/>
        <w:t>keďže proces integrácie do EÚ má širokú podporu v celej ukrajinskej spoločnosti a vo všetkých ukrajinských inštitúciách a je naďalej základnou hnacou silou demokratického rozvoja Ukrajiny; keďže členstvo Ukrajiny v EÚ posilní aj samotnú Úniu tým, že prispeje k jej geopolitickej odolnosti, zvýši jej hospodársky potenciál a posilní jej odhodlanie presadzovať spoločné hodnoty demokracie, právneho štátu a slobody;</w:t>
      </w:r>
    </w:p>
    <w:p w:rsidR="00E44D9F" w:rsidP="00E44D9F" w14:paraId="72C77245" w14:textId="77777777">
      <w:pPr>
        <w:pStyle w:val="NormalHanging"/>
      </w:pPr>
      <w:r w:rsidRPr="00C24A6B">
        <w:t>W.</w:t>
      </w:r>
      <w:r w:rsidRPr="00C24A6B">
        <w:tab/>
        <w:t xml:space="preserve">keďže z najnovšej správy </w:t>
      </w:r>
      <w:r w:rsidRPr="00C24A6B">
        <w:t>Eurobarometra</w:t>
      </w:r>
      <w:r w:rsidRPr="00C24A6B">
        <w:t xml:space="preserve"> o rozširovaní vyplýva, že 56 % občanov EÚ podporuje ďalšie rozširovanie Európskej únie, pričom najpreferovanejšou kandidátskou krajinou na pristúpenie je Ukrajina, hneď ako budú splnené všetky kritériá členstva v EÚ;</w:t>
      </w:r>
    </w:p>
    <w:p w:rsidR="0030006D" w:rsidRPr="0030006D" w:rsidP="00E44D9F" w14:paraId="2A9A5EF0" w14:textId="7538232C">
      <w:pPr>
        <w:pStyle w:val="NormalHanging"/>
      </w:pPr>
      <w:r>
        <w:t>X</w:t>
      </w:r>
      <w:r w:rsidRPr="00621DDF">
        <w:t>.</w:t>
      </w:r>
      <w:r w:rsidRPr="0030006D">
        <w:tab/>
      </w:r>
      <w:r w:rsidRPr="00621DDF">
        <w:t>keďže spoločné vyhlásenie, ktoré 11. decembra 2025 podpísali komisárka Marta Kos a podpredseda ukrajinskej vlády Taras Kačka (známe ako plán Kos – Kačka), je 10-</w:t>
      </w:r>
      <w:r w:rsidRPr="00621DDF">
        <w:t xml:space="preserve">bodový plán prioritných reforiem, ktorý sa má vykonať do konca roka 2026; keďže tieto reformy sa týkajú posilnenia právneho štátu, súdnych konaní a nezávislosti protikorupčných inštitúcií Ukrajiny; keďže úplné a jednoznačné vykonanie týchto krokov bude dôležitým a hmatateľným dôkazom odhodlania Ukrajiny; keďže príslušné </w:t>
      </w:r>
      <w:r w:rsidRPr="00621DDF">
        <w:t>think</w:t>
      </w:r>
      <w:r w:rsidRPr="00621DDF">
        <w:t>-tanky usudzujú, že približne 15 % plánu sa zrealizovalo do polovice roka 2026;</w:t>
      </w:r>
    </w:p>
    <w:p w:rsidR="00E44D9F" w:rsidRPr="00C24A6B" w:rsidP="00E44D9F" w14:paraId="6877AF0F" w14:textId="05AA55EF">
      <w:pPr>
        <w:pStyle w:val="NormalHanging"/>
        <w:rPr>
          <w:bCs/>
          <w:iCs/>
        </w:rPr>
      </w:pPr>
      <w:r>
        <w:t>Y</w:t>
      </w:r>
      <w:r w:rsidRPr="00C24A6B">
        <w:t>.</w:t>
      </w:r>
      <w:r w:rsidRPr="00C24A6B">
        <w:tab/>
        <w:t xml:space="preserve">keďže Rusko naďalej vyvíja a zintenzívňuje úsilie zamerané na ospravedlnenie svojej agresie voči Ukrajine prostredníctvom zámerného falšovania histórie, manipulácie historických </w:t>
      </w:r>
      <w:r w:rsidRPr="00C24A6B">
        <w:t>naratívov</w:t>
      </w:r>
      <w:r w:rsidRPr="00C24A6B">
        <w:t xml:space="preserve"> a strategického využívania náboženských, kultúrnych a hodnotových </w:t>
      </w:r>
      <w:r w:rsidRPr="00C24A6B">
        <w:t>naratívov</w:t>
      </w:r>
      <w:r w:rsidRPr="00C24A6B">
        <w:t xml:space="preserve">, ktorých cieľom je narúšať verejnú diskusiu, popierať a </w:t>
      </w:r>
      <w:r w:rsidRPr="00C24A6B">
        <w:t>delegitimizovať</w:t>
      </w:r>
      <w:r w:rsidRPr="00C24A6B">
        <w:t xml:space="preserve"> národnú identitu, štátnosť a zvrchovanosť Ukrajiny a zabrániť jej pristúpeniu k Európskej únii; keďže takéto aktivity sú v súlade s ruskou vojenskou doktrínou schválenou 25. decembra 2014 a následnými strategickými dokumentmi vrátane stratégie národnej bezpečnosti Ruskej federácie, ktorú prezident </w:t>
      </w:r>
      <w:r w:rsidRPr="00C24A6B">
        <w:t>Vladimir</w:t>
      </w:r>
      <w:r w:rsidRPr="00C24A6B">
        <w:t xml:space="preserve"> Putin schválil 31. decembra 2015 a v ktorej sa zdôrazňuje ochrana tzv. tradičných ruských duchovných a morálnych hodnôt pred údajným vplyvom Západu; keďže tento prístup bol ďalej posilnený v stratégii národnej bezpečnosti na rok 2021, ktorá povýšila ochranu „tradičných hodnôt“, presadzovanie koncepcie „ruského sveta“ („</w:t>
      </w:r>
      <w:r w:rsidRPr="00C24A6B">
        <w:t>Russkij</w:t>
      </w:r>
      <w:r w:rsidRPr="00C24A6B">
        <w:t xml:space="preserve"> </w:t>
      </w:r>
      <w:r w:rsidRPr="00C24A6B">
        <w:t>mir</w:t>
      </w:r>
      <w:r w:rsidRPr="00C24A6B">
        <w:t xml:space="preserve">“) a ochranu takzvaných „krajanov v zahraničí“ na kľúčové priority národnej bezpečnosti, čím sa preukázalo trvalé a systematické využívanie kultúrnych, náboženských a civilizačných </w:t>
      </w:r>
      <w:r w:rsidRPr="00C24A6B">
        <w:t>naratívov</w:t>
      </w:r>
      <w:r w:rsidRPr="00C24A6B">
        <w:t xml:space="preserve"> ako nástrojov geopolitického vplyvu a ospravedlnenia agresie voči Ukrajine;</w:t>
      </w:r>
    </w:p>
    <w:p w:rsidR="00E44D9F" w:rsidRPr="00C24A6B" w:rsidP="00E44D9F" w14:paraId="5283C52A" w14:textId="72AF6A8B">
      <w:pPr>
        <w:pStyle w:val="NormalHanging"/>
        <w:rPr>
          <w:bCs/>
          <w:iCs/>
        </w:rPr>
      </w:pPr>
      <w:r>
        <w:t>Z</w:t>
      </w:r>
      <w:r w:rsidRPr="00C24A6B">
        <w:t>.</w:t>
      </w:r>
      <w:r w:rsidRPr="00C24A6B">
        <w:tab/>
        <w:t>keďže podľa ukrajinského ministerstva sociálnej politiky je viac ako 3 milióny Ukrajincov registrovaných ako osoby s jedným alebo viacerými druhmi zdravotného postihnutia a očakáva sa, že tento počet sa každý mesiac zvýši o 17 000, najmä v dôsledku prebiehajúcej vojny;</w:t>
      </w:r>
    </w:p>
    <w:p w:rsidR="00E44D9F" w:rsidRPr="00C24A6B" w:rsidP="00E44D9F" w14:paraId="242FB99F" w14:textId="4E974397">
      <w:pPr>
        <w:pStyle w:val="NormalHanging"/>
        <w:rPr>
          <w:bCs/>
          <w:iCs/>
        </w:rPr>
      </w:pPr>
      <w:r>
        <w:t>AA</w:t>
      </w:r>
      <w:r w:rsidRPr="00C24A6B">
        <w:t>.</w:t>
      </w:r>
      <w:r w:rsidRPr="00C24A6B">
        <w:tab/>
        <w:t xml:space="preserve">keďže škody na životnom prostredí spôsobené Ruskom majú ničivé dôsledky na prírodné zdroje Ukrajiny a jej kritické ekosystémy, ako aj na zdravie, živobytie a bezpečnosť jej obyvateľov; keďže cieľom zelenej obnovy je napraviť tieto škody a nasmerovať Ukrajinu na novú cestu environmentálnej a sociálnej udržateľnosti v súlade s právnymi predpismi v oblasti životného prostredia v rámci </w:t>
      </w:r>
      <w:r w:rsidRPr="00C24A6B">
        <w:rPr>
          <w:i/>
        </w:rPr>
        <w:t>acquis</w:t>
      </w:r>
      <w:r w:rsidRPr="00C24A6B">
        <w:t xml:space="preserve"> EÚ;</w:t>
      </w:r>
    </w:p>
    <w:p w:rsidR="00E44D9F" w:rsidRPr="00C24A6B" w:rsidP="00E44D9F" w14:paraId="55F0C8AD" w14:textId="1C08E3AE">
      <w:pPr>
        <w:pStyle w:val="NormalHanging"/>
        <w:rPr>
          <w:bCs/>
          <w:iCs/>
        </w:rPr>
      </w:pPr>
      <w:r w:rsidRPr="00C24A6B">
        <w:t>A</w:t>
      </w:r>
      <w:r>
        <w:t>B</w:t>
      </w:r>
      <w:r w:rsidRPr="00C24A6B">
        <w:t>.</w:t>
      </w:r>
      <w:r w:rsidRPr="00C24A6B">
        <w:tab/>
        <w:t>keďže prieskum, ktorý v roku 2024 uskutočnil Kyjevský medzinárodný sociologický inštitút, potvrdil, že postoj ukrajinskej spoločnosti k LGBTIQ+ osobám zostáva prevažne neutrálny alebo pozitívny, pričom viac ako 70 % opýtaných Ukrajincov podporuje rovnaké práva pre LGBTIQ+ osoby;</w:t>
      </w:r>
    </w:p>
    <w:p w:rsidR="00E44D9F" w:rsidP="00E44D9F" w14:paraId="114F6C5E" w14:textId="1C134C4D">
      <w:pPr>
        <w:pStyle w:val="NormalHanging"/>
      </w:pPr>
      <w:r w:rsidRPr="00C24A6B">
        <w:t>A</w:t>
      </w:r>
      <w:r>
        <w:t>C</w:t>
      </w:r>
      <w:r w:rsidRPr="00C24A6B">
        <w:t>.</w:t>
      </w:r>
      <w:r w:rsidRPr="00C24A6B">
        <w:tab/>
        <w:t>keďže napriek tomu, že útočná vojna Ruska proti Ukrajine spôsobuje obrovské ľudské utrpenie a skazu a že vzhľadom na rozsah skazy, ktorú vojna ľuďom prináša, je nevyhnutné usilovať sa o spravodlivý, udržateľný a trvalý mier;</w:t>
      </w:r>
    </w:p>
    <w:p w:rsidR="00BD44B3" w:rsidRPr="00621DDF" w:rsidP="00E44D9F" w14:paraId="551D6ADE" w14:textId="2B62E164">
      <w:pPr>
        <w:pStyle w:val="NormalHanging"/>
        <w:rPr>
          <w:bCs/>
          <w:iCs/>
        </w:rPr>
      </w:pPr>
      <w:r w:rsidRPr="00621DDF">
        <w:rPr>
          <w:bCs/>
          <w:iCs/>
        </w:rPr>
        <w:t>A</w:t>
      </w:r>
      <w:r w:rsidR="0008524A">
        <w:rPr>
          <w:bCs/>
          <w:iCs/>
        </w:rPr>
        <w:t>D</w:t>
      </w:r>
      <w:r w:rsidRPr="00621DDF">
        <w:rPr>
          <w:bCs/>
          <w:iCs/>
        </w:rPr>
        <w:t>.</w:t>
      </w:r>
      <w:r w:rsidRPr="00BD44B3">
        <w:rPr>
          <w:bCs/>
          <w:iCs/>
        </w:rPr>
        <w:tab/>
      </w:r>
      <w:r w:rsidRPr="00621DDF">
        <w:rPr>
          <w:bCs/>
          <w:iCs/>
        </w:rPr>
        <w:t xml:space="preserve">keďže nový zákon o verejnom obstarávaní, ktorý prijala </w:t>
      </w:r>
      <w:r w:rsidRPr="00621DDF">
        <w:rPr>
          <w:bCs/>
          <w:iCs/>
        </w:rPr>
        <w:t>Verchovna</w:t>
      </w:r>
      <w:r w:rsidRPr="00621DDF">
        <w:rPr>
          <w:bCs/>
          <w:iCs/>
        </w:rPr>
        <w:t xml:space="preserve"> rada Ukrajiny 27. mája 2026 a ktorý nadobudol účinnosť 24. júna 2026, sa vo všeobecnosti považuje za skutočnú reformu, ktorá je v súlade s právnymi predpismi EÚ a pre veľké verejné zákazky zavádza záruky transparentnosti a boja proti korupcii; keďže vďaka prijatiu tohto právneho predpisu uvoľnila Svetová banka 3,4 miliardy USD na priamu rozpočtovú podporu Ukrajiny;</w:t>
      </w:r>
    </w:p>
    <w:p w:rsidR="00BD44B3" w:rsidRPr="00621DDF" w:rsidP="00E44D9F" w14:paraId="0E6CF72D" w14:textId="0B6D94BF">
      <w:pPr>
        <w:pStyle w:val="NormalHanging"/>
        <w:rPr>
          <w:bCs/>
          <w:iCs/>
        </w:rPr>
      </w:pPr>
      <w:r w:rsidRPr="00621DDF">
        <w:rPr>
          <w:bCs/>
          <w:iCs/>
        </w:rPr>
        <w:t>A</w:t>
      </w:r>
      <w:r w:rsidR="0008524A">
        <w:rPr>
          <w:bCs/>
          <w:iCs/>
        </w:rPr>
        <w:t>E</w:t>
      </w:r>
      <w:r w:rsidRPr="00621DDF">
        <w:rPr>
          <w:bCs/>
          <w:iCs/>
        </w:rPr>
        <w:t>.</w:t>
      </w:r>
      <w:r w:rsidRPr="00BD44B3">
        <w:rPr>
          <w:bCs/>
          <w:iCs/>
        </w:rPr>
        <w:tab/>
      </w:r>
      <w:r w:rsidRPr="00621DDF">
        <w:rPr>
          <w:bCs/>
          <w:iCs/>
        </w:rPr>
        <w:t>keďže 15. júna 2026 začala EÚ prístupové rokovania s Ukrajinou a Moldavskom o tematickom bloku 1: Základné hodnoty, ktorý tvorí: kapitola 23: Súdnictvo a základné práva, kapitola 24: Spravodlivosť, sloboda a bezpečnosť, kapitolu 5: Verejné obstarávanie, kapitola 18: Štatistika a kapitola 32: Finančná kontrola; keďže rokovania o bloku Základné hodnoty sa v prístupovom procese otvorili ako prvé a uzavrú sa ako posledné a od pokroku dosiahnutého v rámci tohto bloku závisí celkové tempo rokovaní;</w:t>
      </w:r>
    </w:p>
    <w:p w:rsidR="00BD44B3" w:rsidRPr="00621DDF" w:rsidP="00E44D9F" w14:paraId="00ACAFAE" w14:textId="645F8856">
      <w:pPr>
        <w:pStyle w:val="NormalHanging"/>
        <w:rPr>
          <w:bCs/>
          <w:iCs/>
        </w:rPr>
      </w:pPr>
      <w:r w:rsidRPr="00621DDF">
        <w:rPr>
          <w:bCs/>
          <w:iCs/>
        </w:rPr>
        <w:t>A</w:t>
      </w:r>
      <w:r w:rsidR="0008524A">
        <w:rPr>
          <w:bCs/>
          <w:iCs/>
        </w:rPr>
        <w:t>F</w:t>
      </w:r>
      <w:r w:rsidRPr="00621DDF">
        <w:rPr>
          <w:bCs/>
          <w:iCs/>
        </w:rPr>
        <w:t>.</w:t>
      </w:r>
      <w:r w:rsidRPr="00BD44B3">
        <w:rPr>
          <w:bCs/>
          <w:iCs/>
        </w:rPr>
        <w:tab/>
      </w:r>
      <w:r w:rsidRPr="00621DDF">
        <w:rPr>
          <w:bCs/>
          <w:iCs/>
        </w:rPr>
        <w:t>keďže viaceré členské štáty rozposlali neoficiálne dokumenty o dynamike pristúpenia Ukrajiny k EÚ a možnostiach posilnenia budúcich zmlúv o pristúpení k EÚ;</w:t>
      </w:r>
    </w:p>
    <w:p w:rsidR="00BD44B3" w:rsidRPr="00BD44B3" w:rsidP="00E44D9F" w14:paraId="3F428064" w14:textId="3FFE47B3">
      <w:pPr>
        <w:pStyle w:val="NormalHanging"/>
        <w:rPr>
          <w:bCs/>
          <w:iCs/>
        </w:rPr>
      </w:pPr>
      <w:r w:rsidRPr="00621DDF">
        <w:rPr>
          <w:bCs/>
          <w:iCs/>
        </w:rPr>
        <w:t>A</w:t>
      </w:r>
      <w:r w:rsidR="0008524A">
        <w:rPr>
          <w:bCs/>
          <w:iCs/>
        </w:rPr>
        <w:t>G</w:t>
      </w:r>
      <w:r w:rsidRPr="00621DDF">
        <w:rPr>
          <w:bCs/>
          <w:iCs/>
        </w:rPr>
        <w:t>.</w:t>
      </w:r>
      <w:r w:rsidRPr="00BD44B3">
        <w:rPr>
          <w:bCs/>
          <w:iCs/>
        </w:rPr>
        <w:tab/>
      </w:r>
      <w:r w:rsidRPr="00621DDF">
        <w:rPr>
          <w:bCs/>
          <w:iCs/>
        </w:rPr>
        <w:t xml:space="preserve">keďže v spoločnej analýze Európskej služby pre vonkajšiu činnosť a ukrajinského centra pre boj proti dezinformáciám sa identifikovali stratégie a operácie Ruska v oblasti zahraničnej manipulácie s informáciami a zahraničného zasahovania zamerané na oslabenie a narušenie verejnej podpory procesu pristúpenia Ukrajiny k EÚ, a to tak na Ukrajine, ako aj v EÚ; </w:t>
      </w:r>
    </w:p>
    <w:p w:rsidR="00E44D9F" w:rsidRPr="00C24A6B" w:rsidP="00E44D9F" w14:paraId="2EFD0B9F" w14:textId="77777777">
      <w:pPr>
        <w:pStyle w:val="NormalHanging"/>
        <w:rPr>
          <w:b/>
          <w:i/>
          <w:iCs/>
        </w:rPr>
      </w:pPr>
      <w:r w:rsidRPr="00C24A6B">
        <w:rPr>
          <w:b/>
          <w:i/>
        </w:rPr>
        <w:t>I. Aktuálny stav ruskej útočnej vojny a sankcií EÚ</w:t>
      </w:r>
    </w:p>
    <w:p w:rsidR="00E44D9F" w:rsidRPr="00C24A6B" w:rsidP="00E44D9F" w14:paraId="3CB39274" w14:textId="77777777">
      <w:pPr>
        <w:pStyle w:val="NormalHanging12a"/>
      </w:pPr>
      <w:r w:rsidRPr="00C24A6B">
        <w:t>1.</w:t>
      </w:r>
      <w:r w:rsidRPr="00C24A6B">
        <w:tab/>
        <w:t>čo najdôraznejšie odsudzuje prebiehajúcu nezákonnú útočnú vojnu Ruska proti Ukrajine a opätovne potvrdzuje svoju neochvejnú solidaritu s obyvateľmi Ukrajiny a podporuje jej nezávislosť, zvrchovanosť a územnú celistvosť v rámci jej medzinárodne uznaných hraníc; opätovne potvrdzuje svoju politiku neuznávania všetkých území Ukrajiny nezákonne a dočasne okupovaných Ruskom vrátane Krymu;</w:t>
      </w:r>
    </w:p>
    <w:p w:rsidR="00E44D9F" w:rsidRPr="00C24A6B" w:rsidP="00E44D9F" w14:paraId="50062EC0" w14:textId="77777777">
      <w:pPr>
        <w:pStyle w:val="NormalHanging12a"/>
      </w:pPr>
      <w:r w:rsidRPr="00C24A6B">
        <w:t>2.</w:t>
      </w:r>
      <w:r w:rsidRPr="00C24A6B">
        <w:tab/>
        <w:t>žiada, aby Ruská federácia okamžite a bezpodmienečne ukončila všetky vojenské aktivity na Ukrajine a proti Ukrajine a stiahla všetky svoje sily a vojenské vybavenie z celého územia Ukrajiny v rámci jej medzinárodne uznaných hraníc vrátane pobrežného mora; zdôrazňuje, že statoční obyvatelia Ukrajiny platia najvyššiu cenu za ochranu Ukrajiny, a tým aj za bezpečnosť Európy;</w:t>
      </w:r>
    </w:p>
    <w:p w:rsidR="00E44D9F" w:rsidRPr="00C24A6B" w:rsidP="00E44D9F" w14:paraId="183C67F3" w14:textId="77777777">
      <w:pPr>
        <w:pStyle w:val="NormalHanging12a"/>
      </w:pPr>
      <w:r w:rsidRPr="00C24A6B">
        <w:t>3.</w:t>
      </w:r>
      <w:r w:rsidRPr="00C24A6B">
        <w:tab/>
        <w:t>vyjadruje hlbokú sústrasť a plnú solidaritu so všetkými, ktorí boli zasiahnutí útočnou vojnou Ruskej federácie proti Ukrajine, vrátane príslušníkov ozbrojených síl, veteránov, rodín zabitých alebo zranených, vnútorne vysídlených osôb, utečencov a všetkých civilistov, ktorí znášajú vážne humanitárne, zdravotné, psychologické, sociálne a hospodárske dôsledky vojny;</w:t>
      </w:r>
    </w:p>
    <w:p w:rsidR="00E44D9F" w:rsidRPr="00C24A6B" w:rsidP="00E44D9F" w14:paraId="606C93D7" w14:textId="77777777">
      <w:pPr>
        <w:pStyle w:val="NormalHanging12a"/>
      </w:pPr>
      <w:r w:rsidRPr="00C24A6B">
        <w:t>4.</w:t>
      </w:r>
      <w:r w:rsidRPr="00C24A6B">
        <w:tab/>
        <w:t>odsudzuje rozsiahle a systematické útoky Ruskej federácie na ukrajinské civilné obyvateľstvo, najmä útoky na kritickú energetickú a vodnú infraštruktúru, ktoré predstavujú očividné porušovanie medzinárodného humanitárneho práva;</w:t>
      </w:r>
    </w:p>
    <w:p w:rsidR="00E44D9F" w:rsidRPr="00C24A6B" w:rsidP="00E44D9F" w14:paraId="407092A5" w14:textId="77777777">
      <w:pPr>
        <w:pStyle w:val="NormalHanging12a"/>
      </w:pPr>
      <w:r w:rsidRPr="00C24A6B">
        <w:t>5.</w:t>
      </w:r>
      <w:r w:rsidRPr="00C24A6B">
        <w:tab/>
        <w:t xml:space="preserve">dôrazne odsudzuje závažné porušovanie práv ukrajinských detí vrátane vrážd, zlého zaobchádzania, násilných presunov a deportácií, ako aj nezákonných osvojení, pozmeňovania ich osobných údajov a obmedzovania kontaktu s ich rodinami; ďalej odsudzuje ich násilnú </w:t>
      </w:r>
      <w:r w:rsidRPr="00C24A6B">
        <w:t>rusifikáciu</w:t>
      </w:r>
      <w:r w:rsidRPr="00C24A6B">
        <w:t xml:space="preserve"> a vystavenie vojensko-patriotickému výcviku, vojnovej propagande a militarizácii; požaduje okamžitý, bezpečný a bezpodmienečný návrat unesených detí a vyzýva EÚ, aby duševné zdravie detí zaradila medzi osobitné zložky podpory obnovy; vyzýva Komisiu a členské štáty, aby posilnili podporu ukrajinských orgánov, ako aj medzinárodných a mimovládnych organizácií pri dokumentovaní týchto zločinov a identifikácii, repatriácii, opätovnom začleňovaní, rehabilitáciu a podpore postihnutých detí; víta rastúcu angažovanosť v Medzinárodnej </w:t>
      </w:r>
      <w:r w:rsidRPr="00C24A6B">
        <w:t>koalícii pre návrat ukrajinských detí, ktorá je kľúčovou platformou pre koordinovanú medzinárodnú činnosť zameranú na návrat nezákonne deportovaných a násilne presunutých ukrajinských detí;</w:t>
      </w:r>
    </w:p>
    <w:p w:rsidR="00E44D9F" w:rsidRPr="00C24A6B" w:rsidP="00E44D9F" w14:paraId="39B6A13A" w14:textId="77777777">
      <w:pPr>
        <w:pStyle w:val="NormalHanging12a"/>
      </w:pPr>
      <w:r w:rsidRPr="00C24A6B">
        <w:t>6.</w:t>
      </w:r>
      <w:r w:rsidRPr="00C24A6B">
        <w:tab/>
        <w:t>odsudzuje výrazné zhoršenie situácie v oblasti ľudských práv na územiach okupovaných Ruskom, kde dochádza okrem iného k prípadom svojvoľného zadržiavania a zmiznutia, mučenie, násilnú „pasportizáciu“ a mobilizáciu ukrajinských občanov na dočasne okupovaných územiach, popravy vojnových zajatcov a nezákonné deportácie; opätovne dôrazne pripomína neodňateľné právo všetkých Ukrajincov násilne vysídlených v dôsledku ruskej agresie na bezpečný, dobrovoľný a bezpodmienečný návrat do svojich domovov po úplnom ukončení okupácie a obnovení územnej celistvosti Ukrajiny;</w:t>
      </w:r>
    </w:p>
    <w:p w:rsidR="00E44D9F" w:rsidRPr="00C24A6B" w:rsidP="00E44D9F" w14:paraId="2E540D61" w14:textId="77777777">
      <w:pPr>
        <w:pStyle w:val="NormalHanging12a"/>
      </w:pPr>
      <w:r w:rsidRPr="00C24A6B">
        <w:t>7.</w:t>
      </w:r>
      <w:r w:rsidRPr="00C24A6B">
        <w:tab/>
        <w:t>dôrazne odsudzuje skutočnosť, že Ruská federácia nezákonné zaviedla okupačnú správu na dočasne okupovaných územiach Ukrajiny, ako aj jej systematické a nezákonné privlastňovanie si verejného a súkromného majetku, rabovanie a nezákonné vyvážanie ukrajinského kultúrneho bohatstva a dedičstva, ničenie hospodárskej činnosti a využívanie týchto území na vlastné politické a hospodárske záujmy;</w:t>
      </w:r>
    </w:p>
    <w:p w:rsidR="00E44D9F" w:rsidRPr="00C24A6B" w:rsidP="00E44D9F" w14:paraId="69921DE0" w14:textId="77777777">
      <w:pPr>
        <w:pStyle w:val="NormalHanging12a"/>
      </w:pPr>
      <w:r w:rsidRPr="00C24A6B">
        <w:t>8.</w:t>
      </w:r>
      <w:r w:rsidRPr="00C24A6B">
        <w:tab/>
        <w:t>dôrazne odsudzuje, že Ruská federácia zapája do svojej útočnej vojny proti Ukrajine cudzích štátnych príslušníkov, a to aj z tretích krajín, pričom pri nábore sa často používajú podvodné praktiky a zneužívajú sa zraniteľné sociálno-ekonomické podmienky; zdôrazňuje, že takéto praktiky predstavujú obchodovanie s ľuďmi a závažné porušovanie ľudských práv; vyzýva EÚ a jej členské štáty, aby spolu s medzinárodnými partnermi bojovali proti týmto praktikám, a to aj prostredníctvom sankcií, zvyšovania informovanosti a podpory obetí, a naliehavo vyzýva tretie krajiny, aby takémuto náboru zabránili;</w:t>
      </w:r>
    </w:p>
    <w:p w:rsidR="00E44D9F" w:rsidRPr="00C24A6B" w:rsidP="00E44D9F" w14:paraId="2590F9D6" w14:textId="77777777">
      <w:pPr>
        <w:pStyle w:val="NormalHanging12a"/>
      </w:pPr>
      <w:r w:rsidRPr="00C24A6B">
        <w:t>9.</w:t>
      </w:r>
      <w:r w:rsidRPr="00C24A6B">
        <w:tab/>
        <w:t>odsudzuje neľudské zaobchádzanie s ukrajinskými vojnovými zajatcami zo strany Ruskej federácie vrátane mučenia a popráv, čo je v rozpore s medzinárodným humanitárnym právom, a vyzýva na ich okamžité a bezpodmienečné prepustenie; vyzýva EÚ, jej členské štáty a medzinárodné spoločenstvo, aby zintenzívnili svoje úsilie, a to aj diplomatickými a právnymi prostriedkami, s cieľom zabezpečiť dodržiavanie medzinárodného práva a uľahčiť ďalšie výmeny väzňov; vyzýva Medzinárodný výbor Červeného kríža, aby v plnej miere vykonával svoj mandát podľa medzinárodného humanitárneho práva a zabezpečil neobmedzený a pravidelný prístup na všetky miesta, kde sa nachádzajú ukrajinskí vojnoví zajatci a civilisti, vrátane zadržiavaných osôb; konštatuje, že Ukrajina pri zaobchádzaní s vojnovými zajatcami naďalej dodržiava svoje záväzky vyplývajúce z medzinárodného práva;</w:t>
      </w:r>
    </w:p>
    <w:p w:rsidR="00E44D9F" w:rsidRPr="00C24A6B" w:rsidP="00E44D9F" w14:paraId="45CD49F4" w14:textId="77777777">
      <w:pPr>
        <w:pStyle w:val="NormalHanging12a"/>
      </w:pPr>
      <w:r w:rsidRPr="00C24A6B">
        <w:t>10.</w:t>
      </w:r>
      <w:r w:rsidRPr="00C24A6B">
        <w:tab/>
        <w:t>vyzýva Komisiu a členské štáty, aby výrazne zvýšili pomoc v oblasti zdravia a zabezpečili, aby sa potreby rehabilitácie plne zohľadnili v rámcoch podpory EÚ; naliehavo vyzýva Komisiu a členské štáty, aby zachovali a prípadne rozšírili podporu pre ukrajinských utečencov, ktorí sú v súčasnosti ubytovaní v členských štátoch, ako aj pre vnútorne vysídlené osoby v Ukrajine;</w:t>
      </w:r>
    </w:p>
    <w:p w:rsidR="00E44D9F" w:rsidRPr="00C24A6B" w:rsidP="00E44D9F" w14:paraId="6F9AECDB" w14:textId="19116C8E">
      <w:pPr>
        <w:pStyle w:val="NormalHanging12a"/>
      </w:pPr>
      <w:r w:rsidRPr="00C24A6B">
        <w:t>11.</w:t>
      </w:r>
      <w:r w:rsidRPr="00C24A6B">
        <w:tab/>
        <w:t>vyzýva EÚ a jej členské štáty, aby bojovali proti ruským dezinformáciám o</w:t>
      </w:r>
      <w:r w:rsidR="00B14AE0">
        <w:t xml:space="preserve"> jeho útočnej </w:t>
      </w:r>
      <w:r w:rsidRPr="00C24A6B">
        <w:t xml:space="preserve">vojne </w:t>
      </w:r>
      <w:r w:rsidRPr="00621DDF" w:rsidR="00B14AE0">
        <w:rPr>
          <w:bCs/>
          <w:iCs/>
        </w:rPr>
        <w:t>a o procese pristúpenia Ukrajiny k EÚ</w:t>
      </w:r>
      <w:r w:rsidR="00B14AE0">
        <w:rPr>
          <w:b/>
          <w:i/>
        </w:rPr>
        <w:t xml:space="preserve"> </w:t>
      </w:r>
      <w:r w:rsidRPr="00C24A6B">
        <w:t xml:space="preserve">tým, že vo všetkých členských štátoch úplne obmedzia činnosti spojené s ruskými štátom kontrolovanými mediálnymi organizáciami a ich prispievateľmi, rozšíria príslušné individuálne sankčné zoznamy, vyvodia právnu zodpovednosť voči osobám, ktoré sa podieľajú na štátnej propagande, </w:t>
      </w:r>
      <w:r w:rsidRPr="00C24A6B">
        <w:t>posilnia digitálnu gramotnosť, podporia informácie založené na faktoch s osobitným dôrazom na krajiny, na ktoré sa ruská propaganda obzvlášť zameriava, a budú dôsledne presadzovať akt o digitálnych službách</w:t>
      </w:r>
      <w:r>
        <w:rPr>
          <w:rStyle w:val="FootnoteReference"/>
        </w:rPr>
        <w:footnoteReference w:id="6"/>
      </w:r>
      <w:r w:rsidRPr="00C24A6B">
        <w:t xml:space="preserve"> tým, čiže vyvodzovať zodpovednosť voči platformám sociálnych médiá za šírenie škodlivého obsahu; </w:t>
      </w:r>
    </w:p>
    <w:p w:rsidR="00E44D9F" w:rsidRPr="00C24A6B" w:rsidP="00E44D9F" w14:paraId="257D77E2" w14:textId="77777777">
      <w:pPr>
        <w:pStyle w:val="NormalHanging12a"/>
      </w:pPr>
      <w:r w:rsidRPr="00C24A6B">
        <w:t>12.</w:t>
      </w:r>
      <w:r w:rsidRPr="00C24A6B">
        <w:tab/>
        <w:t>dôrazne poukazuje na to, že Ukrajina má v súlade s článkom 51 Charty OSN prirodzená právo na sebaobranu a že ako brániaca sa krajina má takisto právo útočiť na legitímne ciele na území agresora, čiže Ruska; s hlbokým znepokojením berie na vedomie zníženie vojenskej pomoci USA o 99 % v roku 2025; oceňuje preto iniciatívu NATO týkajúcu sa zoznamu prioritných požiadaviek pre Ukrajinu, ako aj misiu s názvom bezpečnostná pomoc a výcvik NATO pre Ukrajinu; víta, že EÚ a jej členské štáty sa postavili do čela tohto úsilia a stali sa hlavnými poskytovateľmi finančnej a vojenskej podpory Ukrajine, a to aj prostredníctvom výcvikových iniciatív vojenskej pomocnej misie EÚ na podporu Ukrajiny a financovania a poskytovania vojenskej podpory, ako sú systémy protivzdušnej obrany a spôsobilosti na presné zásahy v tyle nepriateľa; vyzýva EÚ a jej členské štáty na zvýšenie pomoci, aby Ukrajina mohla presadzovať svoje právo na sebaobranu; zdôrazňuje, že dostatočná a predvídateľná vojenská pomoc vrátane prístupu k financovaniu výroby zbraní, podpory takejto výroby mimo ukrajinského územia a spolupráca medzi EDTIB a ukrajinským obranným priemyslom má najmä vzhľadom na drastické zníženie vojenskej pomoci USA zásadný význam pre účinný odpor Ukrajiny voči ruskej agresii;</w:t>
      </w:r>
    </w:p>
    <w:p w:rsidR="00E44D9F" w:rsidRPr="00C24A6B" w:rsidP="00E44D9F" w14:paraId="596CE959" w14:textId="77777777">
      <w:pPr>
        <w:pStyle w:val="NormalHanging12a"/>
      </w:pPr>
      <w:r w:rsidRPr="00C24A6B">
        <w:t>13.</w:t>
      </w:r>
      <w:r w:rsidRPr="00C24A6B">
        <w:tab/>
        <w:t>konštatuje, že tempo obsadzovania ukrajinského územia zo strany Ruska sa v roku 2026 spomalilo a Ukrajine sa v apríli 2026 podarilo získať späť časť územia v čase, keď Rusko utrpelo mimoriadne vysoké straty; je presvedčený, že Ukrajina môže a musí zvíťaziť a že výsledok konfliktu nie je vopred určený; domnieva sa preto, že trvalá a posilnená vojenská podpora EÚ môže mať rozhodujúci vplyv na bojisku; vyzýva členské štáty, aby konali s väčším odhodlaním a naliehavosťou, a to aj výrazným posilnením a urýchlením dodávok a financovania zbraní a munície na Ukrajinu;</w:t>
      </w:r>
    </w:p>
    <w:p w:rsidR="00E44D9F" w:rsidRPr="00C24A6B" w:rsidP="00E44D9F" w14:paraId="4240E9C7" w14:textId="77777777">
      <w:pPr>
        <w:pStyle w:val="NormalHanging12a"/>
      </w:pPr>
      <w:r w:rsidRPr="00C24A6B">
        <w:t>14.</w:t>
      </w:r>
      <w:r w:rsidRPr="00C24A6B">
        <w:tab/>
        <w:t>naliehavo vyzýva najmä Nemecko, aby Ukrajine zaslalo rakety dlhého doletu Taurus, a vyzýva ostatné členské štáty, aby Ukrajine urýchlene poskytli ďalšie spôsobilosti protivzdušnej obrany vrátane systémov Patriot, ako aj rakiet pre systémy Patriot, SAMP/T, NASAMS, IRIS-T a HAWK;</w:t>
      </w:r>
    </w:p>
    <w:p w:rsidR="00E44D9F" w:rsidRPr="00C24A6B" w:rsidP="00E44D9F" w14:paraId="4F554717" w14:textId="77777777">
      <w:pPr>
        <w:pStyle w:val="NormalHanging12a"/>
      </w:pPr>
      <w:r w:rsidRPr="00C24A6B">
        <w:t>15.</w:t>
      </w:r>
      <w:r w:rsidRPr="00C24A6B">
        <w:tab/>
        <w:t xml:space="preserve">víta medzinárodné diplomatické úsilie na ukončenie vojny a oceňuje konštruktívny prístup Ukrajiny; zdôrazňuje však, že mierovým rokovaniam musí predchádzať udržateľné prímerie; zdôrazňuje, že každý mier musí byť spravodlivý a udržateľný, pričom musí plne rešpektovať zvrchovanosť a územnú celistvosť Ukrajiny; zdôrazňuje, že žiadna mierová dohoda by nemala poškodzovať ukrajinské a európske strategické záujmy ani obmedzovať schopnosť Ukrajiny brániť sa a slobodne si vyberať svoje bezpečnostné a politické spojenectvá bez toho, aby Rusko malo v tejto veci akékoľvek právo veta; zdôrazňuje, že musí byť založená na plnom dodržiavaní zásad medzinárodného práva, vyvodení zodpovednosti za vojnové zločiny, zločiny proti ľudskosti a zločin agresie a na ruských reparáciách za obrovské škody spôsobené v Ukrajine; zdôrazňuje, že súčasťou dohody by mal byť záväzok Ruska okamžite ukončiť </w:t>
      </w:r>
      <w:r w:rsidRPr="00C24A6B">
        <w:t>hybridnú vojnu proti EÚ a jej partnerom vrátane Ukrajiny a že by mala takisto zahŕňať návrat všetkých unesených ukrajinských detí a uväznených ukrajinských civilistov a úplnú výmenu vojnových zajatcov vrátane pozostatkov padlých vojakov; zdôrazňuje, že v každej takejto dohode sa musia stanoviť spoľahlivé a dôveryhodné bezpečnostné záruky pre Ukrajinu, ktoré budú zodpovedať úrovni článku 5 Washingtonskej zmluvy a článku 42 ods. 7 Zmluvy o Európskej únii a začnú platiť hneď po oficiálnom ukončení vojnového stavu; berie na vedomie, že Ukrajina považuje pristúpenie k EÚ za dôležitú bezpečnostnú záruku, a to najmä vzhľadom na článok 42 ods. 7 Zmluvy o EÚ;</w:t>
      </w:r>
    </w:p>
    <w:p w:rsidR="00E44D9F" w:rsidRPr="00C24A6B" w:rsidP="00E44D9F" w14:paraId="1595285B" w14:textId="77777777">
      <w:pPr>
        <w:pStyle w:val="NormalHanging12a"/>
        <w:rPr>
          <w:bCs/>
          <w:iCs/>
        </w:rPr>
      </w:pPr>
      <w:r w:rsidRPr="00C24A6B">
        <w:t>16.</w:t>
      </w:r>
      <w:r w:rsidRPr="00C24A6B">
        <w:tab/>
        <w:t>opätovne pripomína, že len Ukrajina môže určiť podmienky mierovej dohody, ktoré budú prijateľné pre jej obyvateľov; trvá na tom, že o žiadnej záležitosti týkajúcej sa Ukrajiny by sa nemalo rozhodovať bez Ukrajiny a o žiadnej záležitosti týkajúcej sa Európy by sa nemalo rozhodovať bez Európy; zdôrazňuje, že akákoľvek dohoda, ktorej cieľom je ukončenie útočnej vojny Ruska proti Ukrajine, sa ani zďaleka netýka len Ruska a Ukrajiny a má zásadné dôsledky pre európsky bezpečnostný poriadok ako celok; zdôrazňuje, že takúto dohodu možno dosiahnuť len za účasti EÚ a jej členských štátov; vyzýva Komisiu a členské štáty, aby preskúmali možnosť vymenovania európskeho vyjednávača na vysokej úrovni, ktorý by zastupoval EÚ a jej členské štáty v diplomatických rokovaniach, pričom by mal presne vymedzený mandát a potrebné právomoci; vyzýva Komisiu, Európsku službu pre vonkajšiu činnosť a Radu, aby v koordinácii s Ukrajinou a po konzultácii s členskými štátmi vypracovali dokument strategického scenára pre povojnovú štruktúru bezpečnosti a spolupráce na európskom kontinente, ktorý by odrážal skúsenosti získané z minulosti a obsahoval potenciálne parametre budúcich vzťahov s Ruskom po skončení vojny, vrátane otázok bezpečnosti, energetiky, hraníc, vyvodenia zodpovednosti a odškodnenia;</w:t>
      </w:r>
    </w:p>
    <w:p w:rsidR="00E44D9F" w:rsidP="00E44D9F" w14:paraId="1639ED39" w14:textId="77777777">
      <w:pPr>
        <w:pStyle w:val="NormalHanging12a"/>
      </w:pPr>
      <w:r w:rsidRPr="00C24A6B">
        <w:t>17.</w:t>
      </w:r>
      <w:r w:rsidRPr="00C24A6B">
        <w:tab/>
        <w:t>vyjadruje hlboké poľutovanie nad tým, že Rusko doposiaľ neprejavilo žiadnu vôľu k udržateľnému mieru a svoje diplomatické kontakty so Spojenými štátmi využíva len ako súčasť psychologickej vojnovej kampane na oslabenie medzinárodnej podpory pre Ukrajinu; v tejto súvislosti opakuje, že treba zvýšiť tlak na Rusko, a kritizuje čiastočné zmiernenie sankcií voči Rusku, o ktorom rozhodli Spojené štáty, a odsudzuje pozíciu Spojených štátov, ktoré podmieňujú bezpečnostné záruky pre Ukrajinu stiahnutím ukrajinských síl z Donbasu; pripomína, že vstupovanie do priamych rokovaní s Ruskom, ktorým nepredchádza vyvíjanie zmysluplného tlaku, ale naopak verejné vyhlásenie o tom, že pri rokovaniach nebudú použité hlavné páky, zníženie vojenskej podpory, odmietnutie ďalších sankcií a zrušenie tých, ktoré už boli uložené, vydieranie Ukrajiny, aby poskytla preferenčný prístup spoločnostiam z USA k obnovu a prírodným zdrojom, a pokusy prinútiť Ukrajinu, aby pristúpila k územným ústupkom a vzdala sa svojho legitímneho práva na sebaobranu, to všetko sú prvky diplomatického úsilia odsúdeného na neúspech;</w:t>
      </w:r>
    </w:p>
    <w:p w:rsidR="00B14AE0" w:rsidP="00E44D9F" w14:paraId="10108902" w14:textId="4C7E44D9">
      <w:pPr>
        <w:pStyle w:val="NormalHanging12a"/>
      </w:pPr>
      <w:r>
        <w:t>18</w:t>
      </w:r>
      <w:r w:rsidRPr="00621DDF">
        <w:t>.</w:t>
      </w:r>
      <w:r w:rsidRPr="00B14AE0">
        <w:tab/>
      </w:r>
      <w:r w:rsidRPr="00621DDF">
        <w:t xml:space="preserve">víta vyhlásenie vedúcich predstaviteľov skupiny G7 o Ukrajine z júna 2026 vrátane záväzku a) podporiť nový impulz na bojisku a jeho urýchlenie, a to aj zvážením rozšírenia výhod licencií na Ukrajinu s cieľom umožniť zvýšenie vojenskej výroby Ukrajiny a b) zvýšiť tlak na ruské vojnové hospodárstvo; vyzýva EÚ a jej členské štáty, aby prijali všetky potrebné opatrenia na zabezpečenie praktického vykonávania; </w:t>
      </w:r>
    </w:p>
    <w:p w:rsidR="00E44D9F" w:rsidRPr="00C24A6B" w:rsidP="00E44D9F" w14:paraId="474E6618" w14:textId="09217EA9">
      <w:pPr>
        <w:pStyle w:val="NormalHanging12a"/>
        <w:rPr>
          <w:bCs/>
          <w:iCs/>
        </w:rPr>
      </w:pPr>
      <w:r w:rsidRPr="00C24A6B">
        <w:t>1</w:t>
      </w:r>
      <w:r>
        <w:t>9</w:t>
      </w:r>
      <w:r w:rsidRPr="00C24A6B">
        <w:t>.</w:t>
      </w:r>
      <w:r w:rsidRPr="00C24A6B">
        <w:tab/>
        <w:t xml:space="preserve">trvá na tom, že s cieľom zabrániť ďalšej agresii zo strany Ruska musia EÚ a jej členské štáty spolu s partnermi a spojencami prispieť k vybudovaniu spoľahlivých a právne záväzných bezpečnostných záruk pre Ukrajinu, ktoré by mali byť posilnené záväznými mechanizmami na monitorovanie dodržiavania predpisov, systematickú koordináciu </w:t>
      </w:r>
      <w:r w:rsidRPr="00C24A6B">
        <w:t>pomoci a zaručenie trvalej a dlhodobej podpory zvrchovanosti, územnej celistvosti a obnovy Ukrajiny; víta závery zo schôdze koalície ochotných, ktorá sa konala 6. januára 2026 v Paríži; veľmi víta návrh na vytvorenie mnohonárodných „zabezpečovacích síl“ pre Ukrajinu a nabáda všetky členské štáty EÚ, aby dôkladne zvážili, ako môžu takéto sily čo najlepšie podporiť; víta dohodu o formulovaní politicky a právne záväzných záväzkov k obnoveniu mieru a bezpečnosti v prípade budúceho ozbrojeného útoku Ruska a jasný rámec na podporu Ukrajiny; opakovane vyzýva koalíciu ochotných členských štátov EÚ, aby preskúmala, ako vytvoriť obranné integrované pásmo vzdušnej ochrany pod európskym vedením, v rámci ktorého by sa mohli používať bojové letecké hliadky nad oblasťami Ukrajiny, o ktoré sa nebojuje, čo by pomohlo chrániť ukrajinských civilistov pred nerozlišujúcimi útokmi na civilnú infraštruktúru, poskytlo proaktívnu ochranu proti ruským vniknutiam do vzdušného priestoru EÚ a zmenilo rovnováhu síl s cieľom pomôcť prinútiť Rusko zasadnúť k rokovaciemu stolu;</w:t>
      </w:r>
    </w:p>
    <w:p w:rsidR="00E44D9F" w:rsidRPr="00C24A6B" w:rsidP="00E44D9F" w14:paraId="25AF7E03" w14:textId="55242234">
      <w:pPr>
        <w:pStyle w:val="NormalHanging12a"/>
        <w:rPr>
          <w:bCs/>
          <w:iCs/>
        </w:rPr>
      </w:pPr>
      <w:r>
        <w:t>20</w:t>
      </w:r>
      <w:r w:rsidRPr="00C24A6B">
        <w:t>.</w:t>
      </w:r>
      <w:r w:rsidRPr="00C24A6B">
        <w:tab/>
        <w:t>vzhľadom na potrebu vyvíjať väčší tlak na Rusko požaduje zvýšené, komplexnejšie a štrukturálne sankcie voči Rusku a jeho spojencom s cieľom pripraviť ho o zdroje potrebné na financovanie jeho vojenskej mašinérie a pokračovanie jeho agresie voči Ukrajine, vrátane cielených individuálnych sankcií v rámci globálneho sankčného režimu EÚ v oblasti ľudských práv (</w:t>
      </w:r>
      <w:r w:rsidRPr="00C24A6B">
        <w:t>Magnitského</w:t>
      </w:r>
      <w:r w:rsidRPr="00C24A6B">
        <w:t xml:space="preserve"> akt EÚ) voči osobám zodpovedným za závažné porušovanie ľudských práv; vyzýva na väčšie zosúladenie sankčných zoznamov so zoznamami podobne zmýšľajúcich partnerov; dôrazne vyzýva na zvýšenie administratívnej kapacity a finančných zdrojov s cieľom zlepšiť navrhovanie, vykonávanie a presadzovanie sankcií EÚ; trvá na tom, že pred prerokovaním a udržateľným vykonávaním mierovej dohody by sa nemali zrušiť žiadne sankcie; vyzýva </w:t>
      </w:r>
      <w:r w:rsidR="00B14AE0">
        <w:t>Radu a</w:t>
      </w:r>
      <w:r w:rsidRPr="00C24A6B">
        <w:t xml:space="preserve"> členské štáty, aby systematicky riešili otázku obchádzania sankcií; zdôrazňuje, že sankcie majú jasný </w:t>
      </w:r>
      <w:r w:rsidR="00B14AE0">
        <w:t>vplyv</w:t>
      </w:r>
      <w:r w:rsidRPr="00C24A6B" w:rsidR="00B14AE0">
        <w:t xml:space="preserve"> </w:t>
      </w:r>
      <w:r w:rsidRPr="00C24A6B">
        <w:t>na ruské hospodárstvo, ale opakuje, že sankčný režim musí byť širší a jeho vykonávanie prísnejšie, aby mal požadovaný účinok, ktorým je obmedzenie finančných prostriedkov Ruska na jeho útočnú vojnu; preto vyzýva na posilnenie a rozšírenie sankcií zameraných na hlavné zdroje príjmov Ruska, okrem iného na odvetvie energetiky, surovín, financií a dopravy; naliehavo vyzýva EÚ a jej členské štáty, aby koordinovane zaviedli zákaz obchodných a komerčných činností s Ruskom a Bieloruskom, najmä pokiaľ ide o tovar a technológie s možných dvojakým použitím, ako aj zákaz tranzitu tovaru do EÚ a z EÚ cez ich územia; vyzýva na úplný zákaz ruských výrobkov z</w:t>
      </w:r>
      <w:r w:rsidR="00B14AE0">
        <w:t> </w:t>
      </w:r>
      <w:r w:rsidRPr="00C24A6B">
        <w:t>ocele</w:t>
      </w:r>
      <w:r w:rsidR="00B14AE0">
        <w:t xml:space="preserve"> </w:t>
      </w:r>
      <w:r w:rsidRPr="00621DDF" w:rsidR="00B14AE0">
        <w:rPr>
          <w:bCs/>
          <w:iCs/>
        </w:rPr>
        <w:t>a vývozu oxidu hlinitého do Ruska</w:t>
      </w:r>
      <w:r w:rsidRPr="00C24A6B">
        <w:t>;</w:t>
      </w:r>
    </w:p>
    <w:p w:rsidR="00E44D9F" w:rsidRPr="00C24A6B" w:rsidP="00E44D9F" w14:paraId="58820404" w14:textId="24EC68C3">
      <w:pPr>
        <w:pStyle w:val="NormalHanging12a"/>
        <w:rPr>
          <w:bCs/>
          <w:iCs/>
        </w:rPr>
      </w:pPr>
      <w:r w:rsidRPr="00C24A6B">
        <w:t>2</w:t>
      </w:r>
      <w:r>
        <w:t>1</w:t>
      </w:r>
      <w:r w:rsidRPr="00C24A6B">
        <w:t>.</w:t>
      </w:r>
      <w:r w:rsidRPr="00C24A6B">
        <w:tab/>
        <w:t>vyzýva na zintenzívnenie úsilia o rozloženie operácií ruskej tieňovej flotily, ktoré predstavujú značné a rastúce riziko pre námornú bezpečnosť</w:t>
      </w:r>
      <w:r w:rsidR="00B14AE0">
        <w:t xml:space="preserve"> a životné prostredie</w:t>
      </w:r>
      <w:r w:rsidRPr="00C24A6B">
        <w:t>, najmä v strategicky významnom Baltskom mori</w:t>
      </w:r>
      <w:r w:rsidRPr="00621DDF" w:rsidR="00B14AE0">
        <w:rPr>
          <w:bCs/>
          <w:iCs/>
        </w:rPr>
        <w:t>; v tejto súvislosti vyzýva na užšiu spoluprácu medzi orgánmi v členských štátoch v oblasti Baltského mora s cieľom zabezpečiť účinné zastavenie operácií tieňovej flotily</w:t>
      </w:r>
      <w:r w:rsidRPr="00C24A6B">
        <w:t>; naliehavo vyzýva členské štáty, aby prísne dodržiavali právne predpisy EÚ a zastavili všetok dovoz ruského zemného plynu a skvapalneného zemného plynu, pretože príjmy z nich sústavne podporujú ruskú vojnovú mašinériu a oslabujú účinnosť sankcií EÚ a podporu EÚ Ukrajine;</w:t>
      </w:r>
    </w:p>
    <w:p w:rsidR="00E44D9F" w:rsidRPr="00C24A6B" w:rsidP="00E44D9F" w14:paraId="0EE0FFDF" w14:textId="1C7BB66B">
      <w:pPr>
        <w:pStyle w:val="NormalHanging12a"/>
        <w:rPr>
          <w:bCs/>
          <w:iCs/>
        </w:rPr>
      </w:pPr>
      <w:bookmarkStart w:id="7" w:name="_Hlk229052168"/>
      <w:r w:rsidRPr="00C24A6B">
        <w:t>2</w:t>
      </w:r>
      <w:r>
        <w:t>2</w:t>
      </w:r>
      <w:r w:rsidRPr="00C24A6B">
        <w:t>.</w:t>
      </w:r>
      <w:r w:rsidRPr="00C24A6B">
        <w:tab/>
        <w:t xml:space="preserve">vyjadruje poľutovanie nad tvrdými rozhodnutiami Medzinárodného olympijského výboru a Medzinárodného paralympijského výboru týkajúcimi sa slobody prejavu ukrajinských športovcov počas zimných olympijských a paralympijských hier 2026 v Miláne </w:t>
      </w:r>
      <w:r w:rsidRPr="00C24A6B">
        <w:t>Cortina</w:t>
      </w:r>
      <w:r w:rsidRPr="00C24A6B">
        <w:t xml:space="preserve">, ako aj nad rozhodnutím organizácie </w:t>
      </w:r>
      <w:r w:rsidRPr="00C24A6B">
        <w:t>World</w:t>
      </w:r>
      <w:r w:rsidRPr="00C24A6B">
        <w:t xml:space="preserve"> </w:t>
      </w:r>
      <w:r w:rsidRPr="00C24A6B">
        <w:t>Aquatics</w:t>
      </w:r>
      <w:r w:rsidRPr="00C24A6B">
        <w:t xml:space="preserve"> zrušiť sankcie voči ruským a bieloruským športovcom a nad rozhodnutím Bienále v Benátkach znovu prijať ruských umelcov; zdôrazňuje skutočnosť, že ruský a bieloruský režim aktívne využívajú šport a kultúru na štátnu propagandu a na zmenu </w:t>
      </w:r>
      <w:r w:rsidRPr="00C24A6B">
        <w:t>naratívu</w:t>
      </w:r>
      <w:r w:rsidRPr="00C24A6B">
        <w:t xml:space="preserve"> o páchateľoch hrubého </w:t>
      </w:r>
      <w:r w:rsidRPr="00C24A6B">
        <w:t>porušovania ľudských práv a vojnových zločinov; vyjadruje solidaritu s ukrajinskými športovcami, ktorí boli diskriminovaní, a vyzýva EÚ a jej členské štáty, aby zabezpečili úplné uplatňovanie a presadzovanie európskeho práva v oblasti hospodárskej súťaže; žiada, aby sa zabránilo vydávaniu víz EÚ ruským športovcom a umelcom, ktorí sa nedištancujú od útočnej vojny Ruska proti Ukrajine;</w:t>
      </w:r>
    </w:p>
    <w:bookmarkEnd w:id="7"/>
    <w:p w:rsidR="00E44D9F" w:rsidRPr="00C24A6B" w:rsidP="00E44D9F" w14:paraId="68C4CF7F" w14:textId="77777777">
      <w:pPr>
        <w:pStyle w:val="NormalWeb"/>
        <w:rPr>
          <w:b/>
          <w:bCs/>
          <w:i/>
          <w:iCs/>
        </w:rPr>
      </w:pPr>
      <w:r w:rsidRPr="00C24A6B">
        <w:rPr>
          <w:b/>
          <w:i/>
        </w:rPr>
        <w:t>II. Dlhodobá finančná podpora pre Ukrajinu a vojnové reparácie</w:t>
      </w:r>
    </w:p>
    <w:p w:rsidR="00E44D9F" w:rsidRPr="00FB323B" w:rsidP="00E44D9F" w14:paraId="615931E5" w14:textId="650D3864">
      <w:pPr>
        <w:pStyle w:val="NormalWeb"/>
        <w:ind w:left="720" w:hanging="720"/>
        <w:rPr>
          <w:bCs/>
          <w:iCs/>
        </w:rPr>
      </w:pPr>
      <w:r w:rsidRPr="00C24A6B">
        <w:t>2</w:t>
      </w:r>
      <w:r>
        <w:t>3</w:t>
      </w:r>
      <w:r w:rsidRPr="00C24A6B">
        <w:t>.</w:t>
      </w:r>
      <w:r w:rsidRPr="00C24A6B">
        <w:tab/>
        <w:t>oceňuje oznámenie Komisie z januára 2026, že poskytne 90 miliárd EUR na kritickú podporu rozpočtových a vojenských potrieb Ukrajiny počas dvojročného obdobia 2026 – 2027, a víta potrebnú flexibilitu balíka v rámci režimu výnimiek stanoveného v článku 13 ods. 5 navrhovaného nariadenia, ktorým sa stanovuje úver na podporu Ukrajiny na roky 2026 a 2027</w:t>
      </w:r>
      <w:r>
        <w:rPr>
          <w:rStyle w:val="FootnoteReference"/>
        </w:rPr>
        <w:footnoteReference w:id="7"/>
      </w:r>
      <w:r w:rsidRPr="00C24A6B">
        <w:t xml:space="preserve">; víta skutočnosť, že Rada </w:t>
      </w:r>
      <w:r w:rsidR="0008524A">
        <w:t xml:space="preserve">vyriešila </w:t>
      </w:r>
      <w:r w:rsidRPr="00C24A6B">
        <w:t>patovú situáciu, ktorá bráni</w:t>
      </w:r>
      <w:r w:rsidR="0008524A">
        <w:t>la</w:t>
      </w:r>
      <w:r w:rsidRPr="00C24A6B">
        <w:t xml:space="preserve"> </w:t>
      </w:r>
      <w:r w:rsidRPr="0008524A" w:rsidR="0008524A">
        <w:t>mobilizácii úveru na podporu Ukrajiny</w:t>
      </w:r>
      <w:r w:rsidRPr="00C24A6B">
        <w:t xml:space="preserve">, a </w:t>
      </w:r>
      <w:r w:rsidR="008614CD">
        <w:t>že došlo k</w:t>
      </w:r>
      <w:r w:rsidRPr="00C24A6B">
        <w:t xml:space="preserve"> odblokovani</w:t>
      </w:r>
      <w:r w:rsidR="008614CD">
        <w:t>u</w:t>
      </w:r>
      <w:r w:rsidRPr="00C24A6B">
        <w:t xml:space="preserve"> Fondu pomoci pre Ukrajinu v rámci Európskeho mierového nástroja; vyzýva vlády Maďarska, Slovenska a Českej republiky, aby prehodnotili svoje rozhodnutia o neúčasti a podieľali sa na zárukách za úver;</w:t>
      </w:r>
      <w:r w:rsidR="00FB323B">
        <w:t xml:space="preserve"> </w:t>
      </w:r>
      <w:r w:rsidRPr="00621DDF" w:rsidR="00FB323B">
        <w:rPr>
          <w:bCs/>
          <w:iCs/>
        </w:rPr>
        <w:t>víta prvú splátku vo výške 3,2 mld. EUR v rámci úveru na podporu Ukrajiny, ktorá bola Ukrajine vyplatená 25. júna 2026;</w:t>
      </w:r>
    </w:p>
    <w:p w:rsidR="00E44D9F" w:rsidRPr="00C24A6B" w:rsidP="00E44D9F" w14:paraId="35DC1A93" w14:textId="473943D2">
      <w:pPr>
        <w:pStyle w:val="NormalWeb"/>
        <w:ind w:left="720" w:hanging="720"/>
        <w:rPr>
          <w:bCs/>
          <w:iCs/>
        </w:rPr>
      </w:pPr>
      <w:r w:rsidRPr="00C24A6B">
        <w:t>2</w:t>
      </w:r>
      <w:r>
        <w:t>4</w:t>
      </w:r>
      <w:r w:rsidRPr="00C24A6B">
        <w:t>.</w:t>
      </w:r>
      <w:r w:rsidRPr="00C24A6B">
        <w:tab/>
        <w:t xml:space="preserve">vyzýva Komisiu a členské štáty, aby prijali komplexnejší, </w:t>
      </w:r>
      <w:r w:rsidRPr="00C24A6B">
        <w:t>dlhodobejší</w:t>
      </w:r>
      <w:r w:rsidRPr="00C24A6B">
        <w:t xml:space="preserve"> a strategickejší prístup k podpore Ukrajiny, ktorý by presahoval rámec ad hoc opatrení pomoci; zdôrazňuje potrebu štruktúrovanej a viacrozmernej stratégie EÚ, ktorá by kombinovala trvalú vojenskú, hospodársku a priemyselnú podporu; v tejto súvislosti vyzýva na výrazné zvýšenie európskych výrobných kapacít v oblasti obrany a na vytvorenie koordinovaných celoeurópskych mechanizmov obstarávania s cieľom zabezpečiť včasné a dostatočné dodávky munície a vybavenia na Ukrajinu;</w:t>
      </w:r>
    </w:p>
    <w:p w:rsidR="00E44D9F" w:rsidRPr="00C24A6B" w:rsidP="00E44D9F" w14:paraId="57F440F5" w14:textId="7AEBB3EA">
      <w:pPr>
        <w:pStyle w:val="NormalWeb"/>
        <w:ind w:left="720" w:hanging="720"/>
        <w:rPr>
          <w:bCs/>
          <w:iCs/>
        </w:rPr>
      </w:pPr>
      <w:r w:rsidRPr="00C24A6B">
        <w:t>2</w:t>
      </w:r>
      <w:r>
        <w:t>5</w:t>
      </w:r>
      <w:r w:rsidRPr="00C24A6B">
        <w:t>.</w:t>
      </w:r>
      <w:r w:rsidRPr="00C24A6B">
        <w:tab/>
        <w:t>opakuje svoje pevné presvedčenie, že Rusko musí zaplatiť za obrovské škody spôsobené v Ukrajine; zdôrazňuje, že treba vytvoriť predvídateľný viacročný finančný rámec pre Ukrajinu, ktorý jej pomôže pokryť výdavky na obnovu a obranu počas ruskej agresie bez každoročnej neistoty; vyjadruje poľutovanie nad tým, že Komisia a Rada nesúhlasili s návrhom Komisie na reparačný úver</w:t>
      </w:r>
      <w:r>
        <w:rPr>
          <w:rStyle w:val="FootnoteReference"/>
          <w:bCs/>
          <w:iCs/>
        </w:rPr>
        <w:footnoteReference w:id="8"/>
      </w:r>
      <w:r w:rsidRPr="00C24A6B">
        <w:t xml:space="preserve"> s použitím hotovostných zostatkov spojených s ruskými štátnymi aktívami, a víta výzvy Rady, aby Komisia pokračovala v práci na technických a právnych aspektoch nástrojov, ktorými sa zriaďuje reparačný úver založený na hotovostných zostatkoch spojených s </w:t>
      </w:r>
      <w:r w:rsidRPr="00C24A6B">
        <w:t>imobilizovanými</w:t>
      </w:r>
      <w:r w:rsidRPr="00C24A6B">
        <w:t xml:space="preserve"> ruskými aktívami s cieľom zaplatiť za obranu, obnovu a odškodnenie Ukrajiny; opätovne potvrdzuje, že je potrebné previesť tieto </w:t>
      </w:r>
      <w:r w:rsidRPr="00C24A6B">
        <w:t>imobilizované</w:t>
      </w:r>
      <w:r w:rsidRPr="00C24A6B">
        <w:t xml:space="preserve"> aktíva do účelovo vytvoreného subjektu;</w:t>
      </w:r>
    </w:p>
    <w:p w:rsidR="00E44D9F" w:rsidRPr="00C24A6B" w:rsidP="00E44D9F" w14:paraId="506CE2C0" w14:textId="3F62160A">
      <w:pPr>
        <w:pStyle w:val="NormalWeb"/>
        <w:ind w:left="720" w:hanging="720"/>
        <w:rPr>
          <w:bCs/>
          <w:iCs/>
        </w:rPr>
      </w:pPr>
      <w:r w:rsidRPr="00C24A6B">
        <w:t>2</w:t>
      </w:r>
      <w:r>
        <w:t>6</w:t>
      </w:r>
      <w:r w:rsidRPr="00C24A6B">
        <w:t>.</w:t>
      </w:r>
      <w:r w:rsidRPr="00C24A6B">
        <w:tab/>
        <w:t xml:space="preserve">víta dohodu o Dohovore o zriadení Medzinárodnej nárokovej komisie pre Ukrajinu a naliehavo vyzýva na jeho urýchlenú ratifikáciu; víta návrh Komisie začať proces, aby sa EÚ stala zakladajúcim členom Osobitného tribunálu pre zločin agresie voči Ukrajine, pretože ide o krok k zabezpečeniu vyvodenia zodpovednosti za zločin </w:t>
      </w:r>
      <w:r w:rsidRPr="00C24A6B">
        <w:t xml:space="preserve">agresie a podpore úsilia o medzinárodnú spravodlivosť; požaduje väčšiu podporu EÚ pri zhromažďovaní a uchovávaní dôkazov o vojnových zločinoch Ruska v Ukrajine vrátane výrazného zvýšenia finančnej, technickej a forenznej pomoci ukrajinským prokurátorom a vyšetrovacím orgánom pre vojnové zločiny; </w:t>
      </w:r>
    </w:p>
    <w:p w:rsidR="00E44D9F" w:rsidRPr="00C24A6B" w:rsidP="00E44D9F" w14:paraId="7C43C13A" w14:textId="77777777">
      <w:pPr>
        <w:pStyle w:val="Normal12a"/>
        <w:rPr>
          <w:i/>
          <w:iCs/>
        </w:rPr>
      </w:pPr>
      <w:r w:rsidRPr="00C24A6B">
        <w:rPr>
          <w:b/>
          <w:i/>
        </w:rPr>
        <w:t xml:space="preserve">III. Záväzok v súvislosti s pristúpením k EÚ a prístupovými rokovaniami </w:t>
      </w:r>
    </w:p>
    <w:p w:rsidR="00E44D9F" w:rsidRPr="00C24A6B" w:rsidP="00E44D9F" w14:paraId="4E58DA56" w14:textId="30F44531">
      <w:pPr>
        <w:pStyle w:val="NormalHanging12a"/>
      </w:pPr>
      <w:r w:rsidRPr="00C24A6B">
        <w:t>2</w:t>
      </w:r>
      <w:r>
        <w:t>7</w:t>
      </w:r>
      <w:r w:rsidRPr="00C24A6B">
        <w:t>.</w:t>
      </w:r>
      <w:r w:rsidRPr="00C24A6B">
        <w:tab/>
        <w:t>dôrazne víta pokračujúce odhodlanie Ukrajiny plniť požiadavky na členstvo v EÚ a jej schopnosť napredovať na ceste k pristúpeniu k EÚ; zdôrazňuje, že výsledky Ukrajiny sa musia vždy posudzovať v kontexte pokračujúcej útočnej vojny Ruska a jej negatívneho vplyvu na demokratické procesy a verejnú správu na Ukrajine;</w:t>
      </w:r>
      <w:r w:rsidRPr="00C24A6B">
        <w:rPr>
          <w:b/>
          <w:i/>
        </w:rPr>
        <w:t xml:space="preserve"> </w:t>
      </w:r>
    </w:p>
    <w:p w:rsidR="00E44D9F" w:rsidRPr="00C24A6B" w:rsidP="00E44D9F" w14:paraId="41BCF048" w14:textId="260F2E30">
      <w:pPr>
        <w:pStyle w:val="NormalHanging12a"/>
      </w:pPr>
      <w:r w:rsidRPr="00C24A6B">
        <w:t>2</w:t>
      </w:r>
      <w:r>
        <w:t>8</w:t>
      </w:r>
      <w:r w:rsidRPr="00C24A6B">
        <w:t>.</w:t>
      </w:r>
      <w:r w:rsidRPr="00C24A6B">
        <w:tab/>
        <w:t xml:space="preserve">opätovne potvrdzuje, že hoci proces rozširovania EÚ musí zostať prísne založený na zásluhách, objektívny a založený na kodanských kritériách a podmienkach rámca rozširovania, rozširovanie predstavuje vzájomne prospešnú </w:t>
      </w:r>
      <w:r w:rsidRPr="00C24A6B">
        <w:t>geostrategickú</w:t>
      </w:r>
      <w:r w:rsidRPr="00C24A6B">
        <w:t xml:space="preserve"> investíciu do mieru, stability a bezpečnosti na európskom kontinente, ako aj morálnu povinnosť; zdôrazňuje preto, že budúcnosť Ukrajiny je v EÚ, a uznáva európsku integráciu Ukrajiny ako strategickú prioritu Únie;</w:t>
      </w:r>
    </w:p>
    <w:p w:rsidR="00E44D9F" w:rsidRPr="00C24A6B" w:rsidP="00E44D9F" w14:paraId="085AC83C" w14:textId="2F6BA28F">
      <w:pPr>
        <w:pStyle w:val="NormalHanging12a"/>
      </w:pPr>
      <w:r w:rsidRPr="00C24A6B">
        <w:t>2</w:t>
      </w:r>
      <w:r>
        <w:t>9</w:t>
      </w:r>
      <w:r w:rsidRPr="00C24A6B">
        <w:t>.</w:t>
      </w:r>
      <w:r w:rsidRPr="00C24A6B">
        <w:tab/>
        <w:t>oceňuje prijatie ukrajinského národného programu prispôsobenia ukrajinských právnych predpisov právu Európskej únie ako kľúčového nástroja pre štruktúrované a transparentné plánovanie procesu prispôsobovania právnych predpisov vrátane ambiciózneho harmonogramu pre dokončenie všetkých nevyhnutných krokov na splnenie kritérií do roku 2027;</w:t>
      </w:r>
    </w:p>
    <w:p w:rsidR="00E44D9F" w:rsidRPr="00C24A6B" w:rsidP="00E44D9F" w14:paraId="1DC0639D" w14:textId="4F48077D">
      <w:pPr>
        <w:pStyle w:val="NormalHanging12a"/>
      </w:pPr>
      <w:r>
        <w:t>30</w:t>
      </w:r>
      <w:r w:rsidRPr="00C24A6B">
        <w:t>.</w:t>
      </w:r>
      <w:r w:rsidRPr="00C24A6B">
        <w:tab/>
        <w:t>víta ukončenie procesu preverovania všetkých tematických blokov a berie na vedomie posúdenia Komisie a Rady, že Ukrajina dosiahla významný pokrok pri otvorení ďalších blokov rokovacích kapitol; oceňuje výzvu Európskej rady z marca 2026, aby Rada bezodkladne otvorila všetky bloky rokovacích kapitol a žiada Radu, aby v nadväznosti na toto rozhodnutie okamžite konala, počnúc blokom základných hodnôt; súčasne víta rozhodnutie Komisie a cyperského predsedníctva Rady pokračovať v rokovaniach na technickej úrovni, kým sa nezačnú budúce rokovania;</w:t>
      </w:r>
    </w:p>
    <w:p w:rsidR="00E44D9F" w:rsidRPr="00C24A6B" w:rsidP="00E44D9F" w14:paraId="78BA5240" w14:textId="4B9406DA">
      <w:pPr>
        <w:pStyle w:val="NormalHanging12a"/>
      </w:pPr>
      <w:r w:rsidRPr="00C24A6B">
        <w:t>3</w:t>
      </w:r>
      <w:r>
        <w:t>1</w:t>
      </w:r>
      <w:r w:rsidRPr="00C24A6B">
        <w:t>.</w:t>
      </w:r>
      <w:r w:rsidRPr="00C24A6B">
        <w:tab/>
        <w:t>dôrazne vyzýva všetky členské štáty, a najmä novú maďarskú vládu, aby prestali vetovať otváranie rokovacích blokov a prestali využívať vyhliadky Ukrajiny na členstvo v EÚ ako tému v domácej politike a politických kampaniach;</w:t>
      </w:r>
      <w:r w:rsidR="00FB323B">
        <w:t xml:space="preserve"> </w:t>
      </w:r>
      <w:r w:rsidRPr="00621DDF" w:rsidR="00FB323B">
        <w:rPr>
          <w:bCs/>
          <w:iCs/>
        </w:rPr>
        <w:t>víta, že v rámci prístupových rokovaní bol otvorený prvý blok základných hodnôt, a očakáva, že čoskoro sa otvoria ďalšie tematické bloky</w:t>
      </w:r>
      <w:r w:rsidR="00FB323B">
        <w:rPr>
          <w:bCs/>
          <w:iCs/>
        </w:rPr>
        <w:t>;</w:t>
      </w:r>
    </w:p>
    <w:p w:rsidR="00E44D9F" w:rsidRPr="00C24A6B" w:rsidP="00E44D9F" w14:paraId="1EF267C0" w14:textId="08D7BD61">
      <w:pPr>
        <w:pStyle w:val="NormalHanging12a"/>
      </w:pPr>
      <w:r w:rsidRPr="00C24A6B">
        <w:t>3</w:t>
      </w:r>
      <w:r>
        <w:t>2</w:t>
      </w:r>
      <w:r w:rsidRPr="00C24A6B">
        <w:t>.</w:t>
      </w:r>
      <w:r w:rsidRPr="00C24A6B">
        <w:tab/>
        <w:t>uvedomuje si, že potenciálne pristúpenie Ukrajiny k Únii bude mať významný vplyv na rozpočet; zdôrazňuje však, že väčšina nákladov na obnovu bude pravdepodobne pokrytá z iných zdrojov ako z rozpočtu EÚ a bude si okrem značného domáceho úsilia vyžadovať príspevky od medzinárodných finančných inštitúcií, súkromných investorov a partnerských krajín; zdôrazňuje, že je dôležité, aby sa v členských štátoch a Ukrajine zachovala a ďalej posilňovala podpora verejnosti pre proces rozširovania a pristúpenie Ukrajiny, čo si vyžaduje prispôsobenú, na faktoch založenú komunikáciu na úrovni EÚ a na vnútroštátnej úrovni, okrem iného o tom, ako riešiť legitímne obavy týkajúce sa vplyvu na určité hospodárske odvetvia a politiky EÚ, ako je spoločná poľnohospodárska politika;</w:t>
      </w:r>
    </w:p>
    <w:p w:rsidR="006C5095" w:rsidP="007301ED" w14:paraId="1633EA6F" w14:textId="360F6AE5">
      <w:pPr>
        <w:pStyle w:val="NormalHanging12a"/>
      </w:pPr>
      <w:r w:rsidRPr="00C24A6B">
        <w:t>3</w:t>
      </w:r>
      <w:r>
        <w:t>3</w:t>
      </w:r>
      <w:r w:rsidRPr="00C24A6B" w:rsidR="00E44D9F">
        <w:t>.</w:t>
      </w:r>
      <w:r w:rsidRPr="00C24A6B" w:rsidR="00E44D9F">
        <w:tab/>
      </w:r>
      <w:r w:rsidRPr="006C5095">
        <w:t>vyzýva Radu, Komisiu a členské štáty, aby sa maximálne inovatívne snažili zabezpečiť, aby sa diskusie o členstve Ukrajiny v EÚ nestali negatívnym faktorom mierových rokovaní, pre ostatné pristupujúce krajiny alebo pre domácu politiku Ukrajiny;</w:t>
      </w:r>
      <w:r w:rsidRPr="006C5095">
        <w:rPr>
          <w:b/>
          <w:i/>
        </w:rPr>
        <w:t xml:space="preserve"> vyzýva členské štáty, aby sa aktívne a konštruktívne zapojili do diskusie o návrhoch zameraných na pokrok v európskej integrácii Ukrajiny a zároveň odrážali strategické záujmy EÚ, zohľadňovali dynamiku v prístupových krajinách vrátane pokusov Ruska oslabiť verejnú podporu rozširovania a pristúpenia k EÚ a napredovali v otázke budúcej bezpečnosti budúcu Ukrajiny a európskeho kontinentu;</w:t>
      </w:r>
      <w:r w:rsidRPr="006C5095">
        <w:t xml:space="preserve"> opakuje svoju výzvu, aby sa posilnila schopnosť EÚ konať zjednodušením rozhodovacích procesov, napríklad zavedením hlasovania kvalifikovanou väčšinou v </w:t>
      </w:r>
      <w:r w:rsidRPr="006C5095">
        <w:t>medzikrokoch</w:t>
      </w:r>
      <w:r w:rsidRPr="006C5095">
        <w:t xml:space="preserve"> procesu rozširovania pri rozhodovaní o otvorení a uzavretí jednotlivých rokovacích tematických blokov a kapitol, plne v súlade so zmluvami</w:t>
      </w:r>
    </w:p>
    <w:p w:rsidR="006C5095" w:rsidRPr="006C5095" w:rsidP="00621DDF" w14:paraId="18422A1B" w14:textId="432E3CA0">
      <w:pPr>
        <w:pStyle w:val="NormalHanging12a"/>
        <w:rPr>
          <w:bCs/>
          <w:iCs/>
        </w:rPr>
      </w:pPr>
      <w:r>
        <w:rPr>
          <w:bCs/>
          <w:iCs/>
        </w:rPr>
        <w:t>34</w:t>
      </w:r>
      <w:r w:rsidRPr="00621DDF">
        <w:rPr>
          <w:bCs/>
          <w:iCs/>
        </w:rPr>
        <w:t>.</w:t>
      </w:r>
      <w:r w:rsidRPr="006C5095">
        <w:rPr>
          <w:bCs/>
          <w:iCs/>
        </w:rPr>
        <w:tab/>
      </w:r>
      <w:r w:rsidRPr="00621DDF">
        <w:rPr>
          <w:bCs/>
          <w:iCs/>
        </w:rPr>
        <w:t xml:space="preserve">pripomína svoju predtým prijatú pozíciu k </w:t>
      </w:r>
      <w:r w:rsidRPr="00621DDF">
        <w:rPr>
          <w:bCs/>
          <w:iCs/>
        </w:rPr>
        <w:t>Volyňskému</w:t>
      </w:r>
      <w:r w:rsidRPr="00621DDF">
        <w:rPr>
          <w:bCs/>
          <w:iCs/>
        </w:rPr>
        <w:t xml:space="preserve"> masakru a vyjadruje poľutovanie nad nedávnou zbytočnou a nevyprovokovanou eskaláciou zo strany prezidenta </w:t>
      </w:r>
      <w:r w:rsidRPr="00621DDF">
        <w:rPr>
          <w:bCs/>
          <w:iCs/>
        </w:rPr>
        <w:t>Volodymyra</w:t>
      </w:r>
      <w:r w:rsidRPr="00621DDF">
        <w:rPr>
          <w:bCs/>
          <w:iCs/>
        </w:rPr>
        <w:t xml:space="preserve"> </w:t>
      </w:r>
      <w:r w:rsidRPr="00621DDF">
        <w:rPr>
          <w:bCs/>
          <w:iCs/>
        </w:rPr>
        <w:t>Zelenského</w:t>
      </w:r>
      <w:r w:rsidRPr="00621DDF">
        <w:rPr>
          <w:bCs/>
          <w:iCs/>
        </w:rPr>
        <w:t xml:space="preserve">, ktorý premenoval elitnú vojenskú jednotku ukrajinských ozbrojených síl po hrdinoch Ukrajinskej povstaleckej armády (UPA); vyjadruje poľutovanie nad tým, že pritom bola ignorovaná citlivosť tejto otázky a zármutok Poliakov, pokiaľ ide o obete UPA, ktorých počet sa odhaduje na desiatky tisícok, a ich rodiny, najmä vzhľadom na neochvejnú podporu Poľska v boji Ukrajiny proti ruskej agresii; domnieva sa, že toto rozhodnutie narúša susedské vzťahy a predchádzajúce úsilie o riešenie nevyriešených a bolestivých aspektov dvojstranných historických vzťahov v duchu skutočného a úprimného zmierenia a nie je v súlade s európskymi hodnotami; vyzýva na </w:t>
      </w:r>
      <w:r w:rsidRPr="00621DDF">
        <w:rPr>
          <w:bCs/>
          <w:iCs/>
        </w:rPr>
        <w:t>deeskaláciu</w:t>
      </w:r>
      <w:r w:rsidRPr="00621DDF">
        <w:rPr>
          <w:bCs/>
          <w:iCs/>
        </w:rPr>
        <w:t xml:space="preserve"> a obnovenie úsilia o zmierenie vedeného v dobrej viere;</w:t>
      </w:r>
    </w:p>
    <w:p w:rsidR="00E44D9F" w:rsidRPr="00C24A6B" w:rsidP="00E44D9F" w14:paraId="3CBF53A4" w14:textId="5FD89732">
      <w:pPr>
        <w:pStyle w:val="NormalHanging12a"/>
      </w:pPr>
      <w:r w:rsidRPr="00C24A6B">
        <w:t>3</w:t>
      </w:r>
      <w:r>
        <w:t>5</w:t>
      </w:r>
      <w:r w:rsidRPr="00C24A6B">
        <w:t>.</w:t>
      </w:r>
      <w:r w:rsidRPr="00C24A6B">
        <w:tab/>
        <w:t>domnieva sa, že politika Ukrajiny zameraná na spoluprácu so susednými krajinami a budúcnosť, vrátane riešenia dvojstranných sporov a historického dialógu, prispieva k napredovaniu v prístupovom procese, a zdôrazňuje, že prístupový proces by sa nemal zneužívať na to, aby bránil pokroku na európskej ceste založenému na zásluhách alebo prevažoval nad širšími strategickými záujmami Únie, a že takéto otázky sa musia riešiť skôr prostredníctvom otvoreného dialógu a skutočnej spolupráce;</w:t>
      </w:r>
    </w:p>
    <w:p w:rsidR="00E44D9F" w:rsidRPr="00C24A6B" w:rsidP="00E44D9F" w14:paraId="12F87DCB" w14:textId="77777777">
      <w:pPr>
        <w:pStyle w:val="Normal12a"/>
        <w:rPr>
          <w:bCs/>
          <w:i/>
          <w:iCs/>
        </w:rPr>
      </w:pPr>
      <w:r w:rsidRPr="00C24A6B">
        <w:rPr>
          <w:b/>
          <w:i/>
        </w:rPr>
        <w:t>IV. Demokracia a demokratické inštitúcie</w:t>
      </w:r>
      <w:r w:rsidRPr="00C24A6B">
        <w:rPr>
          <w:i/>
        </w:rPr>
        <w:t xml:space="preserve"> </w:t>
      </w:r>
    </w:p>
    <w:p w:rsidR="00E44D9F" w:rsidRPr="00C24A6B" w:rsidP="00E44D9F" w14:paraId="61FE8599" w14:textId="132D4789">
      <w:pPr>
        <w:pStyle w:val="NormalHanging12a"/>
      </w:pPr>
      <w:r w:rsidRPr="00C24A6B">
        <w:t>3</w:t>
      </w:r>
      <w:r>
        <w:t>6</w:t>
      </w:r>
      <w:r w:rsidRPr="00C24A6B">
        <w:t>.</w:t>
      </w:r>
      <w:r w:rsidRPr="00C24A6B">
        <w:tab/>
        <w:t xml:space="preserve">oceňuje mimoriadne úsilie Ukrajiny o posilnenie demokratických inštitúcií počas vojny; je však znepokojený nedávnym zhoršením vzťahov medzi zákonodarnou a výkonnou zložkou moci; naliehavo vyzýva všetky zainteresované strany, aby obnovili produktívne vzťahy medzi vládou a </w:t>
      </w:r>
      <w:r w:rsidRPr="00C24A6B">
        <w:t>Verchovnou</w:t>
      </w:r>
      <w:r w:rsidRPr="00C24A6B">
        <w:t xml:space="preserve"> radou Ukrajiny, a vyzýva všetkých politických aktérov v Ukrajine, najmä tých, ktorí sú v súčasnosti pri moci, aby podporovali politickú jednotu a súdržnú a inkluzívnu tvorbu politík, a naliehavo vyzýva politické sily Ukrajiny, aby zostali jednotné v otázke obrany krajiny a jej ceste k integrácii do EÚ; vyzýva najmä ukrajinské orgány, aby dodržiavali zásadu rozdelenia právomocí, plurality a začleňovania viacerých strán, zabezpečili náležité zohľadnenie právomocí a práv miestnych orgánov a miestnych samosprávnych orgánov, dodržiavali právny štát a základné slobody vrátane plurality médií v súlade s demokratickými zásadami a hodnotami, ktoré Ukrajinci tak rozhodne a odvážne bránia; vyzýva inštitúcie EÚ, aby prehĺbili svoju spoluprácu s </w:t>
      </w:r>
      <w:r w:rsidRPr="00C24A6B">
        <w:t>Verchovnou</w:t>
      </w:r>
      <w:r w:rsidRPr="00C24A6B">
        <w:t xml:space="preserve"> radou Ukrajiny;</w:t>
      </w:r>
    </w:p>
    <w:p w:rsidR="00E44D9F" w:rsidRPr="00C24A6B" w:rsidP="00E44D9F" w14:paraId="7C5828E7" w14:textId="4B1E1B99">
      <w:pPr>
        <w:pStyle w:val="NormalHanging12a"/>
        <w:rPr>
          <w:bCs/>
          <w:iCs/>
        </w:rPr>
      </w:pPr>
      <w:r w:rsidRPr="00C24A6B">
        <w:t>3</w:t>
      </w:r>
      <w:r>
        <w:t>7</w:t>
      </w:r>
      <w:r w:rsidRPr="00C24A6B">
        <w:t>.</w:t>
      </w:r>
      <w:r w:rsidRPr="00C24A6B">
        <w:tab/>
        <w:t xml:space="preserve">znova zdôrazňuje zásadný význam vnútornej politickej jednoty ako základného piliera dlhodobej odolnosti Ukrajiny, ktorá čelí pokračujúcej agresii Ruskej federácie; ďalej </w:t>
      </w:r>
      <w:r w:rsidRPr="00C24A6B">
        <w:t xml:space="preserve">opakuje, že je dôležité zachovať parlamentný pluralizmus ako základný kameň demokratickej správy vecí verejných; zdôrazňuje potrebu konštruktívnej a zmysluplnej spolupráce medzi všetkými parlamentnými politickými silami zastúpenými vo </w:t>
      </w:r>
      <w:r w:rsidRPr="00C24A6B">
        <w:t>Verchovnej</w:t>
      </w:r>
      <w:r w:rsidRPr="00C24A6B">
        <w:t xml:space="preserve"> rade Ukrajiny, so zameraním na posilnenie politickej, vojenskej, hospodárskej a sociálnej odolnosti, ako aj na plnenie prístupových kritérií EÚ;</w:t>
      </w:r>
    </w:p>
    <w:p w:rsidR="00E44D9F" w:rsidRPr="00C24A6B" w:rsidP="00E44D9F" w14:paraId="5D261C74" w14:textId="5D15ABB3">
      <w:pPr>
        <w:pStyle w:val="NormalHanging12a"/>
      </w:pPr>
      <w:r w:rsidRPr="00C24A6B">
        <w:t>3</w:t>
      </w:r>
      <w:r>
        <w:t>8</w:t>
      </w:r>
      <w:r w:rsidRPr="00C24A6B">
        <w:t>.</w:t>
      </w:r>
      <w:r w:rsidRPr="00C24A6B">
        <w:tab/>
        <w:t xml:space="preserve">opätovne zdôrazňuje, že </w:t>
      </w:r>
      <w:r w:rsidRPr="00C24A6B">
        <w:t>Verchovna</w:t>
      </w:r>
      <w:r w:rsidRPr="00C24A6B">
        <w:t xml:space="preserve"> rada Ukrajiny zohráva kľúčovú úlohu pri včasnom prijímaní reforiem; zdôrazňuje význam rešpektovania a posilňovania inštitucionálnej úlohy </w:t>
      </w:r>
      <w:r w:rsidRPr="00C24A6B">
        <w:t>Verchovnej</w:t>
      </w:r>
      <w:r w:rsidRPr="00C24A6B">
        <w:t xml:space="preserve"> rady Ukrajiny a podporuje prebiehajúce reformné úsilie o posilnenie jej legislatívnej kapacity, dohľadu nad výkonnou mocou a zodpovednosti voči verejnosti; je znepokojený oneskoreným prijímaním takýchto zákonov a vyzýva </w:t>
      </w:r>
      <w:r w:rsidRPr="00C24A6B">
        <w:t>Verchovnu</w:t>
      </w:r>
      <w:r w:rsidRPr="00C24A6B">
        <w:t xml:space="preserve"> radu Ukrajiny a jej poslancov, aby zaviedli zrýchlený postup na ich urýchlené prijatie a zároveň si v plnej miere zachovali parlamentnú kontrolu nad legislatívnymi návrhmi;</w:t>
      </w:r>
    </w:p>
    <w:p w:rsidR="00E44D9F" w:rsidRPr="00C24A6B" w:rsidP="00E44D9F" w14:paraId="1A1E75C5" w14:textId="2368DA2E">
      <w:pPr>
        <w:pStyle w:val="NormalHanging12a"/>
      </w:pPr>
      <w:r w:rsidRPr="00C24A6B">
        <w:t>3</w:t>
      </w:r>
      <w:r>
        <w:t>9</w:t>
      </w:r>
      <w:r w:rsidRPr="00C24A6B">
        <w:t>.</w:t>
      </w:r>
      <w:r w:rsidRPr="00C24A6B">
        <w:tab/>
        <w:t xml:space="preserve">naliehavo vyzýva ukrajinskú vládu a opozíciu, aby aktívne hľadali spôsoby a praktické postupy vrátane preskúmania nových prístupov k širokej politickej spolupráci s cieľom spolupracovať pri presadzovaní európskych reforiem na ceste Ukrajiny k členstvu v EÚ; pripomína svoje znepokojenie týkajúce sa obmedzení zahraničných ciest poslancov </w:t>
      </w:r>
      <w:r w:rsidRPr="00C24A6B">
        <w:t>Verchovnej</w:t>
      </w:r>
      <w:r w:rsidRPr="00C24A6B">
        <w:t xml:space="preserve"> rady Ukrajiny a znova odporúča zrušiť obmedzenia zahraničných ciest poslancov v súvislosti s ich mandátom a politickými záležitosťami; odporúča posilniť zákonodarnú kapacitu </w:t>
      </w:r>
      <w:r w:rsidRPr="00C24A6B">
        <w:t>Verchovnej</w:t>
      </w:r>
      <w:r w:rsidRPr="00C24A6B">
        <w:t xml:space="preserve"> rady Ukrajiny, aby mohla produkovať kvalitnejšie právne predpisy a bojovať proti „legislatívnemu spamu“, čo je situácia, keď sa na tú istú tému paralelne šíri viacero návrhov zákonov nízkej kvality;</w:t>
      </w:r>
    </w:p>
    <w:p w:rsidR="00E44D9F" w:rsidP="00E44D9F" w14:paraId="1D98C210" w14:textId="0886DC9F">
      <w:pPr>
        <w:pStyle w:val="NormalHanging12a"/>
      </w:pPr>
      <w:r>
        <w:t>40</w:t>
      </w:r>
      <w:r w:rsidRPr="00C24A6B">
        <w:t>.</w:t>
      </w:r>
      <w:r w:rsidRPr="00C24A6B">
        <w:tab/>
        <w:t xml:space="preserve">víta pokračujúcu účasť Ukrajiny na Východnom partnerstve a Parlamentnom zhromaždení </w:t>
      </w:r>
      <w:r w:rsidRPr="00C24A6B">
        <w:t>Euronest</w:t>
      </w:r>
      <w:r w:rsidRPr="00C24A6B">
        <w:t xml:space="preserve">; víta účasť opozičných poslancov </w:t>
      </w:r>
      <w:r w:rsidRPr="00C24A6B">
        <w:t>Verchovnej</w:t>
      </w:r>
      <w:r w:rsidRPr="00C24A6B">
        <w:t xml:space="preserve"> rady Ukrajiny na jeho schôdzach;</w:t>
      </w:r>
    </w:p>
    <w:p w:rsidR="002A3E01" w:rsidRPr="002A3E01" w:rsidP="00E44D9F" w14:paraId="0D9C38F1" w14:textId="38CA854C">
      <w:pPr>
        <w:pStyle w:val="NormalHanging12a"/>
        <w:rPr>
          <w:bCs/>
          <w:iCs/>
        </w:rPr>
      </w:pPr>
      <w:r>
        <w:rPr>
          <w:bCs/>
          <w:iCs/>
        </w:rPr>
        <w:t>41</w:t>
      </w:r>
      <w:r w:rsidRPr="00621DDF">
        <w:rPr>
          <w:bCs/>
          <w:iCs/>
        </w:rPr>
        <w:t>.</w:t>
      </w:r>
      <w:r w:rsidRPr="002A3E01">
        <w:rPr>
          <w:bCs/>
          <w:iCs/>
        </w:rPr>
        <w:tab/>
      </w:r>
      <w:r w:rsidRPr="00621DDF">
        <w:rPr>
          <w:bCs/>
          <w:iCs/>
        </w:rPr>
        <w:t xml:space="preserve">zdôrazňuje, že je dôležité rozvíjať konštruktívnu politickú kultúru a podporovať spoluprácu medzi politickými stranami na Ukrajine založenú na dôvere; berie na vedomie aktívnu účasť ukrajinských poslancov na dialógu Jeana </w:t>
      </w:r>
      <w:r w:rsidRPr="00621DDF">
        <w:rPr>
          <w:bCs/>
          <w:iCs/>
        </w:rPr>
        <w:t>Monneta</w:t>
      </w:r>
      <w:r w:rsidRPr="00621DDF">
        <w:rPr>
          <w:bCs/>
          <w:iCs/>
        </w:rPr>
        <w:t xml:space="preserve"> pre mier a demokraciu s </w:t>
      </w:r>
      <w:r w:rsidRPr="00621DDF">
        <w:rPr>
          <w:bCs/>
          <w:iCs/>
        </w:rPr>
        <w:t>Verchovnou</w:t>
      </w:r>
      <w:r w:rsidRPr="00621DDF">
        <w:rPr>
          <w:bCs/>
          <w:iCs/>
        </w:rPr>
        <w:t xml:space="preserve"> radou Ukrajiny a poznamenáva, že tento rok si pripomíname 10. výročie od jeho vzniku v októbri 2016; oceňuje tento formát ako trvalý a konštruktívny nástroj dialógu medzi stranami, ktorý pomáha vedúcim predstaviteľom a všetkým parlamentným frakciám a skupinám </w:t>
      </w:r>
      <w:r w:rsidRPr="00621DDF">
        <w:rPr>
          <w:bCs/>
          <w:iCs/>
        </w:rPr>
        <w:t>Verchovnej</w:t>
      </w:r>
      <w:r w:rsidRPr="00621DDF">
        <w:rPr>
          <w:bCs/>
          <w:iCs/>
        </w:rPr>
        <w:t xml:space="preserve"> rady dosiahnuť konsenzus v otázke inštitucionálnych reforiem; nabáda </w:t>
      </w:r>
      <w:r w:rsidRPr="00621DDF">
        <w:rPr>
          <w:bCs/>
          <w:iCs/>
        </w:rPr>
        <w:t>Verchovnú</w:t>
      </w:r>
      <w:r w:rsidRPr="00621DDF">
        <w:rPr>
          <w:bCs/>
          <w:iCs/>
        </w:rPr>
        <w:t xml:space="preserve"> radu, aby zvolala ďalšie kolo s cieľom konsolidovať reformy potrebné pre proces pristúpenia Ukrajiny;</w:t>
      </w:r>
    </w:p>
    <w:p w:rsidR="00E44D9F" w:rsidRPr="00C24A6B" w:rsidP="00E44D9F" w14:paraId="08599BD5" w14:textId="4C687DAA">
      <w:pPr>
        <w:pStyle w:val="NormalHanging12a"/>
      </w:pPr>
      <w:r>
        <w:t>42</w:t>
      </w:r>
      <w:r w:rsidRPr="00C24A6B">
        <w:t>.</w:t>
      </w:r>
      <w:r w:rsidRPr="00C24A6B">
        <w:tab/>
        <w:t>uznáva mimoriadne úsilie Ukrajiny, ktoré vynaložila pri príprave demokratických volieb, ktoré sa majú konať po zrušení stanného práva, a trvá na tom, aby sa poskytol primeraný čas na splnenie potrebných noriem a podmienok pre slobodné a spravodlivé voľby; pripomína, že v súlade so všeobecne uznávanými demokratickými zásadami a ukrajinskou ústavou sa voľby nemôžu konať v čase vojny a stanného práva a že si vyžadujú celkovú bezpečnú situáciu a primeraný čas na prípravu a prístup k informáciám, aby spĺňali medzinárodné normy; považuje preto tlak vlády USA na Ukrajinu, aby usporiadala voľby v čase, keď prebieha ruská útočná vojna a v krajine platí stanné právo, za neprimeraný a domnieva sa, že to neslúži účelu demokratickej legitimity;</w:t>
      </w:r>
    </w:p>
    <w:p w:rsidR="00E44D9F" w:rsidRPr="00C24A6B" w:rsidP="00E44D9F" w14:paraId="70BC00CF" w14:textId="5FA9C06B">
      <w:pPr>
        <w:pStyle w:val="NormalHanging12a"/>
      </w:pPr>
      <w:r w:rsidRPr="00C24A6B">
        <w:t>4</w:t>
      </w:r>
      <w:r>
        <w:t>3</w:t>
      </w:r>
      <w:r w:rsidRPr="00C24A6B">
        <w:t>.</w:t>
      </w:r>
      <w:r w:rsidRPr="00C24A6B">
        <w:tab/>
        <w:t xml:space="preserve">oceňuje dôležitú prácu pracovných skupín, ktoré vytvorila </w:t>
      </w:r>
      <w:r w:rsidRPr="00C24A6B">
        <w:t>Verchovna</w:t>
      </w:r>
      <w:r w:rsidRPr="00C24A6B">
        <w:t xml:space="preserve"> rada Ukrajiny, pri vypracúvaní volebnej legislatívy pre prvé povojnové voľby; vyzýva EÚ a jej členské štáty, aby pomáhali pri reforme ukrajinskej volebnej legislatívy, a to aj odstránením prekážok, ktoré bránia násilne vysídleným osobám zúčastniť sa na parlamentných a prezidentských voľbách, a aby poskytli finančnú pomoc, najmä na organizáciu hlasovania mimo Ukrajiny; odporúča, aby Európska únia plne podporovala a pripravila dlhodobú medzinárodnú volebnú pozorovateľskú misiu;</w:t>
      </w:r>
    </w:p>
    <w:p w:rsidR="00E44D9F" w:rsidRPr="00C24A6B" w:rsidP="00E44D9F" w14:paraId="7777FB82" w14:textId="0E47A4A9">
      <w:pPr>
        <w:pStyle w:val="NormalHanging12a"/>
      </w:pPr>
      <w:r w:rsidRPr="00C24A6B">
        <w:t>4</w:t>
      </w:r>
      <w:r>
        <w:t>4</w:t>
      </w:r>
      <w:r w:rsidRPr="00C24A6B">
        <w:t>.</w:t>
      </w:r>
      <w:r w:rsidRPr="00C24A6B">
        <w:tab/>
        <w:t xml:space="preserve">pripomína, že útočná vojna Ruska sa vedie aj v informačnej oblasti a dôrazne odsudzuje pokusy Ruska o </w:t>
      </w:r>
      <w:r w:rsidRPr="00C24A6B">
        <w:t>delegitimizáciu</w:t>
      </w:r>
      <w:r w:rsidRPr="00C24A6B">
        <w:t xml:space="preserve"> ukrajinských inštitúcií; zdôrazňuje, že ruská kognitívna vojna je zameraná na verejnú podporu Ukrajiny v európskych demokraciách, a to aj prostredníctvom podpory rôznych politických strán; trvá preto na tom, aby Ukrajina dostala pomoc EÚ v boji proti zahraničnej manipulácii s informáciami a zahraničnému zasahovaniu počas povojnových volieb, ktorá bude podobná pomoci poskytnutej Moldavskej republike, a naliehavo vyzýva Ukrajinu a EÚ, aby v tomto smere spolupracovali;</w:t>
      </w:r>
    </w:p>
    <w:p w:rsidR="00E44D9F" w:rsidRPr="00C24A6B" w:rsidP="00E44D9F" w14:paraId="50F8A33C" w14:textId="6D84AE6D">
      <w:pPr>
        <w:pStyle w:val="NormalHanging12a"/>
      </w:pPr>
      <w:r w:rsidRPr="00C24A6B">
        <w:t>4</w:t>
      </w:r>
      <w:r>
        <w:t>5</w:t>
      </w:r>
      <w:r w:rsidRPr="00C24A6B">
        <w:t>.</w:t>
      </w:r>
      <w:r w:rsidRPr="00C24A6B">
        <w:tab/>
        <w:t xml:space="preserve">víta obnovenie vysielania zasadnutí </w:t>
      </w:r>
      <w:r w:rsidRPr="00C24A6B">
        <w:t>Verchovnej</w:t>
      </w:r>
      <w:r w:rsidRPr="00C24A6B">
        <w:t xml:space="preserve"> Rady Ukrajiny, čím sa posilnila demokratická legitimita Ukrajiny; uznáva výzvy spojené so zachovaním pluralitných médií v podmienkach vojny; zdôrazňuje, že akékoľvek obmedzenia zavedené za takýchto mimoriadnych okolností nemajú trvalú povahu a mali by sa pravidelne prehodnocovať a upravovať, ak je to vhodné a možné, v súlade s vývojom situácie; zdôrazňuje, že predĺženie vojny samo osebe neoprávňuje na uplatňovanie obmedzení a že s posilnením odolnosti Ukrajiny by sa tieto opatrenia mali postupne zmierňovať, pričom by mali zostať v platnosti len tie, ktoré sú striktne nevyhnutné a primerané národnej bezpečnosti;</w:t>
      </w:r>
    </w:p>
    <w:p w:rsidR="00E44D9F" w:rsidRPr="00C24A6B" w:rsidP="00E44D9F" w14:paraId="6D9B1C1F" w14:textId="77777777">
      <w:pPr>
        <w:pStyle w:val="NormalHanging12a"/>
        <w:rPr>
          <w:b/>
          <w:bCs/>
          <w:i/>
          <w:iCs/>
        </w:rPr>
      </w:pPr>
      <w:r w:rsidRPr="00C24A6B">
        <w:rPr>
          <w:b/>
          <w:i/>
        </w:rPr>
        <w:t>V. Právny štát a reformy súdnictva</w:t>
      </w:r>
    </w:p>
    <w:p w:rsidR="00E44D9F" w:rsidRPr="00B4100F" w:rsidP="00E44D9F" w14:paraId="7292BD9B" w14:textId="0E73BE81">
      <w:pPr>
        <w:pStyle w:val="NormalHanging12a"/>
        <w:rPr>
          <w:bCs/>
          <w:iCs/>
        </w:rPr>
      </w:pPr>
      <w:r w:rsidRPr="00C24A6B">
        <w:t>4</w:t>
      </w:r>
      <w:r>
        <w:t>6</w:t>
      </w:r>
      <w:r w:rsidRPr="00C24A6B">
        <w:t>.</w:t>
      </w:r>
      <w:r w:rsidRPr="00C24A6B">
        <w:tab/>
        <w:t>oceňuje prijatie 10-bodového plánu hlavných reforiem (tzv. plán Kos</w:t>
      </w:r>
      <w:r w:rsidR="00B4100F">
        <w:t xml:space="preserve"> </w:t>
      </w:r>
      <w:r w:rsidRPr="00621DDF" w:rsidR="00B4100F">
        <w:rPr>
          <w:bCs/>
          <w:iCs/>
        </w:rPr>
        <w:t xml:space="preserve">– </w:t>
      </w:r>
      <w:r w:rsidRPr="00C24A6B">
        <w:t>Kačka) dohodnutého medzi EÚ a Ukrajinou v decembri 2025 ako dôležitého kroku na posilnenie právneho štátu, napredovanie reformy súdnictva a zvýšenie protikorupčného úsilia; víta prebiehajúce práce na realizácii plánu a vyzýva Ukrajinu, aby čo najskôr dosiahla konkrétne výsledky napredovaním v kľúčových reformách nad rámec štádia diskusií či pracovných skupín;</w:t>
      </w:r>
      <w:r w:rsidR="00B4100F">
        <w:t xml:space="preserve"> </w:t>
      </w:r>
      <w:r w:rsidRPr="00621DDF" w:rsidR="00B4100F">
        <w:rPr>
          <w:bCs/>
          <w:iCs/>
        </w:rPr>
        <w:t xml:space="preserve">zdôrazňuje, že miera vykonávania plánu v polovici roka 2026, ktorá podľa ukrajinskej komunity </w:t>
      </w:r>
      <w:r w:rsidRPr="00621DDF" w:rsidR="00B4100F">
        <w:rPr>
          <w:bCs/>
          <w:iCs/>
        </w:rPr>
        <w:t>think</w:t>
      </w:r>
      <w:r w:rsidRPr="00621DDF" w:rsidR="00B4100F">
        <w:rPr>
          <w:bCs/>
          <w:iCs/>
        </w:rPr>
        <w:t>-tankov dosahuje približne 15 %, by sa mala pre Ukrajinu považovať za neuspokojivú;</w:t>
      </w:r>
    </w:p>
    <w:p w:rsidR="00E44D9F" w:rsidRPr="00C24A6B" w:rsidP="00E44D9F" w14:paraId="0280D654" w14:textId="09601EC1">
      <w:pPr>
        <w:pStyle w:val="NormalHanging12a"/>
      </w:pPr>
      <w:r w:rsidRPr="00C24A6B">
        <w:t>4</w:t>
      </w:r>
      <w:r>
        <w:t>7</w:t>
      </w:r>
      <w:r w:rsidRPr="00C24A6B">
        <w:t>.</w:t>
      </w:r>
      <w:r w:rsidRPr="00C24A6B">
        <w:tab/>
        <w:t>zdôrazňuje význam včasnej a úplnej realizácie plánu, a to aj prostredníctvom jasne vymedzených míľnikov, merateľných ukazovateľov a účinných monitorovacích mechanizmov; vyjadruje znepokojenie nad obmedzeným pokrokom v určitých prioritných oblastiach a naliehavo vyzýva ukrajinské orgány, aby urýchlili vykonávanie na základe jasných kritérií a trvalého politického záväzku, keďže včasné, dôveryhodné a účinné vykonávanie bude mať zásadný význam pre posilnenie demokratickej odolnosti Ukrajiny a napredovanie v jej procese pristúpenia k EÚ;</w:t>
      </w:r>
    </w:p>
    <w:p w:rsidR="00E44D9F" w:rsidRPr="00C24A6B" w:rsidP="00E44D9F" w14:paraId="23AB011A" w14:textId="478874F4">
      <w:pPr>
        <w:pStyle w:val="NormalHanging12a"/>
      </w:pPr>
      <w:r w:rsidRPr="00C24A6B">
        <w:t>4</w:t>
      </w:r>
      <w:r>
        <w:t>8</w:t>
      </w:r>
      <w:r w:rsidRPr="00C24A6B">
        <w:t>.</w:t>
      </w:r>
      <w:r w:rsidRPr="00C24A6B">
        <w:tab/>
        <w:t xml:space="preserve">víta vytvorenie hlavnej iniciatívy Ukrajina2EU, ktorú iniciovali EÚ, Litva a Dánsko a ku ktorej sa neskôr pripojili Švédsko, Írsko a Poľsko, a ktorá poskytuje cielenú pomoc ukrajinským štátnym inštitúciám pri vykonávaní krokov na dokončenie procesu pristúpenia k EÚ a pri príprave na členstvo v EÚ; zdôrazňuje význam projektov technickej pomoci, ako je tento, a žiada, aby sa neustále podporovali a aby sa do nich </w:t>
      </w:r>
      <w:r w:rsidRPr="00C24A6B">
        <w:t xml:space="preserve">zapojilo viac členských štátov; takisto víta úsilie organizácií občianskej spoločnosti pri monitorovaní vykonávania a podpore ďalšieho napredovania v reformách; </w:t>
      </w:r>
    </w:p>
    <w:p w:rsidR="00E44D9F" w:rsidRPr="00C24A6B" w:rsidP="00E44D9F" w14:paraId="7255F8D8" w14:textId="58FBA03D">
      <w:pPr>
        <w:pStyle w:val="NormalHanging12a"/>
      </w:pPr>
      <w:r w:rsidRPr="00C24A6B">
        <w:t>4</w:t>
      </w:r>
      <w:r>
        <w:t>9</w:t>
      </w:r>
      <w:r w:rsidRPr="00C24A6B">
        <w:t>.</w:t>
      </w:r>
      <w:r w:rsidRPr="00C24A6B">
        <w:tab/>
        <w:t xml:space="preserve">víta napredovanie Ukrajiny v reforme súdnictva a boji proti korupcii a uznáva, že takýto pokrok sa dosahuje pod mimoriadnym tlakom vojny; požaduje sústavné a urýchlené napredovanie v týchto kritických oblastiach, keďže silný právny štát umožňuje transparentnosť a zodpovednosť v procesoch obnovy a oživenia hospodárstva a zlepšuje investičné prostredie a dôveru medzinárodných partnerov; víta realizáciu plánu na podporu právneho štátu prijatého v máji 2025 a zdôrazňuje, že tento pokrok priamo súvisí so zvyšovaním dôvery verejnosti v štátne inštitúcie; </w:t>
      </w:r>
    </w:p>
    <w:p w:rsidR="00E44D9F" w:rsidRPr="00C24A6B" w:rsidP="00E44D9F" w14:paraId="6738625D" w14:textId="483F17B4">
      <w:pPr>
        <w:pStyle w:val="NormalHanging12a"/>
      </w:pPr>
      <w:r>
        <w:t>50</w:t>
      </w:r>
      <w:r w:rsidRPr="00C24A6B">
        <w:t>.</w:t>
      </w:r>
      <w:r w:rsidRPr="00C24A6B">
        <w:tab/>
        <w:t xml:space="preserve">je naďalej znepokojený tým, že na Ústavný súd Ukrajiny neboli vymenovaní medzinárodne preverení sudcovia; vyzýva </w:t>
      </w:r>
      <w:r w:rsidRPr="00C24A6B">
        <w:t>Verchovnu</w:t>
      </w:r>
      <w:r w:rsidRPr="00C24A6B">
        <w:t xml:space="preserve"> radu Ukrajiny, aby prijala zákon o ústavnom súde v súlade so stanoviskami Benátskej komisie a zabezpečila transparentné výberové konanie s účasťou medzinárodných odborníkov a dvojtretinovou parlamentnou väčšinou potrebnou na vymenovanie; naliehavo vyzýva Ukrajinu, aby pri transformácii súdnictva využila dostupné medzinárodné odborné znalosti a pomoc, a uznáva, že inštitucionálne zlepšenie si vyžaduje širšie opatrenia na posilnenie výkonnosti a nezávislosti; vyzýva, aby sa v roku 2026 prioritne napredovalo v komplexnej reforme Národnej advokátskej komory Ukrajiny; </w:t>
      </w:r>
    </w:p>
    <w:p w:rsidR="00E44D9F" w:rsidRPr="00C24A6B" w:rsidP="00E44D9F" w14:paraId="79227933" w14:textId="377D4289">
      <w:pPr>
        <w:pStyle w:val="NormalHanging12a"/>
      </w:pPr>
      <w:r>
        <w:t>51</w:t>
      </w:r>
      <w:r w:rsidRPr="00C24A6B">
        <w:t>.</w:t>
      </w:r>
      <w:r w:rsidRPr="00C24A6B">
        <w:tab/>
        <w:t>naliehavo vyzýva Ukrajinu, aby vynaložila ďalšie úsilie na zabezpečenie profesionality a bezúhonnosti justičných úradníkov; zdôrazňuje potrebu transparentného vymenúvania v súdnictve a účinného vyšetrovania a sankcionovania trestných činov korupcie na všetkých úrovniach; vyzýva Ukrajinu, aby reformovala výber a odvolávanie generálneho prokurátora a obmedzila jeho neprimeraný vplyv na jednotlivé prípady, a to aj prostredníctvom automatického prideľovania prípadov a obmedzenia prístupu k spisom; nabáda súdnictvo, aby pokračovalo v investíciách do nových technológií, ktoré by pomohli prekonať nedostatok zamestnancov a vysoké pracovné zaťaženie; vyjadruje súdnictvu uznanie za to, že pokračuje vo svojej práci v náročných podmienkach, a ukrajinskej občianskej spoločnosti za monitorovanie vykonávania reforiem právneho štátu;</w:t>
      </w:r>
    </w:p>
    <w:p w:rsidR="00E44D9F" w:rsidRPr="00C24A6B" w:rsidP="00E44D9F" w14:paraId="3A909D8D" w14:textId="5B6E5C0F">
      <w:pPr>
        <w:pStyle w:val="NormalHanging12a"/>
      </w:pPr>
      <w:r>
        <w:t>52</w:t>
      </w:r>
      <w:r w:rsidRPr="00C24A6B">
        <w:t>.</w:t>
      </w:r>
      <w:r w:rsidRPr="00C24A6B">
        <w:tab/>
        <w:t xml:space="preserve">vyzýva na reformu ukrajinskej bezpečnostnej služby (SBU) a štátneho vyšetrovacieho úradu (SBI), ktorá by vychádzala z iniciatívy prezidenta </w:t>
      </w:r>
      <w:r w:rsidRPr="00C24A6B">
        <w:t>Zelenského</w:t>
      </w:r>
      <w:r w:rsidRPr="00C24A6B">
        <w:t xml:space="preserve"> oznámenej 2. januára 2026, najmä pokiaľ ide o zameranie SBU na kontrarozviedku, boj proti terorizmu a iné zdroje bezpečnostných hrozieb, ako aj potenciál na zneužívanie právomocí a dodržiavanie ľudských práv; oceňuje úsilie vynaložené na reformu týchto inštitúcií počas vojny; vyjadruje však poľutovanie nad tým, že návrh zákona o reforme SBI nebol prijatý na plenárnom zasadnutí </w:t>
      </w:r>
      <w:r w:rsidRPr="00C24A6B">
        <w:t>Verchovnej</w:t>
      </w:r>
      <w:r w:rsidRPr="00C24A6B">
        <w:t xml:space="preserve"> rady Ukrajiny do konca apríla 2026; uznáva prínos poradnej misie EÚ na Ukrajine za jej dôležitú prácu v oblasti európskej integrácie vrátane reformy sektora bezpečnosti, právneho štátu a zodpovednosti; </w:t>
      </w:r>
    </w:p>
    <w:p w:rsidR="00E44D9F" w:rsidRPr="00C24A6B" w:rsidP="00E44D9F" w14:paraId="58F90629" w14:textId="33CE8092">
      <w:pPr>
        <w:pStyle w:val="NormalHanging12a"/>
      </w:pPr>
      <w:r w:rsidRPr="00C24A6B">
        <w:t>5</w:t>
      </w:r>
      <w:r>
        <w:t>3</w:t>
      </w:r>
      <w:r w:rsidRPr="00C24A6B">
        <w:t>.</w:t>
      </w:r>
      <w:r w:rsidRPr="00C24A6B">
        <w:tab/>
        <w:t xml:space="preserve">požaduje preskúmanie trestného poriadku a súvisiacej legislatívy s cieľom zabezpečiť rýchlu a kvalitnú spravodlivosť, najmä preskúmaním ustanovení, ktorými sa stanovuje automatické ukončenie vyšetrovaní z dôvodu uplynutia lehôt predsúdneho vyšetrovania a skrátených lehôt vyšetrovania, čo ohrozuje účinné vyšetrovanie zložitých trestných činov vrátane prípadov korupcie na vysokej úrovni; naliehavo tiež vyzýva ukrajinské orgány, aby sa zaoberali praktikami vyšetrovacej väzby a zneužívaním procesných práv; </w:t>
      </w:r>
      <w:r w:rsidRPr="00C24A6B">
        <w:t xml:space="preserve">nabáda na väčšiu transparentnosť pri prístupe k verejným záznamom, pričom uznáva bezpečnostné potreby v čase vojny; víta zavedenie nového zákona o lobizme; </w:t>
      </w:r>
    </w:p>
    <w:p w:rsidR="00E44D9F" w:rsidP="00E44D9F" w14:paraId="646E27DC" w14:textId="142721B5">
      <w:pPr>
        <w:pStyle w:val="NormalHanging12a"/>
      </w:pPr>
      <w:r w:rsidRPr="00C24A6B">
        <w:t>5</w:t>
      </w:r>
      <w:r>
        <w:t>4</w:t>
      </w:r>
      <w:r w:rsidRPr="00C24A6B">
        <w:t>.</w:t>
      </w:r>
      <w:r w:rsidRPr="00C24A6B">
        <w:tab/>
        <w:t>naliehavo vyzýva ukrajinské orgány, aby sa zdržali akýchkoľvek politicky motivovaných súdnych konaní a aby nezavádzali osobné sankcie voči zástupcom opozície a vedúcim predstaviteľom organizácií občianskej spoločnosti; zdôrazňuje, že takéto praktiky oslabujú demokratické normy a dôveru verejnosti;</w:t>
      </w:r>
    </w:p>
    <w:p w:rsidR="00B4100F" w:rsidRPr="00B4100F" w:rsidP="00E44D9F" w14:paraId="4198E343" w14:textId="3C44C6DD">
      <w:pPr>
        <w:pStyle w:val="NormalHanging12a"/>
        <w:rPr>
          <w:bCs/>
          <w:iCs/>
        </w:rPr>
      </w:pPr>
      <w:r>
        <w:rPr>
          <w:bCs/>
          <w:iCs/>
        </w:rPr>
        <w:t>55</w:t>
      </w:r>
      <w:r w:rsidRPr="00621DDF">
        <w:rPr>
          <w:bCs/>
          <w:iCs/>
        </w:rPr>
        <w:t>.</w:t>
      </w:r>
      <w:r w:rsidRPr="00B4100F">
        <w:rPr>
          <w:bCs/>
          <w:iCs/>
        </w:rPr>
        <w:tab/>
      </w:r>
      <w:r w:rsidRPr="00621DDF">
        <w:rPr>
          <w:bCs/>
          <w:iCs/>
        </w:rPr>
        <w:t>vyzýva ukrajinské orgány, aby z vnútroštátnych právnych predpisov odstránili ustanovenia porušujúce všeobecne uznávané európske a medzinárodné normy parlamentnej nezávislosti, ako sú mandát slobodného zástupcu, deľba moci a zásada právnej istoty, pretože stotožňujú poslancov ukrajinského parlamentu so štátnymi úradníkmi; zdôrazňuje, že poslanec ukrajinského parlamentu vykonáva mandát zástupcu a nie je súčasťou žiadnej administratívnej hierarchie, nie je vymenovaný do funkcie, nevykonáva oficiálne funkcie, a preto nemôže byť vo vnútroštátnych právnych predpisoch vymedzený ako štátny úradník;</w:t>
      </w:r>
    </w:p>
    <w:p w:rsidR="00E44D9F" w:rsidRPr="00C24A6B" w:rsidP="00E44D9F" w14:paraId="70FC225F" w14:textId="77777777">
      <w:pPr>
        <w:pStyle w:val="NormalHanging12a"/>
        <w:rPr>
          <w:b/>
          <w:bCs/>
          <w:i/>
          <w:iCs/>
        </w:rPr>
      </w:pPr>
      <w:r w:rsidRPr="00C24A6B">
        <w:rPr>
          <w:b/>
          <w:i/>
        </w:rPr>
        <w:t>VI. Boj proti korupcii</w:t>
      </w:r>
    </w:p>
    <w:p w:rsidR="00E44D9F" w:rsidRPr="00C24A6B" w:rsidP="00E44D9F" w14:paraId="13BF9598" w14:textId="358DE946">
      <w:pPr>
        <w:pStyle w:val="NormalHanging12a"/>
        <w:rPr>
          <w:bCs/>
          <w:iCs/>
        </w:rPr>
      </w:pPr>
      <w:r w:rsidRPr="00C24A6B">
        <w:t>5</w:t>
      </w:r>
      <w:r>
        <w:t>6</w:t>
      </w:r>
      <w:r w:rsidRPr="00C24A6B">
        <w:t>.</w:t>
      </w:r>
      <w:r w:rsidRPr="00C24A6B">
        <w:tab/>
        <w:t>víta napredovanie špecializovaných protikorupčných agentúr pri odhaľovaní a stíhaní mediálne známych prípadov a oceňuje zavedenie mechanizmov pre oznamovateľov; zdôrazňuje, že nedávne odhalenie veľkej korupcie je dôkazom toho, že treba pokračovať v boji proti korupcii, a svedčí tiež o úspechu úsilia, ktoré sa v tomto smere vyvíja; uznáva, že Ukrajina dosiahla pozoruhodný úspech vo vyšetrovaní a stíhaní korupcie; zdôrazňuje, že je naďalej nevyhnutné, aby sa v prípadoch veľkej korupcie dosiahli spoľahlivé a nezvratné výsledky z hľadiska vyšetrovania, obžaloby a právoplatného odsúdenia; varuje, že akékoľvek oslabenie protikorupčných reforiem by vážne narušilo dôveru verejnosti a cestu Ukrajiny k európskej integrácii;</w:t>
      </w:r>
    </w:p>
    <w:p w:rsidR="00E44D9F" w:rsidRPr="00C24A6B" w:rsidP="00E44D9F" w14:paraId="37DA9E18" w14:textId="203AE5DE">
      <w:pPr>
        <w:pStyle w:val="NormalHanging12a"/>
        <w:rPr>
          <w:bCs/>
          <w:iCs/>
        </w:rPr>
      </w:pPr>
      <w:r w:rsidRPr="00C24A6B">
        <w:t>5</w:t>
      </w:r>
      <w:r>
        <w:t>7</w:t>
      </w:r>
      <w:r w:rsidRPr="00C24A6B">
        <w:t>.</w:t>
      </w:r>
      <w:r w:rsidRPr="00C24A6B">
        <w:tab/>
        <w:t xml:space="preserve">víta rozsiahly nábor nových zamestnancov do Národného protikorupčného úradu Ukrajiny (NABU) a Špecializovanej protikorupčnej prokuratúry (SAPO); ďalej víta schválenie stratégie rozvoja NABU a začiatok prác na stratégii inštitucionálneho rozvoja SAPO; </w:t>
      </w:r>
    </w:p>
    <w:p w:rsidR="00E44D9F" w:rsidRPr="00C24A6B" w:rsidP="00E44D9F" w14:paraId="58EFC932" w14:textId="0E913B69">
      <w:pPr>
        <w:pStyle w:val="NormalHanging12a"/>
        <w:rPr>
          <w:bCs/>
          <w:iCs/>
        </w:rPr>
      </w:pPr>
      <w:r w:rsidRPr="00C24A6B">
        <w:t>5</w:t>
      </w:r>
      <w:r>
        <w:t>8</w:t>
      </w:r>
      <w:r w:rsidRPr="00C24A6B">
        <w:t>.</w:t>
      </w:r>
      <w:r w:rsidRPr="00C24A6B">
        <w:tab/>
        <w:t>vyzdvihuje kľúčovú prácu kľúčových protikorupčných inštitúcií, ako je úrad NABU, ako aj úsilie občianskej spoločnosti o zachovanie nezávislosti protikorupčných orgánov a zvýšenie ich účinnosti; víta vymenovanie medzinárodných členov výberovej komisie pre SAPO, pričom vyjadruje znepokojenie nad etickými otázkami, ktoré sa vyskytli v súvislosti s jedným z ukrajinských členov; víta podstatný pokrok, ktorý dosiahli Verejná rada medzinárodných expertov (PCIE) a Najvyššia kvalifikačná komisia sudcov (HQCJ) pri pohovoroch s kandidátmi prostredníctvom prísneho, nezávislého, inkluzívneho a transparentného procesu pre vyšší protikorupčný súd (HACC);</w:t>
      </w:r>
    </w:p>
    <w:p w:rsidR="00E44D9F" w:rsidRPr="00C24A6B" w:rsidP="00E44D9F" w14:paraId="02067223" w14:textId="74A0E2BD">
      <w:pPr>
        <w:pStyle w:val="NormalHanging12a"/>
        <w:rPr>
          <w:bCs/>
          <w:iCs/>
        </w:rPr>
      </w:pPr>
      <w:r w:rsidRPr="00C24A6B">
        <w:t>5</w:t>
      </w:r>
      <w:r>
        <w:t>9</w:t>
      </w:r>
      <w:r w:rsidRPr="00C24A6B">
        <w:t>.</w:t>
      </w:r>
      <w:r w:rsidRPr="00C24A6B">
        <w:tab/>
        <w:t xml:space="preserve">trvá na tom, aby ukrajinské orgány garantovali inštitucionálnu a operačnú nezávislosť NABU a SAPO; odsudzuje akékoľvek politické zasahovanie, </w:t>
      </w:r>
      <w:r w:rsidRPr="00C24A6B">
        <w:t>inštrumentalizáciu</w:t>
      </w:r>
      <w:r w:rsidRPr="00C24A6B">
        <w:t xml:space="preserve"> alebo zastrašovanie zamerané na protikorupčné inštitúcie vrátane neopodstatnených inšpekcií, trestných stíhaní alebo prevádzkových obmedzení a žiada okamžité ukončenie neprimeraného tlaku zo strany bezpečnostných a spravodajských služieb vrátane ukrajinskej bezpečnostnej služby (SBU); zdôrazňuje, že ochrana úradu NABU a prokuratúry SAPO je základným predpokladom právneho štátu, procesu pristúpenia Ukrajiny k EÚ a dôveryhodného využívania medzinárodnej podpory; </w:t>
      </w:r>
    </w:p>
    <w:p w:rsidR="00E44D9F" w:rsidRPr="00C24A6B" w:rsidP="00E44D9F" w14:paraId="4C555C91" w14:textId="5B276452">
      <w:pPr>
        <w:pStyle w:val="NormalHanging12a"/>
        <w:rPr>
          <w:bCs/>
          <w:iCs/>
        </w:rPr>
      </w:pPr>
      <w:r>
        <w:t>60</w:t>
      </w:r>
      <w:r w:rsidRPr="00C24A6B">
        <w:t>.</w:t>
      </w:r>
      <w:r w:rsidRPr="00C24A6B">
        <w:tab/>
        <w:t>opätovne zdôrazňuje, že Národná agentúra pre prevenciu korupcie musí zlepšiť svoje postupy overovania majetkových priznaní a zamerať svoje úsilie na vyšších úradníkov v určených vysokorizikových oblastiach; naliehavo vyzýva Ukrajinu, aby v plnej miere vykonala reformu Agentúry pre vymáhanie a správu majetku vrátane jej potrebných interných predpisov; vyjadruje poľutovanie nad tým, že orgány presadzovania práva, okrem špecializovaných orgánov na boj proti korupcii, dosiahli obmedzený pokrok pri zlepšovaní svojich výsledkov v oblasti boja proti korupcii;</w:t>
      </w:r>
    </w:p>
    <w:p w:rsidR="00E44D9F" w:rsidRPr="00C24A6B" w:rsidP="00E44D9F" w14:paraId="01CCF4D5" w14:textId="11407AC7">
      <w:pPr>
        <w:pStyle w:val="NormalHanging12a"/>
        <w:rPr>
          <w:bCs/>
          <w:iCs/>
        </w:rPr>
      </w:pPr>
      <w:r>
        <w:t>61</w:t>
      </w:r>
      <w:r w:rsidRPr="00C24A6B">
        <w:t>.</w:t>
      </w:r>
      <w:r w:rsidRPr="00C24A6B">
        <w:tab/>
        <w:t>víta členstvo Ukrajiny v pracovnej skupine pre úplatkárstvo zriadenej v Organizácii pre hospodársku spoluprácu a rozvoj ako pozitívny krok smerom k plnému členstvu a ako ďalšie potvrdenie odhodlania Ukrajiny dodržiavať medzinárodné normy transparentnosti a dobrej správy vecí verejných; uznáva, že Ukrajina dosiahla pokrok pri vykonávaní právnych predpisov na boj proti úplatkárstvu pri medzinárodných transakciách, čo svedčí o jej integrácii do globálneho spoločenstva zodpovedných hospodárskych subjektov;</w:t>
      </w:r>
    </w:p>
    <w:p w:rsidR="00E44D9F" w:rsidRPr="00C24A6B" w:rsidP="00E44D9F" w14:paraId="2ED944CE" w14:textId="71B2E7BA">
      <w:pPr>
        <w:pStyle w:val="NormalHanging12a"/>
        <w:rPr>
          <w:bCs/>
          <w:iCs/>
        </w:rPr>
      </w:pPr>
      <w:r>
        <w:t>62</w:t>
      </w:r>
      <w:r w:rsidRPr="00C24A6B">
        <w:t>.</w:t>
      </w:r>
      <w:r w:rsidRPr="00C24A6B">
        <w:tab/>
        <w:t>opätovne zdôrazňuje význam nepretržitého boja proti organizovanej trestnej činnosti; naliehavo vyzýva Ukrajinu, aby sa ďalej usilovala o zintenzívnenie boja proti online podvodom a zneužívaniu;</w:t>
      </w:r>
    </w:p>
    <w:p w:rsidR="00E44D9F" w:rsidRPr="00C24A6B" w:rsidP="00E44D9F" w14:paraId="603159DE" w14:textId="77777777">
      <w:pPr>
        <w:pStyle w:val="Normal12a"/>
        <w:rPr>
          <w:i/>
          <w:iCs/>
        </w:rPr>
      </w:pPr>
      <w:r w:rsidRPr="00C24A6B">
        <w:rPr>
          <w:b/>
          <w:i/>
        </w:rPr>
        <w:t>VII. Základné slobody a ľudské práva</w:t>
      </w:r>
    </w:p>
    <w:p w:rsidR="00E44D9F" w:rsidRPr="00C24A6B" w:rsidP="00E44D9F" w14:paraId="605191FB" w14:textId="7770B6B0">
      <w:pPr>
        <w:pStyle w:val="NormalHanging12a"/>
      </w:pPr>
      <w:r>
        <w:t>63</w:t>
      </w:r>
      <w:r w:rsidRPr="00C24A6B">
        <w:t>.</w:t>
      </w:r>
      <w:r w:rsidRPr="00C24A6B">
        <w:tab/>
        <w:t xml:space="preserve">oceňuje odhodlanie Ukrajiny dodržiavať základné práva napriek prebiehajúcej ruskej agresii, a najmä akčný plán pre národnostné menšiny; vyzýva Ukrajinu, aby udržiavala štruktúrovaný a konštruktívny dialóg so susednými členskými štátmi o právach príslušníkov národnostných menšín v súlade s európskymi normami a odporúčaniami Benátskej komisie; oceňuje úsilie ukrajinských orgánov o reformu vzdelávacieho systému a vyjadruje nádej, že ustanovenia zákona o vzdelávaní, ktorý nadobudne účinnosť v roku 2027, neohrozia právo menšín na vzdelávanie v ich materinskom jazyku; </w:t>
      </w:r>
    </w:p>
    <w:p w:rsidR="00E44D9F" w:rsidRPr="00C24A6B" w:rsidP="00E44D9F" w14:paraId="345A3F73" w14:textId="3A1D8256">
      <w:pPr>
        <w:pStyle w:val="NormalHanging12a"/>
      </w:pPr>
      <w:r w:rsidRPr="00C24A6B">
        <w:t>6</w:t>
      </w:r>
      <w:r>
        <w:t>4</w:t>
      </w:r>
      <w:r w:rsidRPr="00C24A6B">
        <w:t>.</w:t>
      </w:r>
      <w:r w:rsidRPr="00C24A6B">
        <w:tab/>
        <w:t xml:space="preserve">vyzýva Ukrajinu, aby sa naďalej zasadzovala za slobodu prejavu a nezávislosť médií; vyzýva Ukrajinu, aby zabezpečila, že obmedzenia stanného práva budú absolútne potrebné a primerané; vyzýva na rýchle, nezávislé a účinné vyšetrovanie prípadov zastrašovania a priameho obťažovania, ako aj nepriamych foriem nátlaku na novinárov a mediálne inštitúcie; pripomína kľúčovú úlohu primeraného financovania pri zabezpečovaní nezávislosti verejnoprávneho vysielania, ktoré mu umožňuje plniť jeho úlohu zakotvenú v ukrajinskom práve, a vyzýva ukrajinské orgány, aby zabezpečili, že obsah, ktorý produkujú verejne financované médiá, bude reprezentovať politický a spoločenský pluralizmus Ukrajiny; </w:t>
      </w:r>
    </w:p>
    <w:p w:rsidR="00E44D9F" w:rsidRPr="00C24A6B" w:rsidP="00E44D9F" w14:paraId="0540DC86" w14:textId="191DF596">
      <w:pPr>
        <w:pStyle w:val="NormalHanging12a"/>
      </w:pPr>
      <w:r w:rsidRPr="00C24A6B">
        <w:t>6</w:t>
      </w:r>
      <w:r>
        <w:t>5</w:t>
      </w:r>
      <w:r w:rsidRPr="00C24A6B">
        <w:t>.</w:t>
      </w:r>
      <w:r w:rsidRPr="00C24A6B">
        <w:tab/>
        <w:t xml:space="preserve">podporuje prijatie návrhu zákona č. 13597, ktorým sa posilňuje právna ochrana pred diskrimináciou, trestnými činmi z nenávisti a nenávistnými prejavmi z dôvodu rasy, farby pleti, politického, náboženského a iného presvedčenia, pohlavia, sexuálnej orientácie, rodovej identity, štátnej príslušnosti, etnického, sociálneho alebo zahraničného pôvodu, veku, zdravotného stavu, zdravotného postihnutia, rodinných a majetkových pomerov, rodinných práv a povinností, miesta bydliska, jazyka, povolania alebo z iných dôvodov v súlade so záväzkami Ukrajiny vyplývajúcimi z dohody o pridružení a procesu pristúpenia k EÚ; </w:t>
      </w:r>
    </w:p>
    <w:p w:rsidR="00E44D9F" w:rsidRPr="00C24A6B" w:rsidP="00E44D9F" w14:paraId="2458A792" w14:textId="2D6334E4">
      <w:pPr>
        <w:pStyle w:val="NormalHanging12a"/>
      </w:pPr>
      <w:r w:rsidRPr="00C24A6B">
        <w:t>6</w:t>
      </w:r>
      <w:r>
        <w:t>6</w:t>
      </w:r>
      <w:r w:rsidRPr="00C24A6B">
        <w:t>.</w:t>
      </w:r>
      <w:r w:rsidRPr="00C24A6B">
        <w:tab/>
        <w:t xml:space="preserve">víta pokračujúce úsilie Ukrajiny o modernizáciu jej občianskoprávnych predpisov; zdôrazňuje, že je dôležité zabezpečiť, aby všetky takéto reformy boli plne v súlade s normami EÚ v oblasti rovnosti a nediskriminácie vrátane ochrany práv žien a LGBTIQ+ osôb; víta nedávne rozhodnutie Najvyššieho súdu Ukrajiny, ktorý uznal pár rovnakého pohlavia za de </w:t>
      </w:r>
      <w:r w:rsidRPr="00C24A6B">
        <w:t>facto</w:t>
      </w:r>
      <w:r w:rsidRPr="00C24A6B">
        <w:t xml:space="preserve"> rodinu; vyzýva na prijatie návrhu zákona č. 9103 o právnom uznávaní registrovaných partnerstiev na Ukrajine; </w:t>
      </w:r>
    </w:p>
    <w:p w:rsidR="00E44D9F" w:rsidRPr="00C24A6B" w:rsidP="00E44D9F" w14:paraId="782149ED" w14:textId="51F0C78C">
      <w:pPr>
        <w:pStyle w:val="NormalHanging12a"/>
      </w:pPr>
      <w:r w:rsidRPr="00C24A6B">
        <w:t>6</w:t>
      </w:r>
      <w:r>
        <w:t>7</w:t>
      </w:r>
      <w:r w:rsidRPr="00C24A6B">
        <w:t>.</w:t>
      </w:r>
      <w:r w:rsidRPr="00C24A6B">
        <w:tab/>
        <w:t xml:space="preserve">oceňuje kroky ukrajinskej občianskej spoločnosti, ktoré viedli ukrajinských zákonodarcov k prísľubu, že stiahnu návrh novely zákona o rodine, ktorá by súdom vo výnimočných prípadoch umožnila schvaľovať manželstvá 14-ročných dievčat; vyzýva </w:t>
      </w:r>
      <w:r w:rsidRPr="00C24A6B">
        <w:t>Verchovnu</w:t>
      </w:r>
      <w:r w:rsidRPr="00C24A6B">
        <w:t xml:space="preserve"> radu Ukrajiny, aby zabezpečila, že tieto ustanovenia budú skutočne natrvalo zrušené; </w:t>
      </w:r>
    </w:p>
    <w:p w:rsidR="00E44D9F" w:rsidRPr="00C24A6B" w:rsidP="00E44D9F" w14:paraId="301E0AA6" w14:textId="1D2432F5">
      <w:pPr>
        <w:pStyle w:val="NormalHanging12a"/>
      </w:pPr>
      <w:r w:rsidRPr="00C24A6B">
        <w:t>6</w:t>
      </w:r>
      <w:r>
        <w:t>8</w:t>
      </w:r>
      <w:r w:rsidRPr="00C24A6B">
        <w:t>.</w:t>
      </w:r>
      <w:r w:rsidRPr="00C24A6B">
        <w:tab/>
        <w:t xml:space="preserve">vyzýva Ukrajinu, aby pokračovala v prijímaní pozastavených právnych predpisov o ochrane osobných údajov; </w:t>
      </w:r>
    </w:p>
    <w:p w:rsidR="00E44D9F" w:rsidRPr="00C24A6B" w:rsidP="00E44D9F" w14:paraId="0B8B5E65" w14:textId="10C3A677">
      <w:pPr>
        <w:pStyle w:val="NormalHanging12a"/>
      </w:pPr>
      <w:r w:rsidRPr="00C24A6B">
        <w:t>6</w:t>
      </w:r>
      <w:r>
        <w:t>9</w:t>
      </w:r>
      <w:r w:rsidRPr="00C24A6B">
        <w:t>.</w:t>
      </w:r>
      <w:r w:rsidRPr="00C24A6B">
        <w:tab/>
        <w:t xml:space="preserve">víta prijatie stratégie </w:t>
      </w:r>
      <w:r w:rsidRPr="00C24A6B">
        <w:t>deinštitucionalizácie</w:t>
      </w:r>
      <w:r w:rsidRPr="00C24A6B">
        <w:t xml:space="preserve"> a prácu na reforme prístupnosti a rehabilitácie; zdôrazňuje však, že treba urýchlene prijať právne predpisy o rehabilitácii osôb so zdravotným postihnutím a zabezpečiť, aby sa tieto inkluzívne reformy dostali na miestnu úroveň a úroveň komunity;</w:t>
      </w:r>
    </w:p>
    <w:p w:rsidR="00E44D9F" w:rsidRPr="00C24A6B" w:rsidP="00E44D9F" w14:paraId="7CB1053B" w14:textId="3CD5E551">
      <w:pPr>
        <w:pStyle w:val="NormalHanging12a"/>
        <w:rPr>
          <w:b/>
          <w:i/>
        </w:rPr>
      </w:pPr>
      <w:r>
        <w:t>70</w:t>
      </w:r>
      <w:r w:rsidRPr="00C24A6B">
        <w:t>.</w:t>
      </w:r>
      <w:r w:rsidRPr="00C24A6B">
        <w:rPr>
          <w:b/>
          <w:i/>
        </w:rPr>
        <w:tab/>
      </w:r>
      <w:r w:rsidRPr="00C24A6B">
        <w:t>berie na vedomie prijatie zákona, ktorý umožní pravoslávnym farnostiam z Ukrajiny vystúpiť z jurisdikcie Moskovského patriarchátu a slobodne sa rozhodnúť o svojej novej hierarchickej príslušnosti; konštatuje, že v auguste 2024 rumunské pravoslávne farnosti na Ukrajine predložili žiadosť o uznanie náboženského združenia „Rumunská pravoslávna cirkev na Ukrajine“, ku ktorému sa môžu pripojiť farnosti odčlenené od jurisdikcie Moskovského patriarchátu; vyzýva ukrajinské orgány, aby bezodkladne zaregistrovali náboženské združenie Rumunská pravoslávna cirkev na Ukrajine;</w:t>
      </w:r>
    </w:p>
    <w:p w:rsidR="00E44D9F" w:rsidRPr="00C24A6B" w:rsidP="00E44D9F" w14:paraId="2E229FA5" w14:textId="77777777">
      <w:pPr>
        <w:pStyle w:val="NormalHanging12a"/>
        <w:rPr>
          <w:b/>
          <w:bCs/>
          <w:i/>
          <w:iCs/>
        </w:rPr>
      </w:pPr>
      <w:r w:rsidRPr="00C24A6B">
        <w:rPr>
          <w:b/>
          <w:i/>
        </w:rPr>
        <w:t>VIII. Úloha občianskej spoločnosti</w:t>
      </w:r>
    </w:p>
    <w:p w:rsidR="00E44D9F" w:rsidRPr="00C24A6B" w:rsidP="00E44D9F" w14:paraId="0153567C" w14:textId="74CB3634">
      <w:pPr>
        <w:pStyle w:val="NormalHanging12a"/>
      </w:pPr>
      <w:r>
        <w:t>71</w:t>
      </w:r>
      <w:r w:rsidRPr="00C24A6B">
        <w:t>.</w:t>
      </w:r>
      <w:r w:rsidRPr="00C24A6B">
        <w:tab/>
        <w:t>oceňuje, že ukrajinská občianska spoločnosť zostala aktívna aj napriek ťažkostiam, ktoré zažila počas vojny; naliehavo vyzýva všetky ukrajinské orgány, aby zabezpečili systematické a zmysluplné konzultácie s občianskou spoločnosťou a so sociálnymi partnermi a náležite zohľadňovali ich príspevky, a aby bojovali proti všetkým formám politického nátlaku vyvíjaného na nezávislé organizácie občianskej spoločnosti; vyzýva Ukrajinu, aby prijala zákon o odvolaniach podaných občanmi s cieľom zabezpečiť dobrú správu vecí verejných a účasť občanov; uznáva význam občianskej spoločnosti v súvislosti s posilnením odolnosti ukrajinského ľudu počas vojny a zdôrazňuje kľúčovú úlohu, ktorú má občianska spoločnosť zohrávať pri udržateľnej povojnovej obnove Ukrajiny;</w:t>
      </w:r>
    </w:p>
    <w:p w:rsidR="00E44D9F" w:rsidRPr="00C24A6B" w:rsidP="00E44D9F" w14:paraId="752988D8" w14:textId="32EB6AAB">
      <w:pPr>
        <w:pStyle w:val="NormalHanging12a"/>
      </w:pPr>
      <w:r>
        <w:t>72</w:t>
      </w:r>
      <w:r w:rsidRPr="00C24A6B">
        <w:t>.</w:t>
      </w:r>
      <w:r w:rsidRPr="00C24A6B">
        <w:tab/>
        <w:t>víta využívanie nástrojov digitálnej demokracie vrátane elektronických petícií a otvorených listov a podporuje štruktúrovanejšie a inštitucionalizovanejšie formy občianskej angažovanosti, a to aj pre diaspóry;</w:t>
      </w:r>
    </w:p>
    <w:p w:rsidR="00E44D9F" w:rsidRPr="00C24A6B" w:rsidP="00E44D9F" w14:paraId="5573B058" w14:textId="0C67ECAE">
      <w:pPr>
        <w:pStyle w:val="NormalHanging12a"/>
      </w:pPr>
      <w:r>
        <w:t>73</w:t>
      </w:r>
      <w:r w:rsidRPr="00C24A6B">
        <w:t>.</w:t>
      </w:r>
      <w:r w:rsidRPr="00C24A6B">
        <w:tab/>
        <w:t>vyzýva Komisiu, aby systematicky zapájala občiansku spoločnosť a iné relevantné spoločenské organizácie v Ukrajine do navrhovania a monitorovania finančnej podpory a reforiem EÚ;</w:t>
      </w:r>
    </w:p>
    <w:p w:rsidR="00E44D9F" w:rsidRPr="00C24A6B" w:rsidP="00E44D9F" w14:paraId="5240F84F" w14:textId="09EF786D">
      <w:pPr>
        <w:pStyle w:val="Normal12a"/>
        <w:ind w:left="567" w:hanging="567"/>
        <w:rPr>
          <w:bCs/>
        </w:rPr>
      </w:pPr>
      <w:r w:rsidRPr="00C24A6B">
        <w:t>7</w:t>
      </w:r>
      <w:r>
        <w:t>4</w:t>
      </w:r>
      <w:r w:rsidRPr="00C24A6B">
        <w:t>.</w:t>
      </w:r>
      <w:r w:rsidRPr="00C24A6B">
        <w:tab/>
        <w:t xml:space="preserve">víta prínos európskych a medzinárodných mimovládnych organizácií k výmene skúseností a podpore ukrajinskej občianskej spoločnosti, najmä ich zapojenie do boja proti ruským dezinformačným kampaniam v EÚ namiereným voči Ukrajine a Ukrajincom; vyzýva na ďalšie posilnenie spolupráce s týmito organizáciami s cieľom chrániť základné práva, posilniť informačnú odolnosť a podporiť dôveryhodnú verejnú diskusiu; </w:t>
      </w:r>
    </w:p>
    <w:p w:rsidR="00E44D9F" w:rsidRPr="00C24A6B" w:rsidP="00E44D9F" w14:paraId="2182CE76" w14:textId="77777777">
      <w:pPr>
        <w:pStyle w:val="Normal12a"/>
        <w:rPr>
          <w:i/>
          <w:iCs/>
        </w:rPr>
      </w:pPr>
      <w:r w:rsidRPr="00C24A6B">
        <w:rPr>
          <w:b/>
          <w:i/>
        </w:rPr>
        <w:t>IX. Integrácia jednotného trhu</w:t>
      </w:r>
    </w:p>
    <w:p w:rsidR="00E44D9F" w:rsidRPr="00C24A6B" w:rsidP="00E44D9F" w14:paraId="32373D97" w14:textId="42EB9D54">
      <w:pPr>
        <w:pStyle w:val="NormalHanging12a"/>
        <w:rPr>
          <w:bCs/>
          <w:iCs/>
        </w:rPr>
      </w:pPr>
      <w:r w:rsidRPr="00C24A6B">
        <w:t>7</w:t>
      </w:r>
      <w:r>
        <w:t>5</w:t>
      </w:r>
      <w:r w:rsidRPr="00C24A6B">
        <w:t>.</w:t>
      </w:r>
      <w:r w:rsidRPr="00C24A6B">
        <w:tab/>
        <w:t>zdôrazňuje, že je dôležité urýchliť postupné začleňovanie Ukrajiny do jednotného trhu EÚ, čo prinesie hospodárske výhody obom stranám, Ukrajine aj členským štátom; poukazuje na to, že ide o kľúčový prvok hospodárskej podpory EÚ v rámci boja proti ruskej agresii a prípravy ukrajinského priemyslu na fungovanie v podmienkach jednotného trhu EÚ; odporúča, aby sa Ukrajina zamerala na desať priorít uvedených v akčnom pláne o prehĺbenej a komplexnej zóne voľného obchodu medzi EÚ a Ukrajinou;</w:t>
      </w:r>
    </w:p>
    <w:p w:rsidR="00E44D9F" w:rsidRPr="00C24A6B" w:rsidP="00E44D9F" w14:paraId="0C429097" w14:textId="63FF6E0A">
      <w:pPr>
        <w:pStyle w:val="NormalHanging12a"/>
        <w:rPr>
          <w:bCs/>
          <w:iCs/>
        </w:rPr>
      </w:pPr>
      <w:r w:rsidRPr="00C24A6B">
        <w:t>7</w:t>
      </w:r>
      <w:r>
        <w:t>6</w:t>
      </w:r>
      <w:r w:rsidRPr="00C24A6B">
        <w:t>.</w:t>
      </w:r>
      <w:r w:rsidRPr="00C24A6B">
        <w:tab/>
        <w:t>vyzýva Komisiu a členské štáty, aby zohľadnili úzke prepojenie medzi obnovou a budúcou integráciou Ukrajiny do jednotného trhu EÚ; zdôrazňuje, že plán obnovy by mal zahŕňať opatrenia na podporu zosúladenia právnych predpisov a investícií do kritickej infraštruktúry, dopravných sietí a železničných spojení, a uľahčiť tak dosiahnutie súladu s normami jednotného trhu a posilniť obchodnú a hospodársku spoluprácu s členskými štátmi;</w:t>
      </w:r>
    </w:p>
    <w:p w:rsidR="00E44D9F" w:rsidRPr="00C24A6B" w:rsidP="00E44D9F" w14:paraId="70B1B650" w14:textId="592D5D42">
      <w:pPr>
        <w:pStyle w:val="NormalHanging12a"/>
        <w:rPr>
          <w:bCs/>
          <w:iCs/>
        </w:rPr>
      </w:pPr>
      <w:r w:rsidRPr="00C24A6B">
        <w:t>7</w:t>
      </w:r>
      <w:r>
        <w:t>7</w:t>
      </w:r>
      <w:r w:rsidRPr="00C24A6B">
        <w:t>.</w:t>
      </w:r>
      <w:r w:rsidRPr="00C24A6B">
        <w:tab/>
        <w:t>víta skutočnosť, že Ukrajina pristúpila v januári 2026 k programu EÚ „roaming za vnútroštátne ceny“, ktorý ukrajinskému obyvateľstvu prinesie jednu z najhmatateľnejších a okamžite pociťovaných výhod vyplývajúcich z pristúpenia k EÚ;</w:t>
      </w:r>
    </w:p>
    <w:p w:rsidR="00E44D9F" w:rsidRPr="00C24A6B" w:rsidP="00E44D9F" w14:paraId="6CAC0383" w14:textId="3C5F8ED5">
      <w:pPr>
        <w:pStyle w:val="NormalHanging12a"/>
      </w:pPr>
      <w:r w:rsidRPr="00C24A6B">
        <w:t>7</w:t>
      </w:r>
      <w:r>
        <w:t>8</w:t>
      </w:r>
      <w:r w:rsidRPr="00C24A6B">
        <w:t>.</w:t>
      </w:r>
      <w:r w:rsidRPr="00C24A6B">
        <w:tab/>
        <w:t>víta zvýšené úsilie Ukrajiny o zosúladenie svojich pozícií s EÚ a Svetovou obchodnou organizáciou; nabáda na úzku koordináciu s EÚ pri medzinárodných obchodných rokovaniach, najmä s cieľom postupne integrovať Ukrajinu do jednotného trhu EÚ a posilniť jej účasť v globálnych hodnotových reťazcoch;</w:t>
      </w:r>
    </w:p>
    <w:p w:rsidR="00E44D9F" w:rsidRPr="00C24A6B" w:rsidP="00E44D9F" w14:paraId="1E0F9A86" w14:textId="77777777">
      <w:pPr>
        <w:pStyle w:val="NormalHanging12a"/>
        <w:rPr>
          <w:b/>
          <w:bCs/>
          <w:i/>
          <w:iCs/>
        </w:rPr>
      </w:pPr>
      <w:r w:rsidRPr="00C24A6B">
        <w:rPr>
          <w:b/>
          <w:i/>
        </w:rPr>
        <w:t>X. Spolupráca v oblasti obrany</w:t>
      </w:r>
    </w:p>
    <w:p w:rsidR="00E44D9F" w:rsidRPr="00C24A6B" w:rsidP="00E44D9F" w14:paraId="57A7C9BD" w14:textId="38F763C3">
      <w:pPr>
        <w:pStyle w:val="NormalHanging12a"/>
      </w:pPr>
      <w:r w:rsidRPr="00C24A6B">
        <w:t>7</w:t>
      </w:r>
      <w:r>
        <w:t>9</w:t>
      </w:r>
      <w:r w:rsidRPr="00C24A6B">
        <w:t>.</w:t>
      </w:r>
      <w:r w:rsidRPr="00C24A6B">
        <w:tab/>
        <w:t xml:space="preserve">uznáva, že ukrajinský obranný priemysel sa stal kľúčovou a doplnkovou zložkou európskej bezpečnosti, najmä pokiaľ ide o výrobnú kapacitu </w:t>
      </w:r>
      <w:r w:rsidRPr="00C24A6B">
        <w:t>dronov</w:t>
      </w:r>
      <w:r w:rsidRPr="00C24A6B">
        <w:t>, inovácie bezpilotných systémov testované v boji, elektronický boj a softvér na bojisku;</w:t>
      </w:r>
    </w:p>
    <w:p w:rsidR="00E44D9F" w:rsidRPr="00C24A6B" w:rsidP="00E44D9F" w14:paraId="5AF3474D" w14:textId="05BAF647">
      <w:pPr>
        <w:pStyle w:val="NormalHanging12a"/>
        <w:rPr>
          <w:iCs/>
        </w:rPr>
      </w:pPr>
      <w:r>
        <w:t>80</w:t>
      </w:r>
      <w:r w:rsidRPr="00C24A6B">
        <w:t>.</w:t>
      </w:r>
      <w:r w:rsidRPr="00C24A6B">
        <w:tab/>
        <w:t xml:space="preserve">víta preto intenzívnejšiu spoluprácu v otázkach bezpečnosti a obrany medzi Ukrajinou a EÚ a jej členskými štátmi, najmä prostredníctvom Európskeho mierového nástroja, a vyzýva na posilnenú spoluprácu v rámci Nástroja bezpečnostnej akcie pre Európu (SAFE) a Programu pre európsky obranný priemysel (EDIP) s cieľom uspokojiť kritické obranné potreby Ukrajiny a uľahčiť integráciu ukrajinského obranného priemyslu do priemyselného ekosystému EÚ; zdôrazňuje význam pristúpenia Ukrajiny k Európskemu obrannému fondu ako pridruženej krajiny a vyzýva na rýchle uskutočnenie potrebných rokovaní; víta zriadenie pracovnej skupiny EÚ – Ukrajina pre spoluprácu v oblasti obranného priemyslu a iniciatívu </w:t>
      </w:r>
      <w:r w:rsidRPr="00C24A6B">
        <w:t>BraveTechEU</w:t>
      </w:r>
      <w:r w:rsidRPr="00C24A6B">
        <w:t xml:space="preserve">; vyzýva EÚ, aby podporila integráciu ukrajinskej obrannej technologickej a priemyselnej základne (DTIB) do EDTIP, a to aj prostredníctvom programu EDIP a budúceho Európskeho fondu pre konkurencieschopnosť; uznáva, že pri obrane štátov Perzského zálivu na </w:t>
      </w:r>
      <w:r w:rsidRPr="00C24A6B">
        <w:t>Blízkom východe sa znovu preukázali ukrajinské skúsenosti na bojisku; opakuje, že Ukrajina má najskúsenejšiu armádu v Európe;</w:t>
      </w:r>
    </w:p>
    <w:p w:rsidR="00E44D9F" w:rsidRPr="00C24A6B" w:rsidP="00E44D9F" w14:paraId="4203478A" w14:textId="7086AB60">
      <w:pPr>
        <w:pStyle w:val="NormalHanging12a"/>
        <w:rPr>
          <w:bCs/>
          <w:iCs/>
        </w:rPr>
      </w:pPr>
      <w:r>
        <w:t>81</w:t>
      </w:r>
      <w:r w:rsidRPr="00C24A6B">
        <w:t>.</w:t>
      </w:r>
      <w:r w:rsidRPr="00C24A6B">
        <w:tab/>
        <w:t xml:space="preserve">zdôrazňuje strategický význam organizovania pravidelných spoločných vojenských cvičení a postupnej integrácie Ukrajiny do výcvikových a operačných rámcov pod vedením EÚ ako prostriedku na zvýšenie </w:t>
      </w:r>
      <w:r w:rsidRPr="00C24A6B">
        <w:t>interoperability</w:t>
      </w:r>
      <w:r w:rsidRPr="00C24A6B">
        <w:t>, pripravenosti a zosúladenia s normami EÚ a NATO; okrem toho vyzýva na zvýšenie spoločných investičných iniciatív medzi Úniou a Ukrajinou v odvetví obranného priemyslu vrátane spoločného vývoja a spoločnej výroby vojenského vybavenia, čo by posilnilo spôsobilosti Ukrajiny v oblasti sebaobrany; požaduje prijatie trvalých opatrení, ktoré by posilnili prepojenie medzi ukrajinskou a európskou obrannou technologickou a priemyselnou základňou, znížili strategické závislosti a prispeli k dlhodobej bezpečnosti a stabilite na európskom kontinente;</w:t>
      </w:r>
    </w:p>
    <w:p w:rsidR="00E44D9F" w:rsidRPr="00C24A6B" w:rsidP="00E44D9F" w14:paraId="12DC488F" w14:textId="79697ACE">
      <w:pPr>
        <w:pStyle w:val="NormalHanging12a"/>
        <w:rPr>
          <w:bCs/>
          <w:iCs/>
        </w:rPr>
      </w:pPr>
      <w:r>
        <w:t>82</w:t>
      </w:r>
      <w:r w:rsidRPr="00C24A6B">
        <w:t>.</w:t>
      </w:r>
      <w:r w:rsidRPr="00C24A6B">
        <w:tab/>
        <w:t xml:space="preserve">zdôrazňuje strategický význam posilnenia vojenskej mobility na podporu obrany a odolnosti Ukrajiny a zabezpečenie rýchleho nasadenia vybavenia a poskytnutia humanitárnej pomoci ukrajinským silám; zdôrazňuje rozhodujúcu úlohu štátov na pobreží Čierneho mora a na východnej hranici z hľadiska ľahšieho použitia bezpečných tranzitných trás, predbežného umiestňovania materiálu a spoločnej operačnej koordinácie s Ukrajinou; vyzýva Komisiu a členské štáty, aby posilnili infraštruktúru, </w:t>
      </w:r>
      <w:r w:rsidRPr="00C24A6B">
        <w:t>interoperabilitu</w:t>
      </w:r>
      <w:r w:rsidRPr="00C24A6B">
        <w:t xml:space="preserve"> a logistické rámce v týchto regiónoch, a to aj prostredníctvom spoločných cvičení a cielených investícií, s cieľom zvýšiť operatívne spôsobilosti Ukrajiny, posilniť jej územnú celistvosť a odradiť ďalšiu agresiu;</w:t>
      </w:r>
    </w:p>
    <w:p w:rsidR="00E44D9F" w:rsidRPr="00C24A6B" w:rsidP="00E44D9F" w14:paraId="27D85E1B" w14:textId="5E9937A1">
      <w:pPr>
        <w:pStyle w:val="NormalHanging12a"/>
        <w:rPr>
          <w:bCs/>
          <w:iCs/>
        </w:rPr>
      </w:pPr>
      <w:r>
        <w:t>83</w:t>
      </w:r>
      <w:r w:rsidRPr="00C24A6B">
        <w:t>.</w:t>
      </w:r>
      <w:r w:rsidRPr="00C24A6B">
        <w:tab/>
        <w:t xml:space="preserve">víta prijatie ukrajinskej politickej stratégie týkajúcej sa veteránov do roku 2030; zdôrazňuje význam účinnej reintegrácie ukrajinských vojnových veteránov do civilného života ako dôležitej zložky dlhodobej obnovy a sociálnej súdržnosti Ukrajiny; upozorňuje na rastúci počet veteránov so zdravotným postihnutím a na potrebu posilniť vykonávanie politík v oblasti prístupnosti a práv osôb so zdravotným postihnutím; vyzýva EÚ a jej členské štáty, aby v tejto súvislosti ďalej podporovali Ukrajinu; uznáva strategickú hodnotu skúseností ukrajinských veteránov pre európsku bezpečnosť a obranu vrátane ich jedinečného know-how v oblasti moderného vedenia vojny, ako je boj proti bezpilotným systémom, lekárska starostlivosť na bojisku a evakuácia obetí vo vysoko intenzívnom konflikte; zdôrazňuje, že treba zabrániť tomu, aby sa stali zraniteľní voči sociálnej </w:t>
      </w:r>
      <w:r w:rsidRPr="00C24A6B">
        <w:t>marginalizácii</w:t>
      </w:r>
      <w:r w:rsidRPr="00C24A6B">
        <w:t xml:space="preserve"> a nepriateľskej manipulácii, a to aj zo strany Ruskej federácie;</w:t>
      </w:r>
    </w:p>
    <w:p w:rsidR="00E44D9F" w:rsidRPr="00C24A6B" w:rsidP="00E44D9F" w14:paraId="329F0894" w14:textId="36F81300">
      <w:pPr>
        <w:pStyle w:val="NormalHanging12a"/>
        <w:rPr>
          <w:bCs/>
          <w:iCs/>
        </w:rPr>
      </w:pPr>
      <w:r w:rsidRPr="00C24A6B">
        <w:t>8</w:t>
      </w:r>
      <w:r>
        <w:t>4</w:t>
      </w:r>
      <w:r w:rsidRPr="00C24A6B">
        <w:t>.</w:t>
      </w:r>
      <w:r w:rsidRPr="00C24A6B">
        <w:tab/>
        <w:t>vyzýva Komisiu, aby vypracovala vhodné rámce, na základe ktorých by mohli byť jedinečné vojnové skúsenosti Ukrajiny v oblasti civilnej ochrany, odolnosti kritickej infraštruktúry, boja proti dezinformáciám a správy vecí verejných v rámci komplexnej vojenskej agresie začlenené do politík Únie v oblasti pripravenosti, odolnosti a bezpečnosti;</w:t>
      </w:r>
    </w:p>
    <w:p w:rsidR="00E44D9F" w:rsidRPr="00C24A6B" w:rsidP="00E44D9F" w14:paraId="1A18D648" w14:textId="65FDB5F9">
      <w:pPr>
        <w:pStyle w:val="NormalHanging12a"/>
        <w:rPr>
          <w:bCs/>
          <w:iCs/>
        </w:rPr>
      </w:pPr>
      <w:r w:rsidRPr="00C24A6B">
        <w:t>8</w:t>
      </w:r>
      <w:r>
        <w:t>5</w:t>
      </w:r>
      <w:r w:rsidRPr="00C24A6B">
        <w:t>.</w:t>
      </w:r>
      <w:r w:rsidRPr="00C24A6B">
        <w:tab/>
        <w:t xml:space="preserve">berie na vedomie značnú politickú, finančnú, humanitárnu a vojenskú pomoc, ktorú Ukrajine poskytujú krajiny mimo EÚ a medzinárodní partneri od začiatku komplexnej vojenskej invázie Ruskej federácie v roku 2022; zdôrazňuje, že táto rozsiahla koalícia na podporu Ukrajiny odráža spoločný záväzok dodržiavať medzinárodné právo a zásady zakotvené v Charte Organizácie Spojených národov; v tejto súvislosti poukazuje na významný príspevok Spojených štátov, ktoré poskytli vojenskú pomoc vo výške viac ako 66,9 mld. USD; ďalej zdôrazňuje dôležitú úlohu Spojeného kráľovstva, Kanady, Japonska, Nórska, Nového Zélandu a Austrálie, ktoré sa pripojili k medzinárodným </w:t>
      </w:r>
      <w:r w:rsidRPr="00C24A6B">
        <w:t xml:space="preserve">sankciám voči Ruskej federácii a prispeli k vojenskej podpore ukrajinskej armády, výcviku personálu a k humanitárnej a </w:t>
      </w:r>
      <w:r w:rsidRPr="00C24A6B">
        <w:t>makrofinančnej</w:t>
      </w:r>
      <w:r w:rsidRPr="00C24A6B">
        <w:t xml:space="preserve"> pomoci Ukrajine; uznáva dôležitú pomoc, ktorú poskytuje Turecko, vrátane vojenskej a humanitárnej podpory a diplomatického úsilia; ďalej uznáva humanitárnu pomoc poskytovanú Moldavskou republikou, ktorá preukázala regionálnu solidaritu vzhľadom na pokračujúcu ruskú agresiu;</w:t>
      </w:r>
    </w:p>
    <w:p w:rsidR="00E44D9F" w:rsidRPr="00C24A6B" w:rsidP="00E44D9F" w14:paraId="45E14AB1" w14:textId="77777777">
      <w:pPr>
        <w:pStyle w:val="NormalHanging12a"/>
        <w:rPr>
          <w:b/>
          <w:i/>
          <w:iCs/>
        </w:rPr>
      </w:pPr>
      <w:r w:rsidRPr="00C24A6B">
        <w:rPr>
          <w:b/>
          <w:i/>
        </w:rPr>
        <w:t>XI. Regionálna spolupráca a dobré susedské vzťahy</w:t>
      </w:r>
    </w:p>
    <w:p w:rsidR="00E44D9F" w:rsidRPr="00C24A6B" w:rsidP="00E44D9F" w14:paraId="6EFB4D87" w14:textId="513AFC87">
      <w:pPr>
        <w:pStyle w:val="NormalHanging12a"/>
        <w:rPr>
          <w:bCs/>
          <w:iCs/>
        </w:rPr>
      </w:pPr>
      <w:r w:rsidRPr="00C24A6B">
        <w:t>8</w:t>
      </w:r>
      <w:r>
        <w:t>6</w:t>
      </w:r>
      <w:r w:rsidRPr="00C24A6B">
        <w:t>.</w:t>
      </w:r>
      <w:r w:rsidRPr="00C24A6B">
        <w:tab/>
        <w:t xml:space="preserve">víta vyriešenie sporu medzi Ukrajinou a Maďarskom (a Slovenskom) o prerušení dodávok ruskej ropy cez ropovod Družba; zdôrazňuje, že spor nespôsobil v Maďarsku ani na Slovensku nedostatok v zásobovaní vzhľadom na ľahko dostupné alternatívne možnosti prepravy prostredníctvom plynovodu </w:t>
      </w:r>
      <w:r w:rsidRPr="00C24A6B">
        <w:t>Adria</w:t>
      </w:r>
      <w:r w:rsidRPr="00C24A6B">
        <w:t xml:space="preserve">, ktorých ďalšou výhodou je, že nefinancujú ruskú ekonomiku; konštatuje, že od začiatku agresie Ruska voči Ukrajine maďarské spoločnosti v rozpore s politikou EÚ zvýšili dovoz ruskej energie; konštatuje, že ceny pohonných hmôt v Maďarsku sú vyššie ako európsky priemer a že argumenty o zvýšených nákladoch na používanie ropovodu </w:t>
      </w:r>
      <w:r w:rsidRPr="00C24A6B">
        <w:t>Adria</w:t>
      </w:r>
      <w:r w:rsidRPr="00C24A6B">
        <w:t xml:space="preserve"> sú vymyslené; </w:t>
      </w:r>
    </w:p>
    <w:p w:rsidR="00E44D9F" w:rsidRPr="00C24A6B" w:rsidP="00E44D9F" w14:paraId="39DA1D18" w14:textId="5EF6B689">
      <w:pPr>
        <w:pStyle w:val="NormalHanging12a"/>
        <w:rPr>
          <w:bCs/>
          <w:iCs/>
        </w:rPr>
      </w:pPr>
      <w:r w:rsidRPr="00C24A6B">
        <w:t>8</w:t>
      </w:r>
      <w:r>
        <w:t>7</w:t>
      </w:r>
      <w:r w:rsidRPr="00C24A6B">
        <w:t>.</w:t>
      </w:r>
      <w:r w:rsidRPr="00C24A6B">
        <w:tab/>
        <w:t xml:space="preserve">zdôrazňuje povinnosť všetkých členských štátov, nielen maďarskej a slovenskej vlády, postupne ukončiť závislosť od ruských dodávok energie a ruskej energetickej infraštruktúry; </w:t>
      </w:r>
    </w:p>
    <w:p w:rsidR="00E44D9F" w:rsidRPr="00C24A6B" w:rsidP="00E44D9F" w14:paraId="7F9AEEAB" w14:textId="39C58A66">
      <w:pPr>
        <w:pStyle w:val="NormalHanging12a"/>
        <w:rPr>
          <w:bCs/>
          <w:iCs/>
        </w:rPr>
      </w:pPr>
      <w:r w:rsidRPr="00C24A6B">
        <w:t>8</w:t>
      </w:r>
      <w:r>
        <w:t>8</w:t>
      </w:r>
      <w:r w:rsidRPr="00C24A6B">
        <w:t>.</w:t>
      </w:r>
      <w:r w:rsidRPr="00C24A6B">
        <w:tab/>
        <w:t xml:space="preserve">odsudzuje postup maďarských orgánov presadzovania práva pri zadržaní zamestnancov ukrajinskej </w:t>
      </w:r>
      <w:r w:rsidRPr="00C24A6B">
        <w:t>Oschadbank</w:t>
      </w:r>
      <w:r w:rsidRPr="00C24A6B">
        <w:t xml:space="preserve"> a zabavení hotovosti a zlata, ktoré bolo vopred riadne schválené maďarskými colnými orgánmi; víta nedávne vyriešenie sporu;</w:t>
      </w:r>
    </w:p>
    <w:p w:rsidR="00E44D9F" w:rsidRPr="00C24A6B" w:rsidP="00E44D9F" w14:paraId="75C304DD" w14:textId="77777777">
      <w:pPr>
        <w:pStyle w:val="NormalHanging12a"/>
        <w:rPr>
          <w:i/>
          <w:iCs/>
        </w:rPr>
      </w:pPr>
      <w:r w:rsidRPr="00C24A6B">
        <w:rPr>
          <w:b/>
          <w:i/>
        </w:rPr>
        <w:t>XII. Sociálno-ekonomické reformy</w:t>
      </w:r>
    </w:p>
    <w:p w:rsidR="00E44D9F" w:rsidRPr="00C24A6B" w:rsidP="00E44D9F" w14:paraId="559E7E1B" w14:textId="6A5B42B8">
      <w:pPr>
        <w:pStyle w:val="NormalHanging12a"/>
      </w:pPr>
      <w:r w:rsidRPr="00C24A6B">
        <w:t>8</w:t>
      </w:r>
      <w:r>
        <w:t>9</w:t>
      </w:r>
      <w:r w:rsidRPr="00C24A6B">
        <w:t>.</w:t>
      </w:r>
      <w:r w:rsidRPr="00C24A6B">
        <w:tab/>
        <w:t xml:space="preserve">oceňuje, že Ukrajina schválila reformu verejnej správy, a víta prebiehajúce praktické začleňovanie Ukrajiny do riadiacich štruktúr a hospodárskych, regulačných a bezpečnostných rámcov EÚ; nabáda ukrajinskú vládu, aby pri reforme verejnej správy a riadení verejných financií postupovala systematicky a zabezpečila súlad s existujúcim plánom a zlepšila účinnosť; víta prijatie stratégie pre reformu systému riadenia verejných financií na roky 2026 – 2030 a nabáda na urýchlené dokončenie a prijatie stratégie reformy verejnej správy na roky 2026 – 2030; vyzdvihuje úspech programu </w:t>
      </w:r>
      <w:r w:rsidRPr="00C24A6B">
        <w:t>Create</w:t>
      </w:r>
      <w:r w:rsidRPr="00C24A6B">
        <w:t xml:space="preserve"> </w:t>
      </w:r>
      <w:r w:rsidRPr="00C24A6B">
        <w:t>Ukraine</w:t>
      </w:r>
      <w:r w:rsidRPr="00C24A6B">
        <w:t>, ktorý vychádza z litovských skúseností a pomáha mladým Ukrajincom s cennými medzinárodnými skúsenosťami vstúpiť do ukrajinského verejného sektora; podporuje rozšírenie tejto a podobných iniciatív s cieľom prilákať odborníkov späť na Ukrajinu a prispieť k jej pristúpeniu k EÚ a povojnovej obnove;</w:t>
      </w:r>
    </w:p>
    <w:p w:rsidR="00E44D9F" w:rsidRPr="00C24A6B" w:rsidP="00E44D9F" w14:paraId="3C58BA56" w14:textId="4A1B7A9D">
      <w:pPr>
        <w:pStyle w:val="NormalHanging12a"/>
        <w:rPr>
          <w:bCs/>
          <w:iCs/>
        </w:rPr>
      </w:pPr>
      <w:r>
        <w:t>90</w:t>
      </w:r>
      <w:r w:rsidRPr="00C24A6B">
        <w:t>.</w:t>
      </w:r>
      <w:r w:rsidRPr="00C24A6B">
        <w:tab/>
        <w:t>víta pokrok, ktorý bol dosiahnutý pri reforme ukrajinského Úradu pre hospodársku bezpečnosť a jeho Agentúry pre vymáhanie a správu majetku; ďalej víta vymenovanie vedúceho ukrajinskej Štátnej colnej správy a zdôrazňuje, že je dôležité pokročiť v colnej reforme;</w:t>
      </w:r>
    </w:p>
    <w:p w:rsidR="00E44D9F" w:rsidRPr="00C24A6B" w:rsidP="00E44D9F" w14:paraId="32F137A1" w14:textId="1B3BB6D9">
      <w:pPr>
        <w:pStyle w:val="NormalHanging12a"/>
        <w:rPr>
          <w:bCs/>
          <w:iCs/>
        </w:rPr>
      </w:pPr>
      <w:r>
        <w:t>91</w:t>
      </w:r>
      <w:r w:rsidRPr="00C24A6B">
        <w:t>.</w:t>
      </w:r>
      <w:r w:rsidRPr="00C24A6B">
        <w:tab/>
        <w:t xml:space="preserve">berie na vedomie pozitívne zistenia uvedené v najnovších správach Svetovej banky a Medzinárodného menového fondu, ktoré poukazujú na hospodársku odolnosť Ukrajiny a pokrok v makroekonomickej stabilizácii napriek prebiehajúcej vojne; víta nedávne prijatie programu Medzinárodného menového fondu v hodnote 1,8 miliardy USD a súvisiace reformy; naliehavo vyzýva Ukrajinu, aby urýchlene pristúpila k realizácii reforiem; </w:t>
      </w:r>
    </w:p>
    <w:p w:rsidR="00E44D9F" w:rsidRPr="00C24A6B" w:rsidP="00E44D9F" w14:paraId="6AEFF2C7" w14:textId="5CE26631">
      <w:pPr>
        <w:pStyle w:val="NormalHanging12a"/>
        <w:rPr>
          <w:bCs/>
          <w:iCs/>
        </w:rPr>
      </w:pPr>
      <w:r>
        <w:t>92</w:t>
      </w:r>
      <w:r w:rsidRPr="00C24A6B">
        <w:t>.</w:t>
      </w:r>
      <w:r w:rsidRPr="00C24A6B">
        <w:tab/>
        <w:t>opätovne vyzýva Ukrajinu a členské štáty, aby úzko spolupracovali s cieľom maximalizovať potenciálnu hospodársku účasť ukrajinských utečencov a diaspóry, a zabezpečiť tak odolnosť a </w:t>
      </w:r>
      <w:r w:rsidRPr="00C24A6B">
        <w:t>inkluzívnosť</w:t>
      </w:r>
      <w:r w:rsidRPr="00C24A6B">
        <w:t xml:space="preserve"> prebiehajúcej a budúcej hospodárskej obnovy a rekonštrukcie Ukrajiny; vyzýva Komisiu, aby v tejto súvislosti predložila konkrétne návrhy; poznamenáva, že platnosť smernice o dočasnej ochrane</w:t>
      </w:r>
      <w:r>
        <w:rPr>
          <w:rStyle w:val="FootnoteReference"/>
          <w:bCs/>
          <w:iCs/>
        </w:rPr>
        <w:footnoteReference w:id="9"/>
      </w:r>
      <w:r w:rsidRPr="00C24A6B">
        <w:t xml:space="preserve">, ktorá poskytla právne postavenie viac ako 4 miliónom Ukrajincov v EÚ, sa skončí v marci 2027; vyzýva EÚ, jej členské štáty a Ukrajinu, aby sa usilovali o koordinovanú, harmonizovanú a dobre komunikovanú politiku, ktorá by poskytla istotu Ukrajincom, ktorí sa pripravujú na návrat alebo zvažujú legálne možnosti zostať v hostiteľských krajinách; </w:t>
      </w:r>
    </w:p>
    <w:p w:rsidR="00E44D9F" w:rsidRPr="00C24A6B" w:rsidP="00E44D9F" w14:paraId="1241AD96" w14:textId="74774AF3">
      <w:pPr>
        <w:pStyle w:val="NormalHanging12a"/>
        <w:rPr>
          <w:bCs/>
          <w:iCs/>
        </w:rPr>
      </w:pPr>
      <w:r>
        <w:t>93</w:t>
      </w:r>
      <w:r w:rsidRPr="00C24A6B">
        <w:t>.</w:t>
      </w:r>
      <w:r w:rsidRPr="00C24A6B">
        <w:tab/>
        <w:t xml:space="preserve">zdôrazňuje, že obnova Ukrajiny a súvisiace prípravné plány musia byť úzko prepojené s jej reformami pred pristúpením k EÚ a musia sa riadiť zásadami sociálnej spravodlivosti, udržateľnosti, transparentnosti a inkluzívnej miestnej zodpovednosti; okrem toho zdôrazňuje, že obnova Ukrajiny musí byť založená na pevnom právnom štáte, transparentnej správe vecí verejných a demokratickom začlenení; zdôrazňuje, že reforma súdnictva, úsilie v oblasti boja proti korupcii a zlepšenie verejnej správy sú nielen podmienkami pristúpenia k EÚ, ale aj zásadnými podmienkami na prilákanie investícií a obnovenie dôvery medzi partnermi a občanmi Ukrajiny; vyzýva, aby sa v záujme čo najväčšieho vplyvu a dlhodobej udržateľnosti do všetkých snáh o obnovu začlenili prístupy zohľadňujúce rodové hľadisko vrátane zvýšeného zastúpenia žien a menšín v rozhodovacích procesoch; </w:t>
      </w:r>
    </w:p>
    <w:p w:rsidR="00E44D9F" w:rsidRPr="00C24A6B" w:rsidP="00E44D9F" w14:paraId="7CAD1F8B" w14:textId="1F8354B9">
      <w:pPr>
        <w:pStyle w:val="NormalHanging12a"/>
        <w:rPr>
          <w:bCs/>
          <w:iCs/>
        </w:rPr>
      </w:pPr>
      <w:r w:rsidRPr="00C24A6B">
        <w:t>9</w:t>
      </w:r>
      <w:r>
        <w:t>4</w:t>
      </w:r>
      <w:r w:rsidRPr="00C24A6B">
        <w:t>.</w:t>
      </w:r>
      <w:r w:rsidRPr="00C24A6B">
        <w:tab/>
        <w:t>zdôrazňuje, že politika súdržnosti EÚ ako hlavný nástroj na podporu hospodárskej, sociálnej a územnej jednoty je nevyhnutná na dosiahnutie cieľov regionálnej politiky EÚ a na prehĺbenie spolupráce medzi regiónmi EÚ a Ukrajiny; žiada, aby sa táto politika plne zohľadnila v rámci regionálnej a susedskej spolupráce;</w:t>
      </w:r>
    </w:p>
    <w:p w:rsidR="00E44D9F" w:rsidRPr="00C24A6B" w:rsidP="00E44D9F" w14:paraId="189FFF59" w14:textId="0C560E35">
      <w:pPr>
        <w:pStyle w:val="NormalHanging12a"/>
        <w:rPr>
          <w:bCs/>
          <w:iCs/>
        </w:rPr>
      </w:pPr>
      <w:r w:rsidRPr="00C24A6B">
        <w:t>9</w:t>
      </w:r>
      <w:r>
        <w:t>5</w:t>
      </w:r>
      <w:r w:rsidRPr="00C24A6B">
        <w:t>.</w:t>
      </w:r>
      <w:r w:rsidRPr="00C24A6B">
        <w:tab/>
        <w:t>zdôrazňuje rastúci význam Ukrajiny ako strategického partnera Európskej únie v oblasti dodávok kľúčových komodít a kritických surovín vrátane poľnohospodárskych výrobkov, ako sú obilniny, olejniny a rastlinné oleje, ako aj lítia, titánu a iných nerastných surovín, ktoré sú nevyhnutné pre zelenú a digitálnu transformáciu; vyzýva na transparentnosť, verejnú zodpovednosť a ochranu národných záujmov vo všetkých privatizačných a investičných procesoch; konštatuje, že značná časť týchto kritických zdrojov sa nachádza na územiach dočasne okupovaných Ruskou federáciou; preto zdôrazňuje, že treba posilniť solidaritu EÚ s Ukrajinou pri ochrane jej prírodných zdrojov, poľnohospodárskej kapacity a územnej celistvosti;</w:t>
      </w:r>
    </w:p>
    <w:p w:rsidR="00E44D9F" w:rsidRPr="00C24A6B" w:rsidP="00E44D9F" w14:paraId="4D13C9E1" w14:textId="5C6BC84A">
      <w:pPr>
        <w:pStyle w:val="NormalHanging12a"/>
        <w:rPr>
          <w:bCs/>
          <w:iCs/>
        </w:rPr>
      </w:pPr>
      <w:r w:rsidRPr="00C24A6B">
        <w:t>9</w:t>
      </w:r>
      <w:r>
        <w:t>6</w:t>
      </w:r>
      <w:r w:rsidRPr="00C24A6B">
        <w:t>.</w:t>
      </w:r>
      <w:r w:rsidRPr="00C24A6B">
        <w:tab/>
        <w:t xml:space="preserve">víta úsilie o zlepšenie tripartitného sociálneho dialógu na Ukrajine, a to aj s podporou nedávno podpísanej dohody o partnerstve s EÚ a Medzinárodnou organizáciou práce (MOP); trvá na tom, že zásady Európskeho piliera sociálnych práv a všetky príslušné dohovory MOP sa musia dodržiavať počas celého predvstupového procesu; vyzýva Ukrajinu, aby pokračovala v aproximácii pracovných noriem, najmä pokiaľ ide o slobodu zhromažďovania a sociálny dialóg; zdôrazňuje potrebu rozsiahlych konzultácií s odborovými zväzmi a občianskou spoločnosťou a odporúča v tejto súvislosti využiť odborné znalosti Medzinárodnej organizácie práce; naliehavo vyzýva </w:t>
      </w:r>
      <w:r w:rsidRPr="00C24A6B">
        <w:t xml:space="preserve">Ukrajinu a Komisiu, aby spolupracovali s kľúčovými sociálnymi partnermi vrátane nezávislých odborových zväzov pri navrhovaní, vykonávaní a monitorovaní sociálno-ekonomických reforiem, pričom uznáva potrebu reformných opatrení na zlepšenie fungovania podnikateľského prostredia a trhového hospodárstva; žiada, aby sa väčší dôraz kládol na opatrenia na nápravu deformácií trhu a sociálne ochranné opatrenia; </w:t>
      </w:r>
    </w:p>
    <w:p w:rsidR="00E44D9F" w:rsidRPr="00C24A6B" w:rsidP="00E44D9F" w14:paraId="0B34A0B2" w14:textId="2DEFB233">
      <w:pPr>
        <w:pStyle w:val="NormalHanging12a"/>
        <w:rPr>
          <w:bCs/>
          <w:iCs/>
        </w:rPr>
      </w:pPr>
      <w:r w:rsidRPr="00C24A6B">
        <w:t>9</w:t>
      </w:r>
      <w:r>
        <w:t>7</w:t>
      </w:r>
      <w:r w:rsidRPr="00C24A6B">
        <w:t>.</w:t>
      </w:r>
      <w:r w:rsidRPr="00C24A6B">
        <w:tab/>
        <w:t>berie na vedomie správy o zasahovaní štátu do záležitostí odborových zväzov vrátane zhabania majetku odborových zväzov; vyzýva na vrátenie zabaveného majetku odborových zväzov; vyzýva ukrajinské orgány, aby odborárom zabezpečili možnosť slobodne vykonávať svoj mandát, a vyzýva na úplnú právnu ochranu pred praktikami namierenými proti odborovým zväzom; vyzýva Komisiu a Európsku službu pre vonkajšiu činnosť, aby v úzkej spolupráci s Európskou konfederáciou odborových zväzov a MOP aktívne monitorovali stav pracovných práv na Ukrajine;</w:t>
      </w:r>
    </w:p>
    <w:p w:rsidR="00E44D9F" w:rsidRPr="00C24A6B" w:rsidP="00E44D9F" w14:paraId="7D058BFA" w14:textId="5F9416E8">
      <w:pPr>
        <w:pStyle w:val="NormalHanging12a"/>
      </w:pPr>
      <w:r w:rsidRPr="00C24A6B">
        <w:t>9</w:t>
      </w:r>
      <w:r>
        <w:t>8</w:t>
      </w:r>
      <w:r w:rsidRPr="00C24A6B">
        <w:t>.</w:t>
      </w:r>
      <w:r w:rsidRPr="00C24A6B">
        <w:tab/>
        <w:t>vyzýva na trvalé úsilie o liberalizáciu kapitálových tokov, okrem iného zosúladením s nariadením o jednotnej oblasti platieb v eurách</w:t>
      </w:r>
      <w:r>
        <w:rPr>
          <w:rStyle w:val="FootnoteReference"/>
        </w:rPr>
        <w:footnoteReference w:id="10"/>
      </w:r>
      <w:r w:rsidRPr="00C24A6B">
        <w:t>, a na posilnenie boja proti praniu špinavých peňazí a financovaniu terorizmu;</w:t>
      </w:r>
    </w:p>
    <w:p w:rsidR="00E44D9F" w:rsidRPr="00C24A6B" w:rsidP="00E44D9F" w14:paraId="58D7E251" w14:textId="4F3FADF4">
      <w:pPr>
        <w:pStyle w:val="NormalHanging12a"/>
        <w:rPr>
          <w:bCs/>
          <w:iCs/>
        </w:rPr>
      </w:pPr>
      <w:r w:rsidRPr="00C24A6B">
        <w:t>9</w:t>
      </w:r>
      <w:r>
        <w:t>9</w:t>
      </w:r>
      <w:r w:rsidRPr="00C24A6B">
        <w:t>.</w:t>
      </w:r>
      <w:r w:rsidRPr="00C24A6B">
        <w:tab/>
        <w:t>oceňuje účinné viacúrovňovú správu vecí verejných na Ukrajine; víta dosiahnutý pokrok pri decentralizácii v súlade s požiadavkami na pristúpenie k EÚ; vyzýva na ďalšie reformy, ktoré by posilnili miestnu samosprávu v súlade so zásadami Európskej charty miestnej samosprávy;</w:t>
      </w:r>
    </w:p>
    <w:p w:rsidR="00E44D9F" w:rsidRPr="00C24A6B" w:rsidP="00E44D9F" w14:paraId="6D1217DD" w14:textId="59014427">
      <w:pPr>
        <w:pStyle w:val="NormalHanging12a"/>
      </w:pPr>
      <w:r>
        <w:t>100</w:t>
      </w:r>
      <w:r w:rsidRPr="00C24A6B">
        <w:t>.</w:t>
      </w:r>
      <w:r w:rsidRPr="00C24A6B">
        <w:tab/>
        <w:t>vyjadruje Ukrajine uznanie za splnenie 63 zo 68 reformných podmienok uvedených v Pláne pre Ukrajinu, ktorý bol pôvodne navrhnutý tak, aby sa realizoval po skončení vojny, ale napokon sa vykonával už počas vojny, čo umožnilo vyplatenie 26,8 miliardy EUR v roku 2025; vyzýva na trvalé úsilie o vykonávanie tohto plánu v súlade s nariadením (EÚ) 2024/792</w:t>
      </w:r>
      <w:r>
        <w:rPr>
          <w:rStyle w:val="FootnoteReference"/>
        </w:rPr>
        <w:footnoteReference w:id="11"/>
      </w:r>
      <w:r w:rsidRPr="00C24A6B">
        <w:t>, najmä s cieľom povzbudiť Ukrajinu, aby svoje právne predpisy zosúladila s právnymi predpismi EÚ v oblasti verejného obstarávania;</w:t>
      </w:r>
    </w:p>
    <w:p w:rsidR="00E44D9F" w:rsidRPr="00C24A6B" w:rsidP="00E44D9F" w14:paraId="6A2A5C57" w14:textId="20A07632">
      <w:pPr>
        <w:pStyle w:val="NormalHanging12a"/>
        <w:rPr>
          <w:b/>
          <w:i/>
        </w:rPr>
      </w:pPr>
      <w:r>
        <w:t>101</w:t>
      </w:r>
      <w:r w:rsidRPr="00C24A6B">
        <w:t>.</w:t>
      </w:r>
      <w:r w:rsidRPr="00C24A6B">
        <w:rPr>
          <w:b/>
          <w:i/>
        </w:rPr>
        <w:tab/>
      </w:r>
      <w:r w:rsidRPr="00C24A6B">
        <w:t>oceňuje mimoriadne dôležitú prácu, ktorú počas vojny každodenne vykonávajú ukrajinské služby zdravotnej starostlivosti, a najmä ukrajinské zdravotné sestry; konštatuje, že veľká časť pracovníkov vo verejnom sektore starostlivosti dostáva minimálnu mzdu, ktorá v súčasnosti dosahuje 6 658 UAH v čistom; pripomína, že skutočné životné minimum pre jednu osobu, ktoré vypočítalo ministerstvo pre sociálnu politiku v decembri 2025, bolo 10 979 UAH; ďalej zdôrazňuje potrebu zaviesť osobitnú a primeranú reguláciu pracovného zaťaženia zdravotných sestier;</w:t>
      </w:r>
    </w:p>
    <w:p w:rsidR="00E44D9F" w:rsidRPr="00C24A6B" w:rsidP="00E44D9F" w14:paraId="76255489" w14:textId="77777777">
      <w:pPr>
        <w:pStyle w:val="Normal12a"/>
        <w:rPr>
          <w:i/>
          <w:iCs/>
        </w:rPr>
      </w:pPr>
      <w:r w:rsidRPr="00C24A6B">
        <w:rPr>
          <w:b/>
          <w:i/>
        </w:rPr>
        <w:t>XIII. Energetika, doprava a udržateľný rozvoj</w:t>
      </w:r>
    </w:p>
    <w:p w:rsidR="00E44D9F" w:rsidRPr="00C24A6B" w:rsidP="00E44D9F" w14:paraId="1129114C" w14:textId="46E31077">
      <w:pPr>
        <w:pStyle w:val="NormalHanging12a"/>
      </w:pPr>
      <w:r>
        <w:t>102</w:t>
      </w:r>
      <w:r w:rsidRPr="00C24A6B">
        <w:t>.</w:t>
      </w:r>
      <w:r w:rsidRPr="00C24A6B">
        <w:tab/>
        <w:t xml:space="preserve">víta významný pokrok dosiahnutý pri reformách energetického sektora, ako aj zosúladenie Ukrajiny s cieľmi Európskej zelenej dohody a Dohody o čistom priemysle a chváli Ukrajinu za to, že napriek rozsiahlemu ničeniu ukrajinskej energetickej infraštruktúry Ruskom dosiahla značný pokrok pri realizácii svojho národného </w:t>
      </w:r>
      <w:r w:rsidRPr="00C24A6B">
        <w:t>energetického a klimatického plánu; zdôrazňuje, že zosúladenie s iniciatívami EÚ vrátane Európskej zelenej dohody a Dohody o čistom priemysle by malo zohľadňovať okamžité potreby Ukrajiny v oblasti obnovy, hospodársku konkurencieschopnosť a dlhodobú energetickú bezpečnosť;</w:t>
      </w:r>
    </w:p>
    <w:p w:rsidR="00E44D9F" w:rsidRPr="00C24A6B" w:rsidP="00E44D9F" w14:paraId="6F893818" w14:textId="0FFB76D5">
      <w:pPr>
        <w:pStyle w:val="NormalHanging12a"/>
        <w:rPr>
          <w:bCs/>
          <w:iCs/>
        </w:rPr>
      </w:pPr>
      <w:r>
        <w:t>103</w:t>
      </w:r>
      <w:r w:rsidRPr="00C24A6B">
        <w:t>.</w:t>
      </w:r>
      <w:r w:rsidRPr="00C24A6B">
        <w:tab/>
        <w:t>vyzýva EÚ a členské štáty, aby intenzívnejšie podporovali ukrajinský energetický systém, pričom zdôrazňuje, že väčšia odolnosť Ukrajiny priamo prispieva k širšej energetickej bezpečnosti Európy; zdôrazňuje, že nepretržitá a predvídateľná energetická podpora Ukrajiny je nevyhnutná na zabezpečenie civilnej odolnosti, hospodárskej stability a kontinuity poskytovania kritických služieb v čase prebiehajúcich útokov a pred nadchádzajúcou zimou; vyzýva Komisiu, aby označila obnovu odvetvia energetiky za prioritu a prešla od núdzovej pomoci ad hoc k dlhodobým mechanizmom obnovy, ochrany a modernizácie odvetvia energetiky;</w:t>
      </w:r>
    </w:p>
    <w:p w:rsidR="00E44D9F" w:rsidRPr="00C24A6B" w:rsidP="00E44D9F" w14:paraId="7E39E65A" w14:textId="3D0A7570">
      <w:pPr>
        <w:pStyle w:val="NormalHanging12a"/>
        <w:rPr>
          <w:bCs/>
          <w:iCs/>
        </w:rPr>
      </w:pPr>
      <w:r w:rsidRPr="00C24A6B">
        <w:t>10</w:t>
      </w:r>
      <w:r>
        <w:t>4</w:t>
      </w:r>
      <w:r w:rsidRPr="00C24A6B">
        <w:t>.</w:t>
      </w:r>
      <w:r w:rsidRPr="00C24A6B">
        <w:tab/>
        <w:t xml:space="preserve">zdôrazňuje, že Ukrajina má značný potenciál ako dodávateľ energie a energeticky náročných výrobkov do zvyšku Európy; vyzýva na urýchlenie integrácie Ukrajiny do trhu EÚ s energiou, čo by mal byť jeden z prvkov </w:t>
      </w:r>
      <w:r w:rsidRPr="00C24A6B">
        <w:t>prispievajúcich</w:t>
      </w:r>
      <w:r w:rsidRPr="00C24A6B">
        <w:t xml:space="preserve"> k bezpečnosti Únie, a to aj prostredníctvom regulačnej synchronizácie a investícií do obnoviteľných zdrojov energie; vyzýva k ďalšiemu rozvoju energetických prepojení so susednými členskými štátmi EÚ a regionálnymi partnermi, ako je Moldavská republika, s cieľom hlbšie integrovať Ukrajinu do energetického trhu EÚ; vyzýva Komisiu a členské štáty, aby zintenzívnili investície do rozširovania a modernizácie cezhraničných energetických prepojení s Ukrajinou a aby ďalej integrovali a harmonizovali prenosové sústavy ako kľúčový prípravný krok na integráciu Ukrajiny do vnútorného trhu EÚ s energiou;</w:t>
      </w:r>
    </w:p>
    <w:p w:rsidR="00E44D9F" w:rsidRPr="00C24A6B" w:rsidP="00E44D9F" w14:paraId="0E4711CB" w14:textId="55481C08">
      <w:pPr>
        <w:pStyle w:val="NormalHanging12a"/>
        <w:rPr>
          <w:bCs/>
          <w:iCs/>
        </w:rPr>
      </w:pPr>
      <w:r w:rsidRPr="00C24A6B">
        <w:t>10</w:t>
      </w:r>
      <w:r>
        <w:t>5</w:t>
      </w:r>
      <w:r w:rsidRPr="00C24A6B">
        <w:t>.</w:t>
      </w:r>
      <w:r w:rsidRPr="00C24A6B">
        <w:tab/>
        <w:t xml:space="preserve">poukazuje na strategický význam budúcej dohody o predaji dvoch jadrových reaktorov VVER-1000 z Bulharska na Ukrajinu ako na príklad prehlbovania spolupráce v oblasti energetiky a konštatuje, že to navyše prispeje k energetickej bezpečnosti Ukrajiny; zdôrazňuje, že tento projekt má potenciál posilniť regionálnu energetickú prepojenosť a integráciu ukrajinského energetického systému do energetického systému EÚ; vyzýva na ďalší rozvoj spoločných iniciatív v oblastiach, ako je energetická infraštruktúra vrátane elektrických prenosových vedení a uskladňovania energie, ako aj na zlepšenie </w:t>
      </w:r>
      <w:r w:rsidRPr="00C24A6B">
        <w:t>intermodálnych</w:t>
      </w:r>
      <w:r w:rsidRPr="00C24A6B">
        <w:t xml:space="preserve"> dopravných spojení s cieľom uľahčiť dodávateľské reťazce, logistiku a obchod medzi obidvoma krajinami a v širšom čiernomorskom regióne;</w:t>
      </w:r>
    </w:p>
    <w:p w:rsidR="00E44D9F" w:rsidRPr="00C24A6B" w:rsidP="00E44D9F" w14:paraId="57825F67" w14:textId="4A6850A6">
      <w:pPr>
        <w:pStyle w:val="NormalHanging12a"/>
        <w:rPr>
          <w:bCs/>
          <w:iCs/>
        </w:rPr>
      </w:pPr>
      <w:r w:rsidRPr="00C24A6B">
        <w:t>10</w:t>
      </w:r>
      <w:r>
        <w:t>6</w:t>
      </w:r>
      <w:r w:rsidRPr="00C24A6B">
        <w:t>.</w:t>
      </w:r>
      <w:r w:rsidRPr="00C24A6B">
        <w:tab/>
        <w:t xml:space="preserve">berie na vedomie žiadosti Ukrajiny o udelenie dočasnej výnimky z dôvodu vyššej moci pri zavedení mechanizmu uhlíkovej kompenzácie na hraniciach alebo súvisiacich opatrení, aby sa zohľadnil dopad útočnej vojny Ruska na schopnosť Ukrajiny znížiť uhlíkovú stopu svojich priemyselných odvetví; nabáda Komisiu, aby začala konzultácie s cieľom nájsť v tejto súvislosti vzájomne prijateľné dočasné riešenia; </w:t>
      </w:r>
    </w:p>
    <w:p w:rsidR="00E44D9F" w:rsidRPr="00C24A6B" w:rsidP="00E44D9F" w14:paraId="3F92D746" w14:textId="1EEABFCE">
      <w:pPr>
        <w:pStyle w:val="NormalHanging12a"/>
        <w:rPr>
          <w:bCs/>
          <w:iCs/>
        </w:rPr>
      </w:pPr>
      <w:r w:rsidRPr="00C24A6B">
        <w:t>10</w:t>
      </w:r>
      <w:r>
        <w:t>7</w:t>
      </w:r>
      <w:r w:rsidRPr="00C24A6B">
        <w:t>.</w:t>
      </w:r>
      <w:r w:rsidRPr="00C24A6B">
        <w:tab/>
        <w:t xml:space="preserve">naliehavo vyzýva Ukrajinu, aby využila obdobie rekonštrukcie na to, aby s pomocou technológií, ktoré budú podľa možnosti čo najšetrnejšie k životnému prostrediu a nákladovo čo najefektívnejšie, dosiahla obnovu k lepšiemu, investovala do obnoviteľných zdrojov energie a energetickej efektívnosti a minimalizovala vplyv na životné prostredie naprieč celým výrobným reťazcom; víta pokračujúcu angažovanosť Komisie v tejto oblasti s cieľom podporiť reformu ukrajinského odvetvia energetiky; vyzýva Komisiu a ukrajinské orgány, aby strategicky využívali finančné prostriedky v rámci Nástroja pre Ukrajinu s cieľom uprednostniť investície do obnoviteľných zdrojov energie; vyzýva na urýchlenie plnenia existujúcich záväzkov v rámci Plánu pre </w:t>
      </w:r>
      <w:r w:rsidRPr="00C24A6B">
        <w:t>Ukrajinu a balíkov Energetického spoločenstva vrátane rozdelenia regionálnych energetických distribučných spoločností;</w:t>
      </w:r>
    </w:p>
    <w:p w:rsidR="00E44D9F" w:rsidRPr="00C24A6B" w:rsidP="00E44D9F" w14:paraId="7F595EA2" w14:textId="2ECD10F6">
      <w:pPr>
        <w:pStyle w:val="NormalHanging12a"/>
        <w:rPr>
          <w:bCs/>
          <w:iCs/>
        </w:rPr>
      </w:pPr>
      <w:r w:rsidRPr="00C24A6B">
        <w:t>10</w:t>
      </w:r>
      <w:r>
        <w:t>8</w:t>
      </w:r>
      <w:r w:rsidRPr="00C24A6B">
        <w:t>.</w:t>
      </w:r>
      <w:r w:rsidRPr="00C24A6B">
        <w:tab/>
        <w:t xml:space="preserve">víta úsilie Ukrajiny zosúladiť svoju dopravnú politiku s </w:t>
      </w:r>
      <w:r w:rsidRPr="00C24A6B">
        <w:rPr>
          <w:i/>
        </w:rPr>
        <w:t>acquis</w:t>
      </w:r>
      <w:r w:rsidRPr="00C24A6B">
        <w:t xml:space="preserve"> EÚ a posilniť prepojenie s Úniou; zdôrazňuje význam vykonávania národnej dopravnej stratégie a stratégie rozvoja a rozširovania pohraničnej infraštruktúry s členskými štátmi EÚ a Moldavskom; vyzýva na urýchlenie udržateľnej modernizácie železničnej, cestnej, prístavnej infraštruktúry, ako aj infraštruktúry hraničných priechodov v súlade s prioritami TEN-T; vyzýva Ukrajinu, aby urýchlila reformu železníc vrátane zosúladenia s </w:t>
      </w:r>
      <w:r w:rsidRPr="00C24A6B">
        <w:rPr>
          <w:i/>
        </w:rPr>
        <w:t>acquis</w:t>
      </w:r>
      <w:r w:rsidRPr="00C24A6B">
        <w:t xml:space="preserve"> EÚ v oblasti bezpečnosti a </w:t>
      </w:r>
      <w:r w:rsidRPr="00C24A6B">
        <w:t>interoperability</w:t>
      </w:r>
      <w:r w:rsidRPr="00C24A6B">
        <w:t xml:space="preserve"> železníc;</w:t>
      </w:r>
    </w:p>
    <w:p w:rsidR="00E44D9F" w:rsidRPr="00C24A6B" w:rsidP="00E44D9F" w14:paraId="229074A0" w14:textId="0C108004">
      <w:pPr>
        <w:pStyle w:val="NormalHanging12a"/>
        <w:rPr>
          <w:bCs/>
          <w:iCs/>
        </w:rPr>
      </w:pPr>
      <w:r w:rsidRPr="00C24A6B">
        <w:t>10</w:t>
      </w:r>
      <w:r>
        <w:t>9</w:t>
      </w:r>
      <w:r w:rsidRPr="00C24A6B">
        <w:t>.</w:t>
      </w:r>
      <w:r w:rsidRPr="00C24A6B">
        <w:tab/>
        <w:t xml:space="preserve">zároveň zdôrazňuje, že dodržiavanie environmentálnych noriem pri realizácii projektov v oblasti energetiky a dopravy má zásadný význam pre pokrok v programe reforiem, ktorý je potrebný na ceste Ukrajiny k členstvu v EÚ; zdôrazňuje, že je dôležité, aby EÚ podporovala Ukrajinu pri obnove k lepšiemu na základe environmentálnej a sociálnej udržateľnosti; vyzýva EÚ a jej členské štáty, aby zintenzívnili finančnú a poradenskú podporu Ukrajine s cieľom urýchliť jej zosúladenie s </w:t>
      </w:r>
      <w:r w:rsidRPr="00C24A6B">
        <w:rPr>
          <w:i/>
        </w:rPr>
        <w:t>acquis</w:t>
      </w:r>
      <w:r w:rsidRPr="00C24A6B">
        <w:t xml:space="preserve"> EÚ v oblasti životného prostredia;</w:t>
      </w:r>
    </w:p>
    <w:p w:rsidR="00E44D9F" w:rsidRPr="00C24A6B" w:rsidP="00E44D9F" w14:paraId="1AD6D6B3" w14:textId="700BDA57">
      <w:pPr>
        <w:pStyle w:val="NormalHanging12a"/>
        <w:rPr>
          <w:bCs/>
          <w:iCs/>
        </w:rPr>
      </w:pPr>
      <w:r w:rsidRPr="00C24A6B">
        <w:t>1</w:t>
      </w:r>
      <w:r>
        <w:t>10</w:t>
      </w:r>
      <w:r w:rsidRPr="00C24A6B">
        <w:t>.</w:t>
      </w:r>
      <w:r w:rsidRPr="00C24A6B">
        <w:tab/>
        <w:t xml:space="preserve">zdôrazňuje, že Ukrajina naďalej čelí významným environmentálnym výzvam, ktoré sa ešte zhoršili v dôsledku prebiehajúcej vojny; konštatuje, že predlžovanie konfliktu má naďalej vážne negatívne dôsledky na životné prostredie vrátane znečistenia pôdy a vody, degradácie ekosystémov a zvýšeného tlaku na prírodné zdroje; vyjadruje obavy z následnej straty biodiverzity vrátane poškodenia lesných, stepných a </w:t>
      </w:r>
      <w:r w:rsidRPr="00C24A6B">
        <w:t>mokraďových</w:t>
      </w:r>
      <w:r w:rsidRPr="00C24A6B">
        <w:t xml:space="preserve"> ekosystémov; zdôrazňuje, že je dôležité, aby sa do úsilia o obnovu a rekonštrukciu začlenila aj ochrana životného prostredia a udržateľnosť; vyzýva na posilnenie environmentálnej správy, zlepšenie monitorovacích systémov a účinné vykonávanie postupov posudzovania vplyvov na životné prostredie a strategického environmentálneho hodnotenia v súlade s </w:t>
      </w:r>
      <w:r w:rsidRPr="00C24A6B">
        <w:rPr>
          <w:i/>
        </w:rPr>
        <w:t>acquis</w:t>
      </w:r>
      <w:r w:rsidRPr="00C24A6B">
        <w:t xml:space="preserve"> EÚ podľa kapitoly 27;</w:t>
      </w:r>
    </w:p>
    <w:p w:rsidR="00E44D9F" w:rsidRPr="00C24A6B" w:rsidP="00E44D9F" w14:paraId="3EF749D3" w14:textId="11C420FD">
      <w:pPr>
        <w:pStyle w:val="NormalHanging12a"/>
        <w:rPr>
          <w:bCs/>
          <w:iCs/>
        </w:rPr>
      </w:pPr>
      <w:r w:rsidRPr="00C24A6B">
        <w:t>1</w:t>
      </w:r>
      <w:r>
        <w:t>11</w:t>
      </w:r>
      <w:r w:rsidRPr="00C24A6B">
        <w:t>.</w:t>
      </w:r>
      <w:r w:rsidRPr="00C24A6B">
        <w:tab/>
        <w:t xml:space="preserve">vyjadruje znepokojenie nad výstavbou veterných turbín v chránených vysokohorských oblastiach Karpát na západe Ukrajiny, najmä nad plánovanou inštaláciou 30 turbín na hore </w:t>
      </w:r>
      <w:r w:rsidRPr="00C24A6B">
        <w:t>Runa</w:t>
      </w:r>
      <w:r w:rsidRPr="00C24A6B">
        <w:t>; zdôrazňuje, že veterná energia predstavuje bezpečnejšiu a udržateľnejšiu alternatívu k fosílnym palivám, a vyzýva Ukrajinu, aby využila svoj vysoký potenciál rozvoja veternej energie mimo chránených oblastí; zdôrazňuje, že výroba zelenej energie a ochrana prírody sa na Ukrajine nemusia navzájom vylučovať, pretože na Ukrajine už existujú iné oblasti určené na rozvoj energetickej infraštruktúry, bez jedinečných biotopov a pralesov a s už existujúcimi prístupovými cestami;</w:t>
      </w:r>
    </w:p>
    <w:p w:rsidR="00E44D9F" w:rsidRPr="00C24A6B" w:rsidP="00E44D9F" w14:paraId="2FD7F15B" w14:textId="2C32343F">
      <w:pPr>
        <w:pStyle w:val="NormalHanging12a"/>
        <w:rPr>
          <w:bCs/>
          <w:iCs/>
        </w:rPr>
      </w:pPr>
      <w:r w:rsidRPr="00C24A6B">
        <w:t>1</w:t>
      </w:r>
      <w:r>
        <w:t>12</w:t>
      </w:r>
      <w:r w:rsidRPr="00C24A6B">
        <w:t>.</w:t>
      </w:r>
      <w:r w:rsidRPr="00C24A6B">
        <w:tab/>
        <w:t>vyjadruje hlboké znepokojenie nad pretrvávajúcou situáciou v Záporožskej jadrovej elektrárni, ktorá zostáva pod nezákonnou ruskou kontrolou a naďalej predstavuje významné riziko pre jadrovú bezpečnosť a ochranu v dôsledku pokračujúcich vojenských aktivít v jej blízkosti; zdôrazňuje, že zapojenie Medzinárodnej agentúry pre atómovú energiu (MAAE), ktoré má zásadný význam pre zaistenie jadrovej bezpečnosti a ochrany, by malo mať naďalej výlučne technickú povahu; v tejto súvislosti zdôrazňuje, že takéto zapojenie by sa malo uskutočňovať pri plnom rešpektovaní zvrchovanosti a územnej celistvosti Ukrajiny a nemalo by sa chápať ako ovplyvňovanie štatútu zariadenia; pripomína, že je dôležité zabezpečiť bezpečnú prevádzku elektrárne v súlade s medzinárodnými normami jadrovej bezpečnosti a v rámci legitímnej právomoci Ukrajiny;</w:t>
      </w:r>
    </w:p>
    <w:p w:rsidR="00E44D9F" w:rsidRPr="00C24A6B" w:rsidP="00E44D9F" w14:paraId="0A52F166" w14:textId="1D0B206B">
      <w:pPr>
        <w:pStyle w:val="NormalHanging12a"/>
        <w:rPr>
          <w:bCs/>
          <w:iCs/>
        </w:rPr>
      </w:pPr>
      <w:r w:rsidRPr="00C24A6B">
        <w:t>1</w:t>
      </w:r>
      <w:r>
        <w:t>13</w:t>
      </w:r>
      <w:r w:rsidRPr="00C24A6B">
        <w:t>.</w:t>
      </w:r>
      <w:r w:rsidRPr="00C24A6B">
        <w:tab/>
        <w:t>pripomína, že v roku 2026 si pripomíname 40. výročie černobyľskej jadrovej katastrofy, ktorá je stále jednou z najzávažnejších jadrových havárií v histórii; dôrazne odsudzuje cielené útoky Ruska na černobyľskú jadrovú elektráreň a katastrofálne poškodenie jej ochranného plášťa, ktorý bol vybudovaný tak, aby zabránil šíreniu rádioaktívneho materiálu, a ktorý už nemôže plniť svoju hlavnú bezpečnostnú funkciu, čo predstavuje vážne riziká z hľadiska jadrovej bezpečnosti; konštatuje, že náklady na opravy sa odhadujú na 500 miliónov EUR;</w:t>
      </w:r>
    </w:p>
    <w:p w:rsidR="00E44D9F" w:rsidRPr="00C24A6B" w:rsidP="00E44D9F" w14:paraId="2B039885" w14:textId="77777777">
      <w:pPr>
        <w:pStyle w:val="NormalCenter12a"/>
      </w:pPr>
      <w:r w:rsidRPr="00C24A6B">
        <w:t>°</w:t>
      </w:r>
    </w:p>
    <w:p w:rsidR="00E44D9F" w:rsidRPr="00C24A6B" w:rsidP="00E44D9F" w14:paraId="43FEDE37" w14:textId="77777777">
      <w:pPr>
        <w:pStyle w:val="NormalCenter12a"/>
      </w:pPr>
      <w:r w:rsidRPr="00C24A6B">
        <w:t>°</w:t>
      </w:r>
      <w:r w:rsidRPr="00C24A6B">
        <w:tab/>
        <w:t>°</w:t>
      </w:r>
    </w:p>
    <w:p w:rsidR="00A132A8" w:rsidRPr="00C24A6B" w:rsidP="00A132A8" w14:paraId="239FAACA" w14:textId="4EE75FF1">
      <w:pPr>
        <w:pStyle w:val="NormalHanging12a"/>
      </w:pPr>
      <w:r w:rsidRPr="00C24A6B">
        <w:t>11</w:t>
      </w:r>
      <w:r>
        <w:t>4</w:t>
      </w:r>
      <w:r w:rsidRPr="00C24A6B" w:rsidR="00E44D9F">
        <w:t>.</w:t>
      </w:r>
      <w:r w:rsidRPr="00C24A6B" w:rsidR="00E44D9F">
        <w:tab/>
        <w:t>poveruje svoju predsedníčku, aby postúpila toto uznesenie Rade, Komisii, podpredsedníčke Komisie/vysokej predstaviteľke Únie pre zahraničné veci a bezpečnostnú politiku, vládam a parlamentom členských štátov a vláde a parlamentu Ukrajiny.</w:t>
      </w:r>
    </w:p>
    <w:p w:rsidR="00E365E1" w:rsidRPr="00C24A6B" w:rsidP="00A4730C" w14:paraId="0CF131A3" w14:textId="06DA0836"/>
    <w:sectPr w:rsidSect="00A132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32A8" w14:paraId="3332B39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32A8" w14:paraId="44AC9F0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32A8" w14:paraId="1A70A76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4730C" w:rsidRPr="00A132A8" w14:paraId="6DC3817B" w14:textId="77777777">
      <w:r w:rsidRPr="00A132A8">
        <w:separator/>
      </w:r>
    </w:p>
  </w:footnote>
  <w:footnote w:type="continuationSeparator" w:id="1">
    <w:p w:rsidR="00A4730C" w:rsidRPr="00A132A8" w14:paraId="634F1959" w14:textId="77777777">
      <w:r w:rsidRPr="00A132A8">
        <w:continuationSeparator/>
      </w:r>
    </w:p>
  </w:footnote>
  <w:footnote w:id="2">
    <w:p w:rsidR="00E44D9F" w:rsidRPr="00A132A8" w:rsidP="00A132A8" w14:paraId="0D359088" w14:textId="35760092">
      <w:pPr>
        <w:pStyle w:val="FootnoteText"/>
        <w:ind w:left="567" w:hanging="567"/>
        <w:rPr>
          <w:sz w:val="24"/>
          <w:lang w:val="sk-SK"/>
        </w:rPr>
      </w:pPr>
      <w:r w:rsidRPr="00A132A8">
        <w:rPr>
          <w:rStyle w:val="FootnoteReference"/>
          <w:sz w:val="24"/>
          <w:lang w:val="sk-SK"/>
        </w:rPr>
        <w:footnoteRef/>
      </w:r>
      <w:r w:rsidRPr="00A132A8" w:rsidR="00A132A8">
        <w:rPr>
          <w:sz w:val="24"/>
          <w:lang w:val="sk-SK"/>
        </w:rPr>
        <w:t xml:space="preserve"> </w:t>
      </w:r>
      <w:r w:rsidRPr="00A132A8" w:rsidR="00A132A8">
        <w:rPr>
          <w:sz w:val="24"/>
          <w:lang w:val="sk-SK"/>
        </w:rPr>
        <w:tab/>
      </w:r>
      <w:r w:rsidRPr="00A132A8">
        <w:rPr>
          <w:sz w:val="24"/>
          <w:lang w:val="sk-SK"/>
        </w:rPr>
        <w:t>Prijaté texty, P10_TA(2026)0077.</w:t>
      </w:r>
    </w:p>
  </w:footnote>
  <w:footnote w:id="3">
    <w:p w:rsidR="00E44D9F" w:rsidRPr="00A132A8" w:rsidP="00A132A8" w14:paraId="5AF66D33" w14:textId="32148931">
      <w:pPr>
        <w:pStyle w:val="FootnoteText"/>
        <w:ind w:left="567" w:hanging="567"/>
        <w:rPr>
          <w:sz w:val="24"/>
          <w:lang w:val="sk-SK"/>
        </w:rPr>
      </w:pPr>
      <w:r w:rsidRPr="00A132A8">
        <w:rPr>
          <w:rStyle w:val="FootnoteReference"/>
          <w:sz w:val="24"/>
          <w:lang w:val="sk-SK"/>
        </w:rPr>
        <w:footnoteRef/>
      </w:r>
      <w:r w:rsidRPr="00A132A8" w:rsidR="00A132A8">
        <w:rPr>
          <w:sz w:val="24"/>
          <w:lang w:val="sk-SK"/>
        </w:rPr>
        <w:t xml:space="preserve"> </w:t>
      </w:r>
      <w:r w:rsidRPr="00A132A8" w:rsidR="00A132A8">
        <w:rPr>
          <w:sz w:val="24"/>
          <w:lang w:val="sk-SK"/>
        </w:rPr>
        <w:tab/>
      </w:r>
      <w:r w:rsidRPr="00A132A8">
        <w:rPr>
          <w:sz w:val="24"/>
          <w:lang w:val="sk-SK"/>
        </w:rPr>
        <w:t>Prijaté texty, P10_TA(2026)0013.</w:t>
      </w:r>
    </w:p>
  </w:footnote>
  <w:footnote w:id="4">
    <w:p w:rsidR="00E44D9F" w:rsidRPr="00A132A8" w:rsidP="00A132A8" w14:paraId="3AC8156B" w14:textId="231CC238">
      <w:pPr>
        <w:pStyle w:val="FootnoteText"/>
        <w:ind w:left="567" w:hanging="567"/>
        <w:rPr>
          <w:sz w:val="24"/>
          <w:lang w:val="sk-SK"/>
        </w:rPr>
      </w:pPr>
      <w:r w:rsidRPr="00A132A8">
        <w:rPr>
          <w:rStyle w:val="FootnoteReference"/>
          <w:sz w:val="24"/>
          <w:lang w:val="sk-SK"/>
        </w:rPr>
        <w:footnoteRef/>
      </w:r>
      <w:r w:rsidRPr="00A132A8" w:rsidR="00A132A8">
        <w:rPr>
          <w:sz w:val="24"/>
          <w:lang w:val="sk-SK"/>
        </w:rPr>
        <w:t xml:space="preserve"> </w:t>
      </w:r>
      <w:r w:rsidRPr="00A132A8" w:rsidR="00A132A8">
        <w:rPr>
          <w:sz w:val="24"/>
          <w:lang w:val="sk-SK"/>
        </w:rPr>
        <w:tab/>
      </w:r>
      <w:r w:rsidRPr="00A132A8">
        <w:rPr>
          <w:sz w:val="24"/>
          <w:lang w:val="sk-SK"/>
        </w:rPr>
        <w:t>Prijaté texty, P10_TA(2026)0077.</w:t>
      </w:r>
    </w:p>
  </w:footnote>
  <w:footnote w:id="5">
    <w:p w:rsidR="00E44D9F" w:rsidRPr="00A132A8" w:rsidP="008E1DCA" w14:paraId="482A8A85" w14:textId="271967EC">
      <w:pPr>
        <w:ind w:left="567" w:hanging="567"/>
      </w:pPr>
      <w:r w:rsidRPr="00A132A8">
        <w:rPr>
          <w:rStyle w:val="FootnoteReference"/>
        </w:rPr>
        <w:footnoteRef/>
      </w:r>
      <w:r w:rsidRPr="00A132A8" w:rsidR="00A132A8">
        <w:t xml:space="preserve"> </w:t>
      </w:r>
      <w:r w:rsidRPr="00A132A8" w:rsidR="00A132A8">
        <w:tab/>
      </w:r>
      <w:r w:rsidRPr="00A132A8">
        <w:t xml:space="preserve">Dohoda o pridružení medzi Európskou úniou a jej členskými štátmi na jednej strane a Ukrajinou na strane druhej (ELI: </w:t>
      </w:r>
      <w:hyperlink r:id="rId1" w:history="1">
        <w:r w:rsidRPr="00A132A8">
          <w:rPr>
            <w:rStyle w:val="Hyperlink"/>
          </w:rPr>
          <w:t>http://data.europa.eu/eli/agree_internation/2014/295/oj</w:t>
        </w:r>
      </w:hyperlink>
      <w:r w:rsidRPr="00A132A8">
        <w:t>).</w:t>
      </w:r>
    </w:p>
  </w:footnote>
  <w:footnote w:id="6">
    <w:p w:rsidR="00E44D9F" w:rsidRPr="00A132A8" w:rsidP="00A132A8" w14:paraId="2310FB2B" w14:textId="7DF15F7E">
      <w:pPr>
        <w:pStyle w:val="FootnoteText"/>
        <w:ind w:left="567" w:hanging="567"/>
        <w:rPr>
          <w:sz w:val="24"/>
          <w:lang w:val="sk-SK"/>
        </w:rPr>
      </w:pPr>
      <w:r w:rsidRPr="00A132A8">
        <w:rPr>
          <w:rStyle w:val="FootnoteReference"/>
          <w:sz w:val="24"/>
          <w:lang w:val="sk-SK"/>
        </w:rPr>
        <w:footnoteRef/>
      </w:r>
      <w:r w:rsidRPr="00A132A8" w:rsidR="00A132A8">
        <w:rPr>
          <w:sz w:val="24"/>
          <w:lang w:val="sk-SK"/>
        </w:rPr>
        <w:t xml:space="preserve"> </w:t>
      </w:r>
      <w:r w:rsidRPr="00A132A8" w:rsidR="00A132A8">
        <w:rPr>
          <w:sz w:val="24"/>
          <w:lang w:val="sk-SK"/>
        </w:rPr>
        <w:tab/>
      </w:r>
      <w:r w:rsidRPr="00A132A8">
        <w:rPr>
          <w:sz w:val="24"/>
          <w:lang w:val="sk-SK"/>
        </w:rPr>
        <w:t xml:space="preserve">Nariadenie Európskeho parlamentu a Rady (EÚ) 2022/2065 z 19. októbra 2022 o jednotnom trhu s digitálnymi službami a o zmene smernice 2000/31/ES (akt o digitálnych službách) (Ú. v. EÚ L 277, 27.10.2022, s. 1, </w:t>
      </w:r>
      <w:hyperlink r:id="rId2" w:history="1">
        <w:r w:rsidRPr="00A132A8">
          <w:rPr>
            <w:rStyle w:val="Hyperlink"/>
            <w:sz w:val="24"/>
            <w:lang w:val="sk-SK"/>
          </w:rPr>
          <w:t>http://data.europa.eu/eli/reg/2022/2065/oj</w:t>
        </w:r>
      </w:hyperlink>
      <w:r w:rsidRPr="00A132A8">
        <w:rPr>
          <w:sz w:val="24"/>
          <w:lang w:val="sk-SK"/>
        </w:rPr>
        <w:t>).</w:t>
      </w:r>
    </w:p>
  </w:footnote>
  <w:footnote w:id="7">
    <w:p w:rsidR="00E44D9F" w:rsidRPr="00A132A8" w:rsidP="00A132A8" w14:paraId="5D8054D8" w14:textId="28EA6FF3">
      <w:pPr>
        <w:pStyle w:val="FootnoteText"/>
        <w:ind w:left="567" w:hanging="567"/>
        <w:rPr>
          <w:sz w:val="24"/>
          <w:lang w:val="sk-SK"/>
        </w:rPr>
      </w:pPr>
      <w:r w:rsidRPr="00A132A8">
        <w:rPr>
          <w:rStyle w:val="FootnoteReference"/>
          <w:sz w:val="24"/>
          <w:lang w:val="sk-SK"/>
        </w:rPr>
        <w:footnoteRef/>
      </w:r>
      <w:r w:rsidRPr="00A132A8" w:rsidR="00A132A8">
        <w:rPr>
          <w:sz w:val="24"/>
          <w:lang w:val="sk-SK"/>
        </w:rPr>
        <w:t xml:space="preserve"> </w:t>
      </w:r>
      <w:r w:rsidRPr="00A132A8" w:rsidR="00A132A8">
        <w:rPr>
          <w:sz w:val="24"/>
          <w:lang w:val="sk-SK"/>
        </w:rPr>
        <w:tab/>
      </w:r>
      <w:r w:rsidRPr="00A132A8">
        <w:rPr>
          <w:sz w:val="24"/>
          <w:lang w:val="sk-SK"/>
        </w:rPr>
        <w:t>Návrh Komisie zo 14. januára 2026 na nariadenie Európskeho parlamentu a Rady, ktorým sa vykonáva posilnená spolupráca na účely zriadenia úveru na podporu Ukrajiny na roky 2026 a 2027 (COM(2026)0020).</w:t>
      </w:r>
    </w:p>
  </w:footnote>
  <w:footnote w:id="8">
    <w:p w:rsidR="00E44D9F" w:rsidRPr="00A132A8" w:rsidP="00A132A8" w14:paraId="1F43D377" w14:textId="14B48F52">
      <w:pPr>
        <w:pStyle w:val="FootnoteText"/>
        <w:ind w:left="567" w:hanging="567"/>
        <w:rPr>
          <w:sz w:val="24"/>
          <w:lang w:val="sk-SK"/>
        </w:rPr>
      </w:pPr>
      <w:r w:rsidRPr="00A132A8">
        <w:rPr>
          <w:rStyle w:val="FootnoteReference"/>
          <w:sz w:val="24"/>
          <w:lang w:val="sk-SK"/>
        </w:rPr>
        <w:footnoteRef/>
      </w:r>
      <w:r w:rsidRPr="00A132A8" w:rsidR="00A132A8">
        <w:rPr>
          <w:sz w:val="24"/>
          <w:lang w:val="sk-SK"/>
        </w:rPr>
        <w:t xml:space="preserve"> </w:t>
      </w:r>
      <w:r w:rsidRPr="00A132A8" w:rsidR="00A132A8">
        <w:rPr>
          <w:sz w:val="24"/>
          <w:lang w:val="sk-SK"/>
        </w:rPr>
        <w:tab/>
      </w:r>
      <w:r w:rsidRPr="00A132A8">
        <w:rPr>
          <w:sz w:val="24"/>
          <w:lang w:val="sk-SK"/>
        </w:rPr>
        <w:t>Návrh Komisie z 3. decembra 2025 na nariadenie Európskeho parlamentu a Rady, ktorým sa zriaďuje reparačný úver pre Ukrajinu a ktorým sa mení nariadenie Európskeho parlamentu a Rady (EÚ) 2024/792 z 29. februára 2024, ktorým sa zriaďuje Nástroj pre Ukrajinu (COM(2025)3502).</w:t>
      </w:r>
    </w:p>
  </w:footnote>
  <w:footnote w:id="9">
    <w:p w:rsidR="00E44D9F" w:rsidRPr="00A132A8" w:rsidP="00A132A8" w14:paraId="08142C6A" w14:textId="29416260">
      <w:pPr>
        <w:pStyle w:val="FootnoteText"/>
        <w:ind w:left="567" w:hanging="567"/>
        <w:rPr>
          <w:sz w:val="24"/>
          <w:lang w:val="sk-SK"/>
        </w:rPr>
      </w:pPr>
      <w:r w:rsidRPr="00A132A8">
        <w:rPr>
          <w:rStyle w:val="FootnoteReference"/>
          <w:sz w:val="24"/>
          <w:lang w:val="sk-SK"/>
        </w:rPr>
        <w:footnoteRef/>
      </w:r>
      <w:r w:rsidRPr="00A132A8" w:rsidR="00A132A8">
        <w:rPr>
          <w:sz w:val="24"/>
          <w:lang w:val="sk-SK"/>
        </w:rPr>
        <w:t xml:space="preserve"> </w:t>
      </w:r>
      <w:r w:rsidRPr="00A132A8" w:rsidR="00A132A8">
        <w:rPr>
          <w:sz w:val="24"/>
          <w:lang w:val="sk-SK"/>
        </w:rPr>
        <w:tab/>
      </w:r>
      <w:r w:rsidRPr="00A132A8">
        <w:rPr>
          <w:sz w:val="24"/>
          <w:lang w:val="sk-SK"/>
        </w:rPr>
        <w:t xml:space="preserve">Smernica Rady 2001/55/ES z 20. júla 2001 o minimálnych štandardoch na poskytovanie dočasnej ochrany v prípade hromadného prílevu vysídlených osôb a o opatreniach na podporu rovnováhy úsilia medzi členskými štátmi pri prijímaní takýchto osôb a znášaní z toho vyplývajúcich dôsledkov (Ú. v. ES L 212, 7.8.2001, s. 12, ELI:. </w:t>
      </w:r>
      <w:hyperlink r:id="rId3" w:history="1">
        <w:r w:rsidRPr="00A132A8">
          <w:rPr>
            <w:rStyle w:val="Hyperlink"/>
            <w:sz w:val="24"/>
            <w:lang w:val="sk-SK"/>
          </w:rPr>
          <w:t>http://data.europa.eu/eli/dir/2001/55/oj</w:t>
        </w:r>
      </w:hyperlink>
      <w:r w:rsidRPr="00A132A8">
        <w:rPr>
          <w:sz w:val="24"/>
          <w:lang w:val="sk-SK"/>
        </w:rPr>
        <w:t>).</w:t>
      </w:r>
    </w:p>
  </w:footnote>
  <w:footnote w:id="10">
    <w:p w:rsidR="00BD7972" w:rsidRPr="00A132A8" w:rsidP="00A132A8" w14:paraId="1AC14D21" w14:textId="630D5DB5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A132A8">
        <w:rPr>
          <w:sz w:val="24"/>
          <w:vertAlign w:val="superscript"/>
          <w:lang w:val="sk-SK"/>
        </w:rPr>
        <w:t xml:space="preserve"> </w:t>
      </w:r>
      <w:r w:rsidRPr="00A132A8">
        <w:rPr>
          <w:sz w:val="24"/>
          <w:vertAlign w:val="superscript"/>
          <w:lang w:val="sk-SK"/>
        </w:rPr>
        <w:tab/>
      </w:r>
      <w:r w:rsidRPr="00A132A8">
        <w:rPr>
          <w:sz w:val="24"/>
          <w:lang w:val="sk-SK"/>
        </w:rPr>
        <w:t xml:space="preserve">Nariadenie Európskeho parlamentu a Rady (EÚ) č. 260/2012 zo 14. marca 2012, ktorým sa ustanovujú technické a obchodné požiadavky na úhrady a inkasá v eurách a ktorým sa mení a dopĺňa nariadenie (ES) č. 924/2009 (Ú. v. EÚ L 94, 30.3.2012, s. 22, ELI: </w:t>
      </w:r>
      <w:hyperlink r:id="rId4" w:tgtFrame="http://data.europa.eu/eli/reg/2012/260/oj" w:history="1">
        <w:r w:rsidRPr="00A132A8">
          <w:rPr>
            <w:rStyle w:val="Hyperlink"/>
            <w:sz w:val="24"/>
            <w:lang w:val="sk-SK"/>
          </w:rPr>
          <w:t>http://data.europa.eu/eli/reg/2012/260/oj</w:t>
        </w:r>
      </w:hyperlink>
      <w:r w:rsidRPr="00A132A8">
        <w:rPr>
          <w:sz w:val="24"/>
          <w:lang w:val="sk-SK"/>
        </w:rPr>
        <w:t>).</w:t>
      </w:r>
    </w:p>
  </w:footnote>
  <w:footnote w:id="11">
    <w:p w:rsidR="00BD7972" w:rsidRPr="00A132A8" w:rsidP="00A132A8" w14:paraId="3CDB1E95" w14:textId="2E6BEC45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A132A8">
        <w:rPr>
          <w:sz w:val="24"/>
          <w:vertAlign w:val="superscript"/>
          <w:lang w:val="sk-SK"/>
        </w:rPr>
        <w:t xml:space="preserve"> </w:t>
      </w:r>
      <w:r w:rsidRPr="00A132A8">
        <w:rPr>
          <w:sz w:val="24"/>
          <w:vertAlign w:val="superscript"/>
          <w:lang w:val="sk-SK"/>
        </w:rPr>
        <w:tab/>
      </w:r>
      <w:r w:rsidRPr="00A132A8">
        <w:rPr>
          <w:sz w:val="24"/>
          <w:lang w:val="sk-SK"/>
        </w:rPr>
        <w:t xml:space="preserve">Nariadenie Európskeho parlamentu a Rady (EÚ) 2024/792 z 29. februára 2024, ktorým sa zriaďuje Nástroj pre Ukrajinu (Ú. v. EÚ L, 2024/792, 29.2.2024, ELI: </w:t>
      </w:r>
      <w:hyperlink r:id="rId5" w:tgtFrame="http://data.europa.eu/eli/reg/2024/792/oj" w:history="1">
        <w:r w:rsidRPr="00A132A8">
          <w:rPr>
            <w:rStyle w:val="Hyperlink"/>
            <w:sz w:val="24"/>
            <w:lang w:val="sk-SK"/>
          </w:rPr>
          <w:t>http://data.europa.eu/eli/reg/2024/792/oj</w:t>
        </w:r>
      </w:hyperlink>
      <w:r w:rsidRPr="00A132A8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32A8" w14:paraId="7E156DB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32A8" w14:paraId="74D1A17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32A8" w14:paraId="5284321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4486711">
    <w:abstractNumId w:val="9"/>
  </w:num>
  <w:num w:numId="2" w16cid:durableId="853542726">
    <w:abstractNumId w:val="9"/>
  </w:num>
  <w:num w:numId="3" w16cid:durableId="1654681866">
    <w:abstractNumId w:val="7"/>
  </w:num>
  <w:num w:numId="4" w16cid:durableId="422726146">
    <w:abstractNumId w:val="7"/>
  </w:num>
  <w:num w:numId="5" w16cid:durableId="76486970">
    <w:abstractNumId w:val="6"/>
  </w:num>
  <w:num w:numId="6" w16cid:durableId="1402800114">
    <w:abstractNumId w:val="6"/>
  </w:num>
  <w:num w:numId="7" w16cid:durableId="1160774130">
    <w:abstractNumId w:val="5"/>
  </w:num>
  <w:num w:numId="8" w16cid:durableId="321978782">
    <w:abstractNumId w:val="5"/>
  </w:num>
  <w:num w:numId="9" w16cid:durableId="1063017966">
    <w:abstractNumId w:val="4"/>
  </w:num>
  <w:num w:numId="10" w16cid:durableId="2036422280">
    <w:abstractNumId w:val="4"/>
  </w:num>
  <w:num w:numId="11" w16cid:durableId="30809249">
    <w:abstractNumId w:val="8"/>
  </w:num>
  <w:num w:numId="12" w16cid:durableId="1099567437">
    <w:abstractNumId w:val="8"/>
  </w:num>
  <w:num w:numId="13" w16cid:durableId="140123798">
    <w:abstractNumId w:val="3"/>
  </w:num>
  <w:num w:numId="14" w16cid:durableId="118257760">
    <w:abstractNumId w:val="3"/>
  </w:num>
  <w:num w:numId="15" w16cid:durableId="371350829">
    <w:abstractNumId w:val="2"/>
  </w:num>
  <w:num w:numId="16" w16cid:durableId="17321046">
    <w:abstractNumId w:val="2"/>
  </w:num>
  <w:num w:numId="17" w16cid:durableId="307705194">
    <w:abstractNumId w:val="1"/>
  </w:num>
  <w:num w:numId="18" w16cid:durableId="240260969">
    <w:abstractNumId w:val="1"/>
  </w:num>
  <w:num w:numId="19" w16cid:durableId="1435436577">
    <w:abstractNumId w:val="0"/>
  </w:num>
  <w:num w:numId="20" w16cid:durableId="2121608416">
    <w:abstractNumId w:val="0"/>
  </w:num>
  <w:num w:numId="21" w16cid:durableId="599263314">
    <w:abstractNumId w:val="9"/>
  </w:num>
  <w:num w:numId="22" w16cid:durableId="150684947">
    <w:abstractNumId w:val="7"/>
  </w:num>
  <w:num w:numId="23" w16cid:durableId="1692761159">
    <w:abstractNumId w:val="6"/>
  </w:num>
  <w:num w:numId="24" w16cid:durableId="368534856">
    <w:abstractNumId w:val="5"/>
  </w:num>
  <w:num w:numId="25" w16cid:durableId="1219628346">
    <w:abstractNumId w:val="4"/>
  </w:num>
  <w:num w:numId="26" w16cid:durableId="940383137">
    <w:abstractNumId w:val="8"/>
  </w:num>
  <w:num w:numId="27" w16cid:durableId="929508358">
    <w:abstractNumId w:val="3"/>
  </w:num>
  <w:num w:numId="28" w16cid:durableId="1288469892">
    <w:abstractNumId w:val="2"/>
  </w:num>
  <w:num w:numId="29" w16cid:durableId="1599364516">
    <w:abstractNumId w:val="1"/>
  </w:num>
  <w:num w:numId="30" w16cid:durableId="1546677083">
    <w:abstractNumId w:val="0"/>
  </w:num>
  <w:num w:numId="31" w16cid:durableId="1300920239">
    <w:abstractNumId w:val="9"/>
  </w:num>
  <w:num w:numId="32" w16cid:durableId="1956448107">
    <w:abstractNumId w:val="7"/>
  </w:num>
  <w:num w:numId="33" w16cid:durableId="1968536704">
    <w:abstractNumId w:val="6"/>
  </w:num>
  <w:num w:numId="34" w16cid:durableId="1792626844">
    <w:abstractNumId w:val="5"/>
  </w:num>
  <w:num w:numId="35" w16cid:durableId="1759250518">
    <w:abstractNumId w:val="4"/>
  </w:num>
  <w:num w:numId="36" w16cid:durableId="1934631216">
    <w:abstractNumId w:val="8"/>
  </w:num>
  <w:num w:numId="37" w16cid:durableId="1248922631">
    <w:abstractNumId w:val="3"/>
  </w:num>
  <w:num w:numId="38" w16cid:durableId="1752115776">
    <w:abstractNumId w:val="2"/>
  </w:num>
  <w:num w:numId="39" w16cid:durableId="312178696">
    <w:abstractNumId w:val="1"/>
  </w:num>
  <w:num w:numId="40" w16cid:durableId="1544054230">
    <w:abstractNumId w:val="0"/>
  </w:num>
  <w:num w:numId="41" w16cid:durableId="863830912">
    <w:abstractNumId w:val="10"/>
  </w:num>
  <w:num w:numId="42" w16cid:durableId="1842811182">
    <w:abstractNumId w:val="10"/>
  </w:num>
  <w:num w:numId="43" w16cid:durableId="733970008">
    <w:abstractNumId w:val="10"/>
  </w:num>
  <w:num w:numId="44" w16cid:durableId="3650581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0C"/>
    <w:rsid w:val="00002272"/>
    <w:rsid w:val="0004233A"/>
    <w:rsid w:val="00064002"/>
    <w:rsid w:val="000677B9"/>
    <w:rsid w:val="000831BA"/>
    <w:rsid w:val="0008524A"/>
    <w:rsid w:val="000A42CC"/>
    <w:rsid w:val="000E7DD9"/>
    <w:rsid w:val="0010095E"/>
    <w:rsid w:val="00125B37"/>
    <w:rsid w:val="00187494"/>
    <w:rsid w:val="001F32AE"/>
    <w:rsid w:val="002767FF"/>
    <w:rsid w:val="002A3E01"/>
    <w:rsid w:val="002B18FE"/>
    <w:rsid w:val="002B5493"/>
    <w:rsid w:val="0030006D"/>
    <w:rsid w:val="00343214"/>
    <w:rsid w:val="00354F91"/>
    <w:rsid w:val="00361C00"/>
    <w:rsid w:val="00362E96"/>
    <w:rsid w:val="00395C9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1DDF"/>
    <w:rsid w:val="006631B6"/>
    <w:rsid w:val="00680577"/>
    <w:rsid w:val="006C5095"/>
    <w:rsid w:val="006F74FA"/>
    <w:rsid w:val="007301ED"/>
    <w:rsid w:val="00731ADD"/>
    <w:rsid w:val="00734777"/>
    <w:rsid w:val="00747932"/>
    <w:rsid w:val="00751A4A"/>
    <w:rsid w:val="00756632"/>
    <w:rsid w:val="00762C74"/>
    <w:rsid w:val="00771DB1"/>
    <w:rsid w:val="00786EC0"/>
    <w:rsid w:val="00792F81"/>
    <w:rsid w:val="007D1690"/>
    <w:rsid w:val="007E22AD"/>
    <w:rsid w:val="00817416"/>
    <w:rsid w:val="00840A5B"/>
    <w:rsid w:val="00842779"/>
    <w:rsid w:val="008614CD"/>
    <w:rsid w:val="00865F67"/>
    <w:rsid w:val="00881A7B"/>
    <w:rsid w:val="008840E5"/>
    <w:rsid w:val="00887B3E"/>
    <w:rsid w:val="008C2AC6"/>
    <w:rsid w:val="008E1DCA"/>
    <w:rsid w:val="00923B65"/>
    <w:rsid w:val="00930C23"/>
    <w:rsid w:val="0093193B"/>
    <w:rsid w:val="009509D8"/>
    <w:rsid w:val="00950B64"/>
    <w:rsid w:val="0096109A"/>
    <w:rsid w:val="00981893"/>
    <w:rsid w:val="009C71DE"/>
    <w:rsid w:val="00A132A8"/>
    <w:rsid w:val="00A1687D"/>
    <w:rsid w:val="00A36D7F"/>
    <w:rsid w:val="00A43E52"/>
    <w:rsid w:val="00A4678D"/>
    <w:rsid w:val="00A4730C"/>
    <w:rsid w:val="00A778C7"/>
    <w:rsid w:val="00AB441E"/>
    <w:rsid w:val="00AB6293"/>
    <w:rsid w:val="00AE0928"/>
    <w:rsid w:val="00AF3B82"/>
    <w:rsid w:val="00B12E95"/>
    <w:rsid w:val="00B14AE0"/>
    <w:rsid w:val="00B22876"/>
    <w:rsid w:val="00B4100F"/>
    <w:rsid w:val="00B558F0"/>
    <w:rsid w:val="00B84BE0"/>
    <w:rsid w:val="00BD44B3"/>
    <w:rsid w:val="00BD48FE"/>
    <w:rsid w:val="00BD7972"/>
    <w:rsid w:val="00BD7BD8"/>
    <w:rsid w:val="00BE6ADC"/>
    <w:rsid w:val="00C05BFE"/>
    <w:rsid w:val="00C23CD4"/>
    <w:rsid w:val="00C24A6B"/>
    <w:rsid w:val="00C61C0C"/>
    <w:rsid w:val="00C706A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D9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23B"/>
    <w:rsid w:val="00FB4360"/>
    <w:rsid w:val="00FD0C70"/>
  </w:rsids>
  <w:docVars>
    <w:docVar w:name="dvdocse" w:val="A10-0172/2026"/>
    <w:docVar w:name="dvlangue" w:val="SK"/>
    <w:docVar w:name="dvnumam" w:val="0"/>
    <w:docVar w:name="dvpe" w:val="784.266"/>
    <w:docVar w:name="dvrapporteur" w:val="Spravodajca: "/>
    <w:docVar w:name="dvtitre" w:val="Uznesenie Európskeho parlamentu z/zo xx. xxx 2026 o správe Komisie o Ukrajine za rok 2025(2025/2259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02BA3CE"/>
  <w15:chartTrackingRefBased/>
  <w15:docId w15:val="{CDBCE489-B638-4E26-88A2-F1870E39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44D9F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E44D9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44D9F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44D9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44D9F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44D9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4D9F"/>
    <w:pPr>
      <w:widowControl/>
      <w:spacing w:before="100" w:beforeAutospacing="1" w:after="100" w:afterAutospacing="1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rsid w:val="00E44D9F"/>
    <w:rPr>
      <w:sz w:val="24"/>
      <w:szCs w:val="24"/>
      <w:lang w:val="sk-SK" w:eastAsia="en-US"/>
    </w:rPr>
  </w:style>
  <w:style w:type="paragraph" w:styleId="Revision">
    <w:name w:val="Revision"/>
    <w:hidden/>
    <w:uiPriority w:val="99"/>
    <w:semiHidden/>
    <w:rsid w:val="00BD7972"/>
    <w:rPr>
      <w:sz w:val="24"/>
      <w:lang w:val="sk-SK"/>
    </w:rPr>
  </w:style>
  <w:style w:type="character" w:styleId="CommentReference">
    <w:name w:val="annotation reference"/>
    <w:basedOn w:val="DefaultParagraphFont"/>
    <w:rsid w:val="00B14A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4A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4AE0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B14A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4AE0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4/295/oj" TargetMode="External" /><Relationship Id="rId2" Type="http://schemas.openxmlformats.org/officeDocument/2006/relationships/hyperlink" Target="http://data.europa.eu/eli/reg/2022/2065/oj" TargetMode="External" /><Relationship Id="rId3" Type="http://schemas.openxmlformats.org/officeDocument/2006/relationships/hyperlink" Target="http://data.europa.eu/eli/dir/2001/55/oj" TargetMode="External" /><Relationship Id="rId4" Type="http://schemas.openxmlformats.org/officeDocument/2006/relationships/hyperlink" Target="http://data.europa.eu/eli/reg/2012/260/oj" TargetMode="External" /><Relationship Id="rId5" Type="http://schemas.openxmlformats.org/officeDocument/2006/relationships/hyperlink" Target="http://data.europa.eu/eli/reg/2024/79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11558</Words>
  <Characters>73508</Characters>
  <Application>Microsoft Office Word</Application>
  <DocSecurity>0</DocSecurity>
  <Lines>612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2026-09-04T07:46:00Z</dcterms:created>
  <dcterms:modified xsi:type="dcterms:W3CDTF">2026-09-04T07:46:00Z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A10-0172/2026</vt:lpwstr>
  </property>
  <property fmtid="{D5CDD505-2E9C-101B-9397-08002B2CF9AE}" pid="4" name="&lt;Type&gt;">
    <vt:lpwstr>RR</vt:lpwstr>
  </property>
</Properties>
</file>