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93AFF34" w14:textId="77777777" w:rsidTr="0010095E">
        <w:tblPrEx>
          <w:tblW w:w="9072" w:type="dxa"/>
          <w:tblLook w:val="01E0"/>
        </w:tblPrEx>
        <w:trPr>
          <w:trHeight w:hRule="exact" w:val="1418"/>
        </w:trPr>
        <w:tc>
          <w:tcPr>
            <w:tcW w:w="6804" w:type="dxa"/>
            <w:shd w:val="clear" w:color="auto" w:fill="auto"/>
            <w:vAlign w:val="center"/>
          </w:tcPr>
          <w:p w:rsidR="00751A4A" w:rsidRPr="001E7DAF" w:rsidP="0010095E" w14:paraId="59164871" w14:textId="511591B3">
            <w:pPr>
              <w:pStyle w:val="EPName"/>
            </w:pPr>
            <w:r w:rsidRPr="001E7DAF">
              <w:t>Европейски</w:t>
            </w:r>
            <w:r w:rsidRPr="001E7DAF" w:rsidR="001153E1">
              <w:t xml:space="preserve"> парламент</w:t>
            </w:r>
          </w:p>
          <w:p w:rsidR="00751A4A" w:rsidRPr="001E7DAF" w:rsidP="005F1B17" w14:paraId="46E5F995" w14:textId="7146CA71">
            <w:pPr>
              <w:pStyle w:val="EPTerm"/>
              <w:rPr>
                <w:rStyle w:val="HideTWBExt"/>
                <w:noProof w:val="0"/>
                <w:vanish w:val="0"/>
                <w:color w:val="auto"/>
              </w:rPr>
            </w:pPr>
            <w:r w:rsidRPr="001E7DAF">
              <w:t>2024</w:t>
            </w:r>
            <w:r w:rsidR="00EE3EE6">
              <w:t> – </w:t>
            </w:r>
            <w:r w:rsidRPr="001E7DAF" w:rsidR="00817416">
              <w:t>202</w:t>
            </w:r>
            <w:r w:rsidRPr="001E7DAF">
              <w:t>9</w:t>
            </w:r>
          </w:p>
        </w:tc>
        <w:tc>
          <w:tcPr>
            <w:tcW w:w="2268" w:type="dxa"/>
            <w:shd w:val="clear" w:color="auto" w:fill="auto"/>
          </w:tcPr>
          <w:p w:rsidR="00751A4A" w:rsidRPr="001E7DAF" w:rsidP="0010095E" w14:paraId="7FA49D7F" w14:textId="77777777">
            <w:pPr>
              <w:pStyle w:val="EPLogo"/>
            </w:pPr>
            <w:r w:rsidRPr="001E7DA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E7DAF" w:rsidP="004C5D52" w14:paraId="175D67A7" w14:textId="77777777">
      <w:pPr>
        <w:pStyle w:val="LineTop"/>
      </w:pPr>
    </w:p>
    <w:p w:rsidR="00680577" w:rsidRPr="001E7DAF" w:rsidP="00680577" w14:paraId="755E2B82" w14:textId="44A0D4AC">
      <w:pPr>
        <w:pStyle w:val="EPBodyTA1"/>
      </w:pPr>
      <w:r w:rsidRPr="001E7DAF">
        <w:t>ПРИЕТИ ТЕКСТОВЕ</w:t>
      </w:r>
    </w:p>
    <w:p w:rsidR="00D058B8" w:rsidRPr="001E7DAF" w:rsidP="00D058B8" w14:paraId="38B8231F" w14:textId="77777777">
      <w:pPr>
        <w:pStyle w:val="LineBottom"/>
      </w:pPr>
    </w:p>
    <w:p w:rsidR="001153E1" w:rsidRPr="001E7DAF" w:rsidP="001153E1" w14:paraId="7D665580" w14:textId="6966268B">
      <w:pPr>
        <w:pStyle w:val="ATHeading1"/>
      </w:pPr>
      <w:bookmarkStart w:id="0" w:name="TANumber"/>
      <w:r w:rsidRPr="001E7DAF">
        <w:t>P10_TA(2026)0</w:t>
      </w:r>
      <w:r w:rsidR="007A2F99">
        <w:t>260</w:t>
      </w:r>
      <w:bookmarkEnd w:id="0"/>
    </w:p>
    <w:p w:rsidR="001153E1" w:rsidRPr="001E7DAF" w:rsidP="001153E1" w14:paraId="25A9125F" w14:textId="77777777">
      <w:pPr>
        <w:pStyle w:val="ATHeading2"/>
      </w:pPr>
      <w:bookmarkStart w:id="1" w:name="title"/>
      <w:r w:rsidRPr="001E7DAF">
        <w:t>Доклад на Комисията относно Молдова за 2025 г.</w:t>
      </w:r>
      <w:bookmarkEnd w:id="1"/>
    </w:p>
    <w:p w:rsidR="001153E1" w:rsidRPr="001E7DAF" w:rsidP="001153E1" w14:paraId="0DCB12EF" w14:textId="77777777">
      <w:pPr>
        <w:rPr>
          <w:i/>
          <w:vanish/>
        </w:rPr>
      </w:pPr>
      <w:r>
        <w:rPr>
          <w:i/>
        </w:rPr>
        <w:fldChar w:fldCharType="begin"/>
      </w:r>
      <w:r w:rsidRPr="001E7DAF">
        <w:rPr>
          <w:i/>
        </w:rPr>
        <w:instrText xml:space="preserve"> TC"(</w:instrText>
      </w:r>
      <w:bookmarkStart w:id="2" w:name="DocNumber"/>
      <w:r w:rsidRPr="001E7DAF">
        <w:rPr>
          <w:i/>
        </w:rPr>
        <w:instrText>A10-0164/2026</w:instrText>
      </w:r>
      <w:bookmarkEnd w:id="2"/>
      <w:r w:rsidRPr="001E7DAF">
        <w:rPr>
          <w:i/>
        </w:rPr>
        <w:instrText xml:space="preserve"> - Докладчик: Свен Миксер)"\l3 \n&gt; \* MERGEFORMAT </w:instrText>
      </w:r>
      <w:r>
        <w:rPr>
          <w:i/>
        </w:rPr>
        <w:fldChar w:fldCharType="end"/>
      </w:r>
    </w:p>
    <w:p w:rsidR="001153E1" w:rsidRPr="001E7DAF" w:rsidP="001153E1" w14:paraId="3EF9F8C5" w14:textId="77777777">
      <w:pPr>
        <w:rPr>
          <w:vanish/>
        </w:rPr>
      </w:pPr>
      <w:bookmarkStart w:id="3" w:name="Commission"/>
      <w:r w:rsidRPr="001E7DAF">
        <w:rPr>
          <w:vanish/>
        </w:rPr>
        <w:t>Комисия по външни работи</w:t>
      </w:r>
      <w:bookmarkEnd w:id="3"/>
    </w:p>
    <w:p w:rsidR="001153E1" w:rsidRPr="001E7DAF" w:rsidP="001153E1" w14:paraId="33A0B2AA" w14:textId="77777777">
      <w:pPr>
        <w:rPr>
          <w:vanish/>
        </w:rPr>
      </w:pPr>
      <w:bookmarkStart w:id="4" w:name="PE"/>
      <w:r w:rsidRPr="001E7DAF">
        <w:rPr>
          <w:vanish/>
        </w:rPr>
        <w:t>PE782.290</w:t>
      </w:r>
      <w:bookmarkEnd w:id="4"/>
    </w:p>
    <w:p w:rsidR="001153E1" w:rsidRPr="001E7DAF" w:rsidP="001153E1" w14:paraId="7098DB8B" w14:textId="1209E7CE">
      <w:pPr>
        <w:pStyle w:val="ATHeading3"/>
      </w:pPr>
      <w:bookmarkStart w:id="5" w:name="Sujet"/>
      <w:r w:rsidRPr="001E7DAF">
        <w:t xml:space="preserve">Резолюция на Европейския парламент от </w:t>
      </w:r>
      <w:r w:rsidR="00EE3EE6">
        <w:t>8 юли</w:t>
      </w:r>
      <w:r w:rsidRPr="001E7DAF">
        <w:t xml:space="preserve"> 2026 г. относно доклада на Комисията относно Молдова за 2025 г.</w:t>
      </w:r>
      <w:bookmarkEnd w:id="5"/>
      <w:r w:rsidRPr="001E7DAF">
        <w:t xml:space="preserve"> </w:t>
      </w:r>
      <w:bookmarkStart w:id="6" w:name="References"/>
      <w:r w:rsidRPr="001E7DAF">
        <w:t>(2025/2258(INI))</w:t>
      </w:r>
      <w:bookmarkEnd w:id="6"/>
    </w:p>
    <w:p w:rsidR="004E2D70" w:rsidRPr="001E7DAF" w:rsidP="004E2D70" w14:paraId="4202384F" w14:textId="77777777">
      <w:pPr>
        <w:pStyle w:val="Normal12"/>
      </w:pPr>
      <w:r w:rsidRPr="001E7DAF">
        <w:t>Европейският парламент,</w:t>
      </w:r>
    </w:p>
    <w:p w:rsidR="004E2D70" w:rsidRPr="001E7DAF" w:rsidP="004E2D70" w14:paraId="6A3714E6" w14:textId="702F7DF0">
      <w:pPr>
        <w:pStyle w:val="NormalHanging"/>
      </w:pPr>
      <w:r w:rsidRPr="001E7DAF">
        <w:t>–</w:t>
      </w:r>
      <w:r w:rsidRPr="001E7DAF">
        <w:tab/>
        <w:t>като взе предвид съобщението на Комисията от 4 ноември 2025 г., озаглавено „Съобщение относно политиката на ЕС за разширяване за 2025 г.“ (</w:t>
      </w:r>
      <w:r w:rsidRPr="000E460C" w:rsidR="00EE3EE6">
        <w:t>COM(2025)0690</w:t>
      </w:r>
      <w:r w:rsidRPr="001E7DAF">
        <w:t>), придружено от работния документ на службите на Комисията от 4 ноември 2025 г., озаглавен „Доклад за Република Молдова за 2025 г.“ (SWD(2025)0758),</w:t>
      </w:r>
    </w:p>
    <w:p w:rsidR="004E2D70" w:rsidRPr="001E7DAF" w:rsidP="004E2D70" w14:paraId="5E29B277" w14:textId="5AFC857F">
      <w:pPr>
        <w:pStyle w:val="NormalHanging"/>
      </w:pPr>
      <w:r w:rsidRPr="001E7DAF">
        <w:t>–</w:t>
      </w:r>
      <w:r w:rsidRPr="001E7DAF">
        <w:tab/>
        <w:t>като взе предвид Регламент (ЕС) 2025/535 на Европейския парламент и на Съвета от 18 март 2025 г. за създаване на Инструмента за реформи и растеж за Република Молдова</w:t>
      </w:r>
      <w:r>
        <w:rPr>
          <w:rStyle w:val="FootnoteReference"/>
        </w:rPr>
        <w:footnoteReference w:id="2"/>
      </w:r>
      <w:r w:rsidRPr="001E7DAF">
        <w:t>,</w:t>
      </w:r>
    </w:p>
    <w:p w:rsidR="004E2D70" w:rsidRPr="001E7DAF" w:rsidP="004E2D70" w14:paraId="00B06330" w14:textId="77777777">
      <w:pPr>
        <w:pStyle w:val="NormalHanging"/>
      </w:pPr>
      <w:r w:rsidRPr="001E7DAF">
        <w:t>–</w:t>
      </w:r>
      <w:r w:rsidRPr="001E7DAF">
        <w:tab/>
        <w:t>като взе предвид програмата за реформи в рамките на плана за растеж на Република Молдова (наричана по-долу „Молдова“) за периода 2025 – 2027 г.,</w:t>
      </w:r>
    </w:p>
    <w:p w:rsidR="004E2D70" w:rsidRPr="001E7DAF" w:rsidP="004E2D70" w14:paraId="09D9E7C1" w14:textId="77777777">
      <w:pPr>
        <w:pStyle w:val="NormalHanging"/>
      </w:pPr>
      <w:r w:rsidRPr="001E7DAF">
        <w:t>–</w:t>
      </w:r>
      <w:r w:rsidRPr="001E7DAF">
        <w:tab/>
        <w:t>като взе предвид предходните си резолюции относно Молдова,</w:t>
      </w:r>
    </w:p>
    <w:p w:rsidR="004E2D70" w:rsidRPr="001E7DAF" w:rsidP="004E2D70" w14:paraId="079C9D40" w14:textId="77777777">
      <w:pPr>
        <w:pStyle w:val="NormalHanging"/>
      </w:pPr>
      <w:r w:rsidRPr="001E7DAF">
        <w:t>–</w:t>
      </w:r>
      <w:r w:rsidRPr="001E7DAF">
        <w:tab/>
        <w:t>като взе предвид заключенията на Европейския съвет от 26 юни 2025 г. относно Молдова,</w:t>
      </w:r>
    </w:p>
    <w:p w:rsidR="004E2D70" w:rsidRPr="001E7DAF" w:rsidP="004E2D70" w14:paraId="1E495FD4" w14:textId="77777777">
      <w:pPr>
        <w:pStyle w:val="NormalHanging"/>
      </w:pPr>
      <w:r w:rsidRPr="001E7DAF">
        <w:t>–</w:t>
      </w:r>
      <w:r w:rsidRPr="001E7DAF">
        <w:tab/>
        <w:t>като взе предвид заключенията на председателството относно разширяването от 16 декември 2025 г.,</w:t>
      </w:r>
    </w:p>
    <w:p w:rsidR="004E2D70" w:rsidRPr="001E7DAF" w:rsidP="004E2D70" w14:paraId="7FEE135A" w14:textId="2392A295">
      <w:pPr>
        <w:pStyle w:val="NormalHanging"/>
      </w:pPr>
      <w:r w:rsidRPr="001E7DAF">
        <w:t>–</w:t>
      </w:r>
      <w:r w:rsidRPr="001E7DAF">
        <w:tab/>
        <w:t xml:space="preserve">като взе предвид съвместната декларация след </w:t>
      </w:r>
      <w:r w:rsidRPr="007A2F99" w:rsidR="007A2F99">
        <w:t>втората</w:t>
      </w:r>
      <w:r w:rsidRPr="001E7DAF">
        <w:t xml:space="preserve"> среща на високо равнище Република Молдова и Европейския съюз от </w:t>
      </w:r>
      <w:r w:rsidRPr="007A2F99" w:rsidR="007A2F99">
        <w:t>22 юни 2026 г.</w:t>
      </w:r>
      <w:r w:rsidRPr="001E7DAF">
        <w:t>.,</w:t>
      </w:r>
    </w:p>
    <w:p w:rsidR="004E2D70" w:rsidRPr="001E7DAF" w:rsidP="004E2D70" w14:paraId="6B696941" w14:textId="77777777">
      <w:pPr>
        <w:pStyle w:val="NormalHanging"/>
      </w:pPr>
      <w:r w:rsidRPr="001E7DAF">
        <w:t>–</w:t>
      </w:r>
      <w:r w:rsidRPr="001E7DAF">
        <w:tab/>
        <w:t>като взе предвид резултатите от деветото заседание на Съвета за асоцииране ЕС – Република Молдова, проведено на 4 юни 2025 г.,</w:t>
      </w:r>
    </w:p>
    <w:p w:rsidR="004E2D70" w:rsidRPr="001E7DAF" w:rsidP="004E2D70" w14:paraId="45F7C718" w14:textId="77777777">
      <w:pPr>
        <w:pStyle w:val="NormalHanging"/>
      </w:pPr>
      <w:r w:rsidRPr="001E7DAF">
        <w:t>–</w:t>
      </w:r>
      <w:r w:rsidRPr="001E7DAF">
        <w:tab/>
        <w:t xml:space="preserve">като взе предвид обновения Меморандум за разбирателство между Европейския </w:t>
      </w:r>
      <w:r w:rsidRPr="001E7DAF">
        <w:t>парламент и Парламента на Република Молдова, подписан на 18 март 2026 г.,</w:t>
      </w:r>
    </w:p>
    <w:p w:rsidR="004E2D70" w:rsidRPr="001E7DAF" w:rsidP="004E2D70" w14:paraId="4D9DAD86" w14:textId="77777777">
      <w:pPr>
        <w:pStyle w:val="NormalHanging"/>
      </w:pPr>
      <w:r w:rsidRPr="001E7DAF">
        <w:t>–</w:t>
      </w:r>
      <w:r w:rsidRPr="001E7DAF">
        <w:tab/>
        <w:t>като взе предвид член 55 от своя Правилник за дейността,</w:t>
      </w:r>
    </w:p>
    <w:p w:rsidR="004E2D70" w:rsidRPr="001E7DAF" w:rsidP="004E2D70" w14:paraId="3516C44C" w14:textId="77777777">
      <w:pPr>
        <w:pStyle w:val="NormalHanging"/>
      </w:pPr>
      <w:r w:rsidRPr="001E7DAF">
        <w:t>–</w:t>
      </w:r>
      <w:r w:rsidRPr="001E7DAF">
        <w:tab/>
        <w:t>като взе предвид доклада на комисията по външни работи (A10-0164/2026),</w:t>
      </w:r>
    </w:p>
    <w:p w:rsidR="004E2D70" w:rsidRPr="001E7DAF" w:rsidP="004E2D70" w14:paraId="4575708D" w14:textId="4B73FFA7">
      <w:pPr>
        <w:pStyle w:val="NormalHanging"/>
      </w:pPr>
      <w:r w:rsidRPr="001E7DAF">
        <w:t>А.</w:t>
      </w:r>
      <w:r w:rsidRPr="001E7DAF">
        <w:tab/>
        <w:t>като има предвид, че на 22 септември 2025 г. Молдова приключи двустранния скрининг, започнал на 10 юли 2024 г.; като има предвид, че Молдова е готова официално да започне преговори по всичките шест клъстера за преговори за присъединяване към ЕС</w:t>
      </w:r>
      <w:r w:rsidR="007A2F99">
        <w:t xml:space="preserve">; </w:t>
      </w:r>
      <w:r w:rsidRPr="007A2F99" w:rsidR="007A2F99">
        <w:t>като има предвид, че преговорите по клъстер 1 (Основополагащи въпроси) започнаха официално на 15 юни 2026 г.;</w:t>
      </w:r>
    </w:p>
    <w:p w:rsidR="004E2D70" w:rsidRPr="001E7DAF" w:rsidP="004E2D70" w14:paraId="456B9C00" w14:textId="77777777">
      <w:pPr>
        <w:pStyle w:val="NormalHanging"/>
      </w:pPr>
      <w:r w:rsidRPr="001E7DAF">
        <w:t>Б.</w:t>
      </w:r>
      <w:r w:rsidRPr="001E7DAF">
        <w:tab/>
        <w:t>като има предвид, че правителството на Молдова обяви своята амбициозна, но постижима цел да приключи временно преговорите за присъединяване до началото на 2028 г. и да се присъедини към Европейския съюз до 2030 г.;</w:t>
      </w:r>
    </w:p>
    <w:p w:rsidR="004E2D70" w:rsidRPr="001E7DAF" w:rsidP="004E2D70" w14:paraId="4C4C907A" w14:textId="77777777">
      <w:pPr>
        <w:pStyle w:val="NormalHanging"/>
      </w:pPr>
      <w:r w:rsidRPr="001E7DAF">
        <w:t>В.</w:t>
      </w:r>
      <w:r w:rsidRPr="001E7DAF">
        <w:tab/>
        <w:t>като има предвид, че Молдова проведе парламентарни избори на 28 септември 2025 г., които доведоха до проевропейско мнозинство и потвърдиха стремежите на молдовския народ за европейско бъдеще за неговата държава, въпреки безпрецедентната външна намеса от страна на Русия и руските марионетни сили, които според молдовски длъжностни лица са изразходвали за тази намеса равностойността на 2 % от молдовския брутен вътрешен продукт, което се равнява на 350 милиона евро;</w:t>
      </w:r>
    </w:p>
    <w:p w:rsidR="004E2D70" w:rsidRPr="001E7DAF" w:rsidP="004E2D70" w14:paraId="304F886A" w14:textId="77777777">
      <w:pPr>
        <w:pStyle w:val="NormalHanging"/>
      </w:pPr>
      <w:r w:rsidRPr="001E7DAF">
        <w:t>Г.</w:t>
      </w:r>
      <w:r w:rsidRPr="001E7DAF">
        <w:tab/>
        <w:t>като има предвид, че Молдова провежда технически преговори с Комисията по всичките шест клъстера в рамките на преговорите за присъединяване към ЕС;</w:t>
      </w:r>
    </w:p>
    <w:p w:rsidR="004E2D70" w:rsidRPr="001E7DAF" w:rsidP="004E2D70" w14:paraId="76311A27" w14:textId="77777777">
      <w:pPr>
        <w:pStyle w:val="NormalHanging"/>
      </w:pPr>
      <w:r w:rsidRPr="001E7DAF">
        <w:t>Д.</w:t>
      </w:r>
      <w:r w:rsidRPr="001E7DAF">
        <w:tab/>
        <w:t>като има предвид, че Споразумението за асоцииране, което включва задълбочена и всеобхватна зона за свободна търговия (СА/ЗВЗСТ), продължава да бъде основата за политическо асоцииране и икономическа интеграция между ЕС и Молдова и че продължава редовният политически и икономически диалог между двете страни;</w:t>
      </w:r>
    </w:p>
    <w:p w:rsidR="004E2D70" w:rsidRPr="001E7DAF" w:rsidP="004E2D70" w14:paraId="54C54D97" w14:textId="77777777">
      <w:pPr>
        <w:pStyle w:val="NormalHanging"/>
      </w:pPr>
      <w:r w:rsidRPr="001E7DAF">
        <w:t>Е.</w:t>
      </w:r>
      <w:r w:rsidRPr="001E7DAF">
        <w:tab/>
        <w:t xml:space="preserve">като има предвид, че на 19 януари 2026 г. правителството на Молдова обяви намерението си официално да се оттегли от Общността на независимите държави, на 2 април 2026 г. парламентът на Молдова официално прие на окончателно четене закон за осъждане на учредителните документи на организацията, а на 6 април 2026 г. президентът Мая </w:t>
      </w:r>
      <w:r w:rsidRPr="001E7DAF">
        <w:t>Санду</w:t>
      </w:r>
      <w:r w:rsidRPr="001E7DAF">
        <w:t xml:space="preserve"> подписа указ за обнародване на този закон;</w:t>
      </w:r>
    </w:p>
    <w:p w:rsidR="004E2D70" w:rsidRPr="001E7DAF" w:rsidP="004E2D70" w14:paraId="303E8AC6" w14:textId="77777777">
      <w:pPr>
        <w:pStyle w:val="Normal12a"/>
      </w:pPr>
      <w:r w:rsidRPr="001E7DAF">
        <w:rPr>
          <w:b/>
          <w:i/>
        </w:rPr>
        <w:t>Напредък в реформите, свързани с присъединяването към ЕС, по-специално във връзка с върховенството на закона и управлението</w:t>
      </w:r>
    </w:p>
    <w:p w:rsidR="004E2D70" w:rsidRPr="001E7DAF" w:rsidP="004E2D70" w14:paraId="6A5E9D80" w14:textId="77777777">
      <w:pPr>
        <w:pStyle w:val="NormalHanging12a"/>
      </w:pPr>
      <w:r w:rsidRPr="001E7DAF">
        <w:t>1.</w:t>
      </w:r>
      <w:r w:rsidRPr="001E7DAF">
        <w:tab/>
        <w:t xml:space="preserve">поздравява Молдова за трайния ѝ образцов ангажимент за присъединяване към ЕС и за решителния ѝ напредък по свързаните с това реформи въпреки значителните вътрешни и външни предизвикателства, като например трайната враждебна намеса на Русия; посреща със задоволство оценката на Комисията, че Молдова е постигнала напредък по всички глави и че тя е реализирала най-големия годишен напредък в сравнение с другите държавите кандидатки; счита, че този напредък е особено забележителен предвид извънредния геополитически натиск, под който страната продължава да работи; насърчава Молдова да поддържа темпа на реформите, така че напредъкът да доведе до осезаеми ползи за гражданите и предприятията, като укрепи икономическото развитие, </w:t>
      </w:r>
      <w:r w:rsidRPr="001E7DAF">
        <w:t>устойчивостта и сближаването с Европейския съюз в съответствие със заявената от нея амбиция за временно приключване на преговорите за присъединяване до началото на 2028 г.;</w:t>
      </w:r>
    </w:p>
    <w:p w:rsidR="004E2D70" w:rsidRPr="001E7DAF" w:rsidP="004E2D70" w14:paraId="4ACD33F5" w14:textId="38FC5CF0">
      <w:pPr>
        <w:pStyle w:val="NormalHanging12a"/>
      </w:pPr>
      <w:r w:rsidRPr="001E7DAF">
        <w:t>2.</w:t>
      </w:r>
      <w:r w:rsidRPr="001E7DAF">
        <w:tab/>
        <w:t xml:space="preserve">приветства </w:t>
      </w:r>
      <w:r w:rsidRPr="007A2F99" w:rsidR="007A2F99">
        <w:t xml:space="preserve">започването на преговори за присъединяване по клъстер 1 (Основополагащи въпроси) на 15 юни 2026 г. след </w:t>
      </w:r>
      <w:r w:rsidRPr="001E7DAF">
        <w:t xml:space="preserve">успешното приключване на двустранния процес на скрининг </w:t>
      </w:r>
      <w:r w:rsidRPr="007A2F99" w:rsidR="007A2F99">
        <w:t xml:space="preserve">през септември 2025 г. и последващото започване </w:t>
      </w:r>
      <w:r w:rsidRPr="001E7DAF">
        <w:t xml:space="preserve">на технически преговори по преговорните клъстери; приветства оценката на Комисията, че и шестте преговорни клъстера вече могат да бъдат отворени; настоятелно призовава Съвета да възприеме основан на заслугите подход и официално да отвори </w:t>
      </w:r>
      <w:r w:rsidR="007A2F99">
        <w:t>всички клъстери</w:t>
      </w:r>
      <w:r w:rsidRPr="001E7DAF">
        <w:t xml:space="preserve"> без по-нататъшно забавяне; припомня на държавите членки принципа на лоялно сътрудничество съгласно член 4, параграф 3 от Договора за Европейския съюз, който изисква от тях да се въздържат от всякакви мерки, които биха могли да застрашат постигането на целите на Съюза, и поради това настоятелно ги призовава да избягват блокирането или отлагането на преговорите за присъединяване въз основа на двустранни въпроси; подчертава, че започването на преговори за присъединяване би означавало ЕС да признае и поощри конкретните постижения на Молдова, като укрепи доверието в процеса на разширяване и неговата почтеност; приветства приемането на пътни карти относно принципите на правовата държава, публичната администрация и демократичните институции, както и актуализираната Национална програма за присъединяване към Европейския съюз за периода 2025 – 2029 г.; приветства вече постигнатия от Молдова напредък на техническо равнище в транспонирането на достиженията на правото на ЕС;</w:t>
      </w:r>
    </w:p>
    <w:p w:rsidR="004E2D70" w:rsidRPr="001E7DAF" w:rsidP="004E2D70" w14:paraId="3D4F0C87" w14:textId="77777777">
      <w:pPr>
        <w:pStyle w:val="NormalHanging12a"/>
      </w:pPr>
      <w:r w:rsidRPr="001E7DAF">
        <w:t>3.</w:t>
      </w:r>
      <w:r w:rsidRPr="001E7DAF">
        <w:tab/>
        <w:t>подчертава, че темпът на процеса на присъединяване на Молдова следва да отразява значителния напредък, постигнат от страната по отношение на реформите; призовава Комисията активно да улеснява и предоставя подкрепа при подготовката, включително техническа помощ, последващи проверки и изграждане на административен капацитет, за да се даде възможност на Молдова да постигне напредък в преговорите ефективно и едновременно във всички клъстери;</w:t>
      </w:r>
    </w:p>
    <w:p w:rsidR="004E2D70" w:rsidRPr="001E7DAF" w:rsidP="004E2D70" w14:paraId="1CA07EAC" w14:textId="77777777">
      <w:pPr>
        <w:pStyle w:val="NormalHanging12a"/>
      </w:pPr>
      <w:r w:rsidRPr="001E7DAF">
        <w:t>4.</w:t>
      </w:r>
      <w:r w:rsidRPr="001E7DAF">
        <w:tab/>
        <w:t>признава, че европейската интеграция на Молдова допринася положително за стабилността и сигурността в Европа и служи като жизненоважен катализатор за демократичната устойчивост, институционалната реформа, принципите на правовата държава и устойчивото икономическо развитие на страната;</w:t>
      </w:r>
    </w:p>
    <w:p w:rsidR="004E2D70" w:rsidRPr="001E7DAF" w:rsidP="004E2D70" w14:paraId="542847FA" w14:textId="77777777">
      <w:pPr>
        <w:pStyle w:val="NormalHanging12a"/>
      </w:pPr>
      <w:r w:rsidRPr="001E7DAF">
        <w:t>5.</w:t>
      </w:r>
      <w:r w:rsidRPr="001E7DAF">
        <w:tab/>
        <w:t>отбелязва оценката на Комисията, че Молдова е постигнала добър напредък в реформирането на сектора на правосъдието; припомня на Молдова нейния ангажимент да следва препоръките на Венецианската комисия; подчертава, че устойчивостта на реформите изисква широка политическа ангажираност и приобщаващ диалог в целия политически спектър, както и съдържателни консултации с гражданското общество и професионалните заинтересовани страни; отчита последователната политическа воля и постоянните усилия на Молдова за изграждане на независима, безпристрастна, отчетна и професионална съдебна система;</w:t>
      </w:r>
    </w:p>
    <w:p w:rsidR="004E2D70" w:rsidRPr="001E7DAF" w:rsidP="004E2D70" w14:paraId="285E2434" w14:textId="77777777">
      <w:pPr>
        <w:pStyle w:val="NormalHanging12a"/>
      </w:pPr>
      <w:r w:rsidRPr="001E7DAF">
        <w:t>6.</w:t>
      </w:r>
      <w:r w:rsidRPr="001E7DAF">
        <w:tab/>
        <w:t xml:space="preserve">призовава молдовските органи да гарантират, че процесът на проверка на съдиите и прокурорите се провежда по приобщаващ, предвидим и правно стабилен начин, и насърчава страната ефективно и без забавяне да приключи процеса, тъй като </w:t>
      </w:r>
      <w:r w:rsidRPr="001E7DAF">
        <w:t>приключването на проверката е от решаващо значение за гарантиране на общественото доверие в съдебната система, премахване на компрометираните съдии и укрепване на принципите на правовата държава като крайъгълен камък за интеграцията в ЕС; призовава Молдова да гарантира достатъчно бюджетни и човешки ресурси за съдебните органи и да продължи да предприема мерки за укрепване на техния капацитет, за да се преодолее, наред с другото, недостигът на съдии и прокурори, да се намали продължителността на производствата, особено по дела за корупция и икономическа престъпност, и да се подобрят цифровизацията, достъпността, ефикасността и прозрачността на правосъдието за всички граждани;</w:t>
      </w:r>
    </w:p>
    <w:p w:rsidR="004E2D70" w:rsidRPr="001E7DAF" w:rsidP="004E2D70" w14:paraId="3E9FA553" w14:textId="77777777">
      <w:pPr>
        <w:pStyle w:val="NormalHanging12a"/>
      </w:pPr>
      <w:r w:rsidRPr="001E7DAF">
        <w:t>7.</w:t>
      </w:r>
      <w:r w:rsidRPr="001E7DAF">
        <w:tab/>
        <w:t>отбелязва последователния напредък на Молдова в предотвратяването на корупцията и в борбата с нея, който е виден от по-добрите резултати както при делата, свързани с високите етажи на властта, така и при останалите дела; подчертава необходимостта от по-нататъшно укрепване на оперативния капацитет, институционалната независимост, професионализма и отчетността, и от засилване на механизмите за координация между всички ключови институции за борба с корупцията и съдебните институции, за да се обезпечи дългосрочният успех на всеобхватните реформи;</w:t>
      </w:r>
    </w:p>
    <w:p w:rsidR="004E2D70" w:rsidRPr="001E7DAF" w:rsidP="004E2D70" w14:paraId="0D96311B" w14:textId="77777777">
      <w:pPr>
        <w:pStyle w:val="NormalHanging12a"/>
      </w:pPr>
      <w:r w:rsidRPr="001E7DAF">
        <w:t>8.</w:t>
      </w:r>
      <w:r w:rsidRPr="001E7DAF">
        <w:tab/>
        <w:t xml:space="preserve">подчертава, че усилията за борба с корупцията трябва да се полагат по последователен, деполитизиран и прозрачен начин, като се избягват </w:t>
      </w:r>
      <w:r w:rsidRPr="001E7DAF">
        <w:t>ad</w:t>
      </w:r>
      <w:r w:rsidRPr="001E7DAF">
        <w:t xml:space="preserve"> </w:t>
      </w:r>
      <w:r w:rsidRPr="001E7DAF">
        <w:t>hoc</w:t>
      </w:r>
      <w:r w:rsidRPr="001E7DAF">
        <w:t xml:space="preserve"> или ускорени законодателни инициативи, които могат да подкопаят правната сигурност и доверието към институциите; подчертава, че е важно да се отдаде предимство на качеството, устойчивостта и законосъобразната процедура пред скоростта на реформите, за да се гарантират надеждността и издръжливостта на рамката за борба с корупцията в дългосрочен план;</w:t>
      </w:r>
    </w:p>
    <w:p w:rsidR="004E2D70" w:rsidRPr="001E7DAF" w:rsidP="004E2D70" w14:paraId="55E68504" w14:textId="77777777">
      <w:pPr>
        <w:pStyle w:val="NormalHanging12a"/>
      </w:pPr>
      <w:r w:rsidRPr="001E7DAF">
        <w:t>9.</w:t>
      </w:r>
      <w:r w:rsidRPr="001E7DAF">
        <w:tab/>
        <w:t>подчертава, че непрекъснатата борба с влиянието на олигархичните структури в политическата, икономическата и медийната сфера продължава да бъде ключов приоритет за напредъка на европейската интеграция на Молдова;</w:t>
      </w:r>
    </w:p>
    <w:p w:rsidR="004E2D70" w:rsidRPr="001E7DAF" w:rsidP="004E2D70" w14:paraId="0789CABD" w14:textId="77777777">
      <w:pPr>
        <w:pStyle w:val="NormalHanging12a"/>
      </w:pPr>
      <w:r w:rsidRPr="001E7DAF">
        <w:t>10.</w:t>
      </w:r>
      <w:r w:rsidRPr="001E7DAF">
        <w:tab/>
        <w:t>изтъква факта, че парламентарните избори, проведени на 28 септември 2025 г., бяха петите подред, на които молдовският народ потвърди подкрепата си за присъединяването на страната към ЕС и за свързаните с това реформи; осъжда категорично многократните опити на Руската федерация, проруските олигарси и руските марионетни сили да дестабилизират страната, да създават и разпространяват дезинформация, да всяват разединение в молдовското общество, да подкопават демократичните институции на страната и да я отклонят от нейния европейски курс;</w:t>
      </w:r>
    </w:p>
    <w:p w:rsidR="004E2D70" w:rsidRPr="001E7DAF" w:rsidP="004E2D70" w14:paraId="4C3377CC" w14:textId="77777777">
      <w:pPr>
        <w:pStyle w:val="NormalHanging12a"/>
      </w:pPr>
      <w:r w:rsidRPr="001E7DAF">
        <w:t>11.</w:t>
      </w:r>
      <w:r w:rsidRPr="001E7DAF">
        <w:tab/>
        <w:t>посреща със задоволство оценката на Организацията за сигурност и сътрудничество в Европа (ОССЕ)/Бюрото за демократични институции и права на човека (БДИПЧ), според която парламентарните избори са били добре организирани и конкурентни и са предложили на гласоподавателите ясен избор по отношение на политическите алтернативи; приканва Молдова да продължи да привежда законодателството си, свързано с изборите и изборните процеси, в съответствие с европейските и международните стандарти и да изпълни всички неизпълнени до момента препоръки на Венецианската комисия и ОССЕ/БДИПЧ;</w:t>
      </w:r>
    </w:p>
    <w:p w:rsidR="004E2D70" w:rsidRPr="001E7DAF" w:rsidP="004E2D70" w14:paraId="6D879D5B" w14:textId="77777777">
      <w:pPr>
        <w:pStyle w:val="NormalHanging12a"/>
      </w:pPr>
      <w:r w:rsidRPr="001E7DAF">
        <w:t>12.</w:t>
      </w:r>
      <w:r w:rsidRPr="001E7DAF">
        <w:tab/>
        <w:t>приветства издръжливостта, проявена от молдовските институции и обществото при защитата на изборния процес въпреки мащабната хибридна кампания на Русия и нейните марионетни сили; отбелязва, че ключови фактори за този успех бяха навременните и координирани усилия на молдовските органи, активното участие на гражданското общество и независимите медии и подкрепата на ЕС и неговите държави членки, включително чрез мисията на ЕС за партньорство в Молдова (EUPM);</w:t>
      </w:r>
    </w:p>
    <w:p w:rsidR="004E2D70" w:rsidRPr="001E7DAF" w:rsidP="004E2D70" w14:paraId="06AC9A82" w14:textId="77777777">
      <w:pPr>
        <w:pStyle w:val="NormalHanging12a"/>
      </w:pPr>
      <w:r w:rsidRPr="001E7DAF">
        <w:t>13.</w:t>
      </w:r>
      <w:r w:rsidRPr="001E7DAF">
        <w:tab/>
        <w:t>предупреждава, че злонамерената руска намеса е непрекъснат и динамичен процес, който изисква постоянно наблюдение и реакция въз основа на подход, обхващащ цялото общество, и на наличието на достатъчни институционални способности и ресурси; призовава ЕС и неговите държави членки да засилят подкрепата си за институционалната устойчивост, капацитета за стратегическа комуникация, киберсигурността, независимите медии и демократичните гаранции на Молдова; подчертава, че усилията ѝ за противодействие на разпространението на дезинформация и невярна информация от Русия следва да отговарят на изискванията за законност, необходимост и пропорционалност; отбелязва, че опитът, придобит в Молдова, може да се използва за защита на други демокрации, изправени пред подобни хибридни заплахи; изразява сериозна загриженост относно дейностите на проруските мрежи, които са свързани с широкомащабно заобикаляне на санкциите, намеса в избори и кампании за дезинформация чрез използването на инфраструктури за криптовалути, свързани с руски финансови участници като „</w:t>
      </w:r>
      <w:r w:rsidRPr="001E7DAF">
        <w:t>Промсвязбанк</w:t>
      </w:r>
      <w:r w:rsidRPr="001E7DAF">
        <w:t>“; призовава Комисията и държавите членки да засилят сътрудничеството в областта на финансовото разузнаване, да засилят прилагането на санкции и да подкрепят молдовските органи в борбата с незаконните финансови потоци и външната намеса през държави извън ЕС, включително чрез целенасочени санкции и мерки за кибернаблюдение;</w:t>
      </w:r>
    </w:p>
    <w:p w:rsidR="004E2D70" w:rsidRPr="001E7DAF" w:rsidP="004E2D70" w14:paraId="26B016D0" w14:textId="77777777">
      <w:pPr>
        <w:pStyle w:val="NormalHanging12a"/>
      </w:pPr>
      <w:r w:rsidRPr="001E7DAF">
        <w:t>14.</w:t>
      </w:r>
      <w:r w:rsidRPr="001E7DAF">
        <w:tab/>
        <w:t>подчертава жизненоважната роля на молдовската диаспора за поддържането на европейския курс на страната, за която свидетелства активното ѝ участие в демократичните процеси, включително в парламентарните избори от 28 септември 2025 г., и значителния ѝ принос за социално-икономическото развитие на Молдова; призовава молдовските органи да продължат да укрепват връзките с диаспората и да улесняват активното ѝ участие в процеса на европейска интеграция на страната;</w:t>
      </w:r>
    </w:p>
    <w:p w:rsidR="004E2D70" w:rsidRPr="001E7DAF" w:rsidP="004E2D70" w14:paraId="4C67FC22" w14:textId="77777777">
      <w:pPr>
        <w:pStyle w:val="NormalHanging12a"/>
      </w:pPr>
      <w:r w:rsidRPr="001E7DAF">
        <w:t>15.</w:t>
      </w:r>
      <w:r w:rsidRPr="001E7DAF">
        <w:tab/>
        <w:t>призовава молдовските органи да използват силния си проевропейски мандат, за да ускорят темповете на ключовите реформи, необходими за членство в ЕС, и да реализират амбицията за приключване на преговорите за присъединяване към началото на 2028 г.; признава твърдия ангажимент на Молдова като страна кандидатка да предприеме трудни, но необходими реформи; призовава молдовския политически елит да поддържа политическия консенсус относно присъединяването към ЕС; подчертава, че е от съществено значение да се поддържа доверието на молдовските граждани в процеса на присъединяване към ЕС, включително чрез навременно и официално започване на преговорите за присъединяване; посреща със задоволство създаването на специална парламентарна комисия за европейска интеграция в парламента на Република Молдова и подчертава значението на междупартийното сътрудничество за трайния успех на реформите, свързани с присъединяването към ЕС, и напредъка към членство в ЕС;</w:t>
      </w:r>
    </w:p>
    <w:p w:rsidR="004E2D70" w:rsidRPr="001E7DAF" w:rsidP="004E2D70" w14:paraId="4C4084A2" w14:textId="77777777">
      <w:pPr>
        <w:pStyle w:val="NormalHanging12a"/>
      </w:pPr>
      <w:r w:rsidRPr="001E7DAF">
        <w:t>16.</w:t>
      </w:r>
      <w:r w:rsidRPr="001E7DAF">
        <w:tab/>
        <w:t xml:space="preserve">изразява готовността си да продължи да подкрепя парламента на Молдова чрез взаимно договорени дейности за подкрепа на демокрацията, които да отговарят на нуждите на институцията, нейните избрани членове и служителите ѝ; подчертава официалното откриване на 7 ноември 2025 г. в </w:t>
      </w:r>
      <w:r w:rsidRPr="001E7DAF">
        <w:t>Кишинеу</w:t>
      </w:r>
      <w:r w:rsidRPr="001E7DAF">
        <w:t xml:space="preserve"> на бюрото на Европейския парламент за Източното партньорство, което свидетелства за ангажимента на Парламента да задълбочи ангажираността си с Молдова и целия регион на Източното партньорство; приветства в този контекст подновения меморандум за разбирателство, подписан от председателя на ЕП Роберта Мецола и от председателя на молдовския парламент Игор </w:t>
      </w:r>
      <w:r w:rsidRPr="001E7DAF">
        <w:t>Гросу</w:t>
      </w:r>
      <w:r w:rsidRPr="001E7DAF">
        <w:t xml:space="preserve"> през март 2026 г.;</w:t>
      </w:r>
    </w:p>
    <w:p w:rsidR="004E2D70" w:rsidRPr="001E7DAF" w:rsidP="004E2D70" w14:paraId="622D2459" w14:textId="4AB09B05">
      <w:pPr>
        <w:pStyle w:val="NormalHanging12a"/>
      </w:pPr>
      <w:r w:rsidRPr="001E7DAF">
        <w:t>17.</w:t>
      </w:r>
      <w:r w:rsidRPr="001E7DAF">
        <w:tab/>
        <w:t>приветства организирането на първата по рода си среща на високо равнище между ЕС и Молдова през юли 2025 г. като важен политически етап в отношенията между ЕС и Молдова и силен политически сигнал за подкрепа на суверенитета, демократичната стабилност и европейския път на Молдова;</w:t>
      </w:r>
      <w:r w:rsidR="007A2F99">
        <w:t xml:space="preserve"> </w:t>
      </w:r>
      <w:r w:rsidRPr="007A2F99" w:rsidR="007A2F99">
        <w:t>отбелязва съвместната декларация след втората среща на високо равнище между ЕС и Молдова на 22 юни 2026 г., в която се подчертава както ангажиментът на Молдова да продължи да укрепва принципите на правовата държава, така и насърчаването от страна на ЕС на по-нататъшното увеличаване на усилията в областта на съдебната реформа и борбата с корупцията;</w:t>
      </w:r>
    </w:p>
    <w:p w:rsidR="004E2D70" w:rsidRPr="001E7DAF" w:rsidP="004E2D70" w14:paraId="78D860F1" w14:textId="77777777">
      <w:pPr>
        <w:pStyle w:val="NormalHanging12a"/>
      </w:pPr>
      <w:r w:rsidRPr="001E7DAF">
        <w:t>18.</w:t>
      </w:r>
      <w:r w:rsidRPr="001E7DAF">
        <w:tab/>
        <w:t>подчертава значението на борбата с дезинформацията по отношение на процеса на европейска интеграция; настоятелно призовава Комисията, Европейската служба за външна дейност (ЕСВД) и молдовското правителство да увеличат съвместните си усилия за стратегическа комуникация с цел подобряване на видимостта на ЕС в Молдова; подчертава необходимостта от целенасочени кампании, за да се обяснят на молдовската общественост осезаемите ежедневни ползи от подготовката за присъединяване към ЕС и финансираните от ЕС проекти, особено в селските райони и в регионите;</w:t>
      </w:r>
    </w:p>
    <w:p w:rsidR="004E2D70" w:rsidRPr="001E7DAF" w:rsidP="004E2D70" w14:paraId="200BEBFF" w14:textId="77777777">
      <w:pPr>
        <w:pStyle w:val="NormalHanging12a"/>
      </w:pPr>
      <w:r w:rsidRPr="001E7DAF">
        <w:t>19.</w:t>
      </w:r>
      <w:r w:rsidRPr="001E7DAF">
        <w:tab/>
        <w:t>подчертава значението на действията в подкрепа на демокрацията в Молдова, които повишават качеството на демократичния дебат и устойчивостта срещу дезинформацията; приветства сътрудничеството на молдовските органи и участниците от гражданското общество, наред с другото, с Европейския фонд за демокрация (ЕФД) като инструмент, който може да запълни вакуума, оставен от Агенцията на САЩ за международно развитие (USAID) в региона; в този контекст поздравява ЕФД за предоставянето на 62% повече безвъзмездни средства през 2025 г., отколкото през 2024 г., с едва 34% по-голям бюджет; приветства факта, че през 2025 г. ЕФД утрои подкрепата си за молдовските правни субекти в сравнение с 2024 г.;</w:t>
      </w:r>
    </w:p>
    <w:p w:rsidR="004E2D70" w:rsidRPr="001E7DAF" w:rsidP="004E2D70" w14:paraId="04696597" w14:textId="77777777">
      <w:pPr>
        <w:pStyle w:val="NormalHanging12a"/>
      </w:pPr>
      <w:r w:rsidRPr="001E7DAF">
        <w:t>20.</w:t>
      </w:r>
      <w:r w:rsidRPr="001E7DAF">
        <w:tab/>
        <w:t>отново заявява, че подкрепата на молдовския народ за европейската интеграция на страната може да бъде засилена чрез осезаемо подобряване на поминъка му, чрез укрепване на държавните институции и на стабилността на социалната система, борба с бедността и повишаване на жизнения стандарт в цялата страна, както и чрез борба с корупцията и влиянието на олигарсите;</w:t>
      </w:r>
    </w:p>
    <w:p w:rsidR="004E2D70" w:rsidRPr="001E7DAF" w:rsidP="004E2D70" w14:paraId="5A6AFE10" w14:textId="77777777">
      <w:pPr>
        <w:pStyle w:val="Normal12a"/>
      </w:pPr>
      <w:r w:rsidRPr="001E7DAF">
        <w:rPr>
          <w:b/>
          <w:i/>
        </w:rPr>
        <w:t>Социално-икономически реформи</w:t>
      </w:r>
    </w:p>
    <w:p w:rsidR="004E2D70" w:rsidRPr="001E7DAF" w:rsidP="004E2D70" w14:paraId="55A18C18" w14:textId="77777777">
      <w:pPr>
        <w:pStyle w:val="NormalHanging12a"/>
      </w:pPr>
      <w:r w:rsidRPr="001E7DAF">
        <w:t>21.</w:t>
      </w:r>
      <w:r w:rsidRPr="001E7DAF">
        <w:tab/>
        <w:t xml:space="preserve">посреща със задоволство постигнатия до момента значителен напредък при изпълнението на плана за растеж за Молдова и свързаната с него програма за реформи, които имат за цел да подкрепят социално-икономическите и основните </w:t>
      </w:r>
      <w:r w:rsidRPr="001E7DAF">
        <w:t>реформи в Молдова и да подобрят достъпа до единния пазар на ЕС; приветства отпускането на 270 милиона евро под формата на предварително финансиране и 207,9 милиона евро допълнителна подкрепа от Инструмента за реформи и растеж за Молдова, включително втория транш през март 2026 г. на обща стойност 189 милиона евро, в резултат на пълното постигане на 24 от общо 26 стъпки за реформи в страната, с краен срок декември 2025 г.; призовава Молдова да продължи да работи за приключване на оставащите две стъпки за реформи с краен срок 2025 г. и я подкрепя в това начинание; призовава Комисията да рационализира вътрешните процедури, за да гарантира навременната оценка и отпускането на средства при приемането в Молдова на законодателни актове, проекти на които молдовските органи вече са представили и по които са проведени консултации;</w:t>
      </w:r>
    </w:p>
    <w:p w:rsidR="004E2D70" w:rsidRPr="001E7DAF" w:rsidP="004E2D70" w14:paraId="31885E38" w14:textId="77777777">
      <w:pPr>
        <w:pStyle w:val="NormalHanging12a"/>
      </w:pPr>
      <w:r w:rsidRPr="001E7DAF">
        <w:t>22.</w:t>
      </w:r>
      <w:r w:rsidRPr="001E7DAF">
        <w:tab/>
        <w:t>призовава Комисията да предостави административна и техническа помощ на молдовските органи, за да се гарантира навременното и ефективно усвояване на средствата от Инструмента за реформи и растеж; призовава молдовското правителство да гарантира ефективна комуникация, прозрачност, видимост и отчетност по отношение на използването на средствата от този инструмент, включително чрез конструктивното участие на гражданското общество;</w:t>
      </w:r>
    </w:p>
    <w:p w:rsidR="004E2D70" w:rsidRPr="001E7DAF" w:rsidP="004E2D70" w14:paraId="57935A97" w14:textId="77777777">
      <w:pPr>
        <w:pStyle w:val="NormalHanging12a"/>
      </w:pPr>
      <w:r w:rsidRPr="001E7DAF">
        <w:t>23.</w:t>
      </w:r>
      <w:r w:rsidRPr="001E7DAF">
        <w:tab/>
        <w:t>призовава в рамките на бюджета на ЕС за 2027 г. да се предвиди целенасочена административна и техническа помощ за подготовката на Молдова с оглед на прехода към новата структура на предстоящата многогодишна финансова рамка и инструмента „Глобална Европа“; подчертава необходимостта от подпомагане на молдовската администрация при адаптирането ѝ към бъдещия модел за изпълнение на стълба „Европа“; подчертава, че разпределянето и отпускането на средства трябва да остане строго обвързано със завършването на договорените етапи на реформите и с макрофинансовата стабилност, доброто финансово управление, прозрачността при изпълнението на бюджета и наличието на ефективни предпазни мерки срещу измамите, корупцията и конфликтите на интереси; отново призовава Комисията да включи в следващата МФР на ЕС подходящо специално разпределение за Молдова в рамките на бъдещия стълб „Европа“ на инструмента „Глобална Европа“ и да започне подготовка на Молдова за ефективно използване на бъдещите предприсъединителни фондове; настоява, че са необходими изрични и прозрачни предприсъединителни средства за ефективно проследяване на разходите и предотвратяване на размиването на средства в рамките на широки географски стълбове;</w:t>
      </w:r>
    </w:p>
    <w:p w:rsidR="004E2D70" w:rsidRPr="001E7DAF" w:rsidP="004E2D70" w14:paraId="4B07414D" w14:textId="6154C6D5">
      <w:pPr>
        <w:pStyle w:val="NormalHanging12a"/>
      </w:pPr>
      <w:r w:rsidRPr="001E7DAF">
        <w:t>24.</w:t>
      </w:r>
      <w:r w:rsidRPr="001E7DAF">
        <w:tab/>
        <w:t>приветства постигнатото на 24 юли 2025 г. споразумение относно прегледа и актуализирането на търговските условия на ЗВЗСТ между ЕС и Молдова</w:t>
      </w:r>
      <w:r>
        <w:rPr>
          <w:rStyle w:val="FootnoteReference"/>
        </w:rPr>
        <w:footnoteReference w:id="3"/>
      </w:r>
      <w:r w:rsidRPr="001E7DAF">
        <w:t xml:space="preserve">, което предлага стабилност и предвидимост за стопанските субекти в ЕС и Молдова и увеличава привлекателността на страната за инвеститорите; отбелязва, че споразумението съвпадна с изтичането на срока на действие на автономните търговски мерки, предоставени на страната от юли 2022 г. нататък, които преустановиха временно вносните мита и квотите върху молдовския износ за ЕС и по този начин помогнаха на Молдова да пренасочи търговията си към ЕС, което </w:t>
      </w:r>
      <w:r w:rsidRPr="001E7DAF">
        <w:t>е от полза и за двете страни; подчертава, че ЕС е най-големият търговски партньор на Молдова, като на него се падат 67,5 % от общия износ и 54,1 % от общия внос през 2025 г., както и 86 % от преките чуждестранни инвестиции (ПЧИ) през 2024 г., което консолидира позицията му като основен стълб на ПЧИ в икономиката на Молдова; подчертава значението на преките инвестиции на ЕС в икономиката на Молдова за улесняване на нейната икономическа интеграция в единния пазар на ЕС, създаването на възможности за заетост и стопанска дейност и подобряване на поминъка на гражданите;</w:t>
      </w:r>
    </w:p>
    <w:p w:rsidR="004E2D70" w:rsidRPr="001E7DAF" w:rsidP="004E2D70" w14:paraId="7060F6C5" w14:textId="77777777">
      <w:pPr>
        <w:pStyle w:val="NormalHanging12a"/>
      </w:pPr>
      <w:r w:rsidRPr="001E7DAF">
        <w:t>25.</w:t>
      </w:r>
      <w:r w:rsidRPr="001E7DAF">
        <w:tab/>
        <w:t>приветства задълбочаването на интеграцията на Молдова в единния пазар на ЕС и насърчава по-нататъшните стъпки към постепенна секторна интеграция и амбициозна, постепенна и устойчива либерализация на търговията, включително чрез разширяване и облекчаване на тарифните квоти и когато е целесъобразно, тяхното постепенно премахване, в съответствие с преразгледаната рамка за ЗВЗСТ, за да се осигурят осезаеми икономически ползи, да се укрепи устойчивостта на Молдова и да се подкрепи нейният път към европейска интеграция; призовава Комисията по-специално да проучи по-нататъшното постепенно либерализиране на търговията с продукти на хранително-вкусовата промишленост, включително премахването на оставащите нетарифни бариери и засилената подкрепа за регулаторното съгласуване, по-специално по отношение на санитарните и фитосанитарните стандарти и техническите пречки пред търговията, както и въвеждането на полуавтоматични увеличения на тарифните квоти, свързани със степента на използване и спазването на стандартите на ЕС, като същевременно се гарантират подходящи защитни механизми за производителите от ЕС;</w:t>
      </w:r>
    </w:p>
    <w:p w:rsidR="004E2D70" w:rsidRPr="001E7DAF" w:rsidP="004E2D70" w14:paraId="52E7CE90" w14:textId="77777777">
      <w:pPr>
        <w:pStyle w:val="NormalHanging12a"/>
      </w:pPr>
      <w:r w:rsidRPr="001E7DAF">
        <w:t>26.</w:t>
      </w:r>
      <w:r w:rsidRPr="001E7DAF">
        <w:tab/>
        <w:t xml:space="preserve">отбелязва, че значителното увеличаване на търговията на Приднестровския регион с останалата част от Молдова и зависимостта на този район от износа за ЕС биха могли да създадат условия за икономическо сближаване с правната уредба на Молдова, което ще стимулира фактическата икономическа реинтеграция и би могло да послужи като прагматична основа за постигане на мирно политическо уреждане на конфликта и за евентуално обединяване на страната; подкрепя усилията на Молдова за включване на Приднестровския регион в мерките за икономическо и регулаторно сближаване, свързани с единния пазар на ЕС; приветства усилията на органите в </w:t>
      </w:r>
      <w:r w:rsidRPr="001E7DAF">
        <w:t>Кишинеу</w:t>
      </w:r>
      <w:r w:rsidRPr="001E7DAF">
        <w:t xml:space="preserve"> да разширят прилагането на молдовското данъчно законодателство, така че да обхване дружествата, извършващи дейност в Приднестровския регион, като стъпка към регулаторно привеждане в съответствие и икономическа интеграция;</w:t>
      </w:r>
    </w:p>
    <w:p w:rsidR="004E2D70" w:rsidRPr="001E7DAF" w:rsidP="004E2D70" w14:paraId="21EC52D7" w14:textId="77777777">
      <w:pPr>
        <w:pStyle w:val="NormalHanging12a"/>
      </w:pPr>
      <w:r w:rsidRPr="001E7DAF">
        <w:t>27.</w:t>
      </w:r>
      <w:r w:rsidRPr="001E7DAF">
        <w:tab/>
        <w:t xml:space="preserve">отново изтъква значението на организациите на гражданското общество и независимите медии за наблюдението на управлението и напредъка на свързаните с ЕС реформи; настоява финансовата подкрепа за молдовските организации на гражданското общество в рамките на бюджета на ЕС за 2027 г. и бъдещия инструмент „Глобална Европа“ да остане независима от напредъка на реформите на правителството; призовава за предвидими, специални, гъвкави и достъпни потоци на финансиране за местните организации на гражданското общество и защитниците на правата на човека чрез новите механизми за финансиране, включени в програмата за реформи, за да се гарантира, че те могат да функционират ефективно; призовава молдовското правителство да осъществява истинско и ефективно сътрудничество с гражданското общество, включително чрез постоянни консултативни платформи; призовава молдовското правителство </w:t>
      </w:r>
      <w:r w:rsidRPr="001E7DAF">
        <w:t>да постигне напредък при изпълнението на националната програма за развитие на организациите на гражданското общество за периода 2024 – 2027 г.; приветства редовните консултации, провеждани във връзка с процеса на присъединяване към ЕС и свързаните с присъединяването реформи;</w:t>
      </w:r>
    </w:p>
    <w:p w:rsidR="004E2D70" w:rsidRPr="001E7DAF" w:rsidP="004E2D70" w14:paraId="0232C47F" w14:textId="77777777">
      <w:pPr>
        <w:pStyle w:val="NormalHanging12a"/>
      </w:pPr>
      <w:r w:rsidRPr="001E7DAF">
        <w:t>28.</w:t>
      </w:r>
      <w:r w:rsidRPr="001E7DAF">
        <w:tab/>
        <w:t>отново отправя призива си за ускоряване на постепенната интеграция на Молдова в единния пазар на ЕС, като страната продължи да привежда своята правна и регулаторна рамка в съответствие с достиженията на правото на ЕС и се асоциира към повече програми и инициативи на ЕС, включително свързаните с цифровата икономика, финансовите услуги и иновациите; поздравява Молдова за това, че на 6 октомври 2025 г. стана оперативна част от единната зона за плащания в евро, като по този начин улесни преводите в евро и намали разходите за молдовските граждани и предприятия; посреща със задоволство включването на Молдова в зоната на ЕС „роуминг като у дома“, считано от 1 януари 2026 г., което позволява на молдовските граждани да използват молдовските си телефонни номера, докато пътуват в ЕС, без да заплащат такси за роуминг; подчертава, че тези осезаеми ползи играят ключова роля за засилване на обществената подкрепа за интеграцията в ЕС; насърчава по-нататъшното привеждане в съответствие с достиженията на правото на ЕС в областта на цифровите технологии и продължаването на усилията за укрепване на свързаността, цифровата инфраструктура и пазарната интеграция;</w:t>
      </w:r>
    </w:p>
    <w:p w:rsidR="004E2D70" w:rsidRPr="001E7DAF" w:rsidP="004E2D70" w14:paraId="70A8ED10" w14:textId="77777777">
      <w:pPr>
        <w:pStyle w:val="NormalHanging12a"/>
      </w:pPr>
      <w:r w:rsidRPr="001E7DAF">
        <w:t>29.</w:t>
      </w:r>
      <w:r w:rsidRPr="001E7DAF">
        <w:tab/>
        <w:t>подчертава критичната необходимост от ускоряване на всеобхватната реформа на публичната администрация; призовава молдовското правителство да гарантира изцяло основана на заслуги, професионална и прозрачна държавна служба както на централно, така и на местно равнище, което е от съществено значение за ефективното прилагане на достиженията на правото на ЕС; подчертава, че съдържателната териториална и административна реформа е от решаващо значение за овластяването на местните органи, тъй като настоящата фрагментираност на общините сериозно възпрепятства тяхната финансова независимост и административен капацитет за успешно кандидатстване, усвояване и управление на фондовете на ЕС за регионално развитие; подчертава необходимостта от предоставяне на целенасочени образователни програми и подкрепа за изграждане на капацитет на местните и регионалните органи, така че те да придобият способности за успешно кандидатстване, усвояване и управление на наличните възможности за финансиране от ЕС;</w:t>
      </w:r>
    </w:p>
    <w:p w:rsidR="004E2D70" w:rsidRPr="001E7DAF" w:rsidP="004E2D70" w14:paraId="1B9B701C" w14:textId="77777777">
      <w:pPr>
        <w:pStyle w:val="NormalHanging12a"/>
      </w:pPr>
      <w:r w:rsidRPr="001E7DAF">
        <w:t>30.</w:t>
      </w:r>
      <w:r w:rsidRPr="001E7DAF">
        <w:tab/>
        <w:t>подчертава, че успешният процес на присъединяване към ЕС изисква силна ангажираност на местно равнище; изразява съжаление относно липсата на официални механизми за местните и регионалните органи на управление в предложената структура на МФР; призовава молдовското правителство и Комисията систематично да включват молдовските местни и регионални органи на управление и техните сдружения в изготвянето на многогодишни индикативни програми и планове за действие; настоятелно призовава за създаването на специални мерки за изграждане на капацитет и потоци на финансиране в рамките на бъдещия инструмент „Глобална Европа“, за да се подкрепят молдовските общини при изпълнението на реформите за децентрализация и обществените услуги, приведени в съответствие с ЕС;</w:t>
      </w:r>
    </w:p>
    <w:p w:rsidR="004E2D70" w:rsidRPr="001E7DAF" w:rsidP="004E2D70" w14:paraId="35289EF1" w14:textId="77777777">
      <w:pPr>
        <w:pStyle w:val="NormalHanging12a"/>
      </w:pPr>
      <w:r w:rsidRPr="001E7DAF">
        <w:t>31.</w:t>
      </w:r>
      <w:r w:rsidRPr="001E7DAF">
        <w:tab/>
        <w:t xml:space="preserve">приветства участието на Молдова в „Творческа Европа“ – програмата на ЕС в подкрепа на секторите на културата и творчеството, от 1 януари 2026 г., както и в </w:t>
      </w:r>
      <w:r w:rsidRPr="001E7DAF">
        <w:t xml:space="preserve">компонента за заетост и социални иновации на Европейския социален фонд плюс, което дава на Молдова достъп до проекти по линия на фондовете на ЕС, насочени към намаляване на безработицата, подобряване на качеството на работните места и насърчаване на социалните иновации; призовава Комисията да подкрепи включването на страната в Органа на европейските регулатори в областта на електронните съобщения, Европейската агенция за околна среда, „Еразъм+“, програмата </w:t>
      </w:r>
      <w:r w:rsidRPr="001E7DAF">
        <w:t>DiscoverEU</w:t>
      </w:r>
      <w:r w:rsidRPr="001E7DAF">
        <w:t xml:space="preserve"> и схемата за предлагане на плодове, зеленчуци и мляко в училищата;</w:t>
      </w:r>
    </w:p>
    <w:p w:rsidR="004E2D70" w:rsidRPr="001E7DAF" w:rsidP="004E2D70" w14:paraId="726642F0" w14:textId="77777777">
      <w:pPr>
        <w:pStyle w:val="Normal12a"/>
      </w:pPr>
      <w:r w:rsidRPr="001E7DAF">
        <w:rPr>
          <w:b/>
          <w:i/>
        </w:rPr>
        <w:t>Права на човека</w:t>
      </w:r>
    </w:p>
    <w:p w:rsidR="004E2D70" w:rsidRPr="001E7DAF" w:rsidP="004E2D70" w14:paraId="5822E4A7" w14:textId="77777777">
      <w:pPr>
        <w:pStyle w:val="NormalHanging12a"/>
      </w:pPr>
      <w:r w:rsidRPr="001E7DAF">
        <w:t>32.</w:t>
      </w:r>
      <w:r w:rsidRPr="001E7DAF">
        <w:tab/>
        <w:t xml:space="preserve">приветства усилията на органите на Република Молдова за подобряване на законодателната рамка за равенство между половете, борба с домашното насилие и защита на жертвите и за привеждането ѝ в съответствие с международните и европейските стандарти, включително криминализирането на цифровото насилие и принудителните бракове, както и въвеждането на </w:t>
      </w:r>
      <w:r w:rsidRPr="001E7DAF">
        <w:t>фемицида</w:t>
      </w:r>
      <w:r w:rsidRPr="001E7DAF">
        <w:t xml:space="preserve"> в Наказателния кодекс; призовава органите на Република Молдова да засилят ефективното прилагане на действащото законодателство за борба с насилието над жени, включително домашното насилие, и за защита на жертвите;</w:t>
      </w:r>
    </w:p>
    <w:p w:rsidR="004E2D70" w:rsidRPr="001E7DAF" w:rsidP="004E2D70" w14:paraId="4DAAB10F" w14:textId="77777777">
      <w:pPr>
        <w:pStyle w:val="NormalHanging12a"/>
      </w:pPr>
      <w:r w:rsidRPr="001E7DAF">
        <w:t>33.</w:t>
      </w:r>
      <w:r w:rsidRPr="001E7DAF">
        <w:tab/>
        <w:t>посреща със задоволство текущото изпълнение на националната стратегия за трафика на хора, приета през септември 2023 г.; призовава Молдова да укрепи допълнително своята правна и институционална рамка, включително чрез въвеждане на по-ефективни инструменти за публичните органи, чрез които те да могат да разследват и преследват по съдебен път нововъзникващите форми на експлоатация;</w:t>
      </w:r>
    </w:p>
    <w:p w:rsidR="004E2D70" w:rsidRPr="001E7DAF" w:rsidP="004E2D70" w14:paraId="285776D9" w14:textId="2A421EF5">
      <w:pPr>
        <w:pStyle w:val="NormalHanging12a"/>
      </w:pPr>
      <w:r w:rsidRPr="001E7DAF">
        <w:t>34.</w:t>
      </w:r>
      <w:r w:rsidRPr="001E7DAF">
        <w:tab/>
        <w:t>отбелязва, че правната и институционалната рамка за правата на хората с увреждания в Молдова се нуждае от по-нататъшно привеждане в съответствие с достиженията на правото на ЕС и съответните международни стандарти; призовава по-специално за привеждане на рамката за достъпност в съответствие с Европейския акт за достъпността</w:t>
      </w:r>
      <w:r>
        <w:rPr>
          <w:rStyle w:val="FootnoteReference"/>
        </w:rPr>
        <w:footnoteReference w:id="4"/>
      </w:r>
      <w:r w:rsidRPr="001E7DAF">
        <w:t>;</w:t>
      </w:r>
    </w:p>
    <w:p w:rsidR="004E2D70" w:rsidRPr="001E7DAF" w:rsidP="004E2D70" w14:paraId="3E7739F9" w14:textId="77777777">
      <w:pPr>
        <w:pStyle w:val="NormalHanging12a"/>
      </w:pPr>
      <w:r w:rsidRPr="001E7DAF">
        <w:t>35.</w:t>
      </w:r>
      <w:r w:rsidRPr="001E7DAF">
        <w:tab/>
        <w:t xml:space="preserve">изразява загриженост относно опитите на градските власти на </w:t>
      </w:r>
      <w:r w:rsidRPr="001E7DAF">
        <w:t>Кишинеу</w:t>
      </w:r>
      <w:r w:rsidRPr="001E7DAF">
        <w:t xml:space="preserve"> да забранят гей парада в </w:t>
      </w:r>
      <w:r w:rsidRPr="001E7DAF">
        <w:t>Кишинеу</w:t>
      </w:r>
      <w:r w:rsidRPr="001E7DAF">
        <w:t xml:space="preserve"> и относно жестоките нападения срещу мирното шествие от страна на участниците в контрапротеста; осъжда невярната информация и целенасочените онлайн кампании за дезинформация, разпространявани от свързани с Русия местни медии в Молдова; призовава Молдова да гарантира правото на свобода на събранията за всички;</w:t>
      </w:r>
    </w:p>
    <w:p w:rsidR="004E2D70" w:rsidRPr="001E7DAF" w:rsidP="004E2D70" w14:paraId="7EF7E8CF" w14:textId="77777777">
      <w:pPr>
        <w:pStyle w:val="NormalHanging12a"/>
      </w:pPr>
      <w:r w:rsidRPr="001E7DAF">
        <w:t>36.</w:t>
      </w:r>
      <w:r w:rsidRPr="001E7DAF">
        <w:tab/>
        <w:t>призовава Молдова да укрепи правната и институционалната рамка за защита на правата на лицата, принадлежащи към малцинства, включително ЛГБТИ хората;</w:t>
      </w:r>
    </w:p>
    <w:p w:rsidR="004E2D70" w:rsidRPr="001E7DAF" w:rsidP="004E2D70" w14:paraId="07AB47DC" w14:textId="77777777">
      <w:pPr>
        <w:pStyle w:val="Normal12a"/>
      </w:pPr>
      <w:r w:rsidRPr="001E7DAF">
        <w:rPr>
          <w:b/>
          <w:i/>
        </w:rPr>
        <w:t xml:space="preserve">Академично сътрудничество, междуличностни контакти </w:t>
      </w:r>
    </w:p>
    <w:p w:rsidR="004E2D70" w:rsidRPr="001E7DAF" w:rsidP="004E2D70" w14:paraId="50F083BC" w14:textId="77777777">
      <w:pPr>
        <w:pStyle w:val="NormalHanging12a"/>
      </w:pPr>
      <w:r w:rsidRPr="001E7DAF">
        <w:t>37.</w:t>
      </w:r>
      <w:r w:rsidRPr="001E7DAF">
        <w:tab/>
        <w:t xml:space="preserve">приветства значителния напредък на Молдова в привеждането на нейната система за висше образование в съответствие с европейското пространство за висше </w:t>
      </w:r>
      <w:r w:rsidRPr="001E7DAF">
        <w:t>образование, включително участието на три молдовски институции в алиансите на европейските университети като асоциирани партньори; освен това приветства ангажимента на страната в международното измерение на програмата „Еразъм+“ за периода 2021 – 2027 г. и участието ѝ в четири работни групи на европейското пространство за образование;</w:t>
      </w:r>
    </w:p>
    <w:p w:rsidR="004E2D70" w:rsidRPr="001E7DAF" w:rsidP="004E2D70" w14:paraId="35FAA1B5" w14:textId="77777777">
      <w:pPr>
        <w:pStyle w:val="NormalHanging12a"/>
      </w:pPr>
      <w:r w:rsidRPr="001E7DAF">
        <w:t>38.</w:t>
      </w:r>
      <w:r w:rsidRPr="001E7DAF">
        <w:tab/>
        <w:t>приветства нарастващата ангажираност на Молдова с европейските мрежи за научни изследвания и иновации и насърчава по-нататъшната ѝ интеграция с „Хоризонт Европа“, която би предоставила на университетите и научноизследователските институции достъп до европейско финансиране, съвместни научноизследователски инфраструктури и научни партньорства;</w:t>
      </w:r>
    </w:p>
    <w:p w:rsidR="004E2D70" w:rsidRPr="001E7DAF" w:rsidP="004E2D70" w14:paraId="6B1A717F" w14:textId="77777777">
      <w:pPr>
        <w:pStyle w:val="Normal12a"/>
      </w:pPr>
      <w:r w:rsidRPr="001E7DAF">
        <w:rPr>
          <w:b/>
          <w:i/>
        </w:rPr>
        <w:t>Енергетика, околна среда и свързаност</w:t>
      </w:r>
    </w:p>
    <w:p w:rsidR="004E2D70" w:rsidRPr="001E7DAF" w:rsidP="004E2D70" w14:paraId="7080FFAF" w14:textId="77777777">
      <w:pPr>
        <w:pStyle w:val="NormalHanging12a"/>
      </w:pPr>
      <w:r w:rsidRPr="001E7DAF">
        <w:t>39.</w:t>
      </w:r>
      <w:r w:rsidRPr="001E7DAF">
        <w:tab/>
        <w:t>посреща със задоволство продължаващите усилия на страната за привеждане на молдовския енергиен сектор в съответствие с достиженията на правото на ЕС и за напредък по пътя към пълната му интеграция в енергийния пазар на ЕС, така че да се гарантира енергийната сигурност и издръжливост на Молдова;</w:t>
      </w:r>
    </w:p>
    <w:p w:rsidR="004E2D70" w:rsidRPr="001E7DAF" w:rsidP="004E2D70" w14:paraId="1FDDC1CE" w14:textId="77777777">
      <w:pPr>
        <w:pStyle w:val="NormalHanging12a"/>
      </w:pPr>
      <w:r w:rsidRPr="001E7DAF">
        <w:t>40.</w:t>
      </w:r>
      <w:r w:rsidRPr="001E7DAF">
        <w:tab/>
        <w:t>отбелязва със задоволство, че Молдова е постигнала най-високите резултати при транспонирането на европейското законодателство сред държавите – членки на Енергийната общност, като също така е пионер сред договарящите се страни от Общността в пълното транспониране на пакета за интеграция в областта на електроенергията; призовава Комисията, секретариата на Енергийната общност и други съответни участници да осигурят пълното свързване на Молдова с пазара на електроенергия на ЕС най-късно до 2028 г.;</w:t>
      </w:r>
    </w:p>
    <w:p w:rsidR="004E2D70" w:rsidRPr="001E7DAF" w:rsidP="004E2D70" w14:paraId="1960BE9A" w14:textId="77777777">
      <w:pPr>
        <w:pStyle w:val="NormalHanging12a"/>
      </w:pPr>
      <w:r w:rsidRPr="001E7DAF">
        <w:t>41.</w:t>
      </w:r>
      <w:r w:rsidRPr="001E7DAF">
        <w:tab/>
        <w:t>подчертава, че за да се укрепи допълнително енергийната устойчивост на Молдова, нейните органи, с подкрепата на ЕС, следва да продължат да диверсифицират нейните източници на енергийни доставки, да ускорят интеграцията ѝ на европейския енергиен пазар, да увеличат инвестициите в енергийна ефективност за обществените и жилищните сгради, да увеличат вътрешното производство на енергия и да насърчат намаляването на търсенето; приветства значителното увеличение в Молдова на дела на енергията от възобновяеми източници, който достигна около 25 % от потреблението през 2025 г. и 1 GW от общия инсталиран капацитет: важен етап в развитието на местното производство на енергия и енергийния преход на страната;</w:t>
      </w:r>
    </w:p>
    <w:p w:rsidR="004E2D70" w:rsidRPr="001E7DAF" w:rsidP="004E2D70" w14:paraId="2F7CC75A" w14:textId="77777777">
      <w:pPr>
        <w:pStyle w:val="NormalHanging12a"/>
      </w:pPr>
      <w:r w:rsidRPr="001E7DAF">
        <w:t>42.</w:t>
      </w:r>
      <w:r w:rsidRPr="001E7DAF">
        <w:tab/>
        <w:t>приветства правителствения план за действие от март 2025 г. за премахване на всяка зависимост от руските енергийни ресурси в секторите на електроенергията, газа и нефта, приет като част от всеобхватната стратегия на ЕС и Молдова за енергийна независимост и устойчивост от 4 февруари 2025 г.; припомня, че през 2025 г. Русия спря доставките на газ за електроцентралата „</w:t>
      </w:r>
      <w:r w:rsidRPr="001E7DAF">
        <w:t>Кучурган</w:t>
      </w:r>
      <w:r w:rsidRPr="001E7DAF">
        <w:t>“ в опит с принуда да повлияе на външнополитическите избори на Молдова, и че първата жертва на последвалата енергийна криза бяха хората от двете страни на река Днестър;</w:t>
      </w:r>
    </w:p>
    <w:p w:rsidR="004E2D70" w:rsidRPr="001E7DAF" w:rsidP="004E2D70" w14:paraId="60F8A461" w14:textId="77777777">
      <w:pPr>
        <w:pStyle w:val="NormalHanging12a"/>
      </w:pPr>
      <w:r w:rsidRPr="001E7DAF">
        <w:t>43.</w:t>
      </w:r>
      <w:r w:rsidRPr="001E7DAF">
        <w:tab/>
        <w:t xml:space="preserve">посреща със задоволство факта, че през декември 2025 г. приключи изграждането на надземния електропровод </w:t>
      </w:r>
      <w:r w:rsidRPr="001E7DAF">
        <w:t>Вулканещи</w:t>
      </w:r>
      <w:r w:rsidRPr="001E7DAF">
        <w:t xml:space="preserve"> – </w:t>
      </w:r>
      <w:r w:rsidRPr="001E7DAF">
        <w:t>Кишинеу</w:t>
      </w:r>
      <w:r w:rsidRPr="001E7DAF">
        <w:t xml:space="preserve"> с мощност 400 </w:t>
      </w:r>
      <w:r w:rsidRPr="001E7DAF">
        <w:t>kV</w:t>
      </w:r>
      <w:r w:rsidRPr="001E7DAF">
        <w:t xml:space="preserve">, като се очаква преносът на електроенергия по електропровода да започне през 2026 г.; отбелязва, че тази практическа стъпка намалява зависимостта на Молдова от </w:t>
      </w:r>
      <w:r w:rsidRPr="001E7DAF">
        <w:t>енергийната инфраструктура в Приднестровския регион и нейната уязвимост на враждебно влияние от Русия, и дава възможност на страната да се свърже сигурно и надеждно с европейската електроенергийна мрежа през Румъния;</w:t>
      </w:r>
    </w:p>
    <w:p w:rsidR="004E2D70" w:rsidRPr="001E7DAF" w:rsidP="004E2D70" w14:paraId="3DC71187" w14:textId="77777777">
      <w:pPr>
        <w:pStyle w:val="NormalHanging12a"/>
      </w:pPr>
      <w:r w:rsidRPr="001E7DAF">
        <w:t>44.</w:t>
      </w:r>
      <w:r w:rsidRPr="001E7DAF">
        <w:tab/>
        <w:t xml:space="preserve">призовава Комисията да увеличи максимално използването на средствата за трансгранично сътрудничество, налични по линия на бъдещия инструмент „Глобална Европа“ и Фонда за национални и регионални партньорства, за да се ускори допълнително интеграцията на транспортната, енергийната и цифровата инфраструктура на Молдова с европейския единен пазар; подчертава, че това финансиране следва да дава приоритет на проекти с голямо въздействие в областта на транспортната, енергийната и цифровата инфраструктура, включително трансграничните междусистемни връзки, вътрешното производство на енергия от възобновяеми източници, енергийната ефективност, привеждането в съответствие с трансевропейската транспортна мрежа, синхронизирането на енергийните мрежи и мащабното навлизане на широколентовия достъп; насърчава бързото разработване на проекти за допълнителни енергийни междусистемни връзки, като например въздушните електропроводи </w:t>
      </w:r>
      <w:r w:rsidRPr="001E7DAF">
        <w:t>Сучава</w:t>
      </w:r>
      <w:r w:rsidRPr="001E7DAF">
        <w:t xml:space="preserve"> – Белци и </w:t>
      </w:r>
      <w:r w:rsidRPr="001E7DAF">
        <w:t>Гутинаш</w:t>
      </w:r>
      <w:r w:rsidRPr="001E7DAF">
        <w:t xml:space="preserve"> – </w:t>
      </w:r>
      <w:r w:rsidRPr="001E7DAF">
        <w:t>Страшени</w:t>
      </w:r>
      <w:r w:rsidRPr="001E7DAF">
        <w:t xml:space="preserve"> с напрежение 400 </w:t>
      </w:r>
      <w:r w:rsidRPr="001E7DAF">
        <w:t>kV</w:t>
      </w:r>
      <w:r w:rsidRPr="001E7DAF">
        <w:t>;</w:t>
      </w:r>
    </w:p>
    <w:p w:rsidR="004E2D70" w:rsidRPr="001E7DAF" w:rsidP="004E2D70" w14:paraId="18F83E4A" w14:textId="77777777">
      <w:pPr>
        <w:pStyle w:val="NormalHanging12a"/>
      </w:pPr>
      <w:r w:rsidRPr="001E7DAF">
        <w:t>45.</w:t>
      </w:r>
      <w:r w:rsidRPr="001E7DAF">
        <w:tab/>
        <w:t>решително осъжда руските нападения от март 2026 г. срещу украинската енергийна инфраструктура, застрашаващи енергийната и водната сигурност на Молдова, които оказаха пряко въздействие върху сигурността на водните ресурси и върху общественото здраве на 80 % от гражданите на страната, за които река Днестър е основният източник на прясна и питейна вода, и които предизвикаха 15-дневно извънредно положение в областта на околната среда в Република Молдова; приветства бързата и координирана реакция от страна на молдовските и украинските органи и операторите на преносни системи и призовава ЕС и неговите държави членки да предоставят на Молдова допълнителни финансови ресурси, техническа помощ и специализирано оборудване за повишаване на капацитета ѝ за справяне с бъдещи екологични катастрофи;</w:t>
      </w:r>
    </w:p>
    <w:p w:rsidR="004E2D70" w:rsidRPr="001E7DAF" w:rsidP="004E2D70" w14:paraId="067A52FC" w14:textId="77777777">
      <w:pPr>
        <w:pStyle w:val="NormalHanging12a"/>
      </w:pPr>
      <w:r w:rsidRPr="001E7DAF">
        <w:t>46.</w:t>
      </w:r>
      <w:r w:rsidRPr="001E7DAF">
        <w:tab/>
        <w:t>подчертава, че Молдова продължава да е изправена пред значителни екологични предизвикателства, включително замърсяване на въздуха и водата, недостатъчна инфраструктура за управление на отпадъците и продължаваща загуба на биологично разнообразие; подчертава необходимостта от укрепване на административния капацитет, подобряване на прилагането на законодателството в областта на околната среда и гарантиране на подходящи инвестиции в екологична инфраструктура;</w:t>
      </w:r>
    </w:p>
    <w:p w:rsidR="004E2D70" w:rsidRPr="001E7DAF" w:rsidP="004E2D70" w14:paraId="1DCE4692" w14:textId="77777777">
      <w:pPr>
        <w:pStyle w:val="NormalHanging12a"/>
      </w:pPr>
      <w:r w:rsidRPr="001E7DAF">
        <w:t>47.</w:t>
      </w:r>
      <w:r w:rsidRPr="001E7DAF">
        <w:tab/>
        <w:t>припомня, че Молдова вече пострада сериозно от тежките последици за сигурността, икономиката и социалната сфера от пълномащабната агресивна война на Русия срещу Украйна; изразява дълбока загриженост, че понастоящем страната е сред най-тежко засегнатите от задълбочаващата се световна икономическа и енергийна криза в резултат на продължаващата война в Близкия Изток; призовава ЕС и неговите държави членки да демонстрират непрекъсната и непоколебима солидарност с Молдова и да предоставят необходимата подкрепа, за да спомогнат за смекчаване на въздействието на тези припокриващи се външни сътресения върху нейните граждани и икономика;</w:t>
      </w:r>
    </w:p>
    <w:p w:rsidR="004E2D70" w:rsidRPr="001E7DAF" w:rsidP="004E2D70" w14:paraId="0D760B49" w14:textId="77777777">
      <w:pPr>
        <w:pStyle w:val="Normal12a"/>
      </w:pPr>
      <w:r w:rsidRPr="001E7DAF">
        <w:rPr>
          <w:b/>
          <w:i/>
        </w:rPr>
        <w:t>Сътрудничество в общата външна политика и политика на сигурност и напредък по отношение на уреждането на конфликта в Приднестровието</w:t>
      </w:r>
    </w:p>
    <w:p w:rsidR="004E2D70" w:rsidRPr="001E7DAF" w:rsidP="004E2D70" w14:paraId="049BA47F" w14:textId="77777777">
      <w:pPr>
        <w:pStyle w:val="NormalHanging12a"/>
      </w:pPr>
      <w:r w:rsidRPr="001E7DAF">
        <w:t>48.</w:t>
      </w:r>
      <w:r w:rsidRPr="001E7DAF">
        <w:tab/>
        <w:t xml:space="preserve">поздравява Молдова за последователното ѝ сътрудничество по въпроси на външната политика и за усилията ѝ за пълно привеждане на своите позиции в съответствие с позициите на общата външна политика и политика на сигурност на ЕС; отбелязва, че степента на привеждане на Молдова в съответствие с външната политика и политиката на сигурност и отбрана на ЕС, включително отразяването на санкциите на ЕС срещу Русия, е била 88 %; приканва страната да продължи да подобрява това привеждане в съответствие, включително по отношение на ограничителните мерки срещу Русия, и да продължи да оказва сътрудничество за предотвратяване на заобикалянето на санкциите срещу Русия и Беларус, свързани с агресивната война на Русия срещу Украйна; поздравява Молдова за приемането на най-голям брой разселени украинци на глава от населението и за справянето със значителния социален, икономически и административен натиск в резултат на големия приток на бежанци; приветства засиленото участие на Молдова в мисии и операции на ЕС в рамките на общата политика за сигурност и отбрана на ЕС, като например операция </w:t>
      </w:r>
      <w:r w:rsidRPr="001E7DAF">
        <w:t>Althea</w:t>
      </w:r>
      <w:r w:rsidRPr="001E7DAF">
        <w:t xml:space="preserve"> в Босна и Херцеговина и мисията на ЕС за обучение в Сомалия;</w:t>
      </w:r>
    </w:p>
    <w:p w:rsidR="004E2D70" w:rsidRPr="001E7DAF" w:rsidP="004E2D70" w14:paraId="62025FB8" w14:textId="77777777">
      <w:pPr>
        <w:pStyle w:val="NormalHanging12a"/>
      </w:pPr>
      <w:r w:rsidRPr="001E7DAF">
        <w:t>49.</w:t>
      </w:r>
      <w:r w:rsidRPr="001E7DAF">
        <w:tab/>
        <w:t>признава ролята на тристранното сътрудничество между Молдова, Румъния и Украйна („Триъгълника от Одеса“) за укрепване на регионалната сигурност, постигане на напредък в процеса на интеграция на Молдова и Украйна в ЕС, подобряване на свързаността на тези държави с ЕС и борба с хибридните заплахи от Руската федерация, включително дезинформацията и чуждестранното манипулиране на информация, кибератаките и енергийните заплахи;</w:t>
      </w:r>
    </w:p>
    <w:p w:rsidR="004E2D70" w:rsidRPr="001E7DAF" w:rsidP="004E2D70" w14:paraId="101F0FE8" w14:textId="77777777">
      <w:pPr>
        <w:pStyle w:val="NormalHanging12a"/>
      </w:pPr>
      <w:r w:rsidRPr="001E7DAF">
        <w:t>50.</w:t>
      </w:r>
      <w:r w:rsidRPr="001E7DAF">
        <w:tab/>
        <w:t>посреща със задоволство удължаването на мандата на EUPM в Република Молдова до 31 май 2027 г. и призовава държавите членки да предоставят необходимите експерти и финансови ресурси; насърчава ЕС да продължи да подкрепя издръжливостта и подготвеността на Молдова, например срещу безпрецедентната руска намеса, чрез EUPM, екипите за бързо реагиране при хибридни заплахи, екипите за бързо реагиране при кибератаки и резерва за киберсигурност;</w:t>
      </w:r>
    </w:p>
    <w:p w:rsidR="004E2D70" w:rsidRPr="001E7DAF" w:rsidP="004E2D70" w14:paraId="12B1E6A4" w14:textId="77777777">
      <w:pPr>
        <w:pStyle w:val="NormalHanging12a"/>
      </w:pPr>
      <w:r w:rsidRPr="001E7DAF">
        <w:t>51.</w:t>
      </w:r>
      <w:r w:rsidRPr="001E7DAF">
        <w:tab/>
        <w:t xml:space="preserve">подчертава, че физическите нападения срещу критична инфраструктура и провокациите в областта на сигурността систематично се придружават от кампании за чуждестранно манипулиране на информация и вмешателство, насочени към всяване на паника сред населението и подкопаване на общественото доверие в молдовските органи; поради това подчертава, че е от решаващо значение молдовските институции да разполагат със стабилни инструменти за бърза комуникация при кризи с цел ефективна борба с дезинформацията и гарантиране на бързото разпространение на фактическа информация; отбелязва по-специално стъпките, предприети през 2025 г. за повишаване на оперативния капацитет на Центъра за стратегически комуникации и борба с дезинформацията и Националната агенция за киберсигурност; призовава за стратегическо използване на наличните средства през 2027 г. и след това за укрепване на капацитета на Молдова за стратегическа комуникация, киберсигурност и противодействие на чуждестранното манипулиране на информация и вмешателство преди целевата дата за присъединяване; призовава ЕС да приложи опита, натрупан в Молдова по отношение на защитата на изборния процес и демократичните институции и борбата с чуждестранното манипулиране на информация и вмешателство, в самия ЕС и в други страни кандидатки; във връзка с това приветства усилията, положени от обществените радио- и телевизионни </w:t>
      </w:r>
      <w:r w:rsidRPr="001E7DAF">
        <w:t>оператори на държавите членки за предоставяне на основано на факти съдържание на молдовската общественост;</w:t>
      </w:r>
    </w:p>
    <w:p w:rsidR="004E2D70" w:rsidRPr="001E7DAF" w:rsidP="004E2D70" w14:paraId="4DE9CD43" w14:textId="77777777">
      <w:pPr>
        <w:pStyle w:val="NormalHanging12a"/>
      </w:pPr>
      <w:r w:rsidRPr="001E7DAF">
        <w:t>52.</w:t>
      </w:r>
      <w:r w:rsidRPr="001E7DAF">
        <w:tab/>
        <w:t xml:space="preserve">изразява загриженост относно </w:t>
      </w:r>
      <w:r w:rsidRPr="001E7DAF">
        <w:t>инструментализирането</w:t>
      </w:r>
      <w:r w:rsidRPr="001E7DAF">
        <w:t xml:space="preserve"> на религиозни структури за политически цели в съответствие с руската военна доктрина и националната стратегия за сигурност, включително опитите за оказване на влияние върху общественото мнение и изборните процеси по начини, които могат да подкопаят европейския път на Молдова; призовава органите на Молдова да гарантират пълното зачитане на свободата на религията, като същевременно предотвратяват всяка неправомерна външна намеса или манипулиране, които биха могли да засегнат демократичните процеси и стратегическата насока на страната; решително осъжда използването на свързаната с Москва митрополия на </w:t>
      </w:r>
      <w:r w:rsidRPr="001E7DAF">
        <w:t>Кишинеу</w:t>
      </w:r>
      <w:r w:rsidRPr="001E7DAF">
        <w:t xml:space="preserve"> и цяла Молдова, под юрисдикцията на руската православна църква, като оръдие за ръководена от Кремъл дезинформация, намеса в избори и хибридно влияние в Република Молдова;</w:t>
      </w:r>
    </w:p>
    <w:p w:rsidR="004E2D70" w:rsidRPr="001E7DAF" w:rsidP="004E2D70" w14:paraId="1D745936" w14:textId="77777777">
      <w:pPr>
        <w:pStyle w:val="NormalHanging12a"/>
      </w:pPr>
      <w:r w:rsidRPr="001E7DAF">
        <w:t>53.</w:t>
      </w:r>
      <w:r w:rsidRPr="001E7DAF">
        <w:tab/>
        <w:t>отново изразява пълната си ангажираност по отношение на териториалната цялост на Молдова и мирното разрешаване на конфликта въз основа на суверенитета и териториалната цялост на Молдова в рамките на нейните международно признати граници; насърчава Молдова да продължи да полага усилия за реинтеграция и призовава Руската федерация да изпълни международните си задължения, като гарантира незабавното и безусловно изтегляне от Приднестровския регион на целия си военен персонал, оборудване и боеприпаси, чието присъствие там представлява тежко нарушение на международното право и пряка заплаха за сигурността на Молдова и за по-широкото европейско съседство;</w:t>
      </w:r>
    </w:p>
    <w:p w:rsidR="004E2D70" w:rsidRPr="001E7DAF" w:rsidP="004E2D70" w14:paraId="138F263D" w14:textId="77777777">
      <w:pPr>
        <w:pStyle w:val="NormalHanging12a"/>
      </w:pPr>
      <w:r w:rsidRPr="001E7DAF">
        <w:t>54.</w:t>
      </w:r>
      <w:r w:rsidRPr="001E7DAF">
        <w:tab/>
        <w:t>подкрепя постепенния подход на молдовските органи към реинтеграцията на страната, със силен акцент върху осезаемите социално-икономически ползи за гражданите по двата бряга на реката; призовава ЕС активно да допринася за мирния процес на реинтеграция, включително чрез значим принос към Фонда за конвергенция, който ще подкрепи постепенното привеждане на Приднестровския регион в съответствие с правната, икономическата и социалната рамка на Молдова и ще осигури конкретни подобрения в обществените услуги и местната инфраструктура за гражданите;</w:t>
      </w:r>
    </w:p>
    <w:p w:rsidR="004E2D70" w:rsidRPr="001E7DAF" w:rsidP="004E2D70" w14:paraId="75BABFC8" w14:textId="77777777">
      <w:pPr>
        <w:pStyle w:val="NormalHanging12a"/>
      </w:pPr>
      <w:r w:rsidRPr="001E7DAF">
        <w:t>55.</w:t>
      </w:r>
      <w:r w:rsidRPr="001E7DAF">
        <w:tab/>
        <w:t>отбелязва със загриженост продължаващите опити на Русия да използва и подклажда напрежението между автономната териториална единица Гагаузия и молдовските органи; подкрепя и насърчава продължаващите усилия на молдовското правителство за превъзмогване на тези предизвикателства чрез конструктивен диалог и приобщаващи реформи; настоятелно призовава регионалните органи да участват в този диалог добросъвестно и да се погрижат за правилното организиране на свободни, честни, прозрачни и законни избори в региона при пълно спазване на молдовските закони; отново заявява, че стабилните отношения на сътрудничество между столицата и регионите са от съществено значение за вътрешната стабилност на Молдова и нейния непрекъснат напредък по пътя на присъединяването ѝ към ЕС;</w:t>
      </w:r>
    </w:p>
    <w:p w:rsidR="004E2D70" w:rsidRPr="001E7DAF" w:rsidP="004E2D70" w14:paraId="185C62C1" w14:textId="77777777">
      <w:pPr>
        <w:pStyle w:val="NormalHanging12a"/>
      </w:pPr>
      <w:r w:rsidRPr="001E7DAF">
        <w:t>56.</w:t>
      </w:r>
      <w:r w:rsidRPr="001E7DAF">
        <w:tab/>
        <w:t xml:space="preserve">посреща със задоволство решението на Молдова да се оттегли от доминираната от Русия Общност на независимите държави като суверенен и стратегически избор, отразяващ необратимия европейски път, избран от страната; призовава да се обърне внимание на наследството от съветския период, например чрез </w:t>
      </w:r>
      <w:r w:rsidRPr="001E7DAF">
        <w:t>декласифициране</w:t>
      </w:r>
      <w:r w:rsidRPr="001E7DAF">
        <w:t xml:space="preserve"> на архивите на бившите съветски служби за сигурност, и насърчава обсъждането на присъствието на съветски пропагандни символи на обществени места;</w:t>
      </w:r>
    </w:p>
    <w:p w:rsidR="004E2D70" w:rsidRPr="001E7DAF" w:rsidP="004E2D70" w14:paraId="2B454CC6" w14:textId="77777777">
      <w:pPr>
        <w:pStyle w:val="NormalHanging12a"/>
      </w:pPr>
      <w:r w:rsidRPr="001E7DAF">
        <w:t>57.</w:t>
      </w:r>
      <w:r w:rsidRPr="001E7DAF">
        <w:tab/>
        <w:t>решително осъжда многократните неразрешени нахлувания на руски безпилотни летателни апарати във въздушното пространство и територията на Молдова от 2022 г. насам, които представляват сериозно нарушение на суверенитета и териториалната цялост на Молдова; подчертава, че подобни действия представляват пряк риск за гражданската безопасност, сигурността и регионалната стабилност, и отново изтъква необходимостта от стриктно спазване на международното право; в този контекст подчертава решаващото значение на инвестициите в инфраструктура за въздушно наблюдение и защита;</w:t>
      </w:r>
    </w:p>
    <w:p w:rsidR="004E2D70" w:rsidRPr="001E7DAF" w:rsidP="004E2D70" w14:paraId="1C9F066C" w14:textId="77777777">
      <w:pPr>
        <w:pStyle w:val="NormalHanging12a"/>
      </w:pPr>
      <w:r w:rsidRPr="001E7DAF">
        <w:t>58.</w:t>
      </w:r>
      <w:r w:rsidRPr="001E7DAF">
        <w:tab/>
        <w:t>посреща със задоволство продължаващата подкрепа за въоръжените сили на Молдова по линия на Европейския механизъм за подкрепа на мира; отново призовава държавите членки да увеличат допълнително финансирането за Молдова по линия на Европейския механизъм за подкрепа на мира, за да се подобрят отбранителните способности на страната с оглед на настоящите заплахи за сигурността; призовава Комисията, в координация с ЕСВД, да гарантира по-структурирана, предвидима и засилена подкрепа за увеличаване на капацитета за сигурност и отбрана на Република Молдова и привеждането му в съответствие със стандартите за сигурност на ЕС като част от процеса на присъединяване; призовава за продължаване на подкрепата за модернизацията на сектора на отбраната на Молдова, включително нейните способности за противовъздушна отбрана; подчертава, че Молдова е не само потребител на сигурност, но и гарант на сигурността на ЕС, предвид стратегическото ѝ местоположение и ценният ѝ опит в реално време; приветства признаването на Молдова като държава, за която могат съвместно да се възлагат обществени поръчки за допълнителни количества отбранителни продукти в рамките на програмата за европейската отбранителна промишленост, като процентът на финансовото участие на ЕС се увеличи от 15 % на 25 %, и призовава това преференциално третиране да бъде включено в структурата за периода след 2027 г.;</w:t>
      </w:r>
    </w:p>
    <w:p w:rsidR="004E2D70" w:rsidRPr="001E7DAF" w:rsidP="004E2D70" w14:paraId="1BC62372" w14:textId="77777777">
      <w:pPr>
        <w:pStyle w:val="NormalCenter12a"/>
      </w:pPr>
      <w:r w:rsidRPr="001E7DAF">
        <w:t>°</w:t>
      </w:r>
    </w:p>
    <w:p w:rsidR="004E2D70" w:rsidRPr="001E7DAF" w:rsidP="004E2D70" w14:paraId="1B4A8776" w14:textId="77777777">
      <w:pPr>
        <w:pStyle w:val="NormalCenter12a"/>
      </w:pPr>
      <w:r w:rsidRPr="001E7DAF">
        <w:t>°</w:t>
      </w:r>
      <w:r w:rsidRPr="001E7DAF">
        <w:tab/>
        <w:t>°</w:t>
      </w:r>
    </w:p>
    <w:p w:rsidR="001E7DAF" w:rsidRPr="001E7DAF" w:rsidP="001E7DAF" w14:paraId="153B7271" w14:textId="53651A69">
      <w:pPr>
        <w:pStyle w:val="NormalHanging12a"/>
      </w:pPr>
      <w:r w:rsidRPr="001E7DAF">
        <w:t>59.</w:t>
      </w:r>
      <w:r w:rsidRPr="001E7DAF">
        <w:tab/>
        <w:t>възлага на своя председател да предаде настоящата резолюция съответно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както и на президента, правителството и парламента на Република Молдова.</w:t>
      </w:r>
    </w:p>
    <w:p w:rsidR="00E365E1" w:rsidRPr="001E7DAF" w:rsidP="004E2D70" w14:paraId="0BA77962" w14:textId="28A48206"/>
    <w:sectPr w:rsidSect="001E7DAF">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7DAF" w14:paraId="06F1A91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7DAF" w14:paraId="43EF256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7DAF" w14:paraId="14115B8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153E1" w:rsidRPr="001E7DAF" w14:paraId="11246C5B" w14:textId="77777777">
      <w:r w:rsidRPr="001E7DAF">
        <w:separator/>
      </w:r>
    </w:p>
  </w:footnote>
  <w:footnote w:type="continuationSeparator" w:id="1">
    <w:p w:rsidR="001153E1" w:rsidRPr="001E7DAF" w14:paraId="4D3AFBDE" w14:textId="77777777">
      <w:r w:rsidRPr="001E7DAF">
        <w:continuationSeparator/>
      </w:r>
    </w:p>
  </w:footnote>
  <w:footnote w:id="2">
    <w:p w:rsidR="00EE3EE6" w:rsidRPr="001E7DAF" w:rsidP="00EE3EE6" w14:paraId="6416D52A" w14:textId="4C8DFC61">
      <w:pPr>
        <w:pStyle w:val="FootnoteText"/>
        <w:ind w:left="567" w:hanging="567"/>
        <w:rPr>
          <w:sz w:val="24"/>
          <w:lang w:val="bg-BG"/>
        </w:rPr>
      </w:pPr>
      <w:r>
        <w:rPr>
          <w:rStyle w:val="FootnoteReference"/>
        </w:rPr>
        <w:footnoteRef/>
      </w:r>
      <w:r w:rsidRPr="001E7DAF">
        <w:rPr>
          <w:sz w:val="24"/>
          <w:lang w:val="bg-BG"/>
        </w:rPr>
        <w:t xml:space="preserve"> </w:t>
      </w:r>
      <w:r w:rsidRPr="001E7DAF">
        <w:rPr>
          <w:sz w:val="24"/>
          <w:lang w:val="bg-BG"/>
        </w:rPr>
        <w:tab/>
        <w:t xml:space="preserve">ОВ L, 2025/535, 21.3.2025 г., ELI: </w:t>
      </w:r>
      <w:hyperlink r:id="rId1" w:history="1">
        <w:r>
          <w:rPr>
            <w:rStyle w:val="Hyperlink"/>
            <w:sz w:val="24"/>
            <w:lang w:val="bg-BG"/>
          </w:rPr>
          <w:t>http://data.europa.eu/eli/reg/2025/535/oj</w:t>
        </w:r>
      </w:hyperlink>
      <w:r w:rsidRPr="001E7DAF">
        <w:rPr>
          <w:sz w:val="24"/>
          <w:lang w:val="bg-BG"/>
        </w:rPr>
        <w:t>.</w:t>
      </w:r>
    </w:p>
  </w:footnote>
  <w:footnote w:id="3">
    <w:p w:rsidR="00EE3EE6" w:rsidRPr="001E7DAF" w:rsidP="00EE3EE6" w14:paraId="79CA4F65" w14:textId="5CF22A64">
      <w:pPr>
        <w:pStyle w:val="FootnoteText"/>
        <w:ind w:left="567" w:hanging="567"/>
        <w:rPr>
          <w:sz w:val="24"/>
          <w:lang w:val="bg-BG"/>
        </w:rPr>
      </w:pPr>
      <w:r>
        <w:rPr>
          <w:rStyle w:val="FootnoteReference"/>
        </w:rPr>
        <w:footnoteRef/>
      </w:r>
      <w:r w:rsidRPr="001E7DAF">
        <w:rPr>
          <w:sz w:val="24"/>
          <w:lang w:val="bg-BG"/>
        </w:rPr>
        <w:t xml:space="preserve"> </w:t>
      </w:r>
      <w:r w:rsidRPr="001E7DAF">
        <w:rPr>
          <w:sz w:val="24"/>
          <w:lang w:val="bg-BG"/>
        </w:rPr>
        <w:tab/>
      </w:r>
      <w:r w:rsidRPr="001E7DAF">
        <w:rPr>
          <w:sz w:val="24"/>
          <w:lang w:val="bg-BG"/>
        </w:rPr>
        <w:t xml:space="preserve">Споразумение за асоцииране между Европейския съюз и Европейската общност за атомна енергия и техните държави членки, от една страна, и Република Молдова, от друга страна (ОВ L 260, 30.8.2014 г., стр. 4, ELI: </w:t>
      </w:r>
      <w:hyperlink r:id="rId2" w:history="1">
        <w:r>
          <w:rPr>
            <w:rStyle w:val="Hyperlink"/>
            <w:sz w:val="24"/>
            <w:lang w:val="bg-BG"/>
          </w:rPr>
          <w:t>http://data.europa.eu/eli/agree_internation/2014/492/oj</w:t>
        </w:r>
      </w:hyperlink>
      <w:r w:rsidRPr="001E7DAF">
        <w:rPr>
          <w:sz w:val="24"/>
          <w:lang w:val="bg-BG"/>
        </w:rPr>
        <w:t>).</w:t>
      </w:r>
    </w:p>
  </w:footnote>
  <w:footnote w:id="4">
    <w:p w:rsidR="00EE3EE6" w:rsidRPr="000E460C" w:rsidP="00EE3EE6" w14:paraId="2460A261" w14:textId="7912F6F8">
      <w:pPr>
        <w:pStyle w:val="FootnoteText"/>
        <w:ind w:left="567" w:hanging="567"/>
        <w:rPr>
          <w:sz w:val="24"/>
          <w:lang w:val="bg-BG"/>
        </w:rPr>
      </w:pPr>
      <w:r>
        <w:rPr>
          <w:rStyle w:val="FootnoteReference"/>
        </w:rPr>
        <w:footnoteRef/>
      </w:r>
      <w:r w:rsidRPr="001E7DAF">
        <w:rPr>
          <w:sz w:val="24"/>
          <w:lang w:val="bg-BG"/>
        </w:rPr>
        <w:t xml:space="preserve"> </w:t>
      </w:r>
      <w:r w:rsidRPr="001E7DAF">
        <w:rPr>
          <w:sz w:val="24"/>
          <w:lang w:val="bg-BG"/>
        </w:rPr>
        <w:tab/>
      </w:r>
      <w:r w:rsidRPr="001E7DAF">
        <w:rPr>
          <w:sz w:val="24"/>
          <w:lang w:val="bg-BG"/>
        </w:rPr>
        <w:t xml:space="preserve">Директива (ЕС) 2019/882 на Европейския парламент и на Съвета от 17 април 2019 г. за изискванията за достъпност на продукти и услуги (ОВ L 151, 7.6.2019 г., стр. 70, ELI: </w:t>
      </w:r>
      <w:hyperlink r:id="rId3" w:history="1">
        <w:r>
          <w:rPr>
            <w:rStyle w:val="Hyperlink"/>
            <w:sz w:val="24"/>
            <w:lang w:val="bg-BG"/>
          </w:rPr>
          <w:t>http://data.europa.eu/eli/dir/2019/882/oj</w:t>
        </w:r>
      </w:hyperlink>
      <w:r w:rsidRPr="001E7DAF">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7DAF" w14:paraId="37AACC8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7DAF" w14:paraId="54FA28D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7DAF" w14:paraId="29C0AB3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2954499">
    <w:abstractNumId w:val="9"/>
  </w:num>
  <w:num w:numId="2" w16cid:durableId="459960396">
    <w:abstractNumId w:val="9"/>
  </w:num>
  <w:num w:numId="3" w16cid:durableId="990332857">
    <w:abstractNumId w:val="7"/>
  </w:num>
  <w:num w:numId="4" w16cid:durableId="1438864444">
    <w:abstractNumId w:val="7"/>
  </w:num>
  <w:num w:numId="5" w16cid:durableId="310407544">
    <w:abstractNumId w:val="6"/>
  </w:num>
  <w:num w:numId="6" w16cid:durableId="622613323">
    <w:abstractNumId w:val="6"/>
  </w:num>
  <w:num w:numId="7" w16cid:durableId="1587418811">
    <w:abstractNumId w:val="5"/>
  </w:num>
  <w:num w:numId="8" w16cid:durableId="958150232">
    <w:abstractNumId w:val="5"/>
  </w:num>
  <w:num w:numId="9" w16cid:durableId="25719299">
    <w:abstractNumId w:val="4"/>
  </w:num>
  <w:num w:numId="10" w16cid:durableId="733966658">
    <w:abstractNumId w:val="4"/>
  </w:num>
  <w:num w:numId="11" w16cid:durableId="1314918202">
    <w:abstractNumId w:val="8"/>
  </w:num>
  <w:num w:numId="12" w16cid:durableId="1325014269">
    <w:abstractNumId w:val="8"/>
  </w:num>
  <w:num w:numId="13" w16cid:durableId="1282028577">
    <w:abstractNumId w:val="3"/>
  </w:num>
  <w:num w:numId="14" w16cid:durableId="1419058966">
    <w:abstractNumId w:val="3"/>
  </w:num>
  <w:num w:numId="15" w16cid:durableId="965890341">
    <w:abstractNumId w:val="2"/>
  </w:num>
  <w:num w:numId="16" w16cid:durableId="1755855450">
    <w:abstractNumId w:val="2"/>
  </w:num>
  <w:num w:numId="17" w16cid:durableId="633412913">
    <w:abstractNumId w:val="1"/>
  </w:num>
  <w:num w:numId="18" w16cid:durableId="1486778019">
    <w:abstractNumId w:val="1"/>
  </w:num>
  <w:num w:numId="19" w16cid:durableId="1836918295">
    <w:abstractNumId w:val="0"/>
  </w:num>
  <w:num w:numId="20" w16cid:durableId="1789205394">
    <w:abstractNumId w:val="0"/>
  </w:num>
  <w:num w:numId="21" w16cid:durableId="785123161">
    <w:abstractNumId w:val="9"/>
  </w:num>
  <w:num w:numId="22" w16cid:durableId="109016519">
    <w:abstractNumId w:val="7"/>
  </w:num>
  <w:num w:numId="23" w16cid:durableId="1585527647">
    <w:abstractNumId w:val="6"/>
  </w:num>
  <w:num w:numId="24" w16cid:durableId="1525707901">
    <w:abstractNumId w:val="5"/>
  </w:num>
  <w:num w:numId="25" w16cid:durableId="1111509273">
    <w:abstractNumId w:val="4"/>
  </w:num>
  <w:num w:numId="26" w16cid:durableId="994803205">
    <w:abstractNumId w:val="8"/>
  </w:num>
  <w:num w:numId="27" w16cid:durableId="368261017">
    <w:abstractNumId w:val="3"/>
  </w:num>
  <w:num w:numId="28" w16cid:durableId="1899975317">
    <w:abstractNumId w:val="2"/>
  </w:num>
  <w:num w:numId="29" w16cid:durableId="1942032543">
    <w:abstractNumId w:val="1"/>
  </w:num>
  <w:num w:numId="30" w16cid:durableId="393744044">
    <w:abstractNumId w:val="0"/>
  </w:num>
  <w:num w:numId="31" w16cid:durableId="1839465531">
    <w:abstractNumId w:val="9"/>
  </w:num>
  <w:num w:numId="32" w16cid:durableId="2098746901">
    <w:abstractNumId w:val="7"/>
  </w:num>
  <w:num w:numId="33" w16cid:durableId="219219212">
    <w:abstractNumId w:val="6"/>
  </w:num>
  <w:num w:numId="34" w16cid:durableId="1549151106">
    <w:abstractNumId w:val="5"/>
  </w:num>
  <w:num w:numId="35" w16cid:durableId="1856267647">
    <w:abstractNumId w:val="4"/>
  </w:num>
  <w:num w:numId="36" w16cid:durableId="1612201177">
    <w:abstractNumId w:val="8"/>
  </w:num>
  <w:num w:numId="37" w16cid:durableId="1596480144">
    <w:abstractNumId w:val="3"/>
  </w:num>
  <w:num w:numId="38" w16cid:durableId="2114008106">
    <w:abstractNumId w:val="2"/>
  </w:num>
  <w:num w:numId="39" w16cid:durableId="1405180572">
    <w:abstractNumId w:val="1"/>
  </w:num>
  <w:num w:numId="40" w16cid:durableId="1233005524">
    <w:abstractNumId w:val="0"/>
  </w:num>
  <w:num w:numId="41" w16cid:durableId="510534346">
    <w:abstractNumId w:val="10"/>
  </w:num>
  <w:num w:numId="42" w16cid:durableId="981353882">
    <w:abstractNumId w:val="10"/>
  </w:num>
  <w:num w:numId="43" w16cid:durableId="2142652597">
    <w:abstractNumId w:val="10"/>
  </w:num>
  <w:num w:numId="44" w16cid:durableId="11111709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3E1"/>
    <w:rsid w:val="00002272"/>
    <w:rsid w:val="00064002"/>
    <w:rsid w:val="000677B9"/>
    <w:rsid w:val="000831BA"/>
    <w:rsid w:val="000A42CC"/>
    <w:rsid w:val="000E460C"/>
    <w:rsid w:val="000E7DD9"/>
    <w:rsid w:val="0010095E"/>
    <w:rsid w:val="001153E1"/>
    <w:rsid w:val="00125B37"/>
    <w:rsid w:val="00187494"/>
    <w:rsid w:val="001A280C"/>
    <w:rsid w:val="001E7DAF"/>
    <w:rsid w:val="001F32AE"/>
    <w:rsid w:val="002767FF"/>
    <w:rsid w:val="002B18FE"/>
    <w:rsid w:val="002B5493"/>
    <w:rsid w:val="00343214"/>
    <w:rsid w:val="00361C00"/>
    <w:rsid w:val="00395FA1"/>
    <w:rsid w:val="003E15D4"/>
    <w:rsid w:val="00411CCE"/>
    <w:rsid w:val="0041666E"/>
    <w:rsid w:val="00421060"/>
    <w:rsid w:val="00471C19"/>
    <w:rsid w:val="00481954"/>
    <w:rsid w:val="004867E3"/>
    <w:rsid w:val="00494A28"/>
    <w:rsid w:val="004C0004"/>
    <w:rsid w:val="004C5D52"/>
    <w:rsid w:val="004E2D70"/>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2F9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08B"/>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3EE6"/>
    <w:rsid w:val="00F04346"/>
    <w:rsid w:val="00F075DC"/>
    <w:rsid w:val="00F149E9"/>
    <w:rsid w:val="00F5134D"/>
    <w:rsid w:val="00F74202"/>
    <w:rsid w:val="00F87713"/>
    <w:rsid w:val="00FB4360"/>
    <w:rsid w:val="00FD0C70"/>
  </w:rsids>
  <w:docVars>
    <w:docVar w:name="dvdocse" w:val="A10-0164/2026"/>
    <w:docVar w:name="dvlangue" w:val="BG"/>
    <w:docVar w:name="dvnumam" w:val="0"/>
    <w:docVar w:name="dvpe" w:val="782.290"/>
    <w:docVar w:name="dvrapporteur" w:val="Докладчик: "/>
    <w:docVar w:name="dvtitre" w:val="Резолюция на Европейския парламент от ... 2026 г. относно доклада на Комисията относно Молдова за 2025 г.(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BB5E73D"/>
  <w15:chartTrackingRefBased/>
  <w15:docId w15:val="{02938C4E-BDBB-4CC5-AC3B-ABD241DC5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E2D70"/>
    <w:pPr>
      <w:widowControl/>
      <w:spacing w:after="240"/>
    </w:pPr>
    <w:rPr>
      <w:szCs w:val="24"/>
      <w:lang w:eastAsia="en-US"/>
    </w:rPr>
  </w:style>
  <w:style w:type="paragraph" w:customStyle="1" w:styleId="NormalHanging12a">
    <w:name w:val="NormalHanging12a"/>
    <w:basedOn w:val="Normal"/>
    <w:rsid w:val="004E2D70"/>
    <w:pPr>
      <w:widowControl/>
      <w:spacing w:after="240"/>
      <w:ind w:left="566" w:hanging="566"/>
    </w:pPr>
    <w:rPr>
      <w:szCs w:val="24"/>
      <w:lang w:eastAsia="en-US"/>
    </w:rPr>
  </w:style>
  <w:style w:type="paragraph" w:customStyle="1" w:styleId="Normal12">
    <w:name w:val="Normal12"/>
    <w:basedOn w:val="Normal"/>
    <w:rsid w:val="004E2D70"/>
    <w:pPr>
      <w:spacing w:after="240"/>
    </w:pPr>
    <w:rPr>
      <w:szCs w:val="24"/>
      <w:lang w:eastAsia="en-US"/>
    </w:rPr>
  </w:style>
  <w:style w:type="paragraph" w:customStyle="1" w:styleId="NormalHanging">
    <w:name w:val="NormalHanging"/>
    <w:basedOn w:val="Normal"/>
    <w:rsid w:val="004E2D70"/>
    <w:pPr>
      <w:spacing w:after="240"/>
      <w:ind w:left="566" w:hanging="566"/>
    </w:pPr>
    <w:rPr>
      <w:szCs w:val="24"/>
      <w:lang w:eastAsia="en-US"/>
    </w:rPr>
  </w:style>
  <w:style w:type="paragraph" w:customStyle="1" w:styleId="NormalCenter12a">
    <w:name w:val="NormalCenter12a"/>
    <w:basedOn w:val="Normal"/>
    <w:rsid w:val="004E2D70"/>
    <w:pPr>
      <w:widowControl/>
      <w:spacing w:after="240"/>
      <w:jc w:val="center"/>
    </w:pPr>
    <w:rPr>
      <w:szCs w:val="24"/>
      <w:lang w:eastAsia="en-US"/>
    </w:rPr>
  </w:style>
  <w:style w:type="character" w:styleId="Hyperlink">
    <w:name w:val="Hyperlink"/>
    <w:basedOn w:val="DefaultParagraphFont"/>
    <w:rsid w:val="004E2D70"/>
    <w:rPr>
      <w:color w:val="0000FF"/>
      <w:u w:val="single"/>
    </w:rPr>
  </w:style>
  <w:style w:type="paragraph" w:styleId="Revision">
    <w:name w:val="Revision"/>
    <w:hidden/>
    <w:uiPriority w:val="99"/>
    <w:semiHidden/>
    <w:rsid w:val="00EE3EE6"/>
    <w:rPr>
      <w:sz w:val="24"/>
      <w:lang w:val="bg-BG"/>
    </w:rPr>
  </w:style>
  <w:style w:type="character" w:styleId="UnresolvedMention">
    <w:name w:val="Unresolved Mention"/>
    <w:basedOn w:val="DefaultParagraphFont"/>
    <w:uiPriority w:val="99"/>
    <w:semiHidden/>
    <w:unhideWhenUsed/>
    <w:rsid w:val="00EE3E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http://data.europa.eu/eli/agree_internation/2014/492/oj" TargetMode="External" /><Relationship Id="rId3"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6288</Words>
  <Characters>38869</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2026-07-08T13:26:00Z</dcterms:created>
  <dcterms:modified xsi:type="dcterms:W3CDTF">2026-07-08T13:26:00Z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A10-0164/2026</vt:lpwstr>
  </property>
  <property fmtid="{D5CDD505-2E9C-101B-9397-08002B2CF9AE}" pid="4" name="&lt;Type&gt;">
    <vt:lpwstr>RR</vt:lpwstr>
  </property>
</Properties>
</file>