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CD07BB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2522" w:rsidP="0010095E" w14:paraId="47AE188C" w14:textId="77777777">
            <w:pPr>
              <w:pStyle w:val="EPName"/>
            </w:pPr>
            <w:r w:rsidRPr="00602522">
              <w:t>Evropský parlament</w:t>
            </w:r>
          </w:p>
          <w:p w:rsidR="00751A4A" w:rsidRPr="00602522" w:rsidP="005F1B17" w14:paraId="7CF07CC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2522">
              <w:t>2024</w:t>
            </w:r>
            <w:r w:rsidRPr="00602522" w:rsidR="00817416">
              <w:t>-202</w:t>
            </w:r>
            <w:r w:rsidRPr="0060252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02522" w:rsidP="0010095E" w14:paraId="30F11C1E" w14:textId="77777777">
            <w:pPr>
              <w:pStyle w:val="EPLogo"/>
            </w:pPr>
            <w:r w:rsidRPr="0060252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2522" w:rsidP="004C5D52" w14:paraId="552827DA" w14:textId="77777777">
      <w:pPr>
        <w:pStyle w:val="LineTop"/>
      </w:pPr>
    </w:p>
    <w:p w:rsidR="00680577" w:rsidRPr="00602522" w:rsidP="00680577" w14:paraId="008DAB65" w14:textId="77777777">
      <w:pPr>
        <w:pStyle w:val="EPBodyTA1"/>
      </w:pPr>
      <w:r w:rsidRPr="00602522">
        <w:t>PŘIJATÉ TEXTY</w:t>
      </w:r>
    </w:p>
    <w:p w:rsidR="00D058B8" w:rsidRPr="00602522" w:rsidP="00D058B8" w14:paraId="55F4E2F5" w14:textId="77777777">
      <w:pPr>
        <w:pStyle w:val="LineBottom"/>
      </w:pPr>
    </w:p>
    <w:p w:rsidR="00F37F13" w:rsidRPr="00CD0657" w:rsidP="00F37F13" w14:paraId="2EB3C3B9" w14:textId="7CAEB0C6">
      <w:pPr>
        <w:pStyle w:val="ATHeading1"/>
      </w:pPr>
      <w:bookmarkStart w:id="0" w:name="TANumber"/>
      <w:r w:rsidRPr="00CD0657">
        <w:t>P10_</w:t>
      </w:r>
      <w:r w:rsidRPr="00CD0657">
        <w:t>TA(</w:t>
      </w:r>
      <w:r w:rsidRPr="00CD0657">
        <w:t>2026)0</w:t>
      </w:r>
      <w:r w:rsidR="002C2C21">
        <w:t>26</w:t>
      </w:r>
      <w:r w:rsidRPr="00CD0657">
        <w:t>0</w:t>
      </w:r>
      <w:bookmarkEnd w:id="0"/>
    </w:p>
    <w:p w:rsidR="00F37F13" w:rsidRPr="00CD0657" w:rsidP="00F37F13" w14:paraId="416852AB" w14:textId="77777777">
      <w:pPr>
        <w:pStyle w:val="ATHeading2"/>
      </w:pPr>
      <w:bookmarkStart w:id="1" w:name="title"/>
      <w:r w:rsidRPr="00CD0657">
        <w:t>Zpráva Komise o Moldavsku za rok 2025</w:t>
      </w:r>
      <w:bookmarkEnd w:id="1"/>
    </w:p>
    <w:p w:rsidR="00F37F13" w:rsidRPr="00602522" w:rsidP="00F37F13" w14:paraId="5A384861" w14:textId="77777777">
      <w:pPr>
        <w:rPr>
          <w:i/>
          <w:vanish/>
        </w:rPr>
      </w:pPr>
      <w:r>
        <w:rPr>
          <w:i/>
        </w:rPr>
        <w:fldChar w:fldCharType="begin"/>
      </w:r>
      <w:r w:rsidRPr="00602522">
        <w:rPr>
          <w:i/>
        </w:rPr>
        <w:instrText xml:space="preserve"> TC"(</w:instrText>
      </w:r>
      <w:bookmarkStart w:id="2" w:name="DocNumber"/>
      <w:r w:rsidRPr="00602522">
        <w:rPr>
          <w:i/>
        </w:rPr>
        <w:instrText>A10-0164/2026</w:instrText>
      </w:r>
      <w:bookmarkEnd w:id="2"/>
      <w:r w:rsidRPr="00602522">
        <w:rPr>
          <w:i/>
        </w:rPr>
        <w:instrText xml:space="preserve"> - Zpravodaj: Sven </w:instrText>
      </w:r>
      <w:r w:rsidRPr="00602522">
        <w:rPr>
          <w:i/>
        </w:rPr>
        <w:instrText>Mikser</w:instrText>
      </w:r>
      <w:r w:rsidRPr="0060252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37F13" w:rsidRPr="00602522" w:rsidP="00F37F13" w14:paraId="3C3D9E69" w14:textId="77777777">
      <w:pPr>
        <w:rPr>
          <w:vanish/>
        </w:rPr>
      </w:pPr>
      <w:bookmarkStart w:id="3" w:name="Commission"/>
      <w:r w:rsidRPr="00602522">
        <w:rPr>
          <w:vanish/>
        </w:rPr>
        <w:t>Výbor pro zahraniční věci</w:t>
      </w:r>
      <w:bookmarkEnd w:id="3"/>
    </w:p>
    <w:p w:rsidR="00F37F13" w:rsidRPr="00602522" w:rsidP="00F37F13" w14:paraId="22F2EE93" w14:textId="77777777">
      <w:pPr>
        <w:rPr>
          <w:vanish/>
        </w:rPr>
      </w:pPr>
      <w:bookmarkStart w:id="4" w:name="PE"/>
      <w:r w:rsidRPr="00602522">
        <w:rPr>
          <w:vanish/>
        </w:rPr>
        <w:t>PE782.290</w:t>
      </w:r>
      <w:bookmarkEnd w:id="4"/>
    </w:p>
    <w:p w:rsidR="00F37F13" w:rsidRPr="00CD0657" w:rsidP="00F37F13" w14:paraId="5CB73B5E" w14:textId="77777777">
      <w:pPr>
        <w:pStyle w:val="ATHeading3"/>
      </w:pPr>
      <w:bookmarkStart w:id="5" w:name="Sujet"/>
      <w:r w:rsidRPr="00CD0657">
        <w:t>Usnesení Evropského parlamentu ze dne 8. července 2026 o zprávě Komise o Moldavsku za rok 2025</w:t>
      </w:r>
      <w:bookmarkEnd w:id="5"/>
      <w:r w:rsidRPr="00CD0657">
        <w:t xml:space="preserve"> </w:t>
      </w:r>
      <w:bookmarkStart w:id="6" w:name="References"/>
      <w:r w:rsidRPr="00CD0657">
        <w:t>(2025/2258(INI))</w:t>
      </w:r>
      <w:bookmarkEnd w:id="6"/>
    </w:p>
    <w:p w:rsidR="00FD2BA9" w:rsidRPr="00602522" w:rsidP="00CD0657" w14:paraId="2D6CD425" w14:textId="77777777">
      <w:pPr>
        <w:pStyle w:val="Normal12"/>
        <w:spacing w:before="480"/>
      </w:pPr>
      <w:r w:rsidRPr="00CD0657">
        <w:rPr>
          <w:i/>
          <w:iCs/>
        </w:rPr>
        <w:t>Evropský parlament</w:t>
      </w:r>
      <w:r w:rsidRPr="00602522">
        <w:t>,</w:t>
      </w:r>
    </w:p>
    <w:p w:rsidR="00FD2BA9" w:rsidRPr="00602522" w:rsidP="00602522" w14:paraId="43135068" w14:textId="171BB244">
      <w:pPr>
        <w:pStyle w:val="NormalHanging"/>
      </w:pPr>
      <w:r w:rsidRPr="00602522">
        <w:t>–</w:t>
      </w:r>
      <w:r w:rsidRPr="00602522">
        <w:tab/>
        <w:t>s ohledem na sdělení Komise ze dne 4. listopadu 2025 nazvané „Sdělení o politice rozšíření EU pro rok 2025“ (</w:t>
      </w:r>
      <w:r w:rsidRPr="00CD0657" w:rsidR="00602522">
        <w:t>COM(</w:t>
      </w:r>
      <w:r w:rsidRPr="00CD0657" w:rsidR="00602522">
        <w:t>2025)0690</w:t>
      </w:r>
      <w:r w:rsidRPr="00602522">
        <w:t>), které je doprovázeno pracovním dokumentem útvarů Komise ze dne 4. listopadu 2025 nazvaným „Zpráva o Moldavské republice za rok 2025“ (SWD(2025)0758),</w:t>
      </w:r>
    </w:p>
    <w:p w:rsidR="00FD2BA9" w:rsidRPr="00602522" w:rsidP="00602522" w14:paraId="57006BC3" w14:textId="6C79EF07">
      <w:pPr>
        <w:pStyle w:val="NormalHanging"/>
      </w:pPr>
      <w:r w:rsidRPr="00602522">
        <w:t>–</w:t>
      </w:r>
      <w:r w:rsidRPr="00602522">
        <w:tab/>
        <w:t>s ohledem na nařízení Evropského parlamentu a Rady (EU) 2025/535 ze dne 18. března 2025 o zřízení Nástroje pro reformy a růst pro Moldavskou republiku</w:t>
      </w:r>
      <w:r>
        <w:rPr>
          <w:rStyle w:val="FootnoteReference"/>
        </w:rPr>
        <w:footnoteReference w:id="2"/>
      </w:r>
      <w:r w:rsidRPr="00602522">
        <w:t>,</w:t>
      </w:r>
    </w:p>
    <w:p w:rsidR="00FD2BA9" w:rsidRPr="00602522" w:rsidP="00602522" w14:paraId="46330AB4" w14:textId="77777777">
      <w:pPr>
        <w:pStyle w:val="NormalHanging"/>
      </w:pPr>
      <w:r w:rsidRPr="00602522">
        <w:t>–</w:t>
      </w:r>
      <w:r w:rsidRPr="00602522">
        <w:tab/>
        <w:t>s ohledem na program reforem v rámci plánu růstu Moldavské republiky (dále jen „Moldavsko“) na období 2025–2027,</w:t>
      </w:r>
    </w:p>
    <w:p w:rsidR="00FD2BA9" w:rsidRPr="00602522" w:rsidP="00602522" w14:paraId="2F2E86B0" w14:textId="77777777">
      <w:pPr>
        <w:pStyle w:val="NormalHanging"/>
      </w:pPr>
      <w:r w:rsidRPr="00602522">
        <w:t>–</w:t>
      </w:r>
      <w:r w:rsidRPr="00602522">
        <w:tab/>
        <w:t>s ohledem na svá předchozí usnesení o Moldavsku,</w:t>
      </w:r>
    </w:p>
    <w:p w:rsidR="00FD2BA9" w:rsidRPr="00602522" w:rsidP="00602522" w14:paraId="26F1EBF9" w14:textId="77777777">
      <w:pPr>
        <w:pStyle w:val="NormalHanging"/>
      </w:pPr>
      <w:r w:rsidRPr="00602522">
        <w:t>–</w:t>
      </w:r>
      <w:r w:rsidRPr="00602522">
        <w:tab/>
        <w:t>s ohledem na závěry Evropské rady ze dne 26. června 2025 o Moldavsku,</w:t>
      </w:r>
    </w:p>
    <w:p w:rsidR="00FD2BA9" w:rsidRPr="00602522" w:rsidP="00602522" w14:paraId="29F687B9" w14:textId="77777777">
      <w:pPr>
        <w:pStyle w:val="NormalHanging"/>
      </w:pPr>
      <w:r w:rsidRPr="00602522">
        <w:t>–</w:t>
      </w:r>
      <w:r w:rsidRPr="00602522">
        <w:tab/>
        <w:t>s ohledem na závěry předsednictví Rady ze dne 16. prosince 2025 o rozšíření,</w:t>
      </w:r>
    </w:p>
    <w:p w:rsidR="00FD2BA9" w:rsidRPr="00602522" w:rsidP="00602522" w14:paraId="71C19CFF" w14:textId="75054955">
      <w:pPr>
        <w:pStyle w:val="NormalHanging"/>
      </w:pPr>
      <w:r w:rsidRPr="00602522">
        <w:t>–</w:t>
      </w:r>
      <w:r w:rsidRPr="00602522">
        <w:tab/>
        <w:t xml:space="preserve">s ohledem na společné prohlášení vydané po </w:t>
      </w:r>
      <w:r w:rsidR="00D75FAE">
        <w:t>druhém</w:t>
      </w:r>
      <w:r w:rsidRPr="00602522">
        <w:t xml:space="preserve"> summitu Evropské unie a Moldavské republiky, který se konal dne </w:t>
      </w:r>
      <w:r w:rsidR="00D75FAE">
        <w:t>22</w:t>
      </w:r>
      <w:r w:rsidRPr="00602522">
        <w:t>. červ</w:t>
      </w:r>
      <w:r w:rsidR="00D75FAE">
        <w:t>na</w:t>
      </w:r>
      <w:r w:rsidRPr="00602522">
        <w:t xml:space="preserve"> 202</w:t>
      </w:r>
      <w:r w:rsidR="00D75FAE">
        <w:t>6</w:t>
      </w:r>
      <w:r w:rsidRPr="00602522">
        <w:t>,</w:t>
      </w:r>
    </w:p>
    <w:p w:rsidR="00FD2BA9" w:rsidRPr="00602522" w:rsidP="00602522" w14:paraId="2BB0C5D8" w14:textId="77777777">
      <w:pPr>
        <w:pStyle w:val="NormalHanging"/>
      </w:pPr>
      <w:r w:rsidRPr="00602522">
        <w:t>–</w:t>
      </w:r>
      <w:r w:rsidRPr="00602522">
        <w:tab/>
        <w:t>s ohledem na výsledky devátého zasedání Rady přidružení EU–Moldavská republika, které se konalo dne 4. června 2025,</w:t>
      </w:r>
    </w:p>
    <w:p w:rsidR="00FD2BA9" w:rsidRPr="00602522" w:rsidP="00602522" w14:paraId="37A2B5D4" w14:textId="77777777">
      <w:pPr>
        <w:pStyle w:val="NormalHanging"/>
      </w:pPr>
      <w:r w:rsidRPr="00602522">
        <w:t>–</w:t>
      </w:r>
      <w:r w:rsidRPr="00602522">
        <w:tab/>
        <w:t>s ohledem na obnovené memorandum o porozumění mezi Evropským parlamentem a Parlamentem Moldavské republiky, které bylo podepsáno dne 18. března 2026,</w:t>
      </w:r>
    </w:p>
    <w:p w:rsidR="00FD2BA9" w:rsidRPr="00602522" w:rsidP="00602522" w14:paraId="78264EFE" w14:textId="77777777">
      <w:pPr>
        <w:pStyle w:val="NormalHanging"/>
      </w:pPr>
      <w:r w:rsidRPr="00602522">
        <w:t>–</w:t>
      </w:r>
      <w:r w:rsidRPr="00602522">
        <w:tab/>
        <w:t>s ohledem na článek 55 jednacího řádu,</w:t>
      </w:r>
    </w:p>
    <w:p w:rsidR="00FD2BA9" w:rsidRPr="00602522" w:rsidP="00602522" w14:paraId="70B16353" w14:textId="77777777">
      <w:pPr>
        <w:pStyle w:val="NormalHanging"/>
      </w:pPr>
      <w:r w:rsidRPr="00602522">
        <w:t>–</w:t>
      </w:r>
      <w:r w:rsidRPr="00602522">
        <w:tab/>
        <w:t>s ohledem na zprávu Výboru pro zahraniční věci (A10-0164/2026),</w:t>
      </w:r>
    </w:p>
    <w:p w:rsidR="00FD2BA9" w:rsidRPr="00602522" w:rsidP="00602522" w14:paraId="603C6D7F" w14:textId="7B8743D0">
      <w:pPr>
        <w:pStyle w:val="NormalHanging"/>
      </w:pPr>
      <w:r w:rsidRPr="00602522">
        <w:t>A.</w:t>
      </w:r>
      <w:r w:rsidRPr="00602522">
        <w:tab/>
        <w:t>vzhledem k tomu, že dne 22. září 2025 Moldavsko dokončilo dvoustranný proces prověřování, který byl zahájen dne 10. července 2024; vzhledem k tomu, že Moldavsko je připraveno formálně zahájit vyjednávání o všech šesti tematických okruzích jednání o přistoupení k EU</w:t>
      </w:r>
      <w:r w:rsidRPr="00D75FAE" w:rsidR="00D75FAE">
        <w:t>; vzhledem k tomu, že jednání o tematickém okruhu 1 (Základní zásady) byla formálně zahájena dne 15. června 2026</w:t>
      </w:r>
      <w:r w:rsidRPr="00602522">
        <w:t>;</w:t>
      </w:r>
    </w:p>
    <w:p w:rsidR="00FD2BA9" w:rsidRPr="00602522" w:rsidP="00602522" w14:paraId="09419534" w14:textId="77777777">
      <w:pPr>
        <w:pStyle w:val="NormalHanging"/>
      </w:pPr>
      <w:r w:rsidRPr="00602522">
        <w:t>B.</w:t>
      </w:r>
      <w:r w:rsidRPr="00602522">
        <w:tab/>
        <w:t>vzhledem k tomu, že moldavská vláda naznačila, že má ambiciózní, ale dosažitelný cíl předběžně uzavřít přístupová jednání do začátku roku 2028 a vstoupit do Evropské unie do roku 2030;</w:t>
      </w:r>
    </w:p>
    <w:p w:rsidR="00FD2BA9" w:rsidRPr="00602522" w:rsidP="00602522" w14:paraId="3405AD3B" w14:textId="77777777">
      <w:pPr>
        <w:pStyle w:val="NormalHanging"/>
      </w:pPr>
      <w:r w:rsidRPr="00602522">
        <w:t>C.</w:t>
      </w:r>
      <w:r w:rsidRPr="00602522">
        <w:tab/>
        <w:t>vzhledem k tomu, že dne 28. září 2025 se v Moldavsku konaly parlamentní volby, v nichž získala většinu proevropská strana a které potvrdily touhu moldavského lidu po evropské budoucnosti této země, a to navzdory bezprecedentnímu zahraničnímu vměšování ze strany Ruska a jeho zástupných aktérů, na které byly podle oficiálních moldavských představitelů vynaloženy prostředky, jež odpovídají 2 % moldavského hrubého domácího produktu, tedy částce 350 milionů EUR;</w:t>
      </w:r>
    </w:p>
    <w:p w:rsidR="00FD2BA9" w:rsidRPr="00602522" w:rsidP="00602522" w14:paraId="58D372E5" w14:textId="77777777">
      <w:pPr>
        <w:pStyle w:val="NormalHanging"/>
      </w:pPr>
      <w:r w:rsidRPr="00602522">
        <w:t>D.</w:t>
      </w:r>
      <w:r w:rsidRPr="00602522">
        <w:tab/>
        <w:t>vzhledem k tomu, že Moldavsko vede s Komisí technická jednání o všech šesti tematických okruzích jednání o přistoupení k EU;</w:t>
      </w:r>
    </w:p>
    <w:p w:rsidR="00FD2BA9" w:rsidRPr="00602522" w:rsidP="00602522" w14:paraId="42EB9974" w14:textId="77777777">
      <w:pPr>
        <w:pStyle w:val="NormalHanging"/>
      </w:pPr>
      <w:r w:rsidRPr="00602522">
        <w:t>E.</w:t>
      </w:r>
      <w:r w:rsidRPr="00602522">
        <w:tab/>
        <w:t>vzhledem k tomu, že základem politického přidružení mezi EU a Moldavskem a jejich vzájemné ekonomické integrace zůstává dohoda o přidružení, jejíž součástí je prohloubená a komplexní zóna volného obchodu, a že mezi oběma stranami probíhá pravidelný politický a ekonomický dialog;</w:t>
      </w:r>
    </w:p>
    <w:p w:rsidR="00FD2BA9" w:rsidRPr="00602522" w:rsidP="00602522" w14:paraId="636ABDF2" w14:textId="77777777">
      <w:pPr>
        <w:pStyle w:val="NormalHanging"/>
      </w:pPr>
      <w:r w:rsidRPr="00602522">
        <w:t>F.</w:t>
      </w:r>
      <w:r w:rsidRPr="00602522">
        <w:tab/>
        <w:t xml:space="preserve">vzhledem k tomu, že dne 19. ledna 2026 moldavská vláda oznámila svůj záměr formálně vystoupit ze Společenství nezávislých států, dne 2. dubna 2026 moldavský parlament v konečném čtení oficiálně schválil právní předpisy, které odsuzují zakládající dokumenty této organizace, a dne 6. dubna 2026 prezidentka Maia </w:t>
      </w:r>
      <w:r w:rsidRPr="00602522">
        <w:t>Sanduová</w:t>
      </w:r>
      <w:r w:rsidRPr="00602522">
        <w:t xml:space="preserve"> podepsala dekret schvalující tento zákon;</w:t>
      </w:r>
    </w:p>
    <w:p w:rsidR="00FD2BA9" w:rsidRPr="00602522" w:rsidP="00603B99" w14:paraId="1105DFB5" w14:textId="77777777">
      <w:pPr>
        <w:pStyle w:val="Normal12a"/>
      </w:pPr>
      <w:r w:rsidRPr="00602522">
        <w:rPr>
          <w:b/>
          <w:i/>
        </w:rPr>
        <w:t>Pokrok reforem souvisejících s přistoupením k EU, zejména v oblasti právního státu a správy věcí veřejných</w:t>
      </w:r>
    </w:p>
    <w:p w:rsidR="00FD2BA9" w:rsidRPr="00602522" w:rsidP="00602522" w14:paraId="2963E0B9" w14:textId="77777777">
      <w:pPr>
        <w:pStyle w:val="NormalHanging12a"/>
      </w:pPr>
      <w:r w:rsidRPr="00602522">
        <w:t>1.</w:t>
      </w:r>
      <w:r w:rsidRPr="00602522">
        <w:tab/>
        <w:t>vyjadřuje uznání Moldavsku za jeho trvalé příkladné odhodlání přistoupit k EU a za jeho vytrvalý pokrok v souvisejících reformách navzdory významným vnitřním a vnějším výzvám, jako je např. neustálé nepřátelské vměšování Ruska; vítá hodnocení Komise, že Moldavsko učinilo pokrok ve všech kapitolách a dosáhlo největšího ročního pokroku z kandidátských zemí; domnívá se, že tento pokrok je zvláště pozoruhodný vzhledem k mimořádnému geopolitickému tlaku, pod nímž musí tato země fungovat; vybízí Moldavsko, aby si udrželo toto tempo reforem, aby se pokrok promítl do hmatatelných přínosů pro občany a podniky a aby se posílil hospodářský rozvoj, odolnost a konvergence s Evropskou unií v souladu s jeho deklarovaným cílem předběžně uzavřít přístupová jednání do začátku roku 2028;</w:t>
      </w:r>
    </w:p>
    <w:p w:rsidR="00FD2BA9" w:rsidRPr="00602522" w:rsidP="00602522" w14:paraId="77B0D4FF" w14:textId="66DB34AB">
      <w:pPr>
        <w:pStyle w:val="NormalHanging12a"/>
      </w:pPr>
      <w:r w:rsidRPr="00602522">
        <w:t>2.</w:t>
      </w:r>
      <w:r w:rsidRPr="00602522">
        <w:tab/>
        <w:t xml:space="preserve">vítá </w:t>
      </w:r>
      <w:r w:rsidRPr="007C1F1B" w:rsidR="007C1F1B">
        <w:t>zahájení přístupových jednání o tematickém okruhu 1 (Základní zásady) dne 15.</w:t>
      </w:r>
      <w:r w:rsidRPr="00602522" w:rsidR="007C1F1B">
        <w:t> </w:t>
      </w:r>
      <w:r w:rsidRPr="007C1F1B" w:rsidR="007C1F1B">
        <w:t xml:space="preserve">června 2026 po </w:t>
      </w:r>
      <w:r w:rsidRPr="00602522">
        <w:t>úspěšné</w:t>
      </w:r>
      <w:r w:rsidR="00606F3B">
        <w:t>m</w:t>
      </w:r>
      <w:r w:rsidRPr="00602522">
        <w:t xml:space="preserve"> dokončení dvoustranného procesu prověřování </w:t>
      </w:r>
      <w:r w:rsidR="00EB690C">
        <w:t xml:space="preserve">v září 2025 </w:t>
      </w:r>
      <w:r w:rsidRPr="00602522">
        <w:t xml:space="preserve">a </w:t>
      </w:r>
      <w:r w:rsidR="00EB690C">
        <w:t xml:space="preserve">následném </w:t>
      </w:r>
      <w:r w:rsidRPr="00602522">
        <w:t xml:space="preserve">zahájení odborných jednání o tematických okruzích jednání; vítá hodnocení Komise, že všech šest tematických okruhů jednání je připraveno k zahájení; </w:t>
      </w:r>
      <w:r w:rsidRPr="00602522">
        <w:t xml:space="preserve">naléhavě vyzývá Radu, aby přijmula přístup založený na výsledcích a bez dalších odkladů formálně otevřela </w:t>
      </w:r>
      <w:r w:rsidR="004A400E">
        <w:t xml:space="preserve">všechny </w:t>
      </w:r>
      <w:r w:rsidRPr="00602522">
        <w:t xml:space="preserve">tematické okruhy jednání; připomíná členským státům zásadu loajální spolupráce podle čl. 4 odst. 3 Smlouvy o Evropské unii, která jim ukládá zdržet se všech opatření, jež by mohla ohrozit dosažení cílů Unie, a proto je naléhavě vyzývá, aby se vyvarovaly blokování nebo zdržování přístupových jednání kvůli dvoustranným otázkám; zdůrazňuje, že zahájení přístupových jednání by signalizovalo, že EU uznává a oceňuje konkrétní úspěchy Moldavska, čímž by posílila věrohodnost a integritu procesu rozšíření; vítá přijetí plánů týkajících se právního státu, veřejné správy a demokratických institucí a aktualizovaného národního programu pro přistoupení k Evropské unii na období 2025–2029; oceňuje pokrok, kterého Moldavsko již dosáhlo na odborné úrovni při provádění </w:t>
      </w:r>
      <w:r w:rsidRPr="00CD0657">
        <w:rPr>
          <w:i/>
          <w:iCs/>
        </w:rPr>
        <w:t>acquis</w:t>
      </w:r>
      <w:r w:rsidRPr="00602522">
        <w:t xml:space="preserve"> EU ve vnitrostátním právu;</w:t>
      </w:r>
    </w:p>
    <w:p w:rsidR="00FD2BA9" w:rsidRPr="00602522" w:rsidP="00602522" w14:paraId="55E838E4" w14:textId="77777777">
      <w:pPr>
        <w:pStyle w:val="NormalHanging12a"/>
      </w:pPr>
      <w:r w:rsidRPr="00602522">
        <w:t>3.</w:t>
      </w:r>
      <w:r w:rsidRPr="00602522">
        <w:tab/>
        <w:t>zdůrazňuje, že tempo procesu přistoupení Moldavska by mělo odrážet značný pokrok, kterého dosáhlo v oblasti reforem; vyzývá Komisi, aby aktivně usnadňovala a poskytovala přípravnou podporu, včetně technické pomoci, následného ověřování a budování správních kapacit, aby Moldavsku umožnila dosáhnout pokroku v jednáních efektivně a současně ve všech tematických okruzích;</w:t>
      </w:r>
    </w:p>
    <w:p w:rsidR="00FD2BA9" w:rsidRPr="00602522" w:rsidP="00602522" w14:paraId="48DB5F37" w14:textId="77777777">
      <w:pPr>
        <w:pStyle w:val="NormalHanging12a"/>
      </w:pPr>
      <w:r w:rsidRPr="00602522">
        <w:t>4.</w:t>
      </w:r>
      <w:r w:rsidRPr="00602522">
        <w:tab/>
        <w:t>uznává, že evropská integrace Moldavska pozitivně přispívá ke stabilitě a bezpečnosti v Evropě a slouží jako zásadní katalyzátor demokratické odolnosti země, její institucionální reformy, právního státu a udržitelného hospodářského rozvoje;</w:t>
      </w:r>
    </w:p>
    <w:p w:rsidR="00FD2BA9" w:rsidRPr="00602522" w:rsidP="00602522" w14:paraId="22E09966" w14:textId="77777777">
      <w:pPr>
        <w:pStyle w:val="NormalHanging12a"/>
      </w:pPr>
      <w:r w:rsidRPr="00602522">
        <w:t>5.</w:t>
      </w:r>
      <w:r w:rsidRPr="00602522">
        <w:tab/>
        <w:t>bere na vědomí hodnocení Komise, že Moldavsko dosáhlo solidního pokroku v reformě soudnictví; připomíná Moldavsku, že se zavázalo dodržovat doporučení Benátské komise; zdůrazňuje, že pro udržitelnost reforem je třeba široká politická podpora a inkluzivní dialog napříč politickým spektrem a také smysluplné konzultace s občanskou společností a profesními zúčastněnými stranami; oceňuje neutuchávající politickou vůli a trvalé úsilí Moldavska o vybudování nezávislého, nestranného, odpovědného a profesionálního soudního systému;</w:t>
      </w:r>
    </w:p>
    <w:p w:rsidR="00FD2BA9" w:rsidRPr="00602522" w:rsidP="00602522" w14:paraId="1D699E6C" w14:textId="77777777">
      <w:pPr>
        <w:pStyle w:val="NormalHanging12a"/>
      </w:pPr>
      <w:r w:rsidRPr="00602522">
        <w:t>6.</w:t>
      </w:r>
      <w:r w:rsidRPr="00602522">
        <w:tab/>
        <w:t>vyzývá moldavské orgány k zajištění toho, aby proces prověřování soudců a státních zástupců probíhal inkluzivním, předvídatelným a právně spolehlivým způsobem, a vybízí tuto zemi, aby tento proces neprodleně účinně dokončila, neboť dokončení prověřování je kriticky důležité pro zajištění důvěry veřejnosti v soudnictví, odstranění kompromitovaných soudců a posílení právního státu jako základu integrace do EU; vyzývá Moldavsko, aby zajistilo dostatečné rozpočtové a lidské zdroje pro soudní orgány a pokračovalo v přijímání opatření k posílení jejich kapacit, mj. proto, aby se vyřešil nedostatek soudců a státních zástupců, zkrátila délka řízení, zejména v případech korupce a hospodářské trestné činnosti, a zvýšila digitalizace, dostupnost, efektivita a transparentnost soudnictví pro všechny občany;</w:t>
      </w:r>
    </w:p>
    <w:p w:rsidR="00FD2BA9" w:rsidRPr="00602522" w:rsidP="00602522" w14:paraId="77EF49D5" w14:textId="77777777">
      <w:pPr>
        <w:pStyle w:val="NormalHanging12a"/>
      </w:pPr>
      <w:r w:rsidRPr="00602522">
        <w:t>7.</w:t>
      </w:r>
      <w:r w:rsidRPr="00602522">
        <w:tab/>
        <w:t>konstatuje, že Moldavsko soustavně dosahuje pokroku v oblasti prevence korupce a boje proti ní, přičemž se zlepšily výsledky v případech na vysoké úrovni i úrovních nižších; zdůrazňuje, že je třeba dále posílit operační kapacity, institucionální nezávislost, profesionalitu a odpovědnost a zlepšit mechanismy koordinace mezi všemi klíčovými protikorupčními a justičními orgány, aby byl zaručen dlouhodobý úspěch komplexních reforem;</w:t>
      </w:r>
    </w:p>
    <w:p w:rsidR="00FD2BA9" w:rsidRPr="00602522" w:rsidP="00602522" w14:paraId="31F05DDA" w14:textId="77777777">
      <w:pPr>
        <w:pStyle w:val="NormalHanging12a"/>
      </w:pPr>
      <w:r w:rsidRPr="00602522">
        <w:t>8.</w:t>
      </w:r>
      <w:r w:rsidRPr="00602522">
        <w:tab/>
        <w:t xml:space="preserve">zdůrazňuje, že protikorupční úsilí musí být vyvíjeno konzistentním, odpolitizovaným a transparentním způsobem, přičemž je třeba se vyhnout ad hoc nebo zrychleným legislativním iniciativám, které by mohly narušit právní jistotu a institucionální důvěru; </w:t>
      </w:r>
      <w:r w:rsidRPr="00602522">
        <w:t>zdůrazňuje, že je důležité upřednostnit kvalitu, udržitelnost a řádný proces před rychlostí reforem, aby byla zajištěna dlouhodobá důvěryhodnost a odolnost protikorupčního rámce;</w:t>
      </w:r>
    </w:p>
    <w:p w:rsidR="00FD2BA9" w:rsidRPr="00602522" w:rsidP="00602522" w14:paraId="6D4D3634" w14:textId="77777777">
      <w:pPr>
        <w:pStyle w:val="NormalHanging12a"/>
      </w:pPr>
      <w:r w:rsidRPr="00602522">
        <w:t>9.</w:t>
      </w:r>
      <w:r w:rsidRPr="00602522">
        <w:tab/>
        <w:t>zdůrazňuje, že další řešení vlivu oligarchických struktur v politické, ekonomické a mediální oblasti je i nadále klíčovou prioritou pro pokrok v evropské integraci Moldavska;</w:t>
      </w:r>
    </w:p>
    <w:p w:rsidR="00FD2BA9" w:rsidRPr="00602522" w:rsidP="00602522" w14:paraId="46256A11" w14:textId="77777777">
      <w:pPr>
        <w:pStyle w:val="NormalHanging12a"/>
      </w:pPr>
      <w:r w:rsidRPr="00602522">
        <w:t>10.</w:t>
      </w:r>
      <w:r w:rsidRPr="00602522">
        <w:tab/>
        <w:t>upozorňuje na skutečnost, že parlamentní volby dne 28. září 2025 byly již pátým hlasováním v řadě, jež potvrdilo podporu, kterou Moldavané vyjadřují vstupu své země do EU a souvisejícím reformám; důrazně odsuzuje opakované pokusy Ruské federace, proruských oligarchů a ruských zástupných aktérů o destabilizaci země, vytváření a šíření dezinformací, zasévání rozkolů v moldavské společnosti, podrývání demokratických institucí v této zemi a zvrácení jejího evropského směřování;</w:t>
      </w:r>
    </w:p>
    <w:p w:rsidR="00FD2BA9" w:rsidRPr="00602522" w:rsidP="00602522" w14:paraId="2462EDB6" w14:textId="77777777">
      <w:pPr>
        <w:pStyle w:val="NormalHanging12a"/>
      </w:pPr>
      <w:r w:rsidRPr="00602522">
        <w:t>11.</w:t>
      </w:r>
      <w:r w:rsidRPr="00602522">
        <w:tab/>
        <w:t>vítá hodnocení Organizace pro bezpečnost a spolupráci v Evropě (OBSE) / Úřadu pro demokratické instituce a lidská práva (ODIHR), že parlamentní volby byly dobře zorganizované, umožňovaly soutěž a nabízely voličům jasnou volbu z politických alternativ; vyzývá Moldavsko, aby dále harmonizovalo své právní předpisy týkající se voleb a své volební procesy s evropskými a mezinárodními standardy a aby provedlo všechna doporučení Benátské komise a OBSE/ODIHR, kterými se dosud nezabývalo;</w:t>
      </w:r>
    </w:p>
    <w:p w:rsidR="00FD2BA9" w:rsidRPr="00602522" w:rsidP="00602522" w14:paraId="0246294D" w14:textId="77777777">
      <w:pPr>
        <w:pStyle w:val="NormalHanging12a"/>
      </w:pPr>
      <w:r w:rsidRPr="00602522">
        <w:t>12.</w:t>
      </w:r>
      <w:r w:rsidRPr="00602522">
        <w:tab/>
        <w:t>oceňuje odolnost, kterou prokázaly moldavské instituce a společnost při ochraně integrity volebního procesu navzdory masivní hybridní kampani Ruska a jeho zástupných aktérů; konstatuje, že klíčovými faktory tohoto úspěchu bylo včasné a koordinované úsilí moldavských orgánů, aktivní zapojení občanské společnosti a nezávislých sdělovacích prostředků a podpora EU a jejích členských států, mimo jiné prostřednictvím partnerské mise EU v Moldavsku (EUPM);</w:t>
      </w:r>
    </w:p>
    <w:p w:rsidR="00FD2BA9" w:rsidRPr="00602522" w:rsidP="00602522" w14:paraId="58AB1BB4" w14:textId="77777777">
      <w:pPr>
        <w:pStyle w:val="NormalHanging12a"/>
      </w:pPr>
      <w:r w:rsidRPr="00602522">
        <w:t>13.</w:t>
      </w:r>
      <w:r w:rsidRPr="00602522">
        <w:tab/>
        <w:t xml:space="preserve">varuje, že nepřátelské ruské vměšování je nepřetržitý a vyvíjející se proces, který vyžaduje neustálé monitorování a reakci na základě přístupu zohledňujícího celou společnost, odpovídajících institucionálních schopností a zdrojů; vyzývá EU a její členské státy, aby posílily svou podporu pro institucionální odolnost Moldavska, jeho kapacitu strategické komunikace, kybernetickou bezpečnost, nezávislé sdělovací prostředky a demokratické záruky; zdůrazňuje, že jeho snahy bojovat proti šíření dezinformací a zavádějících informací z Ruska by měly splňovat požadavky zákonnosti, nezbytnosti a proporcionality; konstatuje, že zkušenosti získané v Moldavsku lze využít k obraně jiných demokracií, které čelí podobným hybridním hrozbám; vyjadřuje vážné znepokojení nad činností proruských sítí, které jsou spojeny s rozsáhlým obcházením sankcí, zasahováním do voleb a dezinformačními kampaněmi prostřednictvím využívání infrastruktury kryptoměn spojených s ruskými finančními aktéry, jako je </w:t>
      </w:r>
      <w:r w:rsidRPr="00602522">
        <w:t>Promsvjazbank</w:t>
      </w:r>
      <w:r w:rsidRPr="00602522">
        <w:t>; vyzývá Komisi a členské státy, aby posílily spolupráci v oblasti finančního zpravodajství, zlepšily vymáhání sankcí a podporovaly moldavské orgány v boji proti nezákonným finančním tokům a zahraničnímu vměšování prostřednictvím zemí mimo EU, a to i s využitím cílených sankcí a opatření pro kybernetické monitorování;</w:t>
      </w:r>
    </w:p>
    <w:p w:rsidR="00FD2BA9" w:rsidRPr="00602522" w:rsidP="00602522" w14:paraId="3752B317" w14:textId="77777777">
      <w:pPr>
        <w:pStyle w:val="NormalHanging12a"/>
      </w:pPr>
      <w:r w:rsidRPr="00602522">
        <w:t>14.</w:t>
      </w:r>
      <w:r w:rsidRPr="00602522">
        <w:tab/>
        <w:t xml:space="preserve">upozorňuje na životně důležitou roli moldavské diaspory při udržování evropského směřování země, jak ukázala její aktivní účast na demokratických procesech, včetně parlamentních voleb konaných dne 28. září 2025, a její významný přínos k socio-ekonomickému rozvoji Moldavska; vyzývá moldavské orgány, aby vazby s diasporou i </w:t>
      </w:r>
      <w:r w:rsidRPr="00602522">
        <w:t>nadále posilovaly a usnadňovaly její aktivní zapojení do procesu evropské integrace této země;</w:t>
      </w:r>
    </w:p>
    <w:p w:rsidR="00FD2BA9" w:rsidRPr="00602522" w:rsidP="00602522" w14:paraId="7AAD5D02" w14:textId="77777777">
      <w:pPr>
        <w:pStyle w:val="NormalHanging12a"/>
      </w:pPr>
      <w:r w:rsidRPr="00602522">
        <w:t>15.</w:t>
      </w:r>
      <w:r w:rsidRPr="00602522">
        <w:tab/>
        <w:t>vyzývá moldavské orgány, aby využily svůj silný proevropský mandát k urychlení tempa klíčových reforem nutných pro členství v EU a ke splnění ambice uzavřít přístupová jednání do začátku roku 2028; uznává pevné odhodlání Moldavska jako kandidátské země provést náročné, ale nezbytné reformy; naléhavě vyzývá moldavskou politickou elitu, aby udržela politický konsensus ohledně přistoupení k EU; zdůrazňuje, že je naprosto zásadní udržet důvěru moldavských občanů v proces přistoupení k EU, mimo jiné včasným formálním zahájením přístupových jednání; vítá zřízení specializovaného parlamentního výboru pro evropskou integraci v moldavském parlamentu a upozorňuje na důležitost mezistranické spolupráce pro udržitelný úspěch reforem souvisejících s přistoupením k EU a pokrok na cestě k členství v EU;</w:t>
      </w:r>
    </w:p>
    <w:p w:rsidR="00FD2BA9" w:rsidRPr="00602522" w:rsidP="00602522" w14:paraId="67D605E4" w14:textId="77777777">
      <w:pPr>
        <w:pStyle w:val="NormalHanging12a"/>
      </w:pPr>
      <w:r w:rsidRPr="00602522">
        <w:t>16.</w:t>
      </w:r>
      <w:r w:rsidRPr="00602522">
        <w:tab/>
        <w:t xml:space="preserve">je připraven i nadále podporovat moldavský parlament prostřednictvím vzájemně dohodnutých činností na podporu demokracie, které odpovídají potřebám této instituce, jejích volených členů a zaměstnanců; vyzdvihuje formální otevření kanceláře Evropského parlamentu pro Východní partnerství v Kišiněvě dne 7. listopadu 2025, které potvrzuje odhodlání Parlamentu prohloubit svou spolupráci s Moldavskem a celým regionem Východního partnerství; v této souvislosti vítá obnovené memorandum o porozumění, které v březnu 2026 podepsala předsedkyně EP </w:t>
      </w:r>
      <w:r w:rsidRPr="00602522">
        <w:t>Metsolová</w:t>
      </w:r>
      <w:r w:rsidRPr="00602522">
        <w:t xml:space="preserve"> a předseda moldavského parlamentu Igor </w:t>
      </w:r>
      <w:r w:rsidRPr="00602522">
        <w:t>Grosu</w:t>
      </w:r>
      <w:r w:rsidRPr="00602522">
        <w:t>;</w:t>
      </w:r>
    </w:p>
    <w:p w:rsidR="00FD2BA9" w:rsidRPr="00602522" w:rsidP="00602522" w14:paraId="18ACF8E3" w14:textId="637B80AE">
      <w:pPr>
        <w:pStyle w:val="NormalHanging12a"/>
      </w:pPr>
      <w:r w:rsidRPr="00602522">
        <w:t>17.</w:t>
      </w:r>
      <w:r w:rsidRPr="00602522">
        <w:tab/>
        <w:t>vítá uspořádání vůbec prvního summitu EU-Moldavsko v červenci 2025, neboť jde o významný politický milník ve vztazích mezi EU a Moldavskem a silný politický signál ohledně podpory svrchovanosti Moldavska, jeho demokratické stability a evropského směřování</w:t>
      </w:r>
      <w:r w:rsidRPr="00E63C16" w:rsidR="00E63C16">
        <w:t>; bere na vědomí společné prohlášení po druhém summitu EU-Moldavsko dne 22. června 2026, v němž je zdůrazněno odhodlání Moldavska pokračovat v</w:t>
      </w:r>
      <w:r w:rsidRPr="00602522" w:rsidR="00600828">
        <w:t> </w:t>
      </w:r>
      <w:r w:rsidRPr="00E63C16" w:rsidR="00E63C16">
        <w:t>posilování právního státu a pobídka EU k dalšímu zintenzivnění úsilí v oblasti reformy soudnictví a boje proti korupci</w:t>
      </w:r>
      <w:r w:rsidRPr="00602522">
        <w:t>;</w:t>
      </w:r>
    </w:p>
    <w:p w:rsidR="00FD2BA9" w:rsidRPr="00602522" w:rsidP="00602522" w14:paraId="3ED4D603" w14:textId="77777777">
      <w:pPr>
        <w:pStyle w:val="NormalHanging12a"/>
      </w:pPr>
      <w:r w:rsidRPr="00602522">
        <w:t>18.</w:t>
      </w:r>
      <w:r w:rsidRPr="00602522">
        <w:tab/>
        <w:t>zdůrazňuje, jak je důležité bojovat proti dezinformacím týkajícím se procesu evropské integrace; naléhavě vyzývá Komisi, Evropskou službu pro vnější činnost (ESVČ) a moldavskou vládu, aby zintenzivnily své společné úsilí v oblasti strategické komunikace a zvýšily viditelnost EU v Moldavsku; upozorňuje na potřebu cílených kampaní, které by moldavské veřejnosti, zejména ve venkovských oblastech a regionech, vysvětlily hmatatelné každodenní přínosy příprav na přistoupení k EU a projektů financovaných EU;</w:t>
      </w:r>
    </w:p>
    <w:p w:rsidR="00FD2BA9" w:rsidRPr="00602522" w:rsidP="00602522" w14:paraId="0622F7C0" w14:textId="77777777">
      <w:pPr>
        <w:pStyle w:val="NormalHanging12a"/>
      </w:pPr>
      <w:r w:rsidRPr="00602522">
        <w:t>19.</w:t>
      </w:r>
      <w:r w:rsidRPr="00602522">
        <w:tab/>
        <w:t>upozorňuje na důležitost opatření na podporu demokracie v Moldavsku, která zlepšují kvalitu demokratické diskuse a odolnost vůči dezinformacím; vítá spolupráci moldavských orgánů a aktérů občanské společnosti mimo jiné s Evropskou nadací pro demokracii jako s nástrojem, který může zaplnit prázdný prostor, který v tomto regionu vznikl po zrušení Agentury USA pro mezinárodní rozvoj (USAID); v této souvislosti blahopřeje Evropské nadaci pro demokracii k tomu, že v roce 2025 poskytla o 62 % grantů více než v roce 2024, a to s rozpočtem navýšeným o pouhých 34 %; vítá skutečnost, že ve srovnání s rokem 2024 tato nadace v roce 2025 ztrojnásobila svou podporu moldavským subjektům;</w:t>
      </w:r>
    </w:p>
    <w:p w:rsidR="00FD2BA9" w:rsidRPr="00602522" w:rsidP="00602522" w14:paraId="06873F3E" w14:textId="77777777">
      <w:pPr>
        <w:pStyle w:val="NormalHanging12a"/>
      </w:pPr>
      <w:r w:rsidRPr="00602522">
        <w:t>20.</w:t>
      </w:r>
      <w:r w:rsidRPr="00602522">
        <w:tab/>
        <w:t xml:space="preserve">opakuje, že podporu obyvatel Moldavska pro evropskou integraci lze zvýšit tím, že se citelně zlepší jejich životní podmínky, posílí státní instituce i spolehlivý systém </w:t>
      </w:r>
      <w:r w:rsidRPr="00602522">
        <w:t>sociálního zabezpečení a boj proti chudobě, zvýší životní úroveň v celé zemi a boj proti korupci a vlivu oligarchů;</w:t>
      </w:r>
    </w:p>
    <w:p w:rsidR="00FD2BA9" w:rsidRPr="00602522" w:rsidP="00CD0657" w14:paraId="0D91F3BC" w14:textId="77777777">
      <w:pPr>
        <w:pStyle w:val="Normal12a"/>
        <w:ind w:left="566" w:hanging="566"/>
      </w:pPr>
      <w:r w:rsidRPr="00602522">
        <w:rPr>
          <w:b/>
          <w:i/>
        </w:rPr>
        <w:t>Sociálně-ekonomické reformy</w:t>
      </w:r>
    </w:p>
    <w:p w:rsidR="00FD2BA9" w:rsidRPr="00602522" w:rsidP="00602522" w14:paraId="33402E57" w14:textId="77777777">
      <w:pPr>
        <w:pStyle w:val="NormalHanging12a"/>
      </w:pPr>
      <w:r w:rsidRPr="00602522">
        <w:t>21.</w:t>
      </w:r>
      <w:r w:rsidRPr="00602522">
        <w:tab/>
        <w:t>vítá solidní pokrok, jehož bylo dosud dosaženo při provádění plánu růstu pro Moldavsko a jeho podpůrného programu reforem, jejichž cílem je podpořit sociálně-ekonomické a zásadní reformy v Moldavsku a zlepšit přístup této země na jednotný trh EU; vítá vyplacení 270 milionů EUR v rámci předběžného financování a 207,9 milionu EUR dodatečné podpory z Nástroje pro reformy a růst pro Moldavsko, včetně druhé tranše v březnu 2026 v celkové výši 189 milionů EUR, neboť tato země zcela splnila 24 z celkového počtu 26 reformních kroků se lhůtou do prosince 2025; vyzývá Moldavsko, aby pokračovalo v plnění zbývajících dvou reformních kroků se lhůtou v roce 2025, a podporuje jej v tomto úsilí; vyzývá Komisi, aby zjednodušila vnitřní postupy tak, aby zajistila včasné posouzení a vyplacení finančních prostředků po přijetí právních předpisů v Moldavsku, jejichž návrhy moldavské orgány již dříve předložily a konzultovaly;</w:t>
      </w:r>
    </w:p>
    <w:p w:rsidR="00FD2BA9" w:rsidRPr="00602522" w:rsidP="00602522" w14:paraId="403E9E8A" w14:textId="77777777">
      <w:pPr>
        <w:pStyle w:val="NormalHanging12a"/>
      </w:pPr>
      <w:r w:rsidRPr="00602522">
        <w:t>22.</w:t>
      </w:r>
      <w:r w:rsidRPr="00602522">
        <w:tab/>
        <w:t>vyzývá Komisi, aby moldavským orgánům poskytla administrativní a technickou pomoc tak, aby bylo zajištěno včasné a účinné čerpání finančních prostředků z Nástroje pro reformy a růst; vyzývá moldavskou vládu, aby zajistila účinnou komunikaci, transparentnost, viditelnost a odpovědnost, pokud jde o využívání finančních prostředků z tohoto nástroje, a to i prostřednictvím konstruktivního zapojení občanské společnosti;</w:t>
      </w:r>
    </w:p>
    <w:p w:rsidR="00FD2BA9" w:rsidRPr="00602522" w:rsidP="00602522" w14:paraId="3D54F34B" w14:textId="77777777">
      <w:pPr>
        <w:pStyle w:val="NormalHanging12a"/>
      </w:pPr>
      <w:r w:rsidRPr="00602522">
        <w:t>23.</w:t>
      </w:r>
      <w:r w:rsidRPr="00602522">
        <w:tab/>
        <w:t xml:space="preserve">žádá, aby rozpočet EU na rok 2027 poskytoval cílenou administrativní a technickou pomoc, aby Moldavsko připravil na přechod na novou strukturu nadcházejícího víceletého finančního rámce (VFR) a nástroje Globální Evropa; zdůrazňuje, že je třeba pomoci moldavské správě přizpůsobit se budoucímu modelu provádění pilíře „Evropa“; zdůrazňuje, že přidělování a uvolňování finančních prostředků musí být i nadále přísně podmíněno splněním dohodnutých reformních milníků, </w:t>
      </w:r>
      <w:r w:rsidRPr="00602522">
        <w:t>makrofinanční</w:t>
      </w:r>
      <w:r w:rsidRPr="00602522">
        <w:t xml:space="preserve"> stabilitou, řádným finančním řízením, transparentností při plnění rozpočtu a existencí účinné ochrany proti podvodům, korupci a střetům zájmů; znovu vyzývá Komisi, aby do příštího VFR EU zahrnula přiměřený zvláštní příděl pro Moldavsko v rámci budoucího pilíře „Evropa“ v programu Globální Evropa a aby začala Moldavsko připravovat na účinné využívání budoucích předvstupních fondů; trvá na tom, že mají-li být účinně sledovány výdaje a má-li být zabráněno rozmělnění finančních prostředků v rámci širokých zeměpisných pilířů, jsou nezbytné explicitní a transparentní předvstupní příděly;</w:t>
      </w:r>
    </w:p>
    <w:p w:rsidR="00FD2BA9" w:rsidRPr="00602522" w:rsidP="00602522" w14:paraId="7F0651F1" w14:textId="338EC32B">
      <w:pPr>
        <w:pStyle w:val="NormalHanging12a"/>
      </w:pPr>
      <w:r w:rsidRPr="00602522">
        <w:t>24.</w:t>
      </w:r>
      <w:r w:rsidRPr="00602522">
        <w:tab/>
        <w:t>oceňuje dohodu o přezkumu a aktualizaci obchodních podmínek prohloubené a komplexní zóny volného obchodu mezi EU a Moldavskem</w:t>
      </w:r>
      <w:r>
        <w:rPr>
          <w:rStyle w:val="FootnoteReference"/>
        </w:rPr>
        <w:footnoteReference w:id="3"/>
      </w:r>
      <w:r w:rsidRPr="00602522">
        <w:t xml:space="preserve">, které bylo dosaženo dne 24. července 2025, jelikož poskytuje stabilitu a předvídatelnost pro hospodářské subjekty z EU a Moldavska a zvyšuje atraktivitu této země pro investory; připomíná, že dohoda se časově shoduje s ukončením platnosti autonomních obchodních opatření, která byla zemi poskytnuta od července 2022 a která pozastavila dovozní cla a kvóty na moldavský vývoz do EU, a tím pomohla Moldavsku přeorientovat svůj obchod na EU, </w:t>
      </w:r>
      <w:r w:rsidRPr="00602522">
        <w:t>což bylo v oboustranném zájmu; zdůrazňuje, že EU je největším obchodním partnerem Moldavska, v roce 2025 představovala 67,5 % celkového vývozu a 54,1 % celkového dovozu a v roce 2024 86 % přímých zahraničních investic, takže potvrdila své postavení ústředního pilíře přímých zahraničních investic v moldavské ekonomice; upozorňuje na důležitost přímých investic EU do moldavské ekonomiky z hlediska usnadnění ekonomické integrace této země do jednotného trhu EU, vytváření pracovních a obchodních příležitostí a zlepšení životů občanů;</w:t>
      </w:r>
    </w:p>
    <w:p w:rsidR="00FD2BA9" w:rsidRPr="00602522" w:rsidP="00602522" w14:paraId="3082989E" w14:textId="77777777">
      <w:pPr>
        <w:pStyle w:val="NormalHanging12a"/>
      </w:pPr>
      <w:r w:rsidRPr="00602522">
        <w:t>25.</w:t>
      </w:r>
      <w:r w:rsidRPr="00602522">
        <w:tab/>
        <w:t>vítá hlubší ekonomickou integraci Moldavska do jednotného trhu EU a vybízí k dalším krokům směrem k postupné sektorové integraci a k ambiciózní, postupné a udržitelné liberalizaci obchodu, mimo jiné rozšířením a uvolněním celních kvót a případně jejich postupným odstraněním v souladu s revidovaným rámcem prohloubené a komplexní zóny volného obchodu, aby bylo dosaženo hmatatelných ekonomických přínosů, posílila se odolnost Moldavska a podpořilo jeho směřování k evropské integraci; vyzývá zejména Komisi, aby zvážila další postupnou liberalizaci obchodu se zemědělsko-potravinářskými produkty, včetně odstranění zbývajících necelních překážek a zvýšené podpory sbližování právních předpisů, zejména pokud jde o sanitární a fytosanitární normy a technické překážky obchodu a zavedení poloautomatického zvyšování celních kvót v návaznosti na míru využívání a dodržováním norem EU, a aby zároveň zajistila vhodné ochranné mechanismy pro producenty v EU;</w:t>
      </w:r>
    </w:p>
    <w:p w:rsidR="00FD2BA9" w:rsidRPr="00602522" w:rsidP="00602522" w14:paraId="1D25A7DD" w14:textId="77777777">
      <w:pPr>
        <w:pStyle w:val="NormalHanging12a"/>
      </w:pPr>
      <w:r w:rsidRPr="00602522">
        <w:t>26.</w:t>
      </w:r>
      <w:r w:rsidRPr="00602522">
        <w:tab/>
        <w:t>konstatuje, že výrazný nárůst obchodu Podněstří se zbytkem Moldavska a jeho vývozní závislost na EU by mohly připravit podmínky pro ekonomickou konvergenci tohoto regionu s právním rámcem Moldavska, a podpořit tak de facto ekonomickou reintegraci, která by mohla být pragmatickým základem pro mírové politické urovnání a případné znovusjednocení této země; podporuje snahy Moldavska o zapojení regionu Podněstří do opatření zaměřených na ekonomickou a regulační konvergenci v souvislosti s jednotným trhem EU; vítá snahy orgánů v Kišiněvě o rozšíření uplatňování moldavských daňových právních předpisů na společnosti působící v Podněstří jako krok směrem ke sladění právních předpisů a k ekonomické integraci;</w:t>
      </w:r>
    </w:p>
    <w:p w:rsidR="00FD2BA9" w:rsidRPr="00602522" w:rsidP="00602522" w14:paraId="48A5812E" w14:textId="77777777">
      <w:pPr>
        <w:pStyle w:val="NormalHanging12a"/>
      </w:pPr>
      <w:r w:rsidRPr="00602522">
        <w:t>27.</w:t>
      </w:r>
      <w:r w:rsidRPr="00602522">
        <w:tab/>
        <w:t>znovu upozorňuje na důležitost organizací občanské společnosti a nezávislých médií z hlediska sledování správy věcí veřejných a pokroku reforem souvisejících s EU; požaduje, aby finanční podpora pro moldavské organizace občanské společnosti v rámci rozpočtu EU na rok 2027 a budoucího nástroje Globální Evropa byla i nadále nezávislá na pokroku vlády v reformách; vyzývá k vytvoření předvídatelných, samostatných, flexibilních a přístupných toků financování pro místní organizace občanské společnosti a obránce lidských práv prostřednictvím nových mechanismů financování zahrnutých do programu reforem, aby bylo zajištěno jejich efektivní fungování; vyzývá moldavskou vládu, aby navázala skutečnou a účinnou spolupráci s občanskou společností, a to i prostřednictvím stálých konzultačních platforem; vyzývá moldavskou vládu, aby pokročila v provádění vnitrostátního programu pro rozvoj organizací občanské společnosti na období 2024–2027; vítá pravidelné konzultace týkající se procesu přistoupení k EU a reforem souvisejících s tímto přistoupením;</w:t>
      </w:r>
    </w:p>
    <w:p w:rsidR="00FD2BA9" w:rsidRPr="00602522" w:rsidP="00602522" w14:paraId="1059AEE2" w14:textId="77777777">
      <w:pPr>
        <w:pStyle w:val="NormalHanging12a"/>
      </w:pPr>
      <w:r w:rsidRPr="00602522">
        <w:t>28.</w:t>
      </w:r>
      <w:r w:rsidRPr="00602522">
        <w:tab/>
        <w:t xml:space="preserve">znovu vyzývá k urychlení postupné integrace Moldavska do jednotného trhu EU prostřednictvím další harmonizace jeho právního a regulačního rámce s </w:t>
      </w:r>
      <w:r w:rsidRPr="00CD0657">
        <w:rPr>
          <w:i/>
          <w:iCs/>
        </w:rPr>
        <w:t>acquis</w:t>
      </w:r>
      <w:r w:rsidRPr="00602522">
        <w:t xml:space="preserve"> EU a zapojení této země do dalších programů, agentur a iniciativ EU, např. v oblasti digitální ekonomiky, finančních služeb a inovací; blahopřeje Moldavsku k tomu, že se od 6. října 2025 stalo funkční součástí jednotné oblasti pro platby v eurech, což usnadňuje převody v eurech a snižuje náklady pro moldavské občany a podniky; vítá začlenění Moldavska </w:t>
      </w:r>
      <w:r w:rsidRPr="00602522">
        <w:t xml:space="preserve">do oblasti EU „roaming za domácích podmínek“ od 1. ledna 2026, což moldavským občanům umožňuje používat moldavská telefonní čísla při cestování po EU bez roamingových poplatků; zdůrazňuje, že tyto hmatatelné přínosy hrají klíčovou roli při posilování veřejné podpory pro integraci do EU; vybízí k dalšímu sbližování s digitálním </w:t>
      </w:r>
      <w:r w:rsidRPr="00CD0657">
        <w:rPr>
          <w:i/>
          <w:iCs/>
        </w:rPr>
        <w:t>acquis</w:t>
      </w:r>
      <w:r w:rsidRPr="00602522">
        <w:t xml:space="preserve"> EU a k pokračování snah o posílení konektivity, digitální infrastruktury a integrace trhu;</w:t>
      </w:r>
    </w:p>
    <w:p w:rsidR="00FD2BA9" w:rsidRPr="00602522" w:rsidP="00602522" w14:paraId="5B96E087" w14:textId="77777777">
      <w:pPr>
        <w:pStyle w:val="NormalHanging12a"/>
      </w:pPr>
      <w:r w:rsidRPr="00602522">
        <w:t>29.</w:t>
      </w:r>
      <w:r w:rsidRPr="00602522">
        <w:tab/>
        <w:t xml:space="preserve">zdůrazňuje, že je naprosto nezbytné urychlit komplexní reformu veřejné správy; vyzývá moldavskou vládu, aby na ústřední i místní úrovni zajistila profesionální a transparentní veřejnou službu plně založenou na zásluhách, která je pro účinné provádění </w:t>
      </w:r>
      <w:r w:rsidRPr="00CD0657">
        <w:rPr>
          <w:i/>
          <w:iCs/>
        </w:rPr>
        <w:t>acquis</w:t>
      </w:r>
      <w:r w:rsidRPr="00602522">
        <w:t xml:space="preserve"> EU naprosto zásadní; zdůrazňuje, že pro posílení postavení místních orgánů je klíčová smysluplná územní a správní reforma, neboť současná roztříštěnost obcí vážně omezuje jejich finanční nezávislost a jejich správní kapacitu úspěšně žádat o finanční prostředky EU na regionální rozvoj, čerpat je a spravovat; zdůrazňuje, že je třeba poskytovat místním a regionálním orgánům cílené vzdělávací programy a podporu při budování kapacit, které jim umožní úspěšně žádat o dostupné možnosti financování z EU, čerpat je a spravovat;</w:t>
      </w:r>
    </w:p>
    <w:p w:rsidR="00FD2BA9" w:rsidRPr="00602522" w:rsidP="00602522" w14:paraId="46307F5F" w14:textId="77777777">
      <w:pPr>
        <w:pStyle w:val="NormalHanging12a"/>
      </w:pPr>
      <w:r w:rsidRPr="00602522">
        <w:t>30.</w:t>
      </w:r>
      <w:r w:rsidRPr="00602522">
        <w:tab/>
        <w:t>zdůrazňuje, že úspěšný proces přistoupení k EU vyžaduje silné odhodlání na místní úrovni; vyjadřuje politování nad tím, že v navrhované struktuře VFR chybí formální mechanismy pro místní a regionální orgány; vyzývá moldavskou vládu a Komisi, aby do přípravy víceletých orientačních programů a akčních plánů systematicky zapojovaly moldavské místní a regionální orgány a jejich sdružení; naléhavě vyzývá k vytvoření specializovaných opatření na budování kapacit a toků financování v rámci budoucího nástroje Globální Evropa, aby se podpořily moldavské obce při provádění decentralizačních reforem a veřejných služeb v souladu s EU;</w:t>
      </w:r>
    </w:p>
    <w:p w:rsidR="00FD2BA9" w:rsidRPr="00602522" w:rsidP="00602522" w14:paraId="4D9341AB" w14:textId="77777777">
      <w:pPr>
        <w:pStyle w:val="NormalHanging12a"/>
      </w:pPr>
      <w:r w:rsidRPr="00602522">
        <w:t>31.</w:t>
      </w:r>
      <w:r w:rsidRPr="00602522">
        <w:tab/>
        <w:t xml:space="preserve">vítá, že od 1. ledna 2026 se Moldavsko účastní programu EU „Kreativní Evropa“ na podporu kulturního a kreativního odvětví, i jeho zapojení do složky Zaměstnanost a sociální inovace Evropského sociálního fondu plus, což Moldavsku umožňuje získat finanční prostředky EU pro projekty zaměřené na snižování nezaměstnanosti, zlepšování kvality pracovních míst a podporu sociálních inovací; vyzývá Komisi, aby podpořila začlenění Moldavska do Sdružení evropských regulačních orgánů v oblasti elektronických komunikací, Evropské agentury pro životní prostředí, programu Erasmus+, programu </w:t>
      </w:r>
      <w:r w:rsidRPr="00602522">
        <w:t>DiscoverEU</w:t>
      </w:r>
      <w:r w:rsidRPr="00602522">
        <w:t xml:space="preserve"> a projektu Ovoce, zelenina a mléko do škol;</w:t>
      </w:r>
    </w:p>
    <w:p w:rsidR="00FD2BA9" w:rsidRPr="00602522" w:rsidP="00CD0657" w14:paraId="254B1504" w14:textId="77777777">
      <w:pPr>
        <w:pStyle w:val="Normal12a"/>
        <w:ind w:left="566" w:hanging="566"/>
      </w:pPr>
      <w:r w:rsidRPr="00602522">
        <w:rPr>
          <w:b/>
          <w:i/>
        </w:rPr>
        <w:t>Lidská práva</w:t>
      </w:r>
    </w:p>
    <w:p w:rsidR="00FD2BA9" w:rsidRPr="00602522" w:rsidP="00602522" w14:paraId="4C71F067" w14:textId="77777777">
      <w:pPr>
        <w:pStyle w:val="NormalHanging12a"/>
      </w:pPr>
      <w:r w:rsidRPr="00602522">
        <w:t>32.</w:t>
      </w:r>
      <w:r w:rsidRPr="00602522">
        <w:tab/>
        <w:t xml:space="preserve">vítá snahy orgánů Moldavské republiky o zlepšení legislativního rámce pro genderovou rovnost, boj proti domácímu násilí a ochranu obětí a o jeho sladění s mezinárodními a evropskými standardy, včetně kriminalizace digitálního násilí a nucených sňatků, a zařazení </w:t>
      </w:r>
      <w:r w:rsidRPr="00602522">
        <w:t>femicidy</w:t>
      </w:r>
      <w:r w:rsidRPr="00602522">
        <w:t xml:space="preserve"> do trestního zákoníku; vyzývá orgány Moldavské republiky, aby posílily účinné provádění stávajících právních předpisů o boji proti násilí páchanému na ženách, včetně domácího násilí, a o ochraně obětí;</w:t>
      </w:r>
    </w:p>
    <w:p w:rsidR="00FD2BA9" w:rsidRPr="00602522" w:rsidP="00602522" w14:paraId="4A2070DD" w14:textId="77777777">
      <w:pPr>
        <w:pStyle w:val="NormalHanging12a"/>
      </w:pPr>
      <w:r w:rsidRPr="00602522">
        <w:t>33.</w:t>
      </w:r>
      <w:r w:rsidRPr="00602522">
        <w:tab/>
        <w:t>vítá probíhající provádění vnitrostátní strategie o obchodování s lidmi přijaté v září 2023; vyzývá Moldavsko, aby dále posílilo svůj právní a institucionální rámec, mimo jiné zavedením účinnějších nástrojů pro veřejné orgány, aby mohly vyšetřovat a stíhat nové formy vykořisťování;</w:t>
      </w:r>
    </w:p>
    <w:p w:rsidR="00FD2BA9" w:rsidRPr="00602522" w:rsidP="00602522" w14:paraId="5996B922" w14:textId="795FC613">
      <w:pPr>
        <w:pStyle w:val="NormalHanging12a"/>
      </w:pPr>
      <w:r w:rsidRPr="00602522">
        <w:t>34.</w:t>
      </w:r>
      <w:r w:rsidRPr="00602522">
        <w:tab/>
        <w:t xml:space="preserve">konstatuje, že právní a institucionální rámec pro práva osob se zdravotním postižením v Moldavsku je třeba více sladit s </w:t>
      </w:r>
      <w:r w:rsidRPr="00CD0657">
        <w:rPr>
          <w:i/>
          <w:iCs/>
        </w:rPr>
        <w:t>acquis</w:t>
      </w:r>
      <w:r w:rsidRPr="00602522">
        <w:t xml:space="preserve"> EU a příslušnými mezinárodními normami; požaduje zejména sladění rámce pro přístupnost s evropským aktem o přístupnosti</w:t>
      </w:r>
      <w:r>
        <w:rPr>
          <w:rStyle w:val="FootnoteReference"/>
        </w:rPr>
        <w:footnoteReference w:id="4"/>
      </w:r>
      <w:r w:rsidRPr="00602522">
        <w:t>;</w:t>
      </w:r>
    </w:p>
    <w:p w:rsidR="00FD2BA9" w:rsidRPr="00602522" w:rsidP="00602522" w14:paraId="064927F2" w14:textId="77777777">
      <w:pPr>
        <w:pStyle w:val="NormalHanging12a"/>
      </w:pPr>
      <w:r w:rsidRPr="00602522">
        <w:t>35.</w:t>
      </w:r>
      <w:r w:rsidRPr="00602522">
        <w:tab/>
        <w:t xml:space="preserve">je znepokojen snahou městských orgánů v Kišiněvě zakázat pochod </w:t>
      </w:r>
      <w:r w:rsidRPr="00602522">
        <w:t>Chișinău</w:t>
      </w:r>
      <w:r w:rsidRPr="00602522">
        <w:t xml:space="preserve"> </w:t>
      </w:r>
      <w:r w:rsidRPr="00602522">
        <w:t>Pride</w:t>
      </w:r>
      <w:r w:rsidRPr="00602522">
        <w:t xml:space="preserve"> a násilnými útoky proti tomuto pokojnému pochodu ze strany protestujících; odsuzuje zavádějící informace a cílené online dezinformační kampaně, které v Moldavsku šíří místní sdělovací prostředky napojené na Rusko; vyzývá Moldavsko, aby zajistilo právo na svobodu shromažďování pro všechny;</w:t>
      </w:r>
    </w:p>
    <w:p w:rsidR="00FD2BA9" w:rsidRPr="00602522" w:rsidP="00602522" w14:paraId="3F8E132E" w14:textId="77777777">
      <w:pPr>
        <w:pStyle w:val="NormalHanging12a"/>
      </w:pPr>
      <w:r w:rsidRPr="00602522">
        <w:t>36.</w:t>
      </w:r>
      <w:r w:rsidRPr="00602522">
        <w:tab/>
        <w:t>vyzývá Moldavsko, aby posílilo právní a institucionální rámec na ochranu práv příslušníků menšin, včetně LGBTI osob;</w:t>
      </w:r>
    </w:p>
    <w:p w:rsidR="00FD2BA9" w:rsidRPr="00602522" w:rsidP="00CD0657" w14:paraId="4882A241" w14:textId="77777777">
      <w:pPr>
        <w:pStyle w:val="Normal12a"/>
        <w:ind w:left="566" w:hanging="566"/>
      </w:pPr>
      <w:r w:rsidRPr="00602522">
        <w:rPr>
          <w:b/>
          <w:i/>
        </w:rPr>
        <w:t xml:space="preserve">Akademická spolupráce a mezilidské kontakty </w:t>
      </w:r>
    </w:p>
    <w:p w:rsidR="00FD2BA9" w:rsidRPr="00602522" w:rsidP="00602522" w14:paraId="56976995" w14:textId="77777777">
      <w:pPr>
        <w:pStyle w:val="NormalHanging12a"/>
      </w:pPr>
      <w:r w:rsidRPr="00602522">
        <w:t>37.</w:t>
      </w:r>
      <w:r w:rsidRPr="00602522">
        <w:tab/>
        <w:t>vítá významný pokrok, kterého Moldavsko dosáhlo při slaďování svého systému vysokoškolského vzdělávání s Evropským prostorem vysokoškolského vzdělávání, včetně účasti tří moldavských institucí jako přidružených partnerů v aliancích evropských univerzit; dále oceňuje zapojení této země do mezinárodního rozměru programu Erasmus+ na období 2021–2027 a její účast ve čtyřech pracovních skupinách v rámci Evropského prostoru vzdělávání;</w:t>
      </w:r>
    </w:p>
    <w:p w:rsidR="00FD2BA9" w:rsidRPr="00602522" w:rsidP="00602522" w14:paraId="09BA6E65" w14:textId="77777777">
      <w:pPr>
        <w:pStyle w:val="NormalHanging12a"/>
      </w:pPr>
      <w:r w:rsidRPr="00602522">
        <w:t>38.</w:t>
      </w:r>
      <w:r w:rsidRPr="00602522">
        <w:tab/>
        <w:t>vítá stále větší zapojení Moldavska do evropských výzkumných a inovačních sítí a podporuje jeho další integraci do programu Horizont Evropa, který by vysokým školám a výzkumným institucím poskytl přístup k evropskému financování, infrastrukturám pro kooperativní výzkum a vědeckým partnerstvím;</w:t>
      </w:r>
    </w:p>
    <w:p w:rsidR="00FD2BA9" w:rsidRPr="00602522" w:rsidP="00CD0657" w14:paraId="5029D66F" w14:textId="77777777">
      <w:pPr>
        <w:pStyle w:val="Normal12a"/>
        <w:ind w:left="566" w:hanging="566"/>
      </w:pPr>
      <w:r w:rsidRPr="00602522">
        <w:rPr>
          <w:b/>
          <w:i/>
        </w:rPr>
        <w:t>Energie, životní prostředí a konektivita</w:t>
      </w:r>
    </w:p>
    <w:p w:rsidR="00FD2BA9" w:rsidRPr="00602522" w:rsidP="00602522" w14:paraId="70142D93" w14:textId="77777777">
      <w:pPr>
        <w:pStyle w:val="NormalHanging12a"/>
      </w:pPr>
      <w:r w:rsidRPr="00602522">
        <w:t>39.</w:t>
      </w:r>
      <w:r w:rsidRPr="00602522">
        <w:tab/>
        <w:t>oceňuje pokračující snahy Moldavska o sladění jeho energetického sektoru s </w:t>
      </w:r>
      <w:r w:rsidRPr="00CD0657">
        <w:rPr>
          <w:i/>
          <w:iCs/>
        </w:rPr>
        <w:t>acquis</w:t>
      </w:r>
      <w:r w:rsidRPr="00602522">
        <w:t xml:space="preserve"> EU a o jeho plné začlenění do energetického trhu EU, aby byla zajištěna energetická bezpečnost a odolnost Moldavska;</w:t>
      </w:r>
    </w:p>
    <w:p w:rsidR="00FD2BA9" w:rsidRPr="00602522" w:rsidP="00602522" w14:paraId="512544A8" w14:textId="77777777">
      <w:pPr>
        <w:pStyle w:val="NormalHanging12a"/>
      </w:pPr>
      <w:r w:rsidRPr="00602522">
        <w:t>40.</w:t>
      </w:r>
      <w:r w:rsidRPr="00602522">
        <w:tab/>
        <w:t>s uspokojením konstatuje, že z členských zemí Energetického společenství dosáhlo Moldavsko nejlepších výsledků, pokud jde o provádění evropských právních předpisů ve vnitrostátním právu, a je rovněž průkopníkem mezi smluvními stranami tohoto společenství, pokud jde o úplné provedení balíčku opatření pro integraci elektřiny; vyzývá Komisi, sekretariát Energetického společenství a další příslušné aktéry, aby zajistili plné propojení Moldavska s trhem s elektřinou v EU nejpozději do roku 2028;</w:t>
      </w:r>
    </w:p>
    <w:p w:rsidR="00FD2BA9" w:rsidRPr="00602522" w:rsidP="00602522" w14:paraId="1DC7BC5F" w14:textId="77777777">
      <w:pPr>
        <w:pStyle w:val="NormalHanging12a"/>
      </w:pPr>
      <w:r w:rsidRPr="00602522">
        <w:t>41.</w:t>
      </w:r>
      <w:r w:rsidRPr="00602522">
        <w:tab/>
        <w:t xml:space="preserve">zdůrazňuje, že v zájmu dalšího posílení energetické odolnosti Moldavska by jeho orgány měly s podporou EU pokračovat v diverzifikaci jeho zdrojů dodávek energie, urychlit jeho integraci do evropského trhu s energií, zvýšit investice do energetické účinnosti veřejných a obytných budov, zvýšit domácí výrobu energie a podpořit snižování poptávky; vítá významný nárůst podílu energie z obnovitelných zdrojů v Moldavsku, který v roce 2025 dosáhl přibližně 25 % spotřeby a 1 GW celkového </w:t>
      </w:r>
      <w:r w:rsidRPr="00602522">
        <w:t>instalovaného výkonu, neboť se jedná o významný milník v rozvoji místní výroby energie a transformace energetiky v této zemi;</w:t>
      </w:r>
    </w:p>
    <w:p w:rsidR="00FD2BA9" w:rsidRPr="00602522" w:rsidP="00602522" w14:paraId="12924C1A" w14:textId="77777777">
      <w:pPr>
        <w:pStyle w:val="NormalHanging12a"/>
      </w:pPr>
      <w:r w:rsidRPr="00602522">
        <w:t>42.</w:t>
      </w:r>
      <w:r w:rsidRPr="00602522">
        <w:tab/>
        <w:t xml:space="preserve">vítá akční plán vlády z března 2025, jehož cílem je odstranit veškerou závislost na ruských energetických zdrojích v odvětvích elektřiny, plynu a ropy a který byl přijat v rámci provádění komplexní strategie EU a Moldavska pro energetickou nezávislost a odolnost ze dne 4. února 2025; připomíná, že v roce 2025 přestalo Rusko elektrárně </w:t>
      </w:r>
      <w:r w:rsidRPr="00602522">
        <w:t>Cuciurgan</w:t>
      </w:r>
      <w:r w:rsidRPr="00602522">
        <w:t xml:space="preserve"> dodávat plyn, což byl pokus o to, nátlakem ovlivnit rozhodování Moldavska o mezinárodní politice, a že prvními oběťmi energetické krize, která poté následovala, byli obyvatelé na obou březích Dněstru;</w:t>
      </w:r>
    </w:p>
    <w:p w:rsidR="00FD2BA9" w:rsidRPr="00602522" w:rsidP="00602522" w14:paraId="117E2EC8" w14:textId="77777777">
      <w:pPr>
        <w:pStyle w:val="NormalHanging12a"/>
      </w:pPr>
      <w:r w:rsidRPr="00602522">
        <w:t>43.</w:t>
      </w:r>
      <w:r w:rsidRPr="00602522">
        <w:tab/>
        <w:t>vítá dokončení výstavby nadzemního elektrického vedení 400 </w:t>
      </w:r>
      <w:r w:rsidRPr="00602522">
        <w:t>kV</w:t>
      </w:r>
      <w:r w:rsidRPr="00602522">
        <w:t xml:space="preserve"> </w:t>
      </w:r>
      <w:r w:rsidRPr="00602522">
        <w:t>Vulcănești</w:t>
      </w:r>
      <w:r w:rsidRPr="00602522">
        <w:t>–Kišiněv v prosinci 2025, přičemž přenos elektřiny po tomto vedení by měl být zahájen v roce 2026; konstatuje, že tento praktický krok snižuje závislost Moldavska na energetické infrastruktuře v Podněstří a jeho zranitelnost vůči nepřátelskému ruskému vlivu a umožňuje mu bezpečné a spolehlivé připojení k evropské elektrizační soustavě přes Rumunsko;</w:t>
      </w:r>
    </w:p>
    <w:p w:rsidR="00FD2BA9" w:rsidRPr="00602522" w:rsidP="00602522" w14:paraId="30D55E03" w14:textId="77777777">
      <w:pPr>
        <w:pStyle w:val="NormalHanging12a"/>
      </w:pPr>
      <w:r w:rsidRPr="00602522">
        <w:t>44.</w:t>
      </w:r>
      <w:r w:rsidRPr="00602522">
        <w:tab/>
        <w:t xml:space="preserve">vyzývá Komisi, aby maximalizovala využívání prostředků na přeshraniční spolupráci, které jsou k dispozici v rámci budoucího nástroje Globální Evropa a Fondu národních a regionálních partnerství, aby dále urychlila integraci moldavské dopravní, energetické a digitální infrastruktury do evropského jednotného trhu; zdůrazňuje, že toto financování by mělo upřednostňovat projekty s vysokým dopadem v oblasti dopravní, energetické a digitální infrastruktury, včetně přeshraničních propojení, domácí výroby energie z obnovitelných zdrojů, energetické účinnosti, sladění s transevropskou dopravní sítí, synchronizace energetické sítě a rozšiřování širokopásmového připojení; podporuje rychlý rozvoj dalších projektů energetického propojení s Moldavskem, jako je nadzemní vedení 400 </w:t>
      </w:r>
      <w:r w:rsidRPr="00602522">
        <w:t>kV</w:t>
      </w:r>
      <w:r w:rsidRPr="00602522">
        <w:t xml:space="preserve"> </w:t>
      </w:r>
      <w:r w:rsidRPr="00602522">
        <w:t>Suceava-Bălți</w:t>
      </w:r>
      <w:r w:rsidRPr="00602522">
        <w:t xml:space="preserve"> a </w:t>
      </w:r>
      <w:r w:rsidRPr="00602522">
        <w:t>Gutinaș-Strășeni</w:t>
      </w:r>
      <w:r w:rsidRPr="00602522">
        <w:t>;</w:t>
      </w:r>
    </w:p>
    <w:p w:rsidR="00FD2BA9" w:rsidRPr="00602522" w:rsidP="00602522" w14:paraId="04846B24" w14:textId="77777777">
      <w:pPr>
        <w:pStyle w:val="NormalHanging12a"/>
      </w:pPr>
      <w:r w:rsidRPr="00602522">
        <w:t>45.</w:t>
      </w:r>
      <w:r w:rsidRPr="00602522">
        <w:tab/>
        <w:t>důrazně odsuzuje ruské útoky na ukrajinskou energetickou infrastrukturu v březnu 2026, které ohrozily energetickou a vodohospodářskou bezpečnost Moldavska, měly přímý dopad na zabezpečení vodních zdrojů a na veřejné zdraví 80 % občanů země, pro něž je Dněstr hlavním zdrojem sladké a pitné vody, a vyvolaly v Moldavské republice 15denní ekologickou krizi; vítá rychlou a koordinovanou reakci moldavských a ukrajinských orgánů a provozovatelů přenosových soustav a vyzývá EU a její členské státy, aby Moldavsku poskytly další finanční zdroje, technickou pomoc a specializované vybavení s cílem posílit jeho schopnost řešit budoucí ekologické katastrofy;</w:t>
      </w:r>
    </w:p>
    <w:p w:rsidR="00FD2BA9" w:rsidRPr="00602522" w:rsidP="00602522" w14:paraId="670EF395" w14:textId="77777777">
      <w:pPr>
        <w:pStyle w:val="NormalHanging12a"/>
      </w:pPr>
      <w:r w:rsidRPr="00602522">
        <w:t>46.</w:t>
      </w:r>
      <w:r w:rsidRPr="00602522">
        <w:tab/>
        <w:t>zdůrazňuje, že Moldavsko se stále potýká se značnými problémy v oblasti životního prostředí, včetně znečištění ovzduší a vody, nedostatečné infrastruktury pro nakládání s odpady a pokračujícího úbytku biologické rozmanitosti; zdůrazňuje, že je třeba posílit správní kapacitu, zlepšit prosazování právních předpisů v oblasti životního prostředí a zajistit odpovídající investice do environmentální infrastruktury;</w:t>
      </w:r>
    </w:p>
    <w:p w:rsidR="00FD2BA9" w:rsidRPr="00602522" w:rsidP="00602522" w14:paraId="43A37B1D" w14:textId="77777777">
      <w:pPr>
        <w:pStyle w:val="NormalHanging12a"/>
      </w:pPr>
      <w:r w:rsidRPr="00602522">
        <w:t>47.</w:t>
      </w:r>
      <w:r w:rsidRPr="00602522">
        <w:tab/>
        <w:t xml:space="preserve">připomíná, že Moldavsko již značně utrpělo v důsledku závažných bezpečnostních, ekonomických a sociálních dopadů ruské plošné válečné agrese vůči Ukrajině; vyjadřuje hluboké znepokojení nad tím, že nyní patří mezi země, které budou nejvíce postiženy zhoršující se globální ekonomickou a energetickou krizí způsobenou probíhající válkou na Blízkém východě; vyzývá EU a její členské státy, aby projevily trvalou a neochvějnou solidaritu s Moldavskem a poskytly mu nezbytnou podporu, </w:t>
      </w:r>
      <w:r w:rsidRPr="00602522">
        <w:t>která pomůže zmírnit dopady těchto souběžných vnějších otřesů na jeho občany a ekonomiku;</w:t>
      </w:r>
    </w:p>
    <w:p w:rsidR="00FD2BA9" w:rsidRPr="00602522" w:rsidP="00603B99" w14:paraId="71B6D528" w14:textId="77777777">
      <w:pPr>
        <w:pStyle w:val="Normal12a"/>
      </w:pPr>
      <w:r w:rsidRPr="00602522">
        <w:rPr>
          <w:b/>
          <w:i/>
        </w:rPr>
        <w:t xml:space="preserve">Spolupráce v oblasti společné zahraniční a bezpečnostní politiky a pokrok v urovnání konfliktu v Podněstří </w:t>
      </w:r>
    </w:p>
    <w:p w:rsidR="00FD2BA9" w:rsidRPr="00602522" w:rsidP="00602522" w14:paraId="0E1C66A1" w14:textId="77777777">
      <w:pPr>
        <w:pStyle w:val="NormalHanging12a"/>
      </w:pPr>
      <w:r w:rsidRPr="00602522">
        <w:t>48.</w:t>
      </w:r>
      <w:r w:rsidRPr="00602522">
        <w:tab/>
        <w:t xml:space="preserve">vyjadřuje Moldavsku uznání za jeho soustavnou spolupráci v zahraničněpolitických otázkách a jeho snahy o dosažení plného souladu s postoji společné zahraniční a bezpečnostní politiky EU; bere na vědomí, že míra souladu Moldavska se zahraniční, bezpečnostní a obrannou politikou EU, včetně uplatňování sankcí EU vůči Rusku, činila 88 %; vyzývá Moldavsko, aby toto sladění i nadále zlepšovalo, a to i pokud jde o omezující opatření vůči Rusku, a aby pokračovalo ve spolupráci na prevenci obcházení sankcí uvalených na Rusko a Bělorusko v souvislosti s válečnou agresí Ruska vůči Ukrajině; oceňuje Moldavsko za to, že přijalo nejvyšší počet vysídlených Ukrajinců na obyvatele a vyrovnává se v důsledku tohoto velkého přílivu uprchlíků se značnými sociálními, ekonomickými a administrativními tlaky; vítá zvýšenou účast Moldavska na misích a operacích EU v rámci společné bezpečnostní a obranné politiky EU, jako je operace </w:t>
      </w:r>
      <w:r w:rsidRPr="00602522">
        <w:t>Althea</w:t>
      </w:r>
      <w:r w:rsidRPr="00602522">
        <w:t xml:space="preserve"> v Bosně a Hercegovině a výcviková mise EU v Somálsku;</w:t>
      </w:r>
    </w:p>
    <w:p w:rsidR="00FD2BA9" w:rsidRPr="00602522" w:rsidP="00602522" w14:paraId="7299F525" w14:textId="77777777">
      <w:pPr>
        <w:pStyle w:val="NormalHanging12a"/>
      </w:pPr>
      <w:r w:rsidRPr="00602522">
        <w:t>49.</w:t>
      </w:r>
      <w:r w:rsidRPr="00602522">
        <w:tab/>
        <w:t>uznává význam třístranné spolupráce mezi Moldavskem, Rumunskem a Ukrajinou (tzv. „oděský trojúhelník“) pro posílení regionální bezpečnosti, pokrok v procesu integrace Moldavska a Ukrajiny do EU, zlepšení propojení těchto zemí s EU a boj proti hybridním hrozbám ze strany Ruské federace, včetně dezinformací a zahraniční manipulace s informacemi, kybernetických útoků a energetických hrozeb;</w:t>
      </w:r>
    </w:p>
    <w:p w:rsidR="00FD2BA9" w:rsidRPr="00602522" w:rsidP="00602522" w14:paraId="175E714C" w14:textId="77777777">
      <w:pPr>
        <w:pStyle w:val="NormalHanging12a"/>
      </w:pPr>
      <w:r w:rsidRPr="00602522">
        <w:t>50.</w:t>
      </w:r>
      <w:r w:rsidRPr="00602522">
        <w:tab/>
        <w:t>vítá prodloužení mandátu mise EUPM v Moldavské republice do 31. května 2027 a vyzývá členské státy, aby poskytly potřebné odborníky a finanční zdroje; vybízí EU, aby nadále podporovala odolnost a připravenost Moldavska, např. na bezprecedentní ruské vměšování, prostřednictvím mise EUPM, hybridních týmů rychlé reakce, týmů rychlé reakce v oblasti kybernetické bezpečnosti a rezervy EU pro kybernetickou bezpečnost;</w:t>
      </w:r>
    </w:p>
    <w:p w:rsidR="00FD2BA9" w:rsidRPr="00602522" w:rsidP="00602522" w14:paraId="1D2D36F8" w14:textId="77777777">
      <w:pPr>
        <w:pStyle w:val="NormalHanging12a"/>
      </w:pPr>
      <w:r w:rsidRPr="00602522">
        <w:t>51.</w:t>
      </w:r>
      <w:r w:rsidRPr="00602522">
        <w:tab/>
        <w:t>zdůrazňuje, že fyzické útoky na kritickou infrastrukturu a bezpečnostní provokace jsou systematicky doprovázeny kampaněmi zahraniční manipulace s informacemi a vměšování, jejichž cílem je vyvolat mezi obyvatelstvem paniku a podkopat důvěru veřejnosti v moldavské orgány; zdůrazňuje proto, že je zásadně důležité, aby byly moldavské instituce vybaveny spolehlivými nástroji pro rychlou krizovou komunikaci, které umožní účinně bojovat proti dezinformacím a zajistit rychlé šíření objektivních informací; bere na vědomí zejména opatření přijatá v roce 2025 s cílem posílit operační kapacity Centra pro strategickou komunikaci a boj proti dezinformacím a Národní agentury pro kybernetickou bezpečnost; vyzývá k strategickému využívání dostupných finančních prostředků v roce 2027 a v následujících letech v zájmu posílení kapacity Moldavska v oblasti strategické komunikace, kybernetické bezpečnosti a boje proti zahraniční manipulaci s informacemi a vměšování v období před plánovaným datem přistoupení; vyzývá EU, aby se ze zkušeností získaných v Moldavsku poučila při ochraně volebního procesu a demokratických institucí a boji proti zahraniční manipulaci s informacemi a vměšování v samotné EU i v jiných kandidátských zemích; vítá v tomto ohledu snahy veřejnoprávních vysílacích organizací členských států poskytovat moldavské veřejnosti fakticky podložený obsah;</w:t>
      </w:r>
    </w:p>
    <w:p w:rsidR="00FD2BA9" w:rsidRPr="00602522" w:rsidP="00602522" w14:paraId="6AA29112" w14:textId="77777777">
      <w:pPr>
        <w:pStyle w:val="NormalHanging12a"/>
      </w:pPr>
      <w:r w:rsidRPr="00602522">
        <w:t>52.</w:t>
      </w:r>
      <w:r w:rsidRPr="00602522">
        <w:tab/>
        <w:t>vyjadřuje znepokojení nad účelovým využíváním náboženských struktur k politickým účelům v souladu s ruskou vojenskou doktrínou a národní bezpečnostní strategií, včetně pokusů o ovlivňování veřejného mínění a volebních procesů způsobem, který může Moldavsko svést z cesty do EU; vyzývá moldavské orgány, aby zajistily plné dodržování svobody náboženského vyznání a zároveň zabránily jakémukoli nepatřičnému vnějšímu vměšování nebo manipulaci, které by mohly ovlivnit demokratické procesy a strategické směřování země; důrazně odsuzuje využívání Metropole Kišiněva a celého Moldavska přidružené k Moskvě, která spadá do jurisdikce ruské pravoslavné církve, jako nástroje pro šíření dezinformací, vměšování do voleb a hybridní vliv ze strany Kremlu v Moldavské republice;</w:t>
      </w:r>
    </w:p>
    <w:p w:rsidR="00FD2BA9" w:rsidRPr="00602522" w:rsidP="00602522" w14:paraId="79A45C97" w14:textId="77777777">
      <w:pPr>
        <w:pStyle w:val="NormalHanging12a"/>
      </w:pPr>
      <w:r w:rsidRPr="00602522">
        <w:t>53.</w:t>
      </w:r>
      <w:r w:rsidRPr="00602522">
        <w:tab/>
        <w:t>znovu opakuje, že je plně odhodlán prosazovat územní celistvost Moldavska a mírové řešení konfliktu na základě svrchovanosti a územní celistvosti Moldavska v rámci jeho mezinárodně uznaných hranic; vybízí Moldavsko, aby pokračovalo ve svých snahách o reintegraci, a vyzývá Ruskou federaci, aby splnila své mezinárodní závazky a zajistila okamžité a bezpodmínečné stažení veškerého svého vojenského personálu, vybavení a munice z Podněstří, neboť jejich přítomnost je jasným porušením mezinárodního práva a přímou bezpečnostní hrozbou pro Moldavsko a širší evropské sousedství;</w:t>
      </w:r>
    </w:p>
    <w:p w:rsidR="00FD2BA9" w:rsidRPr="00602522" w:rsidP="00602522" w14:paraId="31811321" w14:textId="77777777">
      <w:pPr>
        <w:pStyle w:val="NormalHanging12a"/>
      </w:pPr>
      <w:r w:rsidRPr="00602522">
        <w:t>54.</w:t>
      </w:r>
      <w:r w:rsidRPr="00602522">
        <w:tab/>
        <w:t>podporuje postupný přístup moldavských orgánů k reintegraci země se silným důrazem na hmatatelné socioekonomické přínosy pro občany na obou březích řeky; vyzývá EU, aby aktivně přispívala k mírovému procesu reintegrace, mimo jiné prostřednictvím smysluplných příspěvků do konvergenčního fondu, který podpoří postupné sbližování Podněstří s právním, ekonomickým a sociálním rámcem Moldavska a přinese občanům konkrétní zlepšení ve veřejných službách a místní infrastruktuře;</w:t>
      </w:r>
    </w:p>
    <w:p w:rsidR="00FD2BA9" w:rsidRPr="00602522" w:rsidP="00602522" w14:paraId="3FC79FA5" w14:textId="77777777">
      <w:pPr>
        <w:pStyle w:val="NormalHanging12a"/>
      </w:pPr>
      <w:r w:rsidRPr="00602522">
        <w:t>55.</w:t>
      </w:r>
      <w:r w:rsidRPr="00602522">
        <w:tab/>
        <w:t xml:space="preserve">se znepokojením konstatuje, že Rusko se stále pokouší využívat a podněcovat napětí mezi autonomní územní jednotkou </w:t>
      </w:r>
      <w:r w:rsidRPr="00602522">
        <w:t>Gagauzsko</w:t>
      </w:r>
      <w:r w:rsidRPr="00602522">
        <w:t xml:space="preserve"> a moldavskými orgány; podporuje a povzbuzuje moldavskou vládu, aby pokračovala ve snahách o vyřešení těchto výzev prostřednictvím konstruktivního dialogu a inkluzivních reforem; naléhavě vyzývá regionální orgány, aby se do tohoto dialogu zapojily v dobré víře a zajistily řádné uspořádání svobodných, spravedlivých, transparentních a zákonných voleb v regionu v plném souladu s moldavskými právními předpisy; opakuje, že stabilní vztah mezi hlavním městem a regiony založený na spolupráci je naprosto zásadní pro vnitřní stabilitu Moldavska a jeho trvalý pokrok na cestě k přistoupení k EU;</w:t>
      </w:r>
    </w:p>
    <w:p w:rsidR="00FD2BA9" w:rsidRPr="00602522" w:rsidP="00602522" w14:paraId="684461CB" w14:textId="77777777">
      <w:pPr>
        <w:pStyle w:val="NormalHanging12a"/>
      </w:pPr>
      <w:r w:rsidRPr="00602522">
        <w:t>56.</w:t>
      </w:r>
      <w:r w:rsidRPr="00602522">
        <w:tab/>
        <w:t>vítá rozhodnutí Moldavska vystoupit ze Společenství nezávislých států ovládaného Ruskem jako suverénní a strategické rozhodnutí, které odráží rozhodnutí této země směřovat k EU; vyzývá k řešení odkazu sovětského období, například odtajněním archivů bývalých sovětských bezpečnostních služeb, a vybízí k diskusi o přítomnosti sovětských propagandistických symbolů na veřejných prostranstvích;</w:t>
      </w:r>
    </w:p>
    <w:p w:rsidR="00FD2BA9" w:rsidRPr="00602522" w:rsidP="00602522" w14:paraId="22689552" w14:textId="77777777">
      <w:pPr>
        <w:pStyle w:val="NormalHanging12a"/>
      </w:pPr>
      <w:r w:rsidRPr="00602522">
        <w:t>57.</w:t>
      </w:r>
      <w:r w:rsidRPr="00602522">
        <w:tab/>
        <w:t>důrazně odsuzuje opakované neoprávněné pronikání ruských dronů do moldavského vzdušného prostoru a na moldavské území od roku 2022, které představuje závažné porušení suverenity a územní celistvosti Moldavska; zdůrazňuje, že takové činy představují přímé ohrožení bezpečnosti civilního obyvatelstva a regionální stability, a znovu zdůrazňuje, že je třeba striktně dodržovat mezinárodní právo; v této souvislosti upozorňuje na zásadní význam investic do infrastruktury pro letecké monitorování a protivzdušnou obranu;</w:t>
      </w:r>
    </w:p>
    <w:p w:rsidR="00FD2BA9" w:rsidRPr="00602522" w:rsidP="00602522" w14:paraId="213525D6" w14:textId="77777777">
      <w:pPr>
        <w:pStyle w:val="NormalHanging12a"/>
      </w:pPr>
      <w:r w:rsidRPr="00602522">
        <w:t>58.</w:t>
      </w:r>
      <w:r w:rsidRPr="00602522">
        <w:tab/>
        <w:t>vítá pokračující podporu ozbrojeným silám Moldavska v rámci Evropského mírového nástroje; opakuje svou výzvu členským státům, aby dále navýšily finanční prostředky z Evropského mírového nástroje pro Moldavsko, a tak posílily obranné schopnosti této země s ohledem na současné bezpečnostní hrozby; vyzývá Komisi, aby v koordinaci s ESVČ zajistila strukturovanější, předvídatelnější a lepší podporu pro posílení bezpečnostních a obranných kapacit Moldavské republiky a její sladění s bezpečnostními standardy EU v rámci procesu přistoupení; vyzývá k trvalé podpoře modernizace moldavského odvětví obrany, včetně jeho schopností protivzdušné obrany; zdůrazňuje, že Moldavsko není pouze konzumentem bezpečnosti, ale vzhledem ke své strategické poloze a cenným zkušenostem získaným v reálném čase také zajišťovatelem bezpečnosti pro EU; vítá uznání Moldavska jako země, pro kterou lze v rámci Programu pro evropský obranný průmysl společně pořizovat další množství obranných produktů, přičemž míra finančního příspěvku EU se zvýšila z 15 % na 25 %, a vyzývá k tomu, aby bylo toto preferenční zacházení zakotveno ve struktuře na období po roce 2027;</w:t>
      </w:r>
    </w:p>
    <w:p w:rsidR="00602522" w:rsidP="00602522" w14:paraId="46B04937" w14:textId="77777777">
      <w:pPr>
        <w:pStyle w:val="NormalCenter12a"/>
      </w:pPr>
      <w:r>
        <w:t>°</w:t>
      </w:r>
    </w:p>
    <w:p w:rsidR="00602522" w:rsidP="00602522" w14:paraId="60D54CD8" w14:textId="77777777">
      <w:pPr>
        <w:pStyle w:val="NormalCenter12a"/>
      </w:pPr>
      <w:r>
        <w:t>°     °</w:t>
      </w:r>
    </w:p>
    <w:p w:rsidR="00861CBB" w:rsidRPr="00602522" w:rsidP="00602522" w14:paraId="6B039768" w14:textId="79AF2FCB">
      <w:pPr>
        <w:pStyle w:val="NormalHanging12a"/>
      </w:pPr>
      <w:r w:rsidRPr="00602522">
        <w:t>59.</w:t>
      </w:r>
      <w:r w:rsidRPr="00602522">
        <w:tab/>
        <w:t>pověřuje svou předsedkyni, aby předala toto usnesení Radě, Komisi, místopředsedkyni Komise, vysoké představitelce Unie pro zahraniční věci a bezpečnostní politiku a prezidentce, vládě a parlamentu Moldavské republiky.</w:t>
      </w:r>
    </w:p>
    <w:p w:rsidR="00E365E1" w:rsidRPr="00602522" w:rsidP="00CD0657" w14:paraId="671FD474" w14:textId="48AB99BD">
      <w:pPr>
        <w:spacing w:after="240"/>
        <w:ind w:left="566" w:hanging="566"/>
      </w:pPr>
    </w:p>
    <w:sectPr w:rsidSect="00861C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1CBB" w14:paraId="53A916C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1CBB" w14:paraId="45A6551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1CBB" w14:paraId="03350F9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37F13" w:rsidRPr="00861CBB" w14:paraId="45A6C7DA" w14:textId="77777777">
      <w:r w:rsidRPr="00861CBB">
        <w:separator/>
      </w:r>
    </w:p>
  </w:footnote>
  <w:footnote w:type="continuationSeparator" w:id="1">
    <w:p w:rsidR="00F37F13" w:rsidRPr="00861CBB" w14:paraId="04C2CB80" w14:textId="77777777">
      <w:r w:rsidRPr="00861CBB">
        <w:continuationSeparator/>
      </w:r>
    </w:p>
  </w:footnote>
  <w:footnote w:id="2">
    <w:p w:rsidR="00AA0DF3" w:rsidRPr="00861CBB" w:rsidP="00861CBB" w14:paraId="4FD2FE7D" w14:textId="05BD256A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861CBB">
        <w:rPr>
          <w:sz w:val="24"/>
          <w:lang w:val="cs-CZ"/>
        </w:rPr>
        <w:t xml:space="preserve"> </w:t>
      </w:r>
      <w:r w:rsidRPr="00861CBB">
        <w:rPr>
          <w:sz w:val="24"/>
          <w:lang w:val="cs-CZ"/>
        </w:rPr>
        <w:tab/>
      </w:r>
      <w:r w:rsidRPr="00861CBB">
        <w:rPr>
          <w:sz w:val="24"/>
          <w:lang w:val="cs-CZ"/>
        </w:rPr>
        <w:t>Úř</w:t>
      </w:r>
      <w:r w:rsidRPr="00861CBB">
        <w:rPr>
          <w:sz w:val="24"/>
          <w:lang w:val="cs-CZ"/>
        </w:rPr>
        <w:t xml:space="preserve">. </w:t>
      </w:r>
      <w:r w:rsidRPr="00861CBB">
        <w:rPr>
          <w:sz w:val="24"/>
          <w:lang w:val="cs-CZ"/>
        </w:rPr>
        <w:t>věst</w:t>
      </w:r>
      <w:r w:rsidRPr="00861CBB">
        <w:rPr>
          <w:sz w:val="24"/>
          <w:lang w:val="cs-CZ"/>
        </w:rPr>
        <w:t xml:space="preserve">. L, 2025/535, 21.3.2025, ELI: </w:t>
      </w:r>
      <w:hyperlink r:id="rId1" w:tgtFrame="http://data.europa.eu/eli/reg/2025/535/oj" w:history="1">
        <w:r w:rsidRPr="00861CBB">
          <w:rPr>
            <w:rStyle w:val="Hyperlink"/>
            <w:sz w:val="24"/>
            <w:lang w:val="cs-CZ"/>
          </w:rPr>
          <w:t>http://data.europa.eu/eli/reg/2025/535/oj</w:t>
        </w:r>
      </w:hyperlink>
      <w:r w:rsidRPr="00861CBB">
        <w:rPr>
          <w:sz w:val="24"/>
          <w:lang w:val="cs-CZ"/>
        </w:rPr>
        <w:t>.</w:t>
      </w:r>
    </w:p>
  </w:footnote>
  <w:footnote w:id="3">
    <w:p w:rsidR="00AA0DF3" w:rsidRPr="00861CBB" w:rsidP="00861CBB" w14:paraId="28C54903" w14:textId="2C569A48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861CBB">
        <w:rPr>
          <w:sz w:val="24"/>
          <w:lang w:val="cs-CZ"/>
        </w:rPr>
        <w:t xml:space="preserve"> </w:t>
      </w:r>
      <w:r w:rsidRPr="00861CBB">
        <w:rPr>
          <w:sz w:val="24"/>
          <w:lang w:val="cs-CZ"/>
        </w:rPr>
        <w:tab/>
        <w:t>Dohoda o přidružení mezi Evropskou unií a Evropským společenstvím pro atomovou energii a jejich členskými státy na jedné straně a Moldavskou republikou na straně druhé (</w:t>
      </w:r>
      <w:r w:rsidRPr="00861CBB">
        <w:rPr>
          <w:sz w:val="24"/>
          <w:lang w:val="cs-CZ"/>
        </w:rPr>
        <w:t>Úř</w:t>
      </w:r>
      <w:r w:rsidRPr="00861CBB">
        <w:rPr>
          <w:sz w:val="24"/>
          <w:lang w:val="cs-CZ"/>
        </w:rPr>
        <w:t xml:space="preserve">. </w:t>
      </w:r>
      <w:r w:rsidRPr="00861CBB">
        <w:rPr>
          <w:sz w:val="24"/>
          <w:lang w:val="cs-CZ"/>
        </w:rPr>
        <w:t>věst</w:t>
      </w:r>
      <w:r w:rsidRPr="00861CBB">
        <w:rPr>
          <w:sz w:val="24"/>
          <w:lang w:val="cs-CZ"/>
        </w:rPr>
        <w:t xml:space="preserve">. L 260, 30.8.2014, s. 4, ELI: </w:t>
      </w:r>
      <w:hyperlink r:id="rId2" w:history="1">
        <w:r w:rsidRPr="00603B99">
          <w:rPr>
            <w:rStyle w:val="Hyperlink"/>
            <w:sz w:val="24"/>
            <w:lang w:val="cs-CZ"/>
          </w:rPr>
          <w:t>http://data.europa.eu/eli/agree_internation/2014/492/oj</w:t>
        </w:r>
      </w:hyperlink>
      <w:r w:rsidRPr="00861CBB">
        <w:rPr>
          <w:sz w:val="24"/>
          <w:lang w:val="cs-CZ"/>
        </w:rPr>
        <w:t>).</w:t>
      </w:r>
    </w:p>
  </w:footnote>
  <w:footnote w:id="4">
    <w:p w:rsidR="00AA0DF3" w:rsidRPr="00861CBB" w:rsidP="00861CBB" w14:paraId="41050A0F" w14:textId="0515CC62">
      <w:pPr>
        <w:pStyle w:val="FootnoteText"/>
        <w:ind w:left="567" w:hanging="567"/>
        <w:rPr>
          <w:sz w:val="24"/>
          <w:lang w:val="cs-CZ"/>
        </w:rPr>
      </w:pPr>
      <w:r>
        <w:rPr>
          <w:rStyle w:val="FootnoteReference"/>
        </w:rPr>
        <w:footnoteRef/>
      </w:r>
      <w:r w:rsidRPr="00861CBB">
        <w:rPr>
          <w:sz w:val="24"/>
          <w:lang w:val="cs-CZ"/>
        </w:rPr>
        <w:t xml:space="preserve"> </w:t>
      </w:r>
      <w:r w:rsidRPr="00861CBB">
        <w:rPr>
          <w:sz w:val="24"/>
          <w:lang w:val="cs-CZ"/>
        </w:rPr>
        <w:tab/>
        <w:t>Směrnice Evropského parlamentu a Rady (EU) 2019/882 ze dne 17. dubna 2019 o požadavcích na přístupnost u výrobků a služeb (</w:t>
      </w:r>
      <w:r w:rsidRPr="00861CBB">
        <w:rPr>
          <w:sz w:val="24"/>
          <w:lang w:val="cs-CZ"/>
        </w:rPr>
        <w:t>Úř</w:t>
      </w:r>
      <w:r w:rsidRPr="00861CBB">
        <w:rPr>
          <w:sz w:val="24"/>
          <w:lang w:val="cs-CZ"/>
        </w:rPr>
        <w:t>. </w:t>
      </w:r>
      <w:r w:rsidRPr="00861CBB">
        <w:rPr>
          <w:sz w:val="24"/>
          <w:lang w:val="cs-CZ"/>
        </w:rPr>
        <w:t>věst</w:t>
      </w:r>
      <w:r w:rsidRPr="00861CBB">
        <w:rPr>
          <w:sz w:val="24"/>
          <w:lang w:val="cs-CZ"/>
        </w:rPr>
        <w:t xml:space="preserve">. L 151, 7.6.2019, s. 70, ELI: </w:t>
      </w:r>
      <w:hyperlink r:id="rId3" w:tgtFrame="http://data.europa.eu/eli/dir/2019/882/oj" w:history="1">
        <w:r w:rsidRPr="00861CBB">
          <w:rPr>
            <w:rStyle w:val="Hyperlink"/>
            <w:sz w:val="24"/>
            <w:lang w:val="cs-CZ"/>
          </w:rPr>
          <w:t>http://data.europa.eu/eli/dir/2019/882/oj</w:t>
        </w:r>
      </w:hyperlink>
      <w:r w:rsidRPr="00861CBB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1CBB" w14:paraId="432E8EF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1CBB" w14:paraId="13DF043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1CBB" w14:paraId="69BAA68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7059285">
    <w:abstractNumId w:val="9"/>
  </w:num>
  <w:num w:numId="2" w16cid:durableId="1524244198">
    <w:abstractNumId w:val="9"/>
  </w:num>
  <w:num w:numId="3" w16cid:durableId="1513253035">
    <w:abstractNumId w:val="7"/>
  </w:num>
  <w:num w:numId="4" w16cid:durableId="1818648725">
    <w:abstractNumId w:val="7"/>
  </w:num>
  <w:num w:numId="5" w16cid:durableId="65957106">
    <w:abstractNumId w:val="6"/>
  </w:num>
  <w:num w:numId="6" w16cid:durableId="1894274140">
    <w:abstractNumId w:val="6"/>
  </w:num>
  <w:num w:numId="7" w16cid:durableId="594561643">
    <w:abstractNumId w:val="5"/>
  </w:num>
  <w:num w:numId="8" w16cid:durableId="57944650">
    <w:abstractNumId w:val="5"/>
  </w:num>
  <w:num w:numId="9" w16cid:durableId="549345693">
    <w:abstractNumId w:val="4"/>
  </w:num>
  <w:num w:numId="10" w16cid:durableId="773094102">
    <w:abstractNumId w:val="4"/>
  </w:num>
  <w:num w:numId="11" w16cid:durableId="765466384">
    <w:abstractNumId w:val="8"/>
  </w:num>
  <w:num w:numId="12" w16cid:durableId="1121462414">
    <w:abstractNumId w:val="8"/>
  </w:num>
  <w:num w:numId="13" w16cid:durableId="1162887754">
    <w:abstractNumId w:val="3"/>
  </w:num>
  <w:num w:numId="14" w16cid:durableId="1291329028">
    <w:abstractNumId w:val="3"/>
  </w:num>
  <w:num w:numId="15" w16cid:durableId="1118063302">
    <w:abstractNumId w:val="2"/>
  </w:num>
  <w:num w:numId="16" w16cid:durableId="985469342">
    <w:abstractNumId w:val="2"/>
  </w:num>
  <w:num w:numId="17" w16cid:durableId="1602452397">
    <w:abstractNumId w:val="1"/>
  </w:num>
  <w:num w:numId="18" w16cid:durableId="555242762">
    <w:abstractNumId w:val="1"/>
  </w:num>
  <w:num w:numId="19" w16cid:durableId="889271727">
    <w:abstractNumId w:val="0"/>
  </w:num>
  <w:num w:numId="20" w16cid:durableId="219639115">
    <w:abstractNumId w:val="0"/>
  </w:num>
  <w:num w:numId="21" w16cid:durableId="601572849">
    <w:abstractNumId w:val="9"/>
  </w:num>
  <w:num w:numId="22" w16cid:durableId="772358863">
    <w:abstractNumId w:val="7"/>
  </w:num>
  <w:num w:numId="23" w16cid:durableId="646977729">
    <w:abstractNumId w:val="6"/>
  </w:num>
  <w:num w:numId="24" w16cid:durableId="1406410851">
    <w:abstractNumId w:val="5"/>
  </w:num>
  <w:num w:numId="25" w16cid:durableId="489054335">
    <w:abstractNumId w:val="4"/>
  </w:num>
  <w:num w:numId="26" w16cid:durableId="1950039107">
    <w:abstractNumId w:val="8"/>
  </w:num>
  <w:num w:numId="27" w16cid:durableId="495539777">
    <w:abstractNumId w:val="3"/>
  </w:num>
  <w:num w:numId="28" w16cid:durableId="1852256648">
    <w:abstractNumId w:val="2"/>
  </w:num>
  <w:num w:numId="29" w16cid:durableId="55445935">
    <w:abstractNumId w:val="1"/>
  </w:num>
  <w:num w:numId="30" w16cid:durableId="280578832">
    <w:abstractNumId w:val="0"/>
  </w:num>
  <w:num w:numId="31" w16cid:durableId="1090471384">
    <w:abstractNumId w:val="9"/>
  </w:num>
  <w:num w:numId="32" w16cid:durableId="357896021">
    <w:abstractNumId w:val="7"/>
  </w:num>
  <w:num w:numId="33" w16cid:durableId="759912433">
    <w:abstractNumId w:val="6"/>
  </w:num>
  <w:num w:numId="34" w16cid:durableId="338780064">
    <w:abstractNumId w:val="5"/>
  </w:num>
  <w:num w:numId="35" w16cid:durableId="1273588115">
    <w:abstractNumId w:val="4"/>
  </w:num>
  <w:num w:numId="36" w16cid:durableId="236551626">
    <w:abstractNumId w:val="8"/>
  </w:num>
  <w:num w:numId="37" w16cid:durableId="2126269959">
    <w:abstractNumId w:val="3"/>
  </w:num>
  <w:num w:numId="38" w16cid:durableId="564490226">
    <w:abstractNumId w:val="2"/>
  </w:num>
  <w:num w:numId="39" w16cid:durableId="1544096994">
    <w:abstractNumId w:val="1"/>
  </w:num>
  <w:num w:numId="40" w16cid:durableId="316961690">
    <w:abstractNumId w:val="0"/>
  </w:num>
  <w:num w:numId="41" w16cid:durableId="545071347">
    <w:abstractNumId w:val="10"/>
  </w:num>
  <w:num w:numId="42" w16cid:durableId="548343084">
    <w:abstractNumId w:val="10"/>
  </w:num>
  <w:num w:numId="43" w16cid:durableId="17590523">
    <w:abstractNumId w:val="10"/>
  </w:num>
  <w:num w:numId="44" w16cid:durableId="6255025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F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C2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00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828"/>
    <w:rsid w:val="00602522"/>
    <w:rsid w:val="006037C0"/>
    <w:rsid w:val="00603B99"/>
    <w:rsid w:val="00606F3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F1B"/>
    <w:rsid w:val="007D1690"/>
    <w:rsid w:val="007E22AD"/>
    <w:rsid w:val="00817416"/>
    <w:rsid w:val="00842779"/>
    <w:rsid w:val="00861CB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E46"/>
    <w:rsid w:val="00A1687D"/>
    <w:rsid w:val="00A43E52"/>
    <w:rsid w:val="00A4678D"/>
    <w:rsid w:val="00A778C7"/>
    <w:rsid w:val="00AA0DF3"/>
    <w:rsid w:val="00AB441E"/>
    <w:rsid w:val="00AB6293"/>
    <w:rsid w:val="00AB74EB"/>
    <w:rsid w:val="00AE0928"/>
    <w:rsid w:val="00AF3B82"/>
    <w:rsid w:val="00B12E95"/>
    <w:rsid w:val="00B22876"/>
    <w:rsid w:val="00B558F0"/>
    <w:rsid w:val="00BA0E6E"/>
    <w:rsid w:val="00BD48FE"/>
    <w:rsid w:val="00BD7BD8"/>
    <w:rsid w:val="00BE6ADC"/>
    <w:rsid w:val="00C05BFE"/>
    <w:rsid w:val="00C23CD4"/>
    <w:rsid w:val="00C61C0C"/>
    <w:rsid w:val="00C941CB"/>
    <w:rsid w:val="00CC2357"/>
    <w:rsid w:val="00CD0657"/>
    <w:rsid w:val="00CF071A"/>
    <w:rsid w:val="00D058B8"/>
    <w:rsid w:val="00D56C11"/>
    <w:rsid w:val="00D75FAE"/>
    <w:rsid w:val="00D834A0"/>
    <w:rsid w:val="00D872DF"/>
    <w:rsid w:val="00D91E21"/>
    <w:rsid w:val="00DA7FCD"/>
    <w:rsid w:val="00E365E1"/>
    <w:rsid w:val="00E63C16"/>
    <w:rsid w:val="00E820A4"/>
    <w:rsid w:val="00EB006A"/>
    <w:rsid w:val="00EB4772"/>
    <w:rsid w:val="00EB690C"/>
    <w:rsid w:val="00ED169E"/>
    <w:rsid w:val="00ED4235"/>
    <w:rsid w:val="00F04346"/>
    <w:rsid w:val="00F075DC"/>
    <w:rsid w:val="00F149E9"/>
    <w:rsid w:val="00F37F13"/>
    <w:rsid w:val="00F5134D"/>
    <w:rsid w:val="00F63A79"/>
    <w:rsid w:val="00F74202"/>
    <w:rsid w:val="00F87713"/>
    <w:rsid w:val="00FB4360"/>
    <w:rsid w:val="00FD0C70"/>
    <w:rsid w:val="00FD2BA9"/>
  </w:rsids>
  <w:docVars>
    <w:docVar w:name="dvdocse" w:val="A10-0164/2026"/>
    <w:docVar w:name="dvlangue" w:val="CS"/>
    <w:docVar w:name="dvnumam" w:val="0"/>
    <w:docVar w:name="dvpe" w:val="782.290"/>
    <w:docVar w:name="dvrapporteur" w:val="Zpravodaj: "/>
    <w:docVar w:name="dvtitre" w:val="Usnesení Evropského parlamentu ze dne 8. července 2026 o zprávě Komise o Moldavsku za rok 2025(2025/2258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A4F959"/>
  <w15:chartTrackingRefBased/>
  <w15:docId w15:val="{2DE41D22-8662-480E-AB4A-78B6717F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D2BA9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D2BA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D2BA9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D2BA9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D2BA9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D2BA9"/>
    <w:rPr>
      <w:color w:val="0000FF"/>
      <w:u w:val="single"/>
    </w:rPr>
  </w:style>
  <w:style w:type="paragraph" w:styleId="Revision">
    <w:name w:val="Revision"/>
    <w:hidden/>
    <w:uiPriority w:val="99"/>
    <w:semiHidden/>
    <w:rsid w:val="00AB74EB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603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535/oj" TargetMode="External" /><Relationship Id="rId2" Type="http://schemas.openxmlformats.org/officeDocument/2006/relationships/hyperlink" Target="http://data.europa.eu/eli/agree_internation/2014/492/oj" TargetMode="External" /><Relationship Id="rId3" Type="http://schemas.openxmlformats.org/officeDocument/2006/relationships/hyperlink" Target="http://data.europa.eu/eli/dir/2019/8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5478</Words>
  <Characters>34181</Characters>
  <Application>Microsoft Office Word</Application>
  <DocSecurity>0</DocSecurity>
  <Lines>284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2026-07-08T13:04:00Z</dcterms:created>
  <dcterms:modified xsi:type="dcterms:W3CDTF">2026-07-08T13:04:00Z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A10-0164/2026</vt:lpwstr>
  </property>
  <property fmtid="{D5CDD505-2E9C-101B-9397-08002B2CF9AE}" pid="4" name="&lt;Type&gt;">
    <vt:lpwstr>RR</vt:lpwstr>
  </property>
</Properties>
</file>