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D43A68D" w14:textId="77777777" w:rsidTr="0010095E">
        <w:tblPrEx>
          <w:tblW w:w="9072" w:type="dxa"/>
          <w:tblLook w:val="01E0"/>
        </w:tblPrEx>
        <w:trPr>
          <w:trHeight w:hRule="exact" w:val="1418"/>
        </w:trPr>
        <w:tc>
          <w:tcPr>
            <w:tcW w:w="6804" w:type="dxa"/>
            <w:shd w:val="clear" w:color="auto" w:fill="auto"/>
            <w:vAlign w:val="center"/>
          </w:tcPr>
          <w:p w:rsidR="00751A4A" w:rsidRPr="005F6C28" w:rsidP="0010095E" w14:paraId="09B47A45" w14:textId="77777777">
            <w:pPr>
              <w:pStyle w:val="EPName"/>
            </w:pPr>
            <w:r w:rsidRPr="005F6C28">
              <w:t>Europa-Parlamentet</w:t>
            </w:r>
          </w:p>
          <w:p w:rsidR="00751A4A" w:rsidRPr="005F6C28" w:rsidP="005F1B17" w14:paraId="6BC37185" w14:textId="77777777">
            <w:pPr>
              <w:pStyle w:val="EPTerm"/>
              <w:rPr>
                <w:rStyle w:val="HideTWBExt"/>
                <w:noProof w:val="0"/>
                <w:vanish w:val="0"/>
                <w:color w:val="auto"/>
              </w:rPr>
            </w:pPr>
            <w:r w:rsidRPr="005F6C28">
              <w:t>2024</w:t>
            </w:r>
            <w:r w:rsidRPr="005F6C28" w:rsidR="00817416">
              <w:t>-202</w:t>
            </w:r>
            <w:r w:rsidRPr="005F6C28">
              <w:t>9</w:t>
            </w:r>
          </w:p>
        </w:tc>
        <w:tc>
          <w:tcPr>
            <w:tcW w:w="2268" w:type="dxa"/>
            <w:shd w:val="clear" w:color="auto" w:fill="auto"/>
          </w:tcPr>
          <w:p w:rsidR="00751A4A" w:rsidRPr="005F6C28" w:rsidP="0010095E" w14:paraId="43E6EDF5" w14:textId="77777777">
            <w:pPr>
              <w:pStyle w:val="EPLogo"/>
            </w:pPr>
            <w:r w:rsidRPr="005F6C2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F6C28" w:rsidP="004C5D52" w14:paraId="77591AD4" w14:textId="77777777">
      <w:pPr>
        <w:pStyle w:val="LineTop"/>
      </w:pPr>
    </w:p>
    <w:p w:rsidR="00680577" w:rsidRPr="005F6C28" w:rsidP="00680577" w14:paraId="30672C48" w14:textId="77777777">
      <w:pPr>
        <w:pStyle w:val="EPBodyTA1"/>
      </w:pPr>
      <w:r w:rsidRPr="005F6C28">
        <w:t>VEDTAGNE TEKSTER</w:t>
      </w:r>
    </w:p>
    <w:p w:rsidR="00D058B8" w:rsidRPr="005F6C28" w:rsidP="00D058B8" w14:paraId="011A83FA" w14:textId="77777777">
      <w:pPr>
        <w:pStyle w:val="LineBottom"/>
      </w:pPr>
    </w:p>
    <w:p w:rsidR="00533CE8" w:rsidRPr="004F6025" w:rsidP="00533CE8" w14:paraId="7145BBAC" w14:textId="4181B0B2">
      <w:pPr>
        <w:pStyle w:val="ATHeading1"/>
      </w:pPr>
      <w:bookmarkStart w:id="0" w:name="TANumber"/>
      <w:r w:rsidRPr="004F6025">
        <w:t>P10_</w:t>
      </w:r>
      <w:r w:rsidRPr="004F6025">
        <w:t>TA(</w:t>
      </w:r>
      <w:r w:rsidRPr="004F6025">
        <w:t>2026)0</w:t>
      </w:r>
      <w:r w:rsidR="005D65C9">
        <w:t>260</w:t>
      </w:r>
      <w:bookmarkEnd w:id="0"/>
    </w:p>
    <w:p w:rsidR="00533CE8" w:rsidRPr="004F6025" w:rsidP="00533CE8" w14:paraId="1B3DBBFC" w14:textId="77777777">
      <w:pPr>
        <w:pStyle w:val="ATHeading2"/>
      </w:pPr>
      <w:bookmarkStart w:id="1" w:name="title"/>
      <w:r w:rsidRPr="004F6025">
        <w:t>Kommissionens 2025-rapport om Moldova</w:t>
      </w:r>
      <w:bookmarkEnd w:id="1"/>
    </w:p>
    <w:p w:rsidR="00533CE8" w:rsidRPr="005F6C28" w:rsidP="00533CE8" w14:paraId="2A61735D" w14:textId="77777777">
      <w:pPr>
        <w:rPr>
          <w:i/>
          <w:vanish/>
        </w:rPr>
      </w:pPr>
      <w:r>
        <w:rPr>
          <w:i/>
        </w:rPr>
        <w:fldChar w:fldCharType="begin"/>
      </w:r>
      <w:r w:rsidRPr="005F6C28">
        <w:rPr>
          <w:i/>
        </w:rPr>
        <w:instrText xml:space="preserve"> TC"(</w:instrText>
      </w:r>
      <w:bookmarkStart w:id="2" w:name="DocNumber"/>
      <w:r w:rsidRPr="005F6C28">
        <w:rPr>
          <w:i/>
        </w:rPr>
        <w:instrText>A10-0164/2026</w:instrText>
      </w:r>
      <w:bookmarkEnd w:id="2"/>
      <w:r w:rsidRPr="005F6C28">
        <w:rPr>
          <w:i/>
        </w:rPr>
        <w:instrText xml:space="preserve"> - Ordfører: Sven Mikser)"\l3 \n&gt; \* MERGEFORMAT </w:instrText>
      </w:r>
      <w:r>
        <w:rPr>
          <w:i/>
        </w:rPr>
        <w:fldChar w:fldCharType="end"/>
      </w:r>
    </w:p>
    <w:p w:rsidR="00533CE8" w:rsidRPr="005F6C28" w:rsidP="00533CE8" w14:paraId="77936ED4" w14:textId="77777777">
      <w:pPr>
        <w:rPr>
          <w:vanish/>
        </w:rPr>
      </w:pPr>
      <w:bookmarkStart w:id="3" w:name="Commission"/>
      <w:r w:rsidRPr="005F6C28">
        <w:rPr>
          <w:vanish/>
        </w:rPr>
        <w:t>Udenrigsudvalget</w:t>
      </w:r>
      <w:bookmarkEnd w:id="3"/>
    </w:p>
    <w:p w:rsidR="00533CE8" w:rsidRPr="005F6C28" w:rsidP="00533CE8" w14:paraId="6E0FB61F" w14:textId="77777777">
      <w:pPr>
        <w:rPr>
          <w:vanish/>
        </w:rPr>
      </w:pPr>
      <w:bookmarkStart w:id="4" w:name="PE"/>
      <w:r w:rsidRPr="005F6C28">
        <w:rPr>
          <w:vanish/>
        </w:rPr>
        <w:t>PE782.290</w:t>
      </w:r>
      <w:bookmarkEnd w:id="4"/>
    </w:p>
    <w:p w:rsidR="00533CE8" w:rsidRPr="004F6025" w:rsidP="00533CE8" w14:paraId="6BCAADE2" w14:textId="50DB47C4">
      <w:pPr>
        <w:pStyle w:val="ATHeading3"/>
      </w:pPr>
      <w:bookmarkStart w:id="5" w:name="Sujet"/>
      <w:r w:rsidRPr="004F6025">
        <w:t xml:space="preserve">Europa-Parlamentets beslutning af </w:t>
      </w:r>
      <w:r w:rsidRPr="004F6025" w:rsidR="000A32D1">
        <w:t>8</w:t>
      </w:r>
      <w:r w:rsidRPr="004F6025">
        <w:t>. juli 2026 om Kommissionens 2025-rapport om Moldova</w:t>
      </w:r>
      <w:bookmarkEnd w:id="5"/>
      <w:r w:rsidRPr="004F6025">
        <w:t xml:space="preserve"> </w:t>
      </w:r>
      <w:bookmarkStart w:id="6" w:name="References"/>
      <w:r w:rsidRPr="004F6025">
        <w:t>(2025/2258(INI))</w:t>
      </w:r>
      <w:bookmarkEnd w:id="6"/>
    </w:p>
    <w:p w:rsidR="00AE0729" w:rsidRPr="005F6C28" w:rsidP="00AE0729" w14:paraId="7BBDF33A" w14:textId="77777777">
      <w:pPr>
        <w:pStyle w:val="Normal12"/>
      </w:pPr>
      <w:r w:rsidRPr="005F6C28">
        <w:rPr>
          <w:i/>
        </w:rPr>
        <w:t>Europa-Parlamentet</w:t>
      </w:r>
      <w:r w:rsidRPr="005F6C28">
        <w:t>,</w:t>
      </w:r>
    </w:p>
    <w:p w:rsidR="00AE0729" w:rsidRPr="005F6C28" w:rsidP="00AE0729" w14:paraId="4128F87F" w14:textId="37050F8A">
      <w:pPr>
        <w:pStyle w:val="NormalHanging"/>
      </w:pPr>
      <w:r w:rsidRPr="005F6C28">
        <w:t>–</w:t>
      </w:r>
      <w:r w:rsidRPr="005F6C28">
        <w:tab/>
        <w:t>der henviser til Kommissionens meddelelse af 4. november 2025 med titlen "Meddelelse om EU's udvidelsespolitik 2025" (</w:t>
      </w:r>
      <w:r w:rsidRPr="004F6025" w:rsidR="000A32D1">
        <w:t>COM(</w:t>
      </w:r>
      <w:r w:rsidRPr="004F6025" w:rsidR="000A32D1">
        <w:t>2025)0690</w:t>
      </w:r>
      <w:r w:rsidRPr="005F6C28">
        <w:t>), som er ledsaget af et arbejdsdokument fra Kommissionens tjenestegrene</w:t>
      </w:r>
      <w:r w:rsidR="00CC1F3F">
        <w:t xml:space="preserve"> af 4. november 2025</w:t>
      </w:r>
      <w:r w:rsidRPr="005F6C28">
        <w:t xml:space="preserve"> med titlen "</w:t>
      </w:r>
      <w:r w:rsidRPr="005F6C28">
        <w:t>Republic</w:t>
      </w:r>
      <w:r w:rsidRPr="005F6C28">
        <w:t xml:space="preserve"> of Moldova 2025 Report" (Rapport om Republikken Moldova for 2025) (</w:t>
      </w:r>
      <w:r w:rsidR="00CC1F3F">
        <w:rPr>
          <w:rFonts w:eastAsiaTheme="minorEastAsia"/>
        </w:rPr>
        <w:t>SWD(2025)0758</w:t>
      </w:r>
      <w:r w:rsidRPr="005F6C28">
        <w:t>),</w:t>
      </w:r>
    </w:p>
    <w:p w:rsidR="00AE0729" w:rsidRPr="005F6C28" w:rsidP="00AE0729" w14:paraId="5BD206DD" w14:textId="4C747A52">
      <w:pPr>
        <w:pStyle w:val="NormalHanging"/>
      </w:pPr>
      <w:r w:rsidRPr="005F6C28">
        <w:t>–</w:t>
      </w:r>
      <w:r w:rsidRPr="005F6C28">
        <w:tab/>
        <w:t>der henviser til Europa-Parlamentets og Rådets forordning (EU) 2025/535 af 18. marts 2025 om oprettelse af reform- og vækstfaciliteten for Republikken Moldova</w:t>
      </w:r>
      <w:r>
        <w:rPr>
          <w:rStyle w:val="FootnoteReference"/>
        </w:rPr>
        <w:footnoteReference w:id="2"/>
      </w:r>
      <w:r w:rsidRPr="005F6C28">
        <w:t>,</w:t>
      </w:r>
    </w:p>
    <w:p w:rsidR="00AE0729" w:rsidRPr="005F6C28" w:rsidP="00AE0729" w14:paraId="235E2740" w14:textId="77777777">
      <w:pPr>
        <w:pStyle w:val="NormalHanging"/>
      </w:pPr>
      <w:r w:rsidRPr="005F6C28">
        <w:t>–</w:t>
      </w:r>
      <w:r w:rsidRPr="005F6C28">
        <w:tab/>
        <w:t>der henviser til reformdagsordenen inden for rammerne af Republikken Moldovas (i det følgende benævnt "Moldova") vækstplan for årene 2025-2027,</w:t>
      </w:r>
    </w:p>
    <w:p w:rsidR="00AE0729" w:rsidRPr="005F6C28" w:rsidP="00AE0729" w14:paraId="6E14895B" w14:textId="77777777">
      <w:pPr>
        <w:pStyle w:val="NormalHanging"/>
      </w:pPr>
      <w:r w:rsidRPr="005F6C28">
        <w:t>–</w:t>
      </w:r>
      <w:r w:rsidRPr="005F6C28">
        <w:tab/>
        <w:t>der henviser til sine tidligere beslutninger om Moldova,</w:t>
      </w:r>
    </w:p>
    <w:p w:rsidR="00AE0729" w:rsidRPr="005F6C28" w:rsidP="00AE0729" w14:paraId="24E6505C" w14:textId="77777777">
      <w:pPr>
        <w:pStyle w:val="NormalHanging"/>
      </w:pPr>
      <w:r w:rsidRPr="005F6C28">
        <w:t>–</w:t>
      </w:r>
      <w:r w:rsidRPr="005F6C28">
        <w:tab/>
        <w:t>der henviser til Det Europæiske Råds konklusioner af 26. juni 2025 om Moldova,</w:t>
      </w:r>
    </w:p>
    <w:p w:rsidR="00AE0729" w:rsidRPr="005F6C28" w:rsidP="00AE0729" w14:paraId="32A5AD45" w14:textId="77777777">
      <w:pPr>
        <w:pStyle w:val="NormalHanging"/>
      </w:pPr>
      <w:r w:rsidRPr="005F6C28">
        <w:t>–</w:t>
      </w:r>
      <w:r w:rsidRPr="005F6C28">
        <w:tab/>
        <w:t>der henviser til konklusionerne fra Rådets formandskab af 16. december 2025 om udvidelse,</w:t>
      </w:r>
    </w:p>
    <w:p w:rsidR="00AE0729" w:rsidRPr="005F6C28" w:rsidP="00AE0729" w14:paraId="18F4ED5C" w14:textId="0C496FD5">
      <w:pPr>
        <w:pStyle w:val="NormalHanging"/>
      </w:pPr>
      <w:r w:rsidRPr="005F6C28">
        <w:t>–</w:t>
      </w:r>
      <w:r w:rsidRPr="005F6C28">
        <w:tab/>
        <w:t xml:space="preserve">der henviser til den fælles erklæring efter det </w:t>
      </w:r>
      <w:r w:rsidR="00B11351">
        <w:t>andet</w:t>
      </w:r>
      <w:r w:rsidRPr="005F6C28" w:rsidR="00B11351">
        <w:t xml:space="preserve"> </w:t>
      </w:r>
      <w:r w:rsidRPr="005F6C28">
        <w:t xml:space="preserve">topmøde mellem EU og Republikken Moldova den </w:t>
      </w:r>
      <w:r w:rsidRPr="00832DF0" w:rsidR="00832DF0">
        <w:t>22. juni 2026</w:t>
      </w:r>
      <w:r w:rsidRPr="005F6C28">
        <w:t>,</w:t>
      </w:r>
    </w:p>
    <w:p w:rsidR="00AE0729" w:rsidRPr="005F6C28" w:rsidP="00AE0729" w14:paraId="0742AC3B" w14:textId="77777777">
      <w:pPr>
        <w:pStyle w:val="NormalHanging"/>
      </w:pPr>
      <w:r w:rsidRPr="005F6C28">
        <w:t>–</w:t>
      </w:r>
      <w:r w:rsidRPr="005F6C28">
        <w:tab/>
        <w:t>der henviser til resultaterne af det niende møde i Associeringsrådet EU-Republikken Moldova, der blev afholdt den 4. juni 2025,</w:t>
      </w:r>
    </w:p>
    <w:p w:rsidR="00AE0729" w:rsidRPr="005F6C28" w:rsidP="00AE0729" w14:paraId="23D603B1" w14:textId="77777777">
      <w:pPr>
        <w:pStyle w:val="NormalHanging"/>
      </w:pPr>
      <w:r w:rsidRPr="005F6C28">
        <w:t>–</w:t>
      </w:r>
      <w:r w:rsidRPr="005F6C28">
        <w:tab/>
        <w:t>der henviser til det fornyede aftalememorandum af 18. marts 2026 mellem Europa-Parlamentet og Republikken Moldovas parlament,</w:t>
      </w:r>
    </w:p>
    <w:p w:rsidR="00AE0729" w:rsidRPr="005F6C28" w:rsidP="00AE0729" w14:paraId="64584FE0" w14:textId="77777777">
      <w:pPr>
        <w:pStyle w:val="NormalHanging"/>
      </w:pPr>
      <w:r w:rsidRPr="005F6C28">
        <w:t>–</w:t>
      </w:r>
      <w:r w:rsidRPr="005F6C28">
        <w:tab/>
        <w:t>der henviser til forretningsordenens artikel 55,</w:t>
      </w:r>
    </w:p>
    <w:p w:rsidR="00AE0729" w:rsidRPr="005F6C28" w:rsidP="00AE0729" w14:paraId="2AFD3585" w14:textId="77777777">
      <w:pPr>
        <w:pStyle w:val="NormalHanging"/>
      </w:pPr>
      <w:r w:rsidRPr="005F6C28">
        <w:t>–</w:t>
      </w:r>
      <w:r w:rsidRPr="005F6C28">
        <w:tab/>
        <w:t>der henviser til betænkning fra Udenrigsudvalget (A10-0164/2026),</w:t>
      </w:r>
    </w:p>
    <w:p w:rsidR="00AE0729" w:rsidRPr="005F6C28" w:rsidP="00AE0729" w14:paraId="4EFAED6E" w14:textId="5CEB397E">
      <w:pPr>
        <w:pStyle w:val="NormalHanging"/>
      </w:pPr>
      <w:r w:rsidRPr="005F6C28">
        <w:t>A.</w:t>
      </w:r>
      <w:r w:rsidRPr="005F6C28">
        <w:tab/>
        <w:t>der henviser til, at Moldova den 22. september 2025 afsluttede den bilaterale screening, der begyndte den 10. juli 2024; der henviser til, at Moldova er parat til formelt at indlede forhandlinger om alle seks klynger med henblik på EU-tiltrædelsesforhandlinger;</w:t>
      </w:r>
      <w:r w:rsidR="00832DF0">
        <w:t xml:space="preserve"> </w:t>
      </w:r>
      <w:r w:rsidRPr="00832DF0" w:rsidR="00832DF0">
        <w:t>der henviser til, at forhandlingerne om klynge 1 (grundprincipper) formelt blev indledt den 15. juni 2026;</w:t>
      </w:r>
    </w:p>
    <w:p w:rsidR="00AE0729" w:rsidRPr="005F6C28" w:rsidP="00AE0729" w14:paraId="0B73850F" w14:textId="77777777">
      <w:pPr>
        <w:pStyle w:val="NormalHanging"/>
      </w:pPr>
      <w:r w:rsidRPr="005F6C28">
        <w:t>B.</w:t>
      </w:r>
      <w:r w:rsidRPr="005F6C28">
        <w:tab/>
        <w:t>der henviser til, at Moldovas regering har tilkendegivet sit ambitiøse men opnåelige mål om midlertidigt at afslutte tiltrædelsesforhandlingerne senest i begyndelsen af 2028 og tiltræde Den Europæiske Union senest i 2030;</w:t>
      </w:r>
    </w:p>
    <w:p w:rsidR="00AE0729" w:rsidRPr="005F6C28" w:rsidP="00AE0729" w14:paraId="69C439BC" w14:textId="77777777">
      <w:pPr>
        <w:pStyle w:val="NormalHanging"/>
      </w:pPr>
      <w:r w:rsidRPr="005F6C28">
        <w:t>C.</w:t>
      </w:r>
      <w:r w:rsidRPr="005F6C28">
        <w:tab/>
        <w:t xml:space="preserve">der henviser til, at Moldova afholdt parlamentsvalg den 28. september 2025, hvilket resulterede i et </w:t>
      </w:r>
      <w:r w:rsidRPr="005F6C28">
        <w:t>proeuropæisk</w:t>
      </w:r>
      <w:r w:rsidRPr="005F6C28">
        <w:t xml:space="preserve"> flertal og bekræftede den moldoviske befolknings forhåbninger om en europæisk fremtid for deres land på trods af hidtil uset udenlandsk indblanding fra Rusland og russiske stedfortrædere, som ifølge moldoviske embedsmænd brugte, hvad der svarer til 2 % af Moldovas bruttonationalprodukt, svarende til 350 mio. EUR, på denne indblanding;</w:t>
      </w:r>
    </w:p>
    <w:p w:rsidR="00AE0729" w:rsidRPr="005F6C28" w:rsidP="00AE0729" w14:paraId="27E7BE5C" w14:textId="77777777">
      <w:pPr>
        <w:pStyle w:val="NormalHanging"/>
      </w:pPr>
      <w:r w:rsidRPr="005F6C28">
        <w:t>D.</w:t>
      </w:r>
      <w:r w:rsidRPr="005F6C28">
        <w:tab/>
        <w:t>der henviser til, at Moldova fører tekniske forhandlinger med Kommissionen om alle seks klynger for EU-tiltrædelsesforhandlinger;</w:t>
      </w:r>
    </w:p>
    <w:p w:rsidR="00AE0729" w:rsidRPr="005F6C28" w:rsidP="00AE0729" w14:paraId="007E99D4" w14:textId="77777777">
      <w:pPr>
        <w:pStyle w:val="NormalHanging"/>
      </w:pPr>
      <w:r w:rsidRPr="005F6C28">
        <w:t>E.</w:t>
      </w:r>
      <w:r w:rsidRPr="005F6C28">
        <w:tab/>
        <w:t>der henviser til, at associeringsaftalen, som omfatter et vidtgående og bredt frihandelsområde (DCFTA), fortsat danner grundlaget for den politiske associering og økonomiske integration mellem EU og Moldova, og at der er en løbende og regelmæssig politisk og økonomisk dialog mellem de to parter;</w:t>
      </w:r>
    </w:p>
    <w:p w:rsidR="00AE0729" w:rsidRPr="005F6C28" w:rsidP="00AE0729" w14:paraId="13E01BA8" w14:textId="5F5AAC44">
      <w:pPr>
        <w:pStyle w:val="NormalHanging"/>
      </w:pPr>
      <w:r w:rsidRPr="005F6C28">
        <w:t>F.</w:t>
      </w:r>
      <w:r w:rsidRPr="005F6C28">
        <w:tab/>
        <w:t xml:space="preserve">der henviser til, at Moldovas regering den 19. januar 2026 meddelte, at den havde til hensigt formelt at trække sig ud af Fællesskabet af Uafhængige Stater, at Moldovas parlament den 2. april 2026 ved sin endelige behandling officielt vedtog lovgivning for at fordømme denne organisations stiftelsesdokumenter, og at præsident Maia </w:t>
      </w:r>
      <w:r w:rsidRPr="005F6C28">
        <w:t>Sandu</w:t>
      </w:r>
      <w:r w:rsidRPr="005F6C28">
        <w:t xml:space="preserve"> den 6. april</w:t>
      </w:r>
      <w:r w:rsidR="00CC1F3F">
        <w:t xml:space="preserve"> 2026</w:t>
      </w:r>
      <w:r w:rsidRPr="005F6C28">
        <w:t xml:space="preserve"> undertegnede et dekret om bekendtgørelse af loven;</w:t>
      </w:r>
    </w:p>
    <w:p w:rsidR="00AE0729" w:rsidRPr="005F6C28" w:rsidP="00AE0729" w14:paraId="1791B402" w14:textId="77777777">
      <w:pPr>
        <w:pStyle w:val="Normal12a"/>
      </w:pPr>
      <w:r w:rsidRPr="005F6C28">
        <w:rPr>
          <w:b/>
          <w:i/>
        </w:rPr>
        <w:t>Fremskridt med reformer i relation til EU-tiltrædelse, navnlig hvad angår retsstatsforhold og regeringsførelse</w:t>
      </w:r>
    </w:p>
    <w:p w:rsidR="00AE0729" w:rsidRPr="005F6C28" w:rsidP="00AE0729" w14:paraId="4BB363A4" w14:textId="77777777">
      <w:pPr>
        <w:pStyle w:val="NormalHanging12a"/>
      </w:pPr>
      <w:r w:rsidRPr="005F6C28">
        <w:t>1.</w:t>
      </w:r>
      <w:r w:rsidRPr="005F6C28">
        <w:tab/>
        <w:t>roser Moldova for dets fortsatte eksemplariske engagement i EU-tiltrædelse og dets urokkelige fremskridt med relaterede reformer på trods af betydelige interne og eksterne udfordringer såsom den vedvarende fjendtlige russiske indblanding; glæder sig over Kommissionens vurdering af, at Moldova har gjort fremskridt på tværs af alle kapitler og opnået de største årlige fremskridt blandt kandidatlandene; mener, at disse fremskridt er særligt bemærkelsesværdige i betragtning af det ekstraordinære geopolitiske pres, som landet fortsat operere under; tilskynder Moldova til at fastholde reformtempoet, således at fremskridtene omsættes til konkrete fordele for borgere og virksomheder og styrker den økonomiske udvikling, modstandsdygtigheden og konvergensen med Den Europæiske Union i overensstemmelse med landets erklærede ambition om midlertidigt at afslutte tiltrædelsesforhandlingerne senest i begyndelsen af 2028;</w:t>
      </w:r>
    </w:p>
    <w:p w:rsidR="00AE0729" w:rsidRPr="005F6C28" w:rsidP="00AE0729" w14:paraId="3C026188" w14:textId="49C81555">
      <w:pPr>
        <w:pStyle w:val="NormalHanging12a"/>
      </w:pPr>
      <w:r w:rsidRPr="005F6C28">
        <w:t>2.</w:t>
      </w:r>
      <w:r w:rsidRPr="005F6C28">
        <w:tab/>
        <w:t xml:space="preserve">glæder sig over </w:t>
      </w:r>
      <w:r w:rsidRPr="008C51CF" w:rsidR="008C51CF">
        <w:t xml:space="preserve">indledningen af tiltrædelsesforhandlinger om klynge 1 (grundprincipper) den 15. juni 2026 efter </w:t>
      </w:r>
      <w:r w:rsidRPr="005F6C28">
        <w:t xml:space="preserve">den vellykkede afslutning af den bilaterale </w:t>
      </w:r>
      <w:r w:rsidRPr="005F6C28">
        <w:t xml:space="preserve">screeningproces </w:t>
      </w:r>
      <w:r w:rsidRPr="008C51CF" w:rsidR="008C51CF">
        <w:t xml:space="preserve">i september 2025 </w:t>
      </w:r>
      <w:r w:rsidRPr="005F6C28">
        <w:t xml:space="preserve">og </w:t>
      </w:r>
      <w:r w:rsidRPr="008C51CF" w:rsidR="008C51CF">
        <w:t xml:space="preserve">den efterfølgende indledning </w:t>
      </w:r>
      <w:r w:rsidRPr="005F6C28">
        <w:t xml:space="preserve">af tekniske drøftelser om forhandlingsklyngerne; glæder sig over, at det er Kommissionens vurdering, at alle seks forhandlingsklynger er klar til at blive åbnet; opfordrer indtrængende Rådet til at anlægge en meritbaseret tilgang og formelt åbne </w:t>
      </w:r>
      <w:r w:rsidRPr="008C51CF" w:rsidR="008C51CF">
        <w:t xml:space="preserve">alle </w:t>
      </w:r>
      <w:r w:rsidRPr="005F6C28">
        <w:t>klyngerne uden yderligere forsinkelse; minder medlemsstaterne om princippet om loyalt samarbejde i henhold til artikel 4, stk. 3, i traktaten om Den Europæiske Union, som kræver, at de afholder sig fra at træffe foranstaltninger, der kan bringe virkeliggørelsen af Unionens mål i fare, og opfordrer dem derfor indtrængende til at undgå at blokere for eller forsinke tiltrædelsesforhandlinger baseret på bilaterale spørgsmål; understreger, at indledningen af tiltrædelsesforhandlinger vil signalere, at EU anerkender og belønner Moldovas konkrete resultater og styrker udvidelsesprocessens troværdighed og integritet; glæder sig over vedtagelsen af køreplaner for retsstatsprincippet, offentlig forvaltning og demokratiske institutioner og det ajourførte nationale program for tiltrædelse af Den Europæiske Union for perioden 2025-2029; roser de fremskridt, som Moldova allerede har opnået på teknisk plan med gennemførelsen af gældende EU-ret;</w:t>
      </w:r>
    </w:p>
    <w:p w:rsidR="00AE0729" w:rsidRPr="005F6C28" w:rsidP="00AE0729" w14:paraId="4264838F" w14:textId="77777777">
      <w:pPr>
        <w:pStyle w:val="NormalHanging12a"/>
      </w:pPr>
      <w:r w:rsidRPr="005F6C28">
        <w:t>3.</w:t>
      </w:r>
      <w:r w:rsidRPr="005F6C28">
        <w:tab/>
        <w:t>understreger, at tempoet i Moldovas tiltrædelsesproces bør afspejle de betydelige fremskridt, landet har gjort med hensyn til reformer; opfordrer Kommissionen til aktivt at fremme og yde forberedende støtte, herunder teknisk bistand, opfølgende kontrol og opbygning af administrativ kapacitet, for at sætte Moldova i stand til at gøre fremskridt i forhandlingerne på en effektiv måde og i alle klynger samtidigt;</w:t>
      </w:r>
    </w:p>
    <w:p w:rsidR="00AE0729" w:rsidRPr="005F6C28" w:rsidP="00AE0729" w14:paraId="2517E708" w14:textId="77777777">
      <w:pPr>
        <w:pStyle w:val="NormalHanging12a"/>
      </w:pPr>
      <w:r w:rsidRPr="005F6C28">
        <w:t>4.</w:t>
      </w:r>
      <w:r w:rsidRPr="005F6C28">
        <w:tab/>
        <w:t>anerkender, at Moldovas europæiske integration bidrager positivt til stabilitet og sikkerhed i Europa og fungerer som en afgørende katalysator for landets demokratiske modstandsdygtighed, institutionelle reformer, retsstatsprincippet og bæredygtige økonomiske udvikling;</w:t>
      </w:r>
    </w:p>
    <w:p w:rsidR="00AE0729" w:rsidRPr="005F6C28" w:rsidP="00AE0729" w14:paraId="2106EED5" w14:textId="77777777">
      <w:pPr>
        <w:pStyle w:val="NormalHanging12a"/>
      </w:pPr>
      <w:r w:rsidRPr="005F6C28">
        <w:t>5.</w:t>
      </w:r>
      <w:r w:rsidRPr="005F6C28">
        <w:tab/>
        <w:t>noterer sig, at Kommissionen har vurderet, at Moldova har gjort gode fremskridt med reformen af retsvæsenet; minder Moldova om dets tilsagn om at følge Venedigkommissionens henstillinger; understreger, at reformernes bæredygtighed kræver et bredt politisk ejerskab og en inklusiv dialog på tværs af det politiske spektrum samt meningsfuld høring af civilsamfundet og professionelle interessenter; anerkender Moldovas konsekvente politiske vilje til og vedholdende bestræbelser på at opbygge et uafhængigt, upartisk, ansvarligt og professionelt retssystem;</w:t>
      </w:r>
    </w:p>
    <w:p w:rsidR="00AE0729" w:rsidRPr="005F6C28" w:rsidP="00AE0729" w14:paraId="22051B73" w14:textId="77777777">
      <w:pPr>
        <w:pStyle w:val="NormalHanging12a"/>
      </w:pPr>
      <w:r w:rsidRPr="005F6C28">
        <w:t>6.</w:t>
      </w:r>
      <w:r w:rsidRPr="005F6C28">
        <w:tab/>
        <w:t>opfordrer de moldoviske myndigheder til at sikre, at undersøgelsesprocessen for dommere og anklagere gennemføres på en inklusiv, forudsigelig og juridisk robust måde, og opfordrer landet til effektivt at afslutte processen uden forsinkelse, da færdiggørelse af undersøgelsen er afgørende for at sikre offentlighedens tillid til retsvæsenet, fjerne kompromitterede dommere og styrke retsstatsprincippet som en hjørnesten i EU-integrationen; opfordrer Moldova til at sikre tilstrækkelige budgetmæssige og menneskelige ressourcer til retslige organer og fortsat træffe foranstaltninger til at styrke deres kapacitet med henblik på bl.a. at afhjælpe manglen på dommere og anklagere, reducere sagsbehandlingstiden, navnlig i sager om korruption og økonomisk kriminalitet, og forbedre digitaliseringen, tilgængeligheden, effektiviteten og gennemsigtigheden af retsvæsenet for alle borgere;</w:t>
      </w:r>
    </w:p>
    <w:p w:rsidR="00AE0729" w:rsidRPr="005F6C28" w:rsidP="00AE0729" w14:paraId="38FADBDA" w14:textId="77777777">
      <w:pPr>
        <w:pStyle w:val="NormalHanging12a"/>
      </w:pPr>
      <w:r w:rsidRPr="005F6C28">
        <w:t>7.</w:t>
      </w:r>
      <w:r w:rsidRPr="005F6C28">
        <w:tab/>
        <w:t xml:space="preserve">bemærker de vedvarende fremskridt, som Moldova har gjort med hensyn til forebyggelse og bekæmpelse af korruption, og de stadig bedre resultater i sager på både højt og knap så højt niveau; fremhæver behovet for yderligere at styrke den operationelle kapacitet og den institutionelle uafhængighed samt deres professionalisme </w:t>
      </w:r>
      <w:r w:rsidRPr="005F6C28">
        <w:t>og ansvarlighed og forbedre koordineringsmekanismerne mellem alle centrale institutioner til bekæmpelse af korruption og retsvæsenet for at sikre, at omfattende reformer bliver en succes på lang sigt;</w:t>
      </w:r>
    </w:p>
    <w:p w:rsidR="00AE0729" w:rsidRPr="005F6C28" w:rsidP="00AE0729" w14:paraId="0AD10234" w14:textId="77777777">
      <w:pPr>
        <w:pStyle w:val="NormalHanging12a"/>
      </w:pPr>
      <w:r w:rsidRPr="005F6C28">
        <w:t>8.</w:t>
      </w:r>
      <w:r w:rsidRPr="005F6C28">
        <w:tab/>
        <w:t>understreger, at indsatsen for at bekæmpe korruption skal fortsættes på en konsekvent, afpolitiseret og gennemsigtig måde, idet ad hoc-lovgivningsinitiativer eller fremskyndede lovgivningsinitiativer, der kan underminere retssikkerheden og den institutionelle tillid, undgås; understreger betydningen af at prioritere kvalitet, bæredygtighed og retfærdig procedure frem for en høj reformhastighed for at sikre den langsigtede troværdighed til og modstandsdygtighed i rammen for bekæmpelse af korruption;</w:t>
      </w:r>
    </w:p>
    <w:p w:rsidR="00AE0729" w:rsidRPr="005F6C28" w:rsidP="00AE0729" w14:paraId="0F4E4DB9" w14:textId="77777777">
      <w:pPr>
        <w:pStyle w:val="NormalHanging12a"/>
      </w:pPr>
      <w:r w:rsidRPr="005F6C28">
        <w:t>9.</w:t>
      </w:r>
      <w:r w:rsidRPr="005F6C28">
        <w:tab/>
        <w:t>understreger, at fortsat imødegåelse af oligarkiske strukturers indflydelse på det politiske, økonomiske og mediemæssige område fortsat er en central prioritet for at fremme Moldovas europæiske integration;</w:t>
      </w:r>
    </w:p>
    <w:p w:rsidR="00AE0729" w:rsidRPr="005F6C28" w:rsidP="00AE0729" w14:paraId="4A087AF6" w14:textId="77777777">
      <w:pPr>
        <w:pStyle w:val="NormalHanging12a"/>
      </w:pPr>
      <w:r w:rsidRPr="005F6C28">
        <w:t>10.</w:t>
      </w:r>
      <w:r w:rsidRPr="005F6C28">
        <w:tab/>
        <w:t xml:space="preserve">fremhæver, at parlamentsvalget den 28. september 2025 var det femte på hinanden følgende valg, der bekræftede det moldoviske folks støtte til landets tiltrædelse af EU og dertil knyttede reformer; fordømmer de gentagne forsøg fra Den Russiske Føderation, </w:t>
      </w:r>
      <w:r w:rsidRPr="005F6C28">
        <w:t>prorussiske</w:t>
      </w:r>
      <w:r w:rsidRPr="005F6C28">
        <w:t xml:space="preserve"> oligarker og russiske stedfortrædere på at destabilisere landet, skabe og udbrede desinformation, så splittelse i det moldoviske samfund, undergrave landets demokratiske institutioner og ændre dets europæiske kurs;</w:t>
      </w:r>
    </w:p>
    <w:p w:rsidR="00AE0729" w:rsidRPr="005F6C28" w:rsidP="00AE0729" w14:paraId="42621785" w14:textId="77777777">
      <w:pPr>
        <w:pStyle w:val="NormalHanging12a"/>
      </w:pPr>
      <w:r w:rsidRPr="005F6C28">
        <w:t>11.</w:t>
      </w:r>
      <w:r w:rsidRPr="005F6C28">
        <w:tab/>
        <w:t>glæder sig over vurderingen fra Organisationen for Sikkerhed og Samarbejde i Europa (OSCE), Kontoret for Demokratiske Institutioner og Menneskerettigheder (ODIHR) om, at parlamentsvalget var velorganiseret, konkurrencepræget og gav vælgerne et klart valg mellem politiske alternativer; opfordrer Moldova til yderligere at tilpasse sin lovgivning vedrørende valg og dets valgprocesser til europæiske og internationale standarder og gennemføre alle ikkebehandlede henstillinger fra Venedigkommissionen og OSCE-ODIHR;</w:t>
      </w:r>
    </w:p>
    <w:p w:rsidR="00AE0729" w:rsidRPr="005F6C28" w:rsidP="00AE0729" w14:paraId="482D0F39" w14:textId="77777777">
      <w:pPr>
        <w:pStyle w:val="NormalHanging12a"/>
      </w:pPr>
      <w:r w:rsidRPr="005F6C28">
        <w:t>12.</w:t>
      </w:r>
      <w:r w:rsidRPr="005F6C28">
        <w:tab/>
        <w:t>roser den modstandsdygtighed, som de moldoviske institutioner og det moldoviske samfund har udvist med hensyn til at beskytte valgprocessens ukrænkelighed på trods af en massiv hybrid kampagne fra Ruslands og russiske stedfortræderes side; bemærker, at de vigtigste faktorer for denne succes var de moldoviske myndigheders rettidige og koordinerede indsats, den aktive inddragelse af civilsamfundet og uafhængige medier og støtte fra EU og dets medlemsstater, herunder gennem EU's partnerskabsmission i Moldova (EUPM);</w:t>
      </w:r>
    </w:p>
    <w:p w:rsidR="00AE0729" w:rsidRPr="005F6C28" w:rsidP="00AE0729" w14:paraId="03ADE99C" w14:textId="77777777">
      <w:pPr>
        <w:pStyle w:val="NormalHanging12a"/>
      </w:pPr>
      <w:r w:rsidRPr="005F6C28">
        <w:t>13.</w:t>
      </w:r>
      <w:r w:rsidRPr="005F6C28">
        <w:tab/>
        <w:t xml:space="preserve">advarer om, at ondsindet russisk indblanding er en løbende proces i udvikling, der kræver konstant overvågning og reaktion baseret på en tilgang, der inddrager hele samfundet, og på passende institutionelle kapaciteter og ressourcer; opfordrer EU og dets medlemsstater til at styrke deres støtte til Moldovas institutionelle modstandsdygtighed, strategiske kommunikationskapacitet, </w:t>
      </w:r>
      <w:r w:rsidRPr="005F6C28">
        <w:t>cybersikkerhed</w:t>
      </w:r>
      <w:r w:rsidRPr="005F6C28">
        <w:t xml:space="preserve">, uafhængige medier og demokratiske sikkerhedsforanstaltninger; understreger, at bestræbelserne på at bekæmpe udbredelsen af desinformation og misinformation fra Rusland bør opfylde kravene om lovlighed, nødvendighed og proportionalitet; bemærker, at erfaringerne fra Moldova kan anvendes til at forsvare andre demokratier, der står over for lignende hybride trusler; udtrykker alvorlig bekymring over aktiviteterne i </w:t>
      </w:r>
      <w:r w:rsidRPr="005F6C28">
        <w:t>prorussiske</w:t>
      </w:r>
      <w:r w:rsidRPr="005F6C28">
        <w:t xml:space="preserve"> netværk, som er blevet knyttet til omfattende omgåelse af sanktioner, indblanding i valg og desinformationskampagner gennem brug af </w:t>
      </w:r>
      <w:r w:rsidRPr="005F6C28">
        <w:t>kryptovalutainfrastrukturer</w:t>
      </w:r>
      <w:r w:rsidRPr="005F6C28">
        <w:t xml:space="preserve">, der er forbundet </w:t>
      </w:r>
      <w:r w:rsidRPr="005F6C28">
        <w:t xml:space="preserve">med russiske finansielle aktører såsom </w:t>
      </w:r>
      <w:r w:rsidRPr="005F6C28">
        <w:t>Promsvyazbank</w:t>
      </w:r>
      <w:r w:rsidRPr="005F6C28">
        <w:t xml:space="preserve">; opfordrer Kommissionen og medlemsstaterne til at styrke samarbejdet om finansielle efterretninger, styrke håndhævelsen af sanktioner og støtte de moldoviske myndigheder i bekæmpelsen af ulovlige finansielle strømme og udenlandsk indblanding gennem tredjelande, herunder gennem målrettede sanktioner og </w:t>
      </w:r>
      <w:r w:rsidRPr="005F6C28">
        <w:t>cyberovervågningsforanstaltninger</w:t>
      </w:r>
      <w:r w:rsidRPr="005F6C28">
        <w:t>;</w:t>
      </w:r>
    </w:p>
    <w:p w:rsidR="00AE0729" w:rsidRPr="005F6C28" w:rsidP="00AE0729" w14:paraId="41E7A85D" w14:textId="77777777">
      <w:pPr>
        <w:pStyle w:val="NormalHanging12a"/>
      </w:pPr>
      <w:r w:rsidRPr="005F6C28">
        <w:t>14.</w:t>
      </w:r>
      <w:r w:rsidRPr="005F6C28">
        <w:tab/>
        <w:t>fremhæver den afgørende rolle, som den moldoviske diaspora spiller med hensyn til at holde landet på rette kurs mod EU, hvilket fremgår af deres aktive deltagelse i demokratiske processer, herunder parlamentsvalget den 28. september 2025, og deres betydelige bidrag til Moldovas socioøkonomiske udvikling; opfordrer de moldoviske myndigheder til fortsat at styrke forbindelserne med diasporaen og gøre det lettere for den at deltage aktivt i landets europæiske integrationsproces;</w:t>
      </w:r>
    </w:p>
    <w:p w:rsidR="00AE0729" w:rsidRPr="005F6C28" w:rsidP="00AE0729" w14:paraId="6F32D571" w14:textId="77777777">
      <w:pPr>
        <w:pStyle w:val="NormalHanging12a"/>
      </w:pPr>
      <w:r w:rsidRPr="005F6C28">
        <w:t>15.</w:t>
      </w:r>
      <w:r w:rsidRPr="005F6C28">
        <w:tab/>
        <w:t xml:space="preserve">opfordrer de moldoviske myndigheder til at udnytte deres stærke </w:t>
      </w:r>
      <w:r w:rsidRPr="005F6C28">
        <w:t>proeuropæiske</w:t>
      </w:r>
      <w:r w:rsidRPr="005F6C28">
        <w:t xml:space="preserve"> mandat til at fremskynde tempoet på de nødvendige centrale reformer for at opnå EU-medlemskab og at opfylde ambitionen om at afslutte tiltrædelsesforhandlingerne senest i begyndelsen af 2028; anerkender Moldovas stærke engagement som kandidatland med hensyn til at gennemføre krævende, men nødvendige reformer; opfordrer indtrængende den moldoviske politiske elite til at fastholde den politiske konsensus om EU-tiltrædelse; understreger, at det er afgørende at opretholde de moldoviske borgeres tillid til EU-tiltrædelsesprocessen, herunder gennem rettidig, formel indledning af tiltrædelsesforhandlinger; glæder sig over oprettelsen af det særlige parlamentariske udvalg for europæisk integration i Moldovas parlament og understreger betydningen af samarbejde på tværs af partierne for at sikre en holdbar succes for de EU-tiltrædelsesrelaterede reformer og fremskridtene hen imod EU-medlemskab;</w:t>
      </w:r>
    </w:p>
    <w:p w:rsidR="00AE0729" w:rsidRPr="005F6C28" w:rsidP="00AE0729" w14:paraId="0C335234" w14:textId="77777777">
      <w:pPr>
        <w:pStyle w:val="NormalHanging12a"/>
      </w:pPr>
      <w:r w:rsidRPr="005F6C28">
        <w:t>16.</w:t>
      </w:r>
      <w:r w:rsidRPr="005F6C28">
        <w:tab/>
        <w:t xml:space="preserve">giver udtryk for sin vilje til fortsat at støtte Moldovas parlament gennem gensidigt aftalte demokratistøtteaktiviteter, som imødekommer institutionens, dens valgte medlemmers og dens personales behov; fremhæver den formelle åbning af Europa-Parlamentets kontor for Det Østlige Partnerskab i </w:t>
      </w:r>
      <w:r w:rsidRPr="005F6C28">
        <w:t>Chișinău</w:t>
      </w:r>
      <w:r w:rsidRPr="005F6C28">
        <w:t xml:space="preserve"> den 7. november 2025, hvilket viser Parlamentets engagement i at uddybe sine forbindelser med Moldova og hele regionen for Det Østlige Partnerskab; glæder sig i den forbindelse over det fornyede aftalememorandum, der blev undertegnet af Europa-Parlamentets formand, Roberta </w:t>
      </w:r>
      <w:r w:rsidRPr="005F6C28">
        <w:t>Metsola</w:t>
      </w:r>
      <w:r w:rsidRPr="005F6C28">
        <w:t xml:space="preserve">, og formanden for det moldoviske parlament, Igor </w:t>
      </w:r>
      <w:r w:rsidRPr="005F6C28">
        <w:t>Grosu</w:t>
      </w:r>
      <w:r w:rsidRPr="005F6C28">
        <w:t>, i marts 2026;</w:t>
      </w:r>
    </w:p>
    <w:p w:rsidR="00AE0729" w:rsidRPr="005F6C28" w:rsidP="00AE0729" w14:paraId="27E55C00" w14:textId="73893B9F">
      <w:pPr>
        <w:pStyle w:val="NormalHanging12a"/>
      </w:pPr>
      <w:r w:rsidRPr="005F6C28">
        <w:t>17.</w:t>
      </w:r>
      <w:r w:rsidRPr="005F6C28">
        <w:tab/>
        <w:t>glæder sig over afholdelsen af det første topmøde nogensinde mellem EU og Moldova i juli 2025 som en vigtig politisk milepæl i forbindelserne mellem EU og Moldova og et stærkt politisk signal om støtten til Moldovas suverænitet, demokratiske stabilitet og vej mod EU;</w:t>
      </w:r>
      <w:r w:rsidR="00832DF0">
        <w:t xml:space="preserve"> </w:t>
      </w:r>
      <w:r w:rsidRPr="00832DF0" w:rsidR="00832DF0">
        <w:t>noterer sig den fælles erklæring efter det andet topmøde mellem EU og Moldova den 22. juni 2026, som fremhæver både Moldovas tilsagn om fortsat at styrke retsstatsprincippet og EU's tilskyndelse til yderligere at intensivere indsatsen inden for reform af retsvæsenet og bekæmpelse af korruption;</w:t>
      </w:r>
    </w:p>
    <w:p w:rsidR="00AE0729" w:rsidRPr="005F6C28" w:rsidP="00AE0729" w14:paraId="25072DF0" w14:textId="77777777">
      <w:pPr>
        <w:pStyle w:val="NormalHanging12a"/>
      </w:pPr>
      <w:r w:rsidRPr="005F6C28">
        <w:t>18.</w:t>
      </w:r>
      <w:r w:rsidRPr="005F6C28">
        <w:tab/>
        <w:t>understreger betydningen af at bekæmpe desinformation vedrørende den europæiske integrationsproces; opfordrer indtrængende Kommissionen, Tjenesten for EU's Optræden Udadtil (EU-Udenrigstjenesten) og den moldoviske regering til at intensivere deres fælles strategiske kommunikationsbestræbelser for at forbedre EU's synlighed i Moldova; fremhæver behovet for målrettede kampagner med henblik på forklare de håndgribelige, dagligdags fordele ved forberedelserne til EU-tiltrædelse og EU-finansierede projekter for den moldoviske offentlighed, navnlig i landdistrikterne og regionerne;</w:t>
      </w:r>
    </w:p>
    <w:p w:rsidR="00AE0729" w:rsidRPr="005F6C28" w:rsidP="00AE0729" w14:paraId="1F7A2409" w14:textId="77777777">
      <w:pPr>
        <w:pStyle w:val="NormalHanging12a"/>
      </w:pPr>
      <w:r w:rsidRPr="005F6C28">
        <w:t>19.</w:t>
      </w:r>
      <w:r w:rsidRPr="005F6C28">
        <w:tab/>
        <w:t>understreger betydningen af tiltag til støtte for demokrati i Moldova, der fremmer kvaliteten af den demokratiske debat og modstandsdygtigheden over for desinformation; glæder sig over de moldoviske myndigheders og civilsamfundsaktørers samarbejde med bl.a. Den Europæiske Demokratifond som et redskab, der kan udfylde det tomrum, der er opstået som følge af afviklingen af USA's statslige bistandsorganisation (USAID) i regionen; lykønsker i den forbindelse Den Europæiske Demokratifond med at yde 62 % flere tilskud i 2025 end i 2024 med et budget, der blot var 34 % større; glæder sig over, at Den Europæiske Demokratifond i 2025 tredoblede sin støtte til moldoviske enheder i forhold til 2024;</w:t>
      </w:r>
    </w:p>
    <w:p w:rsidR="00AE0729" w:rsidRPr="005F6C28" w:rsidP="00AE0729" w14:paraId="2BC52A90" w14:textId="77777777">
      <w:pPr>
        <w:pStyle w:val="NormalHanging12a"/>
      </w:pPr>
      <w:r w:rsidRPr="005F6C28">
        <w:t>20.</w:t>
      </w:r>
      <w:r w:rsidRPr="005F6C28">
        <w:tab/>
        <w:t>gentager, at det moldoviske folks støtte til europæisk integration kan styrkes gennem en mærkbar forbedring af deres indkomstmuligheder, styrkelse af de statslige institutioner, udbygning af et robust velfærdssystem, bekæmpelse af fattigdom og højnelse af levestandarden i hele landet samt bekæmpelse af korruption og oligarkisk indflydelse;</w:t>
      </w:r>
    </w:p>
    <w:p w:rsidR="00AE0729" w:rsidRPr="005F6C28" w:rsidP="00AE0729" w14:paraId="45FEA01E" w14:textId="77777777">
      <w:pPr>
        <w:pStyle w:val="Normal12a"/>
      </w:pPr>
      <w:r w:rsidRPr="005F6C28">
        <w:rPr>
          <w:b/>
          <w:i/>
        </w:rPr>
        <w:t>Socioøkonomiske reformer</w:t>
      </w:r>
    </w:p>
    <w:p w:rsidR="00AE0729" w:rsidRPr="005F6C28" w:rsidP="00AE0729" w14:paraId="54517584" w14:textId="77777777">
      <w:pPr>
        <w:pStyle w:val="NormalHanging12a"/>
      </w:pPr>
      <w:r w:rsidRPr="005F6C28">
        <w:t>21.</w:t>
      </w:r>
      <w:r w:rsidRPr="005F6C28">
        <w:tab/>
        <w:t xml:space="preserve">glæder sig over de gode fremskridt, der indtil videre er opnået med gennemførelsen af vækstplanen for Moldova og den reformdagsorden, der understøtter denne, og som har til formål at støtte Moldovas socioøkonomiske og grundlæggende reformer og forbedre landets adgang til EU's indre marked; glæder sig over udbetalingen af 270 mio. EUR i </w:t>
      </w:r>
      <w:r w:rsidRPr="005F6C28">
        <w:t>forfinansiering</w:t>
      </w:r>
      <w:r w:rsidRPr="005F6C28">
        <w:t xml:space="preserve"> og 207,9 mio. EUR i yderligere støtte fra reform- og vækstfaciliteten for Moldova, herunder anden </w:t>
      </w:r>
      <w:r w:rsidRPr="005F6C28">
        <w:t>tranche</w:t>
      </w:r>
      <w:r w:rsidRPr="005F6C28">
        <w:t xml:space="preserve"> i marts 2026 på i alt 189 mio. EUR, som følge af at landet fuldt ud har gennemført 24 ud af i alt 26 reformskridt med frist i december 2025; opfordrer Moldova til fortsat at arbejde hen imod fuldførelsen af de sidste to reformskridt med en frist i 2025 og støtter landet i disse bestræbelser; opfordrer Kommissionen til at strømline de interne procedurer for at sikre rettidig vurdering og udbetaling af midler efter vedtagelsen af lovgivning i Moldova, som de moldoviske myndigheder tidligere har fremlagt udkast til og anmodet om høring om;</w:t>
      </w:r>
    </w:p>
    <w:p w:rsidR="00AE0729" w:rsidRPr="005F6C28" w:rsidP="00AE0729" w14:paraId="541621E4" w14:textId="77777777">
      <w:pPr>
        <w:pStyle w:val="NormalHanging12a"/>
      </w:pPr>
      <w:r w:rsidRPr="005F6C28">
        <w:t>22.</w:t>
      </w:r>
      <w:r w:rsidRPr="005F6C28">
        <w:tab/>
        <w:t>opfordrer Kommissionen til at yde administrativ og teknisk bistand til de moldoviske myndigheder for at sikre rettidig og effektiv absorption af midler fra reform- og vækstfaciliteten; opfordrer den moldoviske regering til at sikre effektiv kommunikation, gennemsigtighed, synlighed og ansvarlighed med hensyn til anvendelsen af midler fra denne facilitet, herunder gennem konstruktiv inddragelse af civilsamfundet;</w:t>
      </w:r>
    </w:p>
    <w:p w:rsidR="00AE0729" w:rsidRPr="005F6C28" w:rsidP="00AE0729" w14:paraId="701F18F8" w14:textId="77777777">
      <w:pPr>
        <w:pStyle w:val="NormalHanging12a"/>
      </w:pPr>
      <w:r w:rsidRPr="005F6C28">
        <w:t>23.</w:t>
      </w:r>
      <w:r w:rsidRPr="005F6C28">
        <w:tab/>
        <w:t xml:space="preserve">opfordrer til, at der i EU-budgettet for 2027 ydes målrettet administrativ og teknisk bistand til at forberede Moldova på overgangen til den nye struktur i den kommende flerårige finansielle rammeaftale (FFR) og instrumentet for et globalt Europa; understreger behovet for at bistå den moldoviske regering med at tilpasse sig den fremtidige gennemførelsesmodel med en Europasøjle; understreger, at tildelingen og frigivelsen af midler fortsat skal være strengt betinget af opfyldelsen af de aftalte reformmilepæle, makrofinansiel stabilitet, forsvarlig økonomisk forvaltning, gennemsigtighed i budgetgennemførelsen og eksistensen af effektive sikkerhedsforanstaltninger mod svig, korruption og interessekonflikter; gentager sin opfordring til Kommissionen om i EU's næste FFR at medtage en passende specifik landetildeling til Moldova inden for den fremtidige Europasøjle under instrumentet for et globalt Europa og til at begynde at forberede Moldova på en effektiv anvendelse af fremtidige </w:t>
      </w:r>
      <w:r w:rsidRPr="005F6C28">
        <w:t>førtiltrædelsesmidler</w:t>
      </w:r>
      <w:r w:rsidRPr="005F6C28">
        <w:t xml:space="preserve">; insisterer på, at eksplicitte og gennemsigtige </w:t>
      </w:r>
      <w:r w:rsidRPr="005F6C28">
        <w:t>førtiltrædelsestildelinger</w:t>
      </w:r>
      <w:r w:rsidRPr="005F6C28">
        <w:t xml:space="preserve"> er nødvendige for at spore udgifter effektivt og forhindre </w:t>
      </w:r>
      <w:r w:rsidRPr="005F6C28">
        <w:t>sprednigen</w:t>
      </w:r>
      <w:r w:rsidRPr="005F6C28">
        <w:t xml:space="preserve"> af midler inden for brede geografiske søjler;</w:t>
      </w:r>
    </w:p>
    <w:p w:rsidR="00AE0729" w:rsidRPr="005F6C28" w:rsidP="00AE0729" w14:paraId="740DC692" w14:textId="0D36FA8F">
      <w:pPr>
        <w:pStyle w:val="NormalHanging12a"/>
      </w:pPr>
      <w:r w:rsidRPr="005F6C28">
        <w:t>24.</w:t>
      </w:r>
      <w:r w:rsidRPr="005F6C28">
        <w:tab/>
        <w:t>roser den aftale, der blev indgået den 24. juli 2025 om revision og ajourføring af handelsvilkårene i DCFTA mellem EU og Moldova</w:t>
      </w:r>
      <w:r>
        <w:rPr>
          <w:rStyle w:val="FootnoteReference"/>
        </w:rPr>
        <w:footnoteReference w:id="3"/>
      </w:r>
      <w:r w:rsidRPr="005F6C28">
        <w:t>, som giver stabilitet og forudsigelighed for operatører fra EU og Moldova og øger landets tiltrækningskraft for investorer; bemærker, at aftalen faldt sammen med udløbet af de autonome handelsforanstaltninger, som landet har fået tildelt siden juli 2022, og som suspenderede importtold og kontingenter for Moldovas eksport til EU og dermed hjalp Moldova med at omdirigere sin handel til EU til gensidig fordel; fremhæver, at EU er Moldovas største handelspartner og tegnede sig for 67,5 % af den samlede eksport og 54,1 % af den samlede import i 2025 samt for 86 % af de udenlandske direkte investeringer (FDI) i 2024, hvilket konsoliderer EU's position som en grundpille for FDI i Moldovas økonomi; understreger betydningen af EU's direkte investeringer i Moldovas økonomi med hensyn til at fremme landets økonomiske integration i EU's indre marked, skabe beskæftigelses- og forretningsmuligheder og forbedre borgernes indkomstmuligheder;</w:t>
      </w:r>
    </w:p>
    <w:p w:rsidR="00AE0729" w:rsidRPr="005F6C28" w:rsidP="00AE0729" w14:paraId="4F87BF35" w14:textId="77777777">
      <w:pPr>
        <w:pStyle w:val="NormalHanging12a"/>
      </w:pPr>
      <w:r w:rsidRPr="005F6C28">
        <w:t>25.</w:t>
      </w:r>
      <w:r w:rsidRPr="005F6C28">
        <w:tab/>
        <w:t>glæder sig over uddybningen af Moldovas økonomiske integration i EU's indre marked og tilskynder til yderligere skridt i retning af gradvis sektorintegration og en ambitiøs, gradvis og bæredygtig liberalisering af handelen, herunder gennem udvidelse og lempelse af toldkontingenter og, hvor det er relevant, gradvis afskaffelse heraf i overensstemmelse med den reviderede DCFTA-ramme med henblik på at levere håndgribelige økonomiske fordele, styrke Moldovas modstandsdygtighed og støtte landets vej mod europæisk integration; opfordrer navnlig Kommissionen til at undersøge den yderligere gradvise liberalisering af handelen med landbrugsfødevarer, herunder fjernelsen af de resterende ikketoldmæssige hindringer og øget støtte til lovgivningsmæssig tilpasning, navnlig for så vidt angår sundheds- og plantesundhedsstandarder og tekniske handelshindringer, og indførelsen af halvautomatiske forhøjelser af toldkontingenter, der er knyttet til udnyttelsesgraden og overholdelsen af EU's standarder, samtidig med at der sikres passende beskyttelsesmekanismer for EU-producenter;</w:t>
      </w:r>
    </w:p>
    <w:p w:rsidR="00AE0729" w:rsidRPr="005F6C28" w:rsidP="00AE0729" w14:paraId="25BF2AF3" w14:textId="77777777">
      <w:pPr>
        <w:pStyle w:val="NormalHanging12a"/>
      </w:pPr>
      <w:r w:rsidRPr="005F6C28">
        <w:t>26.</w:t>
      </w:r>
      <w:r w:rsidRPr="005F6C28">
        <w:tab/>
        <w:t xml:space="preserve">bemærker, at den betydelige stigning i </w:t>
      </w:r>
      <w:r w:rsidRPr="005F6C28">
        <w:t>Transdnestrienområdets</w:t>
      </w:r>
      <w:r w:rsidRPr="005F6C28">
        <w:t xml:space="preserve"> handel med resten af Moldova og dens eksportafhængighed af EU kan skabe betingelserne for områdets økonomiske konvergens med Moldovas retlige rammer og fremme en de facto økonomisk reintegration, der kan tjene som et pragmatisk grundlag for en fredelig politisk løsning og en eventuel genforening af landet; støtter Moldovas bestræbelser på at inddrage </w:t>
      </w:r>
      <w:r w:rsidRPr="005F6C28">
        <w:t>Transdnestrienområdet</w:t>
      </w:r>
      <w:r w:rsidRPr="005F6C28">
        <w:t xml:space="preserve"> i foranstaltninger til økonomisk og lovgivningsmæssig konvergens i forbindelse med EU's indre marked; glæder sig over de statslige myndighedernes indsats i </w:t>
      </w:r>
      <w:r w:rsidRPr="005F6C28">
        <w:t>Chișinău</w:t>
      </w:r>
      <w:r w:rsidRPr="005F6C28">
        <w:t xml:space="preserve"> for at udvide anvendelsen af moldovisk skattelovgivning til at omfatte virksomheder, der opererer i </w:t>
      </w:r>
      <w:r w:rsidRPr="005F6C28">
        <w:t>Transdnestrienområdet</w:t>
      </w:r>
      <w:r w:rsidRPr="005F6C28">
        <w:t>, som et skridt i retning af reguleringsmæssig overensstemmelse og økonomisk integration;</w:t>
      </w:r>
    </w:p>
    <w:p w:rsidR="00AE0729" w:rsidRPr="005F6C28" w:rsidP="00AE0729" w14:paraId="31DF65D3" w14:textId="77777777">
      <w:pPr>
        <w:pStyle w:val="NormalHanging12a"/>
      </w:pPr>
      <w:r w:rsidRPr="005F6C28">
        <w:t>27.</w:t>
      </w:r>
      <w:r w:rsidRPr="005F6C28">
        <w:tab/>
        <w:t xml:space="preserve">minder om civilsamfundsorganisationernes og uafhængige mediers betydning for overvågningen af forvaltningen af og fremskridtene med EU-relaterede reformer; insisterer på, at finansiel støtte til moldoviske civilsamfundsorganisationer under EU-budgettet for 2027 og det fremtidige instrument for et globalt Europa forbliver uafhængig af de fremskridt, som regeringen gør med hensyn til reformer; opfordrer til forudsigelige, målrettede, fleksible og tilgængelige finansieringsstrømme til lokale </w:t>
      </w:r>
      <w:r w:rsidRPr="005F6C28">
        <w:t>civilsamfundsorganisationer og menneskerettighedsforkæmpere gennem de nye finansieringsmekanismer, der indgår i reformdagsordenen, for at sikre, at de kan fungere effektivt; opfordrer den moldoviske regering til at indgå i et reelt og effektivt samarbejde med civilsamfundet, herunder gennem de permanente rådgivende platforme; opfordrer den moldoviske regering til at gøre fremskridt med gennemførelsen af det nationale program for udvikling af civilsamfundsorganisationer for perioden 2024-2027; glæder sig over de regelmæssige høringer om EU-tiltrædelsesprocessen og tiltrædelsesrelaterede reformer;</w:t>
      </w:r>
    </w:p>
    <w:p w:rsidR="00AE0729" w:rsidRPr="005F6C28" w:rsidP="00AE0729" w14:paraId="6252164F" w14:textId="77777777">
      <w:pPr>
        <w:pStyle w:val="NormalHanging12a"/>
      </w:pPr>
      <w:r w:rsidRPr="005F6C28">
        <w:t>28.</w:t>
      </w:r>
      <w:r w:rsidRPr="005F6C28">
        <w:tab/>
        <w:t xml:space="preserve">gentager sin opfordring til at fremskynde Moldovas gradvise integration i EU's indre marked ved fortsat at tilpasse landets retlige og reguleringsmæssige rammer til gældende EU-ret og associere landet med flere EU-programmer, -agenturer og -initiativer, herunder dem, der vedrører den digitale økonomi, finansielle tjenesteydelser og innovation; lykønsker Moldova med at være blevet en operationel del af det fælles eurobetalingsområde pr. 6. oktober 2025, hvilket letter overførsler i euro og reducerer omkostningerne for moldoviske borgere og virksomheder; glæder sig over Moldovas medtagelse i EU's område med "roaming til hjemmetakst" pr. 1. januar 2026, der giver moldoviske borgere mulighed for at bruge deres moldoviske telefonnumre, når de rejser i EU, uden at skulle betale roaminggebyrer; fremhæver, at sådanne konkrete fordele spiller en central rolle i styrkelsen af den offentlige støtte til EU-integration; opfordrer til yderligere tilpasning til EU-retten på det digitale område samt fortsatte bestræbelser på at styrke </w:t>
      </w:r>
      <w:r w:rsidRPr="005F6C28">
        <w:t>konnektivitet</w:t>
      </w:r>
      <w:r w:rsidRPr="005F6C28">
        <w:t>, digital infrastruktur og markedsintegration;</w:t>
      </w:r>
    </w:p>
    <w:p w:rsidR="00AE0729" w:rsidRPr="005F6C28" w:rsidP="00AE0729" w14:paraId="022EB98F" w14:textId="77777777">
      <w:pPr>
        <w:pStyle w:val="NormalHanging12a"/>
      </w:pPr>
      <w:r w:rsidRPr="005F6C28">
        <w:t>29.</w:t>
      </w:r>
      <w:r w:rsidRPr="005F6C28">
        <w:tab/>
        <w:t>understreger det kritiske behov for at fremskynde en omfattende reform af den offentlige administration; opfordrer den moldoviske regering til at sikre en fuldt meritbaseret, professionel og gennemsigtig offentlig forvaltning på både centralt og lokalt niveau, hvilket er afgørende for en effektiv gennemførelse af den gældende EU-ret; understreger, at en meningsfuld reform af den territoriale administration er afgørende for at styrke de lokale myndigheder, idet den nuværende fragmentering af kommuner i alvorlig grad hæmmer den finansielle uafhængighed og administrative kapacitet til med succes at ansøge om, udnytte og forvalte midler fra EU's fonde for regional udvikling; fremhæver behovet for at levere målrettede uddannelsesprogrammer og kapacitetsopbygningsstøtte til lokale og regionale myndigheder for at sætte dem i stand til med succes at ansøge om, absorbere og forvalte tilgængelig EU-finansiering;</w:t>
      </w:r>
    </w:p>
    <w:p w:rsidR="00AE0729" w:rsidRPr="005F6C28" w:rsidP="00AE0729" w14:paraId="559142CB" w14:textId="77777777">
      <w:pPr>
        <w:pStyle w:val="NormalHanging12a"/>
      </w:pPr>
      <w:r w:rsidRPr="005F6C28">
        <w:t>30.</w:t>
      </w:r>
      <w:r w:rsidRPr="005F6C28">
        <w:tab/>
        <w:t>understreger, at en vellykket tiltrædelsesproces kræver et stærkt lokalt ejerskab; beklager manglen på formelle mekanismer for lokale og regionale myndigheder i den foreslåede FFR-arkitektur; opfordrer den moldoviske regering og Kommissionen til systematisk at inddrage moldoviske lokale og regionale myndigheder og deres sammenslutninger i udarbejdelsen af flerårige vejledende programmer og handlingsplaner; opfordrer indtrængende til oprettelse af særlige kapacitetsopbyggende foranstaltninger og finansieringsstrømme inden for rammerne af det fremtidige instrument for et globalt Europa til støtte for moldoviske kommuner i gennemførelsen af decentraliseringsreformer og EU-tilpassede offentlige tjenester;</w:t>
      </w:r>
    </w:p>
    <w:p w:rsidR="00AE0729" w:rsidRPr="005F6C28" w:rsidP="00AE0729" w14:paraId="40BC4728" w14:textId="77777777">
      <w:pPr>
        <w:pStyle w:val="NormalHanging12a"/>
      </w:pPr>
      <w:r w:rsidRPr="005F6C28">
        <w:t>31.</w:t>
      </w:r>
      <w:r w:rsidRPr="005F6C28">
        <w:tab/>
        <w:t>glæder sig over Moldovas deltagelse i "Et Kreativt Europa", EU-programmet til støtte for de kulturelle og kreative sektorer, fra den 1. januar 2026 samt i det europæiske program for beskæftigelse og social innovation (</w:t>
      </w:r>
      <w:r w:rsidRPr="005F6C28">
        <w:t>EaSI</w:t>
      </w:r>
      <w:r w:rsidRPr="005F6C28">
        <w:t xml:space="preserve">) under Den Europæiske Socialfond Plus, hvilket giver Moldova adgang til EU-finansierede projekter med henblik på at reducere arbejdsløsheden, forbedre jobkvaliteten og fremme social innovation; opfordrer Kommissionen til at støtte landets optagelse i Sammenslutningen </w:t>
      </w:r>
      <w:r w:rsidRPr="005F6C28">
        <w:t xml:space="preserve">af Europæiske Tilsynsmyndigheder inden for Elektronisk Kommunikation, Det Europæiske Miljøagentur, Erasmus +, </w:t>
      </w:r>
      <w:r w:rsidRPr="005F6C28">
        <w:t>DiscoverEU</w:t>
      </w:r>
      <w:r w:rsidRPr="005F6C28">
        <w:t>-programmet og skoleordningen for frugt, grøntsager og mælk;</w:t>
      </w:r>
    </w:p>
    <w:p w:rsidR="00AE0729" w:rsidRPr="005F6C28" w:rsidP="00AE0729" w14:paraId="1202991C" w14:textId="77777777">
      <w:pPr>
        <w:pStyle w:val="Normal12a"/>
      </w:pPr>
      <w:r w:rsidRPr="005F6C28">
        <w:rPr>
          <w:b/>
          <w:i/>
        </w:rPr>
        <w:t>Menneskerettigheder</w:t>
      </w:r>
    </w:p>
    <w:p w:rsidR="00AE0729" w:rsidRPr="005F6C28" w:rsidP="00AE0729" w14:paraId="08B876E8" w14:textId="77777777">
      <w:pPr>
        <w:pStyle w:val="NormalHanging12a"/>
      </w:pPr>
      <w:r w:rsidRPr="005F6C28">
        <w:t>32.</w:t>
      </w:r>
      <w:r w:rsidRPr="005F6C28">
        <w:tab/>
        <w:t>glæder sig over Republikken Moldovas myndigheders bestræbelser på at forbedre den lovgivningsmæssige ramme for ligestilling mellem kønnene, bekæmpe vold i hjemmet og beskytte ofre og bringe den i overensstemmelse med internationale og europæiske standarder, herunder kriminalisering af digital vold og tvangsægteskaber, og indførelsen af kvindemord i landets straffelov; opfordrer myndighederne i Republikken Moldova til at styrke den effektive gennemførelse af den eksisterende lovgivning om bekæmpelse af vold mod kvinder, herunder vold i hjemmet, og om beskyttelse af ofre;</w:t>
      </w:r>
    </w:p>
    <w:p w:rsidR="00AE0729" w:rsidRPr="005F6C28" w:rsidP="00AE0729" w14:paraId="27B64A72" w14:textId="77777777">
      <w:pPr>
        <w:pStyle w:val="NormalHanging12a"/>
      </w:pPr>
      <w:r w:rsidRPr="005F6C28">
        <w:t>33.</w:t>
      </w:r>
      <w:r w:rsidRPr="005F6C28">
        <w:tab/>
        <w:t>glæder sig over den igangværende gennemførelse af den nationale strategi for bekæmpelse af menneskehandel, der blev vedtaget i september 2023; opfordrer Moldova til yderligere at styrke sine retlige og institutionelle rammer, herunder ved at indføre mere effektive værktøjer for offentlige myndigheder til at efterforske og retsforfølge nye udnyttelsesformer;</w:t>
      </w:r>
    </w:p>
    <w:p w:rsidR="00AE0729" w:rsidRPr="005F6C28" w:rsidP="00AE0729" w14:paraId="1752B8AE" w14:textId="6807F962">
      <w:pPr>
        <w:pStyle w:val="NormalHanging12a"/>
      </w:pPr>
      <w:r w:rsidRPr="005F6C28">
        <w:t>34.</w:t>
      </w:r>
      <w:r w:rsidRPr="005F6C28">
        <w:tab/>
        <w:t>bemærker, at den retlige og institutionelle ramme for rettighederne for personer med handicap i Moldova kræver yderligere tilpasning til gældende EU-ret og relevante internationale standarder; opfordrer navnlig til at tilpasse rammen for tilgængelighed til det europæiske tilgængelighedsdirektiv</w:t>
      </w:r>
      <w:r>
        <w:rPr>
          <w:rStyle w:val="FootnoteReference"/>
        </w:rPr>
        <w:footnoteReference w:id="4"/>
      </w:r>
      <w:r w:rsidRPr="005F6C28">
        <w:t>;</w:t>
      </w:r>
    </w:p>
    <w:p w:rsidR="00AE0729" w:rsidRPr="005F6C28" w:rsidP="00AE0729" w14:paraId="5B83A6B4" w14:textId="77777777">
      <w:pPr>
        <w:pStyle w:val="NormalHanging12a"/>
      </w:pPr>
      <w:r w:rsidRPr="005F6C28">
        <w:t>35.</w:t>
      </w:r>
      <w:r w:rsidRPr="005F6C28">
        <w:tab/>
        <w:t xml:space="preserve">er bekymret over, at myndighederne i </w:t>
      </w:r>
      <w:r w:rsidRPr="005F6C28">
        <w:t>Chișinău</w:t>
      </w:r>
      <w:r w:rsidRPr="005F6C28">
        <w:t xml:space="preserve"> forsøgte på </w:t>
      </w:r>
      <w:r w:rsidRPr="005F6C28">
        <w:t>forbyde</w:t>
      </w:r>
      <w:r w:rsidRPr="005F6C28">
        <w:t xml:space="preserve"> </w:t>
      </w:r>
      <w:r w:rsidRPr="005F6C28">
        <w:t>Chișinău</w:t>
      </w:r>
      <w:r w:rsidRPr="005F6C28">
        <w:t xml:space="preserve"> Pride, og over moddemonstranternes voldelige angreb på den fredelige march; fordømmer misinformation og målrettede online desinformationskampagner, der spredes i Moldova af lokale medier med russisk tilknytning; opfordrer Moldova til at sikre retten til forsamlingsfrihed for alle;</w:t>
      </w:r>
    </w:p>
    <w:p w:rsidR="00AE0729" w:rsidRPr="005F6C28" w:rsidP="00AE0729" w14:paraId="649F29C5" w14:textId="77777777">
      <w:pPr>
        <w:pStyle w:val="NormalHanging12a"/>
      </w:pPr>
      <w:r w:rsidRPr="005F6C28">
        <w:t>36.</w:t>
      </w:r>
      <w:r w:rsidRPr="005F6C28">
        <w:tab/>
        <w:t>opfordrer Moldova til at styrke de retlige og institutionelle rammer for beskyttelse af rettighederne for personer, der tilhører mindretal, herunder LGBTI-personer;</w:t>
      </w:r>
    </w:p>
    <w:p w:rsidR="00AE0729" w:rsidRPr="005F6C28" w:rsidP="00AE0729" w14:paraId="4912575D" w14:textId="77777777">
      <w:pPr>
        <w:pStyle w:val="Normal12a"/>
      </w:pPr>
      <w:r w:rsidRPr="005F6C28">
        <w:rPr>
          <w:b/>
          <w:i/>
        </w:rPr>
        <w:t xml:space="preserve">Akademisk samarbejde og mellemfolkelige kontakter </w:t>
      </w:r>
    </w:p>
    <w:p w:rsidR="00AE0729" w:rsidRPr="005F6C28" w:rsidP="00AE0729" w14:paraId="5FAE5ABB" w14:textId="77777777">
      <w:pPr>
        <w:pStyle w:val="NormalHanging12a"/>
      </w:pPr>
      <w:r w:rsidRPr="005F6C28">
        <w:t>37.</w:t>
      </w:r>
      <w:r w:rsidRPr="005F6C28">
        <w:tab/>
        <w:t xml:space="preserve">glæder sig over de betydelige fremskridt, som Moldova har gjort med hensyn til at bringe sit videregående uddannelsessystem i overensstemmelse med det europæiske område for videregående uddannelse, herunder tre moldoviske institutioners deltagelse i alliancer mellem Europauniversiteter som associerede partnere; roser </w:t>
      </w:r>
      <w:r w:rsidRPr="005F6C28">
        <w:t>endvidere</w:t>
      </w:r>
      <w:r w:rsidRPr="005F6C28">
        <w:t xml:space="preserve"> landets engagement i den internationale dimension af Erasmus+-programmet for 2021-2027 og dets deltagelse i fire arbejdsgrupper om det europæiske uddannelsesområde;</w:t>
      </w:r>
    </w:p>
    <w:p w:rsidR="00AE0729" w:rsidRPr="005F6C28" w:rsidP="00AE0729" w14:paraId="3EDBB0DE" w14:textId="77777777">
      <w:pPr>
        <w:pStyle w:val="NormalHanging12a"/>
      </w:pPr>
      <w:r w:rsidRPr="005F6C28">
        <w:t>38.</w:t>
      </w:r>
      <w:r w:rsidRPr="005F6C28">
        <w:tab/>
        <w:t>glæder sig over Moldovas stigende engagement i europæiske forsknings- og innovationsnetværk og opfordrer til yderligere integration i Horisont Europa, hvilket vil give universiteter og forskningsinstitutioner adgang til europæisk finansiering, infrastrukturer med samarbejdsbaseret forskning og videnskabelige partnerskaber;</w:t>
      </w:r>
    </w:p>
    <w:p w:rsidR="00AE0729" w:rsidRPr="005F6C28" w:rsidP="00AE0729" w14:paraId="0D1D14EF" w14:textId="77777777">
      <w:pPr>
        <w:pStyle w:val="Normal12a"/>
      </w:pPr>
      <w:r w:rsidRPr="005F6C28">
        <w:rPr>
          <w:b/>
          <w:i/>
        </w:rPr>
        <w:t xml:space="preserve">Energi, miljø og </w:t>
      </w:r>
      <w:r w:rsidRPr="005F6C28">
        <w:rPr>
          <w:b/>
          <w:i/>
        </w:rPr>
        <w:t>konnektivitet</w:t>
      </w:r>
    </w:p>
    <w:p w:rsidR="00AE0729" w:rsidRPr="005F6C28" w:rsidP="00AE0729" w14:paraId="2FB8D7F6" w14:textId="77777777">
      <w:pPr>
        <w:pStyle w:val="NormalHanging12a"/>
      </w:pPr>
      <w:r w:rsidRPr="005F6C28">
        <w:t>39.</w:t>
      </w:r>
      <w:r w:rsidRPr="005F6C28">
        <w:tab/>
        <w:t>roser landets fortsatte bestræbelser på at tilpasse den moldoviske energisektor til gældende EU-ret og bevæge sig i retning af dets fulde integration i EU's energimarked med henblik på at sikre Moldovas energisikkerhed og modstandsdygtighed;</w:t>
      </w:r>
    </w:p>
    <w:p w:rsidR="00AE0729" w:rsidRPr="005F6C28" w:rsidP="00AE0729" w14:paraId="6141C89D" w14:textId="77777777">
      <w:pPr>
        <w:pStyle w:val="NormalHanging12a"/>
      </w:pPr>
      <w:r w:rsidRPr="005F6C28">
        <w:t>40.</w:t>
      </w:r>
      <w:r w:rsidRPr="005F6C28">
        <w:tab/>
        <w:t xml:space="preserve">bemærker med tilfredshed, at Moldova opnåede de højeste resultater med hensyn til gennemførelse af EU-lovgivningen blandt energifællesskabets medlemslande, og at landet også var en af de kontraherende parter i energifællesskabet, som tidligt gennemførte </w:t>
      </w:r>
      <w:r w:rsidRPr="005F6C28">
        <w:t>elintegrationspakken</w:t>
      </w:r>
      <w:r w:rsidRPr="005F6C28">
        <w:t xml:space="preserve">; opfordrer Kommissionen, energifællesskabets sekretariat og andre relevante aktører til at sikre Moldovas fulde sammenkobling med EU's </w:t>
      </w:r>
      <w:r w:rsidRPr="005F6C28">
        <w:t>elmarked</w:t>
      </w:r>
      <w:r w:rsidRPr="005F6C28">
        <w:t xml:space="preserve"> senest i 2028;</w:t>
      </w:r>
    </w:p>
    <w:p w:rsidR="00AE0729" w:rsidRPr="005F6C28" w:rsidP="00AE0729" w14:paraId="33BA1D7B" w14:textId="77777777">
      <w:pPr>
        <w:pStyle w:val="NormalHanging12a"/>
      </w:pPr>
      <w:r w:rsidRPr="005F6C28">
        <w:t>41.</w:t>
      </w:r>
      <w:r w:rsidRPr="005F6C28">
        <w:tab/>
        <w:t>understreger, at landets myndigheder for yderligere at styrke Moldovas energimodstandsdygtighed med EU-støtte fortsat bør diversificere landets energiforsyningskilder, fremskynde dets integration i det europæiske energimarked, øge investeringerne i energieffektivitet i offentlige bygninger og beboelsesejendomme, øge den indenlandske energiproduktion og tilskynde til reduktion af efterspørgslen; glæder sig over Moldovas betydelige stigning i andelen af vedvarende energi, som nåede op på ca. 25 % af forbruget i 2025 og 1 GW af den samlede installerede kapacitet, hvilket er en betydelig milepæl i udviklingen af landets lokale energiproduktion og energiomstilling;</w:t>
      </w:r>
    </w:p>
    <w:p w:rsidR="00AE0729" w:rsidRPr="005F6C28" w:rsidP="00AE0729" w14:paraId="0609C77C" w14:textId="77777777">
      <w:pPr>
        <w:pStyle w:val="NormalHanging12a"/>
      </w:pPr>
      <w:r w:rsidRPr="005F6C28">
        <w:t>42.</w:t>
      </w:r>
      <w:r w:rsidRPr="005F6C28">
        <w:tab/>
        <w:t xml:space="preserve">glæder sig over regeringens handlingsplan fra marts 2025 om at fjerne al afhængighed af russiske energiressourcer på tværs af el-, gas- og oliesektoren, der blev vedtaget som led i gennemførelsen af den omfattende strategi for energiuafhængighed og modstandsdygtighed mellem EU og Moldova af 4. februar 2025; minder om, at Rusland i 2025 ophørte med at forsyne </w:t>
      </w:r>
      <w:r w:rsidRPr="005F6C28">
        <w:t>Cuciurgan</w:t>
      </w:r>
      <w:r w:rsidRPr="005F6C28">
        <w:t xml:space="preserve">-kraftværket med gas i et forsøg på med tvang at påvirke Moldovas internationale valg, og at de første ofre for den efterfølgende energikrise var befolkningen på begge sider af </w:t>
      </w:r>
      <w:r w:rsidRPr="005F6C28">
        <w:t>Dnister</w:t>
      </w:r>
      <w:r w:rsidRPr="005F6C28">
        <w:t>;</w:t>
      </w:r>
    </w:p>
    <w:p w:rsidR="00AE0729" w:rsidRPr="005F6C28" w:rsidP="00AE0729" w14:paraId="4036A4AE" w14:textId="77777777">
      <w:pPr>
        <w:pStyle w:val="NormalHanging12a"/>
      </w:pPr>
      <w:r w:rsidRPr="005F6C28">
        <w:t>43.</w:t>
      </w:r>
      <w:r w:rsidRPr="005F6C28">
        <w:tab/>
        <w:t xml:space="preserve">glæder sig over færdiggørelsen af opførelsen af luftledningen </w:t>
      </w:r>
      <w:r w:rsidRPr="005F6C28">
        <w:t>Vulcănești-Chișinău</w:t>
      </w:r>
      <w:r w:rsidRPr="005F6C28">
        <w:t xml:space="preserve"> 400 kV i december 2025, hvor </w:t>
      </w:r>
      <w:r w:rsidRPr="005F6C28">
        <w:t>eltransmissionen</w:t>
      </w:r>
      <w:r w:rsidRPr="005F6C28">
        <w:t xml:space="preserve"> gennem elledningen forventes at starte i 2026; bemærker, at dette praktiske skridt mindsker Moldovas afhængighed af energiinfrastruktur i </w:t>
      </w:r>
      <w:r w:rsidRPr="005F6C28">
        <w:t>Transdnestrienområdet</w:t>
      </w:r>
      <w:r w:rsidRPr="005F6C28">
        <w:t xml:space="preserve"> og dets sårbarhed over for russisk fjendtlig indflydelse, og gør det muligt for landet at tilslutte sig det europæiske elnet på en sikker og pålidelig måde gennem Rumænien;</w:t>
      </w:r>
    </w:p>
    <w:p w:rsidR="00AE0729" w:rsidRPr="005F6C28" w:rsidP="00AE0729" w14:paraId="0B588FBD" w14:textId="77777777">
      <w:pPr>
        <w:pStyle w:val="NormalHanging12a"/>
      </w:pPr>
      <w:r w:rsidRPr="005F6C28">
        <w:t>44.</w:t>
      </w:r>
      <w:r w:rsidRPr="005F6C28">
        <w:tab/>
        <w:t xml:space="preserve">opfordrer Kommissionen til at maksimere anvendelsen af de tildelinger med henblik på grænseoverskridende samarbejde, der er til rådighed under det fremtidige instrument for et globalt Europa og Fonden for Nationalt og Regionalt Partnerskab, for yderligere at fremskynde integrationen af Moldovas transport- og energiinfrastruktur og digitale infrastruktur i EU's indre marked; understreger, at en sådan finansiering bør prioritere projekter med stor indvirkning, der vedrører transport, energi og digital infrastruktur, herunder grænseoverskridende sammenkoblinger, indenlandsk produktion af vedvarende energi, energieffektivitet, tilpasning af det transeuropæiske transportnet, synkronisering af energinet og udvidelse af bredbånd; tilskynder til hurtig udvikling af yderligere energisammenkoblingsprojekter med Moldova såsom 400 kV-luftledningerne </w:t>
      </w:r>
      <w:r w:rsidRPr="005F6C28">
        <w:t>Suceava-Bălți</w:t>
      </w:r>
      <w:r w:rsidRPr="005F6C28">
        <w:t xml:space="preserve"> og </w:t>
      </w:r>
      <w:r w:rsidRPr="005F6C28">
        <w:t>Gutinaș-Strășeni</w:t>
      </w:r>
      <w:r w:rsidRPr="005F6C28">
        <w:t>;</w:t>
      </w:r>
    </w:p>
    <w:p w:rsidR="00AE0729" w:rsidRPr="005F6C28" w:rsidP="00AE0729" w14:paraId="5F8F080C" w14:textId="77777777">
      <w:pPr>
        <w:pStyle w:val="NormalHanging12a"/>
      </w:pPr>
      <w:r w:rsidRPr="005F6C28">
        <w:t>45.</w:t>
      </w:r>
      <w:r w:rsidRPr="005F6C28">
        <w:tab/>
        <w:t xml:space="preserve">fordømmer på det kraftigste de russiske angreb i marts 2026 på ukrainsk energiinfrastruktur, der truede Moldovas energi- og vandsikkerhed, og som havde en direkte indvirkning på sikkerheden af vandressourcer og på folkesundheden for 80 % af landets borgere, for hvem </w:t>
      </w:r>
      <w:r w:rsidRPr="005F6C28">
        <w:t>Dnister</w:t>
      </w:r>
      <w:r w:rsidRPr="005F6C28">
        <w:t xml:space="preserve"> er den vigtigste kilde til ferskvand og drikkevand, og som skabte en 15-dages miljømæssig nødsituation i Republikken Moldova; glæder sig over de moldoviske og ukrainske myndigheders og transmissionssystemoperatørernes hurtige og koordinerede reaktion og opfordrer EU og dets medlemsstater til at stille yderligere finansielle ressourcer, teknisk bistand og specialiseret udstyr til rådighed for Moldova for at øge landets kapacitet til at håndtere fremtidige økologiske katastrofer;</w:t>
      </w:r>
    </w:p>
    <w:p w:rsidR="00AE0729" w:rsidRPr="005F6C28" w:rsidP="00AE0729" w14:paraId="0D348BA7" w14:textId="77777777">
      <w:pPr>
        <w:pStyle w:val="NormalHanging12a"/>
      </w:pPr>
      <w:r w:rsidRPr="005F6C28">
        <w:t>46.</w:t>
      </w:r>
      <w:r w:rsidRPr="005F6C28">
        <w:tab/>
        <w:t>fremhæver, at Moldova fortsat står over for betydelige miljømæssige udfordringer, herunder luft- og vandforurening, utilstrækkelig infrastruktur til affaldshåndtering og vedvarende tab af biodiversitet; understreger behovet for at styrke den administrative kapacitet, forbedre håndhævelsen af miljølovgivningen og sikre tilstrækkelige investeringer i miljøinfrastruktur;</w:t>
      </w:r>
    </w:p>
    <w:p w:rsidR="00AE0729" w:rsidRPr="005F6C28" w:rsidP="00AE0729" w14:paraId="33DE5099" w14:textId="77777777">
      <w:pPr>
        <w:pStyle w:val="NormalHanging12a"/>
      </w:pPr>
      <w:r w:rsidRPr="005F6C28">
        <w:t>47.</w:t>
      </w:r>
      <w:r w:rsidRPr="005F6C28">
        <w:tab/>
        <w:t>minder om, at Moldova allerede har lidt stærkt under de alvorlige sikkerhedsmæssige, økonomiske og sociale konsekvenser af Ruslands omfattende angrebskrig mod Ukraine; udtrykker dyb bekymring over, at landet nu er blandt dem, der er hårdest ramt af den forværrede globale økonomiske krise og energikrise som følge af den igangværende krig i Mellemøsten; opfordrer EU og dets medlemsstater til at udvise fortsat og urokkelig solidaritet med Moldova og til at yde den nødvendige støtte for at bidrage til at afbøde virkningerne af disse overlappende eksterne chok for landets borgere og økonomi;</w:t>
      </w:r>
    </w:p>
    <w:p w:rsidR="00AE0729" w:rsidRPr="005F6C28" w:rsidP="00AE0729" w14:paraId="72C6C9A2" w14:textId="77777777">
      <w:pPr>
        <w:pStyle w:val="Normal12a"/>
      </w:pPr>
      <w:r w:rsidRPr="005F6C28">
        <w:rPr>
          <w:b/>
          <w:i/>
        </w:rPr>
        <w:t xml:space="preserve">Samarbejde om den fælles udenrigs- og sikkerhedspolitik og fremskridt med hensyn til en løsning på </w:t>
      </w:r>
      <w:r w:rsidRPr="005F6C28">
        <w:rPr>
          <w:b/>
          <w:i/>
        </w:rPr>
        <w:t>Transdnestrienkonflikten</w:t>
      </w:r>
    </w:p>
    <w:p w:rsidR="00AE0729" w:rsidRPr="005F6C28" w:rsidP="00AE0729" w14:paraId="4F3233B4" w14:textId="77777777">
      <w:pPr>
        <w:pStyle w:val="NormalHanging12a"/>
      </w:pPr>
      <w:r w:rsidRPr="005F6C28">
        <w:t>48.</w:t>
      </w:r>
      <w:r w:rsidRPr="005F6C28">
        <w:tab/>
        <w:t>påskønner Moldovas konsekvente samarbejde om udenrigspolitiske spørgsmål og landets indsats hen imod en fuld tilpasning til holdningerne i EU's fælles udenrigs- og sikkerhedspolitiske holdninger; bemærker, at Moldovas tilpasningsgrad til EU's udenrigs-, sikkerheds- og forsvarspolitik, herunder afspejling af EU's sanktioner mod Rusland, var på 88 %; opfordrer landet til at blive ved med at forbedre denne tilpasning, herunder med hensyn til de restriktive foranstaltninger over for Rusland, og til at fortsætte samarbejdet om at forhindre omgåelse af sanktionerne mod Rusland og Belarus i forbindelse med Ruslands angrebskrig mod Ukraine; roser Moldova for at huse det højeste antal fordrevne ukrainere pr. indbygger og for at håndtere et betydeligt socialt, økonomisk og administrativt pres som følge af den store tilstrømning af flygtninge; glæder sig over Moldovas øgede deltagelse i EU-missioner og -operationer under EU's fælles sikkerheds- og forsvarspolitik såsom operation Althea i Bosnien-Hercegovina og EU's uddannelsesmission i Somalia;</w:t>
      </w:r>
    </w:p>
    <w:p w:rsidR="00AE0729" w:rsidRPr="005F6C28" w:rsidP="00AE0729" w14:paraId="53F650F0" w14:textId="77777777">
      <w:pPr>
        <w:pStyle w:val="NormalHanging12a"/>
      </w:pPr>
      <w:r w:rsidRPr="005F6C28">
        <w:t>49.</w:t>
      </w:r>
      <w:r w:rsidRPr="005F6C28">
        <w:tab/>
        <w:t>anerkender den rolle, som det trilaterale samarbejde mellem Moldova, Rumænien og Ukraine ("</w:t>
      </w:r>
      <w:r w:rsidRPr="005F6C28">
        <w:t>Odesa</w:t>
      </w:r>
      <w:r w:rsidRPr="005F6C28">
        <w:t xml:space="preserve">-trekanten") spiller med hensyn til at styrke den regionale sikkerhed, fremme EU-integrationsprocessen for Moldova og Ukraine, forbedre disse landes </w:t>
      </w:r>
      <w:r w:rsidRPr="005F6C28">
        <w:t>konnektivitet</w:t>
      </w:r>
      <w:r w:rsidRPr="005F6C28">
        <w:t xml:space="preserve"> med EU og imødegå hybride trusler fra Den Russiske Føderation, herunder desinformation og udenlandsk informationsmanipulation, </w:t>
      </w:r>
      <w:r w:rsidRPr="005F6C28">
        <w:t>cyberangreb</w:t>
      </w:r>
      <w:r w:rsidRPr="005F6C28">
        <w:t xml:space="preserve"> og energitrusler;</w:t>
      </w:r>
    </w:p>
    <w:p w:rsidR="00AE0729" w:rsidRPr="005F6C28" w:rsidP="00AE0729" w14:paraId="2B8BEB25" w14:textId="77777777">
      <w:pPr>
        <w:pStyle w:val="NormalHanging12a"/>
      </w:pPr>
      <w:r w:rsidRPr="005F6C28">
        <w:t>50.</w:t>
      </w:r>
      <w:r w:rsidRPr="005F6C28">
        <w:tab/>
        <w:t xml:space="preserve">glæder sig over forlængelsen af mandatet for EU's partnerskabsmission (EUPM) i Republikken Moldova indtil den 31. maj 2027 og opfordrer medlemsstaterne til at </w:t>
      </w:r>
      <w:r w:rsidRPr="005F6C28">
        <w:t xml:space="preserve">bidrage med de nødvendige eksperter og finansielle ressourcer; opfordrer EU til fortsat at støtte Moldovas modstandsdygtighed og beredskab, f.eks. over for hidtil uset russisk indblanding, gennem EUPM, hybride beredskabshold, </w:t>
      </w:r>
      <w:r w:rsidRPr="005F6C28">
        <w:t>cyberberedskabshold</w:t>
      </w:r>
      <w:r w:rsidRPr="005F6C28">
        <w:t xml:space="preserve"> og EU's </w:t>
      </w:r>
      <w:r w:rsidRPr="005F6C28">
        <w:t>cybersikkerhedsreserve</w:t>
      </w:r>
      <w:r w:rsidRPr="005F6C28">
        <w:t>;</w:t>
      </w:r>
    </w:p>
    <w:p w:rsidR="00AE0729" w:rsidRPr="005F6C28" w:rsidP="00AE0729" w14:paraId="31C8A9C2" w14:textId="77777777">
      <w:pPr>
        <w:pStyle w:val="NormalHanging12a"/>
      </w:pPr>
      <w:r w:rsidRPr="005F6C28">
        <w:t>51.</w:t>
      </w:r>
      <w:r w:rsidRPr="005F6C28">
        <w:tab/>
        <w:t xml:space="preserve">fremhæver, at fysiske angreb på kritisk infrastruktur og sikkerhedsmæssige provokationer systematisk ledsages af kampagner med udenlandsk informationsmanipulation og indblanding, der har til formål at skabe panik i befolkningen og undergrave offentlighedens tillid til de moldoviske myndigheder; understreger derfor den afgørende betydning af at udstyre de moldoviske institutioner med robuste værktøjer til hurtig krisekommunikation for effektivt at bekæmpe desinformation og sikre hurtig formidling af faktuelle oplysninger; bemærker navnlig de skridt, der blev taget i 2025 for at styrke den operationelle kapacitet i centret for strategisk kommunikation og bekæmpelse af desinformation og det nationale agentur for </w:t>
      </w:r>
      <w:r w:rsidRPr="005F6C28">
        <w:t>cybersikkerhed</w:t>
      </w:r>
      <w:r w:rsidRPr="005F6C28">
        <w:t xml:space="preserve">; opfordrer til strategisk anvendelse af de disponible midler i 2027 og derefter for at styrke Moldovas kapacitet til strategisk kommunikation, </w:t>
      </w:r>
      <w:r w:rsidRPr="005F6C28">
        <w:t>cybersikkerhed</w:t>
      </w:r>
      <w:r w:rsidRPr="005F6C28">
        <w:t xml:space="preserve"> og bekæmpelse af udenlandsk informationsmanipulation og indblanding forud for landets måltiltrædelsesdato; opfordrer EU til at anvende de erfaringer, der er gjort i Moldova med hensyn til at beskytte valgprocessen og de demokratiske institutioner og bekæmpe udenlandsk informationsmanipulation og indblanding, på EU selv og på andre kandidatlande; glæder sig i den forbindelse over den indsats, som medlemsstaternes offentlige radio- og </w:t>
      </w:r>
      <w:r w:rsidRPr="005F6C28">
        <w:t>TV-selskaber</w:t>
      </w:r>
      <w:r w:rsidRPr="005F6C28">
        <w:t xml:space="preserve"> har gjort for at levere faktabaseret indhold til den moldoviske offentlighed;</w:t>
      </w:r>
    </w:p>
    <w:p w:rsidR="00AE0729" w:rsidRPr="005F6C28" w:rsidP="00AE0729" w14:paraId="7A253D9B" w14:textId="77777777">
      <w:pPr>
        <w:pStyle w:val="NormalHanging12a"/>
      </w:pPr>
      <w:r w:rsidRPr="005F6C28">
        <w:t>52.</w:t>
      </w:r>
      <w:r w:rsidRPr="005F6C28">
        <w:tab/>
        <w:t>udtrykker bekymring over instrumentaliseringen af religiøse strukturer til politiske formål i overensstemmelse med den russiske militære doktrin og den nationale sikkerhedsstrategi, herunder forsøg på at påvirke den offentlige mening og valgprocesser på måder, der kan underminere Moldovas vej mod EU; opfordrer Moldovas myndigheder til at sikre fuld respekt for religionsfriheden og samtidig forhindre enhver utilbørlig ekstern indblanding eller manipulation, der kan påvirke landets demokratiske processer og strategiske retning; fordømmer på det kraftigste brugen af den moldoviske ortodokse kirke, som hører under den russisk-ortodokse kirkes jurisdiktion, som et middel til Kreml-styret desinformation, valgindblanding og hybrid indflydelse i Republikken Moldova;</w:t>
      </w:r>
    </w:p>
    <w:p w:rsidR="00AE0729" w:rsidRPr="005F6C28" w:rsidP="00AE0729" w14:paraId="01B9641D" w14:textId="77777777">
      <w:pPr>
        <w:pStyle w:val="NormalHanging12a"/>
      </w:pPr>
      <w:r w:rsidRPr="005F6C28">
        <w:t>53.</w:t>
      </w:r>
      <w:r w:rsidRPr="005F6C28">
        <w:tab/>
        <w:t xml:space="preserve">gentager, at Parlamentet er fuldt engageret i Moldovas territoriale integritet og i en fredelig bilæggelse af konflikten med udgangspunkt i Moldovas suverænitet og territoriale integritet inden for dets internationalt anerkendte grænser; opfordrer Moldova til at fortsætte sine bestræbelser på igen at samle landet og opfordrer Den Russiske Føderation til at opfylde sine internationale forpligtelser ved at sikre øjeblikkelig og betingelsesløs tilbagetrækning af alt sit militære personel, udstyr og ammunition fra </w:t>
      </w:r>
      <w:r w:rsidRPr="005F6C28">
        <w:t>Transdnestrienområdet</w:t>
      </w:r>
      <w:r w:rsidRPr="005F6C28">
        <w:t>, hvis tilstedeværelse udgør en stærk krænkelse af folkeretten og en direkte sikkerhedstrussel mod Moldova og det bredere europæiske naboskabsområde;</w:t>
      </w:r>
    </w:p>
    <w:p w:rsidR="00AE0729" w:rsidRPr="005F6C28" w:rsidP="00AE0729" w14:paraId="4042694D" w14:textId="77777777">
      <w:pPr>
        <w:pStyle w:val="NormalHanging12a"/>
      </w:pPr>
      <w:r w:rsidRPr="005F6C28">
        <w:t>54.</w:t>
      </w:r>
      <w:r w:rsidRPr="005F6C28">
        <w:tab/>
        <w:t xml:space="preserve">støtter de moldoviske myndigheders gradvise tilgang til landets reintegration med stor vægt på håndgribelige socioøkonomiske fordele for borgerne på begge bredder af floden; opfordrer EU til aktivt at bidrage til den fredelige reintegrationsproces, herunder gennem meningsfulde bidrag til konvergensfonden, som vil støtte </w:t>
      </w:r>
      <w:r w:rsidRPr="005F6C28">
        <w:t>Transdnestrienområdets</w:t>
      </w:r>
      <w:r w:rsidRPr="005F6C28">
        <w:t xml:space="preserve"> gradvise tilpasning til Moldovas retlige, økonomiske og sociale </w:t>
      </w:r>
      <w:r w:rsidRPr="005F6C28">
        <w:t>rammer og skabe konkrete forbedringer inden for offentlige tjenester og lokal infrastruktur for borgerne;</w:t>
      </w:r>
    </w:p>
    <w:p w:rsidR="00AE0729" w:rsidRPr="005F6C28" w:rsidP="00AE0729" w14:paraId="4ECE94BA" w14:textId="77777777">
      <w:pPr>
        <w:pStyle w:val="NormalHanging12a"/>
      </w:pPr>
      <w:r w:rsidRPr="005F6C28">
        <w:t>55.</w:t>
      </w:r>
      <w:r w:rsidRPr="005F6C28">
        <w:tab/>
        <w:t xml:space="preserve">bemærker med bekymring Ruslands igangværende forsøg på at udnytte og skabe spændinger mellem den Autonome Territoriale Enhed </w:t>
      </w:r>
      <w:r w:rsidRPr="005F6C28">
        <w:t>Gagausien</w:t>
      </w:r>
      <w:r w:rsidRPr="005F6C28">
        <w:t xml:space="preserve"> og de moldoviske myndigheder; støtter og tilskynder den moldoviske regerings fortsatte bestræbelser på at tackle disse udfordringer gennem konstruktiv dialog og inklusive reformer; opfordrer indtrængende de regionale myndigheder til at indgå i denne dialog i god tro og sikre korrekt afholdelse af frie, retfærdige, gennemsigtige og lovlige valg i regionen i fuld overensstemmelse med moldovisk ret; gentager, at et stabilt samarbejdsforhold mellem hovedstaden og regionerne er afgørende for Moldovas interne stabilitet og landets fortsatte fremskridt på vejen mod tiltrædelse af EU;</w:t>
      </w:r>
    </w:p>
    <w:p w:rsidR="00AE0729" w:rsidRPr="005F6C28" w:rsidP="00AE0729" w14:paraId="662C87AC" w14:textId="77777777">
      <w:pPr>
        <w:pStyle w:val="NormalHanging12a"/>
      </w:pPr>
      <w:r w:rsidRPr="005F6C28">
        <w:t>56.</w:t>
      </w:r>
      <w:r w:rsidRPr="005F6C28">
        <w:tab/>
        <w:t xml:space="preserve">glæder sig over Moldovas beslutning om at trække sig ud af Samfundet af Uafhængige Stater, der ledes af Rusland, som et suverænt og strategisk valg, der afspejler landets valgte vej mod EU; opfordrer til, at arven fra den sovjetiske periode tages op, f.eks. gennem </w:t>
      </w:r>
      <w:r w:rsidRPr="005F6C28">
        <w:t>afklassificering</w:t>
      </w:r>
      <w:r w:rsidRPr="005F6C28">
        <w:t xml:space="preserve"> af tidligere sovjetiske sikkerhedstjenesters arkiver, og tilskynder til drøftelser om tilstedeværelsen af sovjetiske propagandasymboler i det offentlige rum;</w:t>
      </w:r>
    </w:p>
    <w:p w:rsidR="00AE0729" w:rsidRPr="005F6C28" w:rsidP="00AE0729" w14:paraId="555DC519" w14:textId="77777777">
      <w:pPr>
        <w:pStyle w:val="NormalHanging12a"/>
      </w:pPr>
      <w:r w:rsidRPr="005F6C28">
        <w:t>57.</w:t>
      </w:r>
      <w:r w:rsidRPr="005F6C28">
        <w:tab/>
        <w:t>fordømmer på det kraftigste russiske droners gentagne, uautoriserede indtrængen i Moldovas luftrum og territorium siden 2022, som udgør en alvorlig krænkelse af Moldovas suverænitet og territoriale integritet; understreger, at sådanne handlinger udgør en direkte risiko mod den civile sikkerhed og den regionale stabilitet, og gentager behovet for nøje overholdelse af folkeretten; understreger i den forbindelse den afgørende betydning af investeringer i luftovervågnings- og beskyttelsesinfrastruktur;</w:t>
      </w:r>
    </w:p>
    <w:p w:rsidR="00AE0729" w:rsidRPr="005F6C28" w:rsidP="00AE0729" w14:paraId="095F3457" w14:textId="77777777">
      <w:pPr>
        <w:pStyle w:val="NormalHanging12a"/>
      </w:pPr>
      <w:r w:rsidRPr="005F6C28">
        <w:t>58.</w:t>
      </w:r>
      <w:r w:rsidRPr="005F6C28">
        <w:tab/>
        <w:t>glæder sig over den fortsatte støtte til Moldovas væbnede styrker under den europæiske fredsfacilitet; gentager sin opfordring til medlemsstaterne om yderligere at øge finansieringen fra den europæiske fredsfacilitet til Moldova for at styrke landets forsvarskapacitet i lyset af de aktuelle sikkerhedstrusler; opfordrer Kommissionen til i samarbejde med EU-Udenrigstjenesten at sikre en mere struktureret, forudsigelig og øget støtte til styrkelse af Republikken Moldovas sikkerheds- og forsvarskapacitet og dens tilpasning til EU's sikkerhedsstandarder som led i tiltrædelsesprocessen; opfordrer til fortsat støtte til modernisering af Moldovas forsvarssektor, herunder landets luftforsvarskapacitet; understreger, at Moldova ikke blot er en sikkerhedsforbruger, men også en garant for EU's sikkerhed i betragtning af landets strategiske placering og værdifulde realtidserfaringer; glæder sig over anerkendelsen af Moldova som et land, der kan deltage i det fælles indkøb af yderligere mængder forsvarsprodukter under programmet for den europæiske forsvarsindustri, idet EU's finansielle bidrag hæves fra 15 % til 25 %, og opfordrer til, at denne præferencebehandling integreres i strukturen for perioden efter 2027;</w:t>
      </w:r>
    </w:p>
    <w:p w:rsidR="00AE0729" w:rsidRPr="005F6C28" w:rsidP="00AE0729" w14:paraId="2467A26F" w14:textId="77777777">
      <w:pPr>
        <w:pStyle w:val="NormalCenter12a"/>
      </w:pPr>
      <w:r w:rsidRPr="005F6C28">
        <w:t>°</w:t>
      </w:r>
    </w:p>
    <w:p w:rsidR="00AE0729" w:rsidRPr="005F6C28" w:rsidP="00AE0729" w14:paraId="36CF31F9" w14:textId="77777777">
      <w:pPr>
        <w:pStyle w:val="NormalCenter12a"/>
      </w:pPr>
      <w:r w:rsidRPr="005F6C28">
        <w:t>°</w:t>
      </w:r>
      <w:r w:rsidRPr="005F6C28">
        <w:tab/>
        <w:t>°</w:t>
      </w:r>
    </w:p>
    <w:p w:rsidR="00E365E1" w:rsidRPr="005F6C28" w:rsidP="000A32D1" w14:paraId="415C144A" w14:textId="171D5FEF">
      <w:pPr>
        <w:pStyle w:val="NormalHanging12a"/>
      </w:pPr>
      <w:r w:rsidRPr="005F6C28">
        <w:t>59.</w:t>
      </w:r>
      <w:r w:rsidRPr="005F6C28">
        <w:tab/>
        <w:t>pålægger sin formand at sende denne beslutning til Rådet, Kommissionen, næstformanden for Kommissionen/Unionens højtstående repræsentant for udenrigsanliggender og sikkerhedspolitik samt til Republikken Moldovas præsident, regering og parlament.</w:t>
      </w:r>
    </w:p>
    <w:sectPr w:rsidSect="00CB4637">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4637" w14:paraId="3934AB5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4637" w14:paraId="253F384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4637" w14:paraId="1BAFC9A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33CE8" w:rsidRPr="00CB4637" w14:paraId="1C06B36E" w14:textId="77777777">
      <w:r w:rsidRPr="00CB4637">
        <w:separator/>
      </w:r>
    </w:p>
  </w:footnote>
  <w:footnote w:type="continuationSeparator" w:id="1">
    <w:p w:rsidR="00533CE8" w:rsidRPr="00CB4637" w14:paraId="4EC7028F" w14:textId="77777777">
      <w:r w:rsidRPr="00CB4637">
        <w:continuationSeparator/>
      </w:r>
    </w:p>
  </w:footnote>
  <w:footnote w:id="2">
    <w:p w:rsidR="000711CE" w:rsidRPr="00CC1F3F" w:rsidP="00CB4637" w14:paraId="26A96AD7" w14:textId="3812E947">
      <w:pPr>
        <w:pStyle w:val="FootnoteText"/>
        <w:ind w:left="567" w:hanging="567"/>
        <w:rPr>
          <w:sz w:val="24"/>
          <w:lang w:val="fi-FI"/>
        </w:rPr>
      </w:pPr>
      <w:r>
        <w:rPr>
          <w:rStyle w:val="FootnoteReference"/>
        </w:rPr>
        <w:footnoteRef/>
      </w:r>
      <w:r w:rsidRPr="00CC1F3F">
        <w:rPr>
          <w:sz w:val="24"/>
          <w:lang w:val="fi-FI"/>
        </w:rPr>
        <w:t xml:space="preserve"> </w:t>
      </w:r>
      <w:r w:rsidRPr="00CC1F3F">
        <w:rPr>
          <w:sz w:val="24"/>
          <w:lang w:val="fi-FI"/>
        </w:rPr>
        <w:tab/>
        <w:t xml:space="preserve">EUT L, 2025/535, 21.3.2025, ELI: </w:t>
      </w:r>
      <w:hyperlink r:id="rId1" w:tgtFrame="http://data.europa.eu/eli/reg/2025/535/oj" w:history="1">
        <w:r w:rsidRPr="00CC1F3F">
          <w:rPr>
            <w:rStyle w:val="Hyperlink"/>
            <w:sz w:val="24"/>
            <w:lang w:val="fi-FI"/>
          </w:rPr>
          <w:t>http://data.europa.eu/eli/reg/2025/535/oj</w:t>
        </w:r>
      </w:hyperlink>
      <w:r w:rsidRPr="00CC1F3F">
        <w:rPr>
          <w:sz w:val="24"/>
          <w:lang w:val="fi-FI"/>
        </w:rPr>
        <w:t>.</w:t>
      </w:r>
    </w:p>
  </w:footnote>
  <w:footnote w:id="3">
    <w:p w:rsidR="000711CE" w:rsidRPr="00CB4637" w:rsidP="00CB4637" w14:paraId="226B660E" w14:textId="06251741">
      <w:pPr>
        <w:pStyle w:val="FootnoteText"/>
        <w:ind w:left="567" w:hanging="567"/>
        <w:rPr>
          <w:sz w:val="24"/>
          <w:lang w:val="da-DK"/>
        </w:rPr>
      </w:pPr>
      <w:r>
        <w:rPr>
          <w:rStyle w:val="FootnoteReference"/>
        </w:rPr>
        <w:footnoteRef/>
      </w:r>
      <w:r w:rsidRPr="00CB4637">
        <w:rPr>
          <w:sz w:val="24"/>
          <w:lang w:val="da-DK"/>
        </w:rPr>
        <w:t xml:space="preserve"> </w:t>
      </w:r>
      <w:r w:rsidRPr="00CB4637">
        <w:rPr>
          <w:sz w:val="24"/>
          <w:lang w:val="da-DK"/>
        </w:rPr>
        <w:tab/>
        <w:t>Associeringsaftalen mellem Den Europæiske Union og Det Europæiske Atomenergifællesskab og deres medlemsstater på den ene side og Republikken Moldova på den anden side (EUT L 260 af 30.8.2014, s. 4, ELI: http://data.europa.eu/eli/agree_internation/2014/492/oj).</w:t>
      </w:r>
    </w:p>
  </w:footnote>
  <w:footnote w:id="4">
    <w:p w:rsidR="000711CE" w:rsidRPr="00CB4637" w:rsidP="00CB4637" w14:paraId="202FE243" w14:textId="637A9BFD">
      <w:pPr>
        <w:pStyle w:val="FootnoteText"/>
        <w:ind w:left="567" w:hanging="567"/>
        <w:rPr>
          <w:sz w:val="24"/>
          <w:lang w:val="da-DK"/>
        </w:rPr>
      </w:pPr>
      <w:r>
        <w:rPr>
          <w:rStyle w:val="FootnoteReference"/>
        </w:rPr>
        <w:footnoteRef/>
      </w:r>
      <w:r w:rsidRPr="00CB4637">
        <w:rPr>
          <w:sz w:val="24"/>
          <w:lang w:val="da-DK"/>
        </w:rPr>
        <w:t xml:space="preserve"> </w:t>
      </w:r>
      <w:r w:rsidRPr="00CB4637">
        <w:rPr>
          <w:sz w:val="24"/>
          <w:lang w:val="da-DK"/>
        </w:rPr>
        <w:tab/>
        <w:t xml:space="preserve">Europa-Parlamentets og Rådets direktiv (EU) 2019/882 af 17. april 2019 om tilgængelighedskrav for produkter og tjenester (EUT L 151 af 7.6.2019, s. 70, ELI: </w:t>
      </w:r>
      <w:hyperlink r:id="rId2" w:tgtFrame="http://data.europa.eu/eli/dir/2019/882/oj" w:history="1">
        <w:r w:rsidRPr="00CB4637">
          <w:rPr>
            <w:rStyle w:val="Hyperlink"/>
            <w:sz w:val="24"/>
            <w:lang w:val="da-DK"/>
          </w:rPr>
          <w:t>http://data.europa.eu/eli/dir/2019/882/oj</w:t>
        </w:r>
      </w:hyperlink>
      <w:r w:rsidRPr="00CB463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4637" w14:paraId="38B5F45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4637" w14:paraId="3BC64F8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4637" w14:paraId="7C372F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6947181">
    <w:abstractNumId w:val="9"/>
  </w:num>
  <w:num w:numId="2" w16cid:durableId="1122189212">
    <w:abstractNumId w:val="9"/>
  </w:num>
  <w:num w:numId="3" w16cid:durableId="466364519">
    <w:abstractNumId w:val="7"/>
  </w:num>
  <w:num w:numId="4" w16cid:durableId="1103720470">
    <w:abstractNumId w:val="7"/>
  </w:num>
  <w:num w:numId="5" w16cid:durableId="622381">
    <w:abstractNumId w:val="6"/>
  </w:num>
  <w:num w:numId="6" w16cid:durableId="126515530">
    <w:abstractNumId w:val="6"/>
  </w:num>
  <w:num w:numId="7" w16cid:durableId="556818402">
    <w:abstractNumId w:val="5"/>
  </w:num>
  <w:num w:numId="8" w16cid:durableId="563755030">
    <w:abstractNumId w:val="5"/>
  </w:num>
  <w:num w:numId="9" w16cid:durableId="811099951">
    <w:abstractNumId w:val="4"/>
  </w:num>
  <w:num w:numId="10" w16cid:durableId="2113741592">
    <w:abstractNumId w:val="4"/>
  </w:num>
  <w:num w:numId="11" w16cid:durableId="635180560">
    <w:abstractNumId w:val="8"/>
  </w:num>
  <w:num w:numId="12" w16cid:durableId="1284532562">
    <w:abstractNumId w:val="8"/>
  </w:num>
  <w:num w:numId="13" w16cid:durableId="1086343195">
    <w:abstractNumId w:val="3"/>
  </w:num>
  <w:num w:numId="14" w16cid:durableId="2030830935">
    <w:abstractNumId w:val="3"/>
  </w:num>
  <w:num w:numId="15" w16cid:durableId="1339233728">
    <w:abstractNumId w:val="2"/>
  </w:num>
  <w:num w:numId="16" w16cid:durableId="410782237">
    <w:abstractNumId w:val="2"/>
  </w:num>
  <w:num w:numId="17" w16cid:durableId="1372607460">
    <w:abstractNumId w:val="1"/>
  </w:num>
  <w:num w:numId="18" w16cid:durableId="297538039">
    <w:abstractNumId w:val="1"/>
  </w:num>
  <w:num w:numId="19" w16cid:durableId="175385231">
    <w:abstractNumId w:val="0"/>
  </w:num>
  <w:num w:numId="20" w16cid:durableId="634221101">
    <w:abstractNumId w:val="0"/>
  </w:num>
  <w:num w:numId="21" w16cid:durableId="1771243476">
    <w:abstractNumId w:val="9"/>
  </w:num>
  <w:num w:numId="22" w16cid:durableId="1106385925">
    <w:abstractNumId w:val="7"/>
  </w:num>
  <w:num w:numId="23" w16cid:durableId="830218479">
    <w:abstractNumId w:val="6"/>
  </w:num>
  <w:num w:numId="24" w16cid:durableId="1106582468">
    <w:abstractNumId w:val="5"/>
  </w:num>
  <w:num w:numId="25" w16cid:durableId="665941359">
    <w:abstractNumId w:val="4"/>
  </w:num>
  <w:num w:numId="26" w16cid:durableId="678047275">
    <w:abstractNumId w:val="8"/>
  </w:num>
  <w:num w:numId="27" w16cid:durableId="1067996063">
    <w:abstractNumId w:val="3"/>
  </w:num>
  <w:num w:numId="28" w16cid:durableId="672801399">
    <w:abstractNumId w:val="2"/>
  </w:num>
  <w:num w:numId="29" w16cid:durableId="1774012963">
    <w:abstractNumId w:val="1"/>
  </w:num>
  <w:num w:numId="30" w16cid:durableId="612056108">
    <w:abstractNumId w:val="0"/>
  </w:num>
  <w:num w:numId="31" w16cid:durableId="1143161941">
    <w:abstractNumId w:val="9"/>
  </w:num>
  <w:num w:numId="32" w16cid:durableId="70544903">
    <w:abstractNumId w:val="7"/>
  </w:num>
  <w:num w:numId="33" w16cid:durableId="387580459">
    <w:abstractNumId w:val="6"/>
  </w:num>
  <w:num w:numId="34" w16cid:durableId="627397524">
    <w:abstractNumId w:val="5"/>
  </w:num>
  <w:num w:numId="35" w16cid:durableId="2066368331">
    <w:abstractNumId w:val="4"/>
  </w:num>
  <w:num w:numId="36" w16cid:durableId="716009969">
    <w:abstractNumId w:val="8"/>
  </w:num>
  <w:num w:numId="37" w16cid:durableId="431167764">
    <w:abstractNumId w:val="3"/>
  </w:num>
  <w:num w:numId="38" w16cid:durableId="1504472998">
    <w:abstractNumId w:val="2"/>
  </w:num>
  <w:num w:numId="39" w16cid:durableId="1396708738">
    <w:abstractNumId w:val="1"/>
  </w:num>
  <w:num w:numId="40" w16cid:durableId="1453206924">
    <w:abstractNumId w:val="0"/>
  </w:num>
  <w:num w:numId="41" w16cid:durableId="1679574279">
    <w:abstractNumId w:val="10"/>
  </w:num>
  <w:num w:numId="42" w16cid:durableId="1327173640">
    <w:abstractNumId w:val="10"/>
  </w:num>
  <w:num w:numId="43" w16cid:durableId="1013336790">
    <w:abstractNumId w:val="10"/>
  </w:num>
  <w:num w:numId="44" w16cid:durableId="1054812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E8"/>
    <w:rsid w:val="00002272"/>
    <w:rsid w:val="00064002"/>
    <w:rsid w:val="000677B9"/>
    <w:rsid w:val="000711CE"/>
    <w:rsid w:val="000831BA"/>
    <w:rsid w:val="000A32D1"/>
    <w:rsid w:val="000A42CC"/>
    <w:rsid w:val="000E7DD9"/>
    <w:rsid w:val="0010095E"/>
    <w:rsid w:val="00125B37"/>
    <w:rsid w:val="00186398"/>
    <w:rsid w:val="00187494"/>
    <w:rsid w:val="001F32AE"/>
    <w:rsid w:val="002767FF"/>
    <w:rsid w:val="002B18FE"/>
    <w:rsid w:val="002B5493"/>
    <w:rsid w:val="00343214"/>
    <w:rsid w:val="00361C00"/>
    <w:rsid w:val="00395FA1"/>
    <w:rsid w:val="003E15D4"/>
    <w:rsid w:val="004100B1"/>
    <w:rsid w:val="00411CCE"/>
    <w:rsid w:val="0041666E"/>
    <w:rsid w:val="00421060"/>
    <w:rsid w:val="00471C19"/>
    <w:rsid w:val="004867E3"/>
    <w:rsid w:val="00494A28"/>
    <w:rsid w:val="004C0004"/>
    <w:rsid w:val="004C5D52"/>
    <w:rsid w:val="004F6025"/>
    <w:rsid w:val="0050519A"/>
    <w:rsid w:val="005072A1"/>
    <w:rsid w:val="00514517"/>
    <w:rsid w:val="00533CE8"/>
    <w:rsid w:val="00545827"/>
    <w:rsid w:val="00560270"/>
    <w:rsid w:val="005C2568"/>
    <w:rsid w:val="005D65C9"/>
    <w:rsid w:val="005F1B17"/>
    <w:rsid w:val="005F6C2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DF0"/>
    <w:rsid w:val="00842779"/>
    <w:rsid w:val="00865F67"/>
    <w:rsid w:val="00881A7B"/>
    <w:rsid w:val="008840E5"/>
    <w:rsid w:val="00887B3E"/>
    <w:rsid w:val="008C2AC6"/>
    <w:rsid w:val="008C51CF"/>
    <w:rsid w:val="00930C23"/>
    <w:rsid w:val="0093193B"/>
    <w:rsid w:val="009509D8"/>
    <w:rsid w:val="00950B64"/>
    <w:rsid w:val="00981893"/>
    <w:rsid w:val="00A1687D"/>
    <w:rsid w:val="00A43E52"/>
    <w:rsid w:val="00A4678D"/>
    <w:rsid w:val="00A778C7"/>
    <w:rsid w:val="00A94377"/>
    <w:rsid w:val="00AB441E"/>
    <w:rsid w:val="00AB6293"/>
    <w:rsid w:val="00AE0729"/>
    <w:rsid w:val="00AE0928"/>
    <w:rsid w:val="00AF3B82"/>
    <w:rsid w:val="00B11351"/>
    <w:rsid w:val="00B12E95"/>
    <w:rsid w:val="00B22876"/>
    <w:rsid w:val="00B558F0"/>
    <w:rsid w:val="00BD48FE"/>
    <w:rsid w:val="00BD7BD8"/>
    <w:rsid w:val="00BE6ADC"/>
    <w:rsid w:val="00C05BFE"/>
    <w:rsid w:val="00C23CD4"/>
    <w:rsid w:val="00C61C0C"/>
    <w:rsid w:val="00C941CB"/>
    <w:rsid w:val="00CB4637"/>
    <w:rsid w:val="00CC1F3F"/>
    <w:rsid w:val="00CC2357"/>
    <w:rsid w:val="00CF071A"/>
    <w:rsid w:val="00D058B8"/>
    <w:rsid w:val="00D56C11"/>
    <w:rsid w:val="00D834A0"/>
    <w:rsid w:val="00D872DF"/>
    <w:rsid w:val="00D91E21"/>
    <w:rsid w:val="00DA7FCD"/>
    <w:rsid w:val="00E365E1"/>
    <w:rsid w:val="00E820A4"/>
    <w:rsid w:val="00EA0B5B"/>
    <w:rsid w:val="00EB006A"/>
    <w:rsid w:val="00EB4772"/>
    <w:rsid w:val="00ED169E"/>
    <w:rsid w:val="00ED4235"/>
    <w:rsid w:val="00F04346"/>
    <w:rsid w:val="00F075DC"/>
    <w:rsid w:val="00F149E9"/>
    <w:rsid w:val="00F5134D"/>
    <w:rsid w:val="00F74202"/>
    <w:rsid w:val="00F87713"/>
    <w:rsid w:val="00FB4360"/>
    <w:rsid w:val="00FD0C70"/>
  </w:rsids>
  <w:docVars>
    <w:docVar w:name="dvdocse" w:val="A10-0164/2026"/>
    <w:docVar w:name="dvlangue" w:val="DA"/>
    <w:docVar w:name="dvnumam" w:val="0"/>
    <w:docVar w:name="dvpe" w:val="782.290"/>
    <w:docVar w:name="dvrapporteur" w:val="Ordfører: "/>
    <w:docVar w:name="dvtitre" w:val="Europa-Parlamentets beslutning af xx. juli 2026 om Kommissionens 2025-rapport om Moldova(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4B45BA"/>
  <w15:chartTrackingRefBased/>
  <w15:docId w15:val="{F5335B9E-067E-4766-BE8A-9C02956A8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E0729"/>
    <w:pPr>
      <w:widowControl/>
      <w:spacing w:after="240"/>
    </w:pPr>
    <w:rPr>
      <w:szCs w:val="24"/>
      <w:lang w:eastAsia="en-US"/>
    </w:rPr>
  </w:style>
  <w:style w:type="paragraph" w:customStyle="1" w:styleId="NormalHanging12a">
    <w:name w:val="NormalHanging12a"/>
    <w:basedOn w:val="Normal"/>
    <w:rsid w:val="00AE0729"/>
    <w:pPr>
      <w:widowControl/>
      <w:spacing w:after="240"/>
      <w:ind w:left="566" w:hanging="566"/>
    </w:pPr>
    <w:rPr>
      <w:szCs w:val="24"/>
      <w:lang w:eastAsia="en-US"/>
    </w:rPr>
  </w:style>
  <w:style w:type="paragraph" w:customStyle="1" w:styleId="Normal12">
    <w:name w:val="Normal12"/>
    <w:basedOn w:val="Normal"/>
    <w:rsid w:val="00AE0729"/>
    <w:pPr>
      <w:spacing w:after="240"/>
    </w:pPr>
    <w:rPr>
      <w:szCs w:val="24"/>
      <w:lang w:eastAsia="en-US"/>
    </w:rPr>
  </w:style>
  <w:style w:type="paragraph" w:customStyle="1" w:styleId="NormalHanging">
    <w:name w:val="NormalHanging"/>
    <w:basedOn w:val="Normal"/>
    <w:rsid w:val="00AE0729"/>
    <w:pPr>
      <w:spacing w:after="240"/>
      <w:ind w:left="566" w:hanging="566"/>
    </w:pPr>
    <w:rPr>
      <w:szCs w:val="24"/>
      <w:lang w:eastAsia="en-US"/>
    </w:rPr>
  </w:style>
  <w:style w:type="paragraph" w:customStyle="1" w:styleId="NormalCenter12a">
    <w:name w:val="NormalCenter12a"/>
    <w:basedOn w:val="Normal"/>
    <w:rsid w:val="00AE0729"/>
    <w:pPr>
      <w:widowControl/>
      <w:spacing w:after="240"/>
      <w:jc w:val="center"/>
    </w:pPr>
    <w:rPr>
      <w:szCs w:val="24"/>
      <w:lang w:eastAsia="en-US"/>
    </w:rPr>
  </w:style>
  <w:style w:type="character" w:styleId="Hyperlink">
    <w:name w:val="Hyperlink"/>
    <w:basedOn w:val="DefaultParagraphFont"/>
    <w:rsid w:val="00AE0729"/>
    <w:rPr>
      <w:color w:val="0000FF"/>
      <w:u w:val="single"/>
    </w:rPr>
  </w:style>
  <w:style w:type="paragraph" w:styleId="Revision">
    <w:name w:val="Revision"/>
    <w:hidden/>
    <w:uiPriority w:val="99"/>
    <w:semiHidden/>
    <w:rsid w:val="000A32D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6437</Words>
  <Characters>36691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2026-08-03T15:40:00Z</dcterms:created>
  <dcterms:modified xsi:type="dcterms:W3CDTF">2026-08-03T15:40:00Z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P10_TA-PROV(2026)0260_A10-0164_2026_</vt:lpwstr>
  </property>
  <property fmtid="{D5CDD505-2E9C-101B-9397-08002B2CF9AE}" pid="4" name="&lt;Type&gt;">
    <vt:lpwstr>RR</vt:lpwstr>
  </property>
</Properties>
</file>