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43BD51" w14:textId="77777777" w:rsidTr="0010095E">
        <w:tblPrEx>
          <w:tblW w:w="9072" w:type="dxa"/>
          <w:tblLook w:val="01E0"/>
        </w:tblPrEx>
        <w:trPr>
          <w:trHeight w:hRule="exact" w:val="1418"/>
        </w:trPr>
        <w:tc>
          <w:tcPr>
            <w:tcW w:w="6804" w:type="dxa"/>
            <w:shd w:val="clear" w:color="auto" w:fill="auto"/>
            <w:vAlign w:val="center"/>
          </w:tcPr>
          <w:p w:rsidR="00751A4A" w:rsidRPr="001A1054" w:rsidP="0010095E" w14:paraId="7A28CDB2" w14:textId="77777777">
            <w:pPr>
              <w:pStyle w:val="EPName"/>
            </w:pPr>
            <w:r w:rsidRPr="001A1054">
              <w:t>Ευρωπαϊκό Κοινοβούλιο</w:t>
            </w:r>
          </w:p>
          <w:p w:rsidR="00751A4A" w:rsidRPr="001A1054" w:rsidP="005F1B17" w14:paraId="0A682259" w14:textId="77777777">
            <w:pPr>
              <w:pStyle w:val="EPTerm"/>
              <w:rPr>
                <w:rStyle w:val="HideTWBExt"/>
                <w:noProof w:val="0"/>
                <w:vanish w:val="0"/>
                <w:color w:val="auto"/>
              </w:rPr>
            </w:pPr>
            <w:r w:rsidRPr="001A1054">
              <w:t>2024</w:t>
            </w:r>
            <w:r w:rsidRPr="001A1054" w:rsidR="00817416">
              <w:t>-202</w:t>
            </w:r>
            <w:r w:rsidRPr="001A1054">
              <w:t>9</w:t>
            </w:r>
          </w:p>
        </w:tc>
        <w:tc>
          <w:tcPr>
            <w:tcW w:w="2268" w:type="dxa"/>
            <w:shd w:val="clear" w:color="auto" w:fill="auto"/>
          </w:tcPr>
          <w:p w:rsidR="00751A4A" w:rsidRPr="001A1054" w:rsidP="0010095E" w14:paraId="57FA6D66" w14:textId="77777777">
            <w:pPr>
              <w:pStyle w:val="EPLogo"/>
            </w:pPr>
            <w:r w:rsidRPr="001A105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1054" w:rsidP="004C5D52" w14:paraId="6AC2AF67" w14:textId="77777777">
      <w:pPr>
        <w:pStyle w:val="LineTop"/>
      </w:pPr>
    </w:p>
    <w:p w:rsidR="00680577" w:rsidRPr="001A1054" w:rsidP="00680577" w14:paraId="49D00099" w14:textId="77777777">
      <w:pPr>
        <w:pStyle w:val="EPBodyTA1"/>
      </w:pPr>
      <w:r w:rsidRPr="001A1054">
        <w:t>ΚΕΙΜΕΝΑ ΠΟΥ ΕΓΚΡΙΘΗΚΑΝ</w:t>
      </w:r>
    </w:p>
    <w:p w:rsidR="00D058B8" w:rsidRPr="001A1054" w:rsidP="00D058B8" w14:paraId="4BB3C2ED" w14:textId="77777777">
      <w:pPr>
        <w:pStyle w:val="LineBottom"/>
      </w:pPr>
    </w:p>
    <w:p w:rsidR="00F1243D" w:rsidRPr="001A1054" w:rsidP="00F1243D" w14:paraId="4A49D3AA" w14:textId="0B6FC22C">
      <w:pPr>
        <w:pStyle w:val="ATHeading1"/>
      </w:pPr>
      <w:bookmarkStart w:id="0" w:name="TANumber"/>
      <w:r w:rsidRPr="001A1054">
        <w:t>P10_TA(2026)0</w:t>
      </w:r>
      <w:r w:rsidR="00526654">
        <w:t>260</w:t>
      </w:r>
      <w:bookmarkEnd w:id="0"/>
    </w:p>
    <w:p w:rsidR="00F1243D" w:rsidRPr="001A1054" w:rsidP="00F1243D" w14:paraId="0D4A0B3C" w14:textId="77777777">
      <w:pPr>
        <w:pStyle w:val="ATHeading2"/>
      </w:pPr>
      <w:bookmarkStart w:id="1" w:name="title"/>
      <w:r w:rsidRPr="001A1054">
        <w:t>Έκθεση της Επιτροπής του 2025 για τη Μολδαβία</w:t>
      </w:r>
      <w:bookmarkEnd w:id="1"/>
    </w:p>
    <w:p w:rsidR="00F1243D" w:rsidRPr="001A1054" w:rsidP="00F1243D" w14:paraId="6C9DB48B" w14:textId="77777777">
      <w:pPr>
        <w:rPr>
          <w:i/>
          <w:vanish/>
        </w:rPr>
      </w:pPr>
      <w:r>
        <w:rPr>
          <w:i/>
        </w:rPr>
        <w:fldChar w:fldCharType="begin"/>
      </w:r>
      <w:r w:rsidRPr="001A1054">
        <w:rPr>
          <w:i/>
        </w:rPr>
        <w:instrText xml:space="preserve"> TC"(</w:instrText>
      </w:r>
      <w:bookmarkStart w:id="2" w:name="DocNumber"/>
      <w:r w:rsidRPr="001A1054">
        <w:rPr>
          <w:i/>
        </w:rPr>
        <w:instrText>A10-0164/2026</w:instrText>
      </w:r>
      <w:bookmarkEnd w:id="2"/>
      <w:r w:rsidRPr="001A1054">
        <w:rPr>
          <w:i/>
        </w:rPr>
        <w:instrText xml:space="preserve"> - Εισηγητής: Sven Mikser)"\l3 \n&gt; \* MERGEFORMAT </w:instrText>
      </w:r>
      <w:r>
        <w:rPr>
          <w:i/>
        </w:rPr>
        <w:fldChar w:fldCharType="end"/>
      </w:r>
    </w:p>
    <w:p w:rsidR="00F1243D" w:rsidRPr="001A1054" w:rsidP="00F1243D" w14:paraId="792417BA" w14:textId="77777777">
      <w:pPr>
        <w:rPr>
          <w:vanish/>
        </w:rPr>
      </w:pPr>
      <w:bookmarkStart w:id="3" w:name="Commission"/>
      <w:r w:rsidRPr="001A1054">
        <w:rPr>
          <w:vanish/>
        </w:rPr>
        <w:t>Επιτροπή Εξωτερικών Υποθέσεων</w:t>
      </w:r>
      <w:bookmarkEnd w:id="3"/>
    </w:p>
    <w:p w:rsidR="00F1243D" w:rsidRPr="001A1054" w:rsidP="00F1243D" w14:paraId="78AF35AD" w14:textId="77777777">
      <w:pPr>
        <w:rPr>
          <w:vanish/>
        </w:rPr>
      </w:pPr>
      <w:bookmarkStart w:id="4" w:name="PE"/>
      <w:r w:rsidRPr="001A1054">
        <w:rPr>
          <w:vanish/>
        </w:rPr>
        <w:t>PE782.290</w:t>
      </w:r>
      <w:bookmarkEnd w:id="4"/>
    </w:p>
    <w:p w:rsidR="00F1243D" w:rsidRPr="001A1054" w:rsidP="00F1243D" w14:paraId="74AB1878" w14:textId="7A90BCA0">
      <w:pPr>
        <w:pStyle w:val="ATHeading3"/>
      </w:pPr>
      <w:bookmarkStart w:id="5" w:name="Sujet"/>
      <w:r w:rsidRPr="001A1054">
        <w:t xml:space="preserve">Ψήφισμα του Ευρωπαϊκού Κοινοβουλίου της </w:t>
      </w:r>
      <w:r w:rsidR="006B797D">
        <w:t>8ης Ιουλίου</w:t>
      </w:r>
      <w:r w:rsidRPr="001A1054" w:rsidR="006B797D">
        <w:t xml:space="preserve"> </w:t>
      </w:r>
      <w:r w:rsidRPr="001A1054">
        <w:t>2026 σχετικά με την έκθεση της Επιτροπής του 2025 για τη Μολδαβία</w:t>
      </w:r>
      <w:bookmarkEnd w:id="5"/>
      <w:r w:rsidRPr="001A1054">
        <w:t xml:space="preserve"> </w:t>
      </w:r>
      <w:bookmarkStart w:id="6" w:name="References"/>
      <w:r w:rsidRPr="001A1054">
        <w:t>(2025/2258(INI))</w:t>
      </w:r>
      <w:bookmarkEnd w:id="6"/>
    </w:p>
    <w:p w:rsidR="004C1C68" w:rsidP="002C68F7" w14:paraId="597A03F0" w14:textId="77777777">
      <w:pPr>
        <w:pStyle w:val="Normal12"/>
        <w:rPr>
          <w:i/>
        </w:rPr>
      </w:pPr>
    </w:p>
    <w:p w:rsidR="002C68F7" w:rsidRPr="001A1054" w:rsidP="002C68F7" w14:paraId="448F4439" w14:textId="2BAAFB5E">
      <w:pPr>
        <w:pStyle w:val="Normal12"/>
      </w:pPr>
      <w:r w:rsidRPr="001A1054">
        <w:rPr>
          <w:i/>
        </w:rPr>
        <w:t>Το Ευρωπαϊκό Κοινοβούλιο</w:t>
      </w:r>
      <w:r w:rsidRPr="001A1054">
        <w:t>,</w:t>
      </w:r>
    </w:p>
    <w:p w:rsidR="002C68F7" w:rsidRPr="001A1054" w:rsidP="002C68F7" w14:paraId="47392522" w14:textId="67F50178">
      <w:pPr>
        <w:pStyle w:val="NormalHanging"/>
      </w:pPr>
      <w:r w:rsidRPr="001A1054">
        <w:t>–</w:t>
      </w:r>
      <w:r w:rsidRPr="001A1054">
        <w:tab/>
        <w:t>έχοντας υπόψη την ανακοίνωση της Επιτροπής, της 4ης Νοεμβρίου 2025, με τίτλο «Ανακοίνωση του 2025 σχετικά με την πολιτική διεύρυνσης της ΕΕ» (</w:t>
      </w:r>
      <w:r w:rsidRPr="000D731A" w:rsidR="006B797D">
        <w:t>COM(2025)0690</w:t>
      </w:r>
      <w:r w:rsidRPr="001A1054">
        <w:t>), η οποία συνοδεύεται από έγγραφο εργασίας των υπηρεσιών της Επιτροπής, της 4ης Νοεμβρίου 2025, με τίτλο «</w:t>
      </w:r>
      <w:r w:rsidRPr="001A1054">
        <w:t>Republic</w:t>
      </w:r>
      <w:r w:rsidRPr="001A1054">
        <w:t xml:space="preserve"> of </w:t>
      </w:r>
      <w:r w:rsidRPr="001A1054">
        <w:t>Moldova</w:t>
      </w:r>
      <w:r w:rsidRPr="001A1054">
        <w:t xml:space="preserve"> 2025 </w:t>
      </w:r>
      <w:r w:rsidRPr="001A1054">
        <w:t>Report</w:t>
      </w:r>
      <w:r w:rsidRPr="001A1054">
        <w:t>» (Έκθεση του 2025 για τη Δημοκρατία της Μολδαβίας) (SWD(2025)0758),</w:t>
      </w:r>
    </w:p>
    <w:p w:rsidR="002C68F7" w:rsidRPr="001A1054" w:rsidP="002C68F7" w14:paraId="76526ECD" w14:textId="3DD74F59">
      <w:pPr>
        <w:pStyle w:val="NormalHanging"/>
      </w:pPr>
      <w:r w:rsidRPr="001A1054">
        <w:t>–</w:t>
      </w:r>
      <w:r w:rsidRPr="001A1054">
        <w:tab/>
        <w:t>έχοντας υπόψη τον κανονισμό (ΕΕ) 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r>
        <w:rPr>
          <w:rStyle w:val="FootnoteReference"/>
        </w:rPr>
        <w:footnoteReference w:id="2"/>
      </w:r>
      <w:r w:rsidRPr="001A1054">
        <w:t>,</w:t>
      </w:r>
    </w:p>
    <w:p w:rsidR="002C68F7" w:rsidRPr="001A1054" w:rsidP="002C68F7" w14:paraId="5371AC6D" w14:textId="05C70DF0">
      <w:pPr>
        <w:pStyle w:val="NormalHanging"/>
      </w:pPr>
      <w:r w:rsidRPr="001A1054">
        <w:t>–</w:t>
      </w:r>
      <w:r w:rsidRPr="001A1054">
        <w:tab/>
        <w:t>έχοντας υπόψη το θεματολόγιο μεταρρυθμίσεων στο πλαίσιο του σχεδίου ανάπτυξης για τη Δημοκρατία της Μολδαβίας (</w:t>
      </w:r>
      <w:r w:rsidR="000E15FB">
        <w:t>«</w:t>
      </w:r>
      <w:r w:rsidRPr="001A1054">
        <w:t>Μολδαβία</w:t>
      </w:r>
      <w:r w:rsidR="000E15FB">
        <w:t>»</w:t>
      </w:r>
      <w:r w:rsidRPr="001A1054">
        <w:t>) για τα έτη 2025 έως 2027,</w:t>
      </w:r>
    </w:p>
    <w:p w:rsidR="002C68F7" w:rsidRPr="001A1054" w:rsidP="002C68F7" w14:paraId="4AF0B879" w14:textId="77777777">
      <w:pPr>
        <w:pStyle w:val="NormalHanging"/>
      </w:pPr>
      <w:r w:rsidRPr="001A1054">
        <w:t>–</w:t>
      </w:r>
      <w:r w:rsidRPr="001A1054">
        <w:tab/>
        <w:t>έχοντας υπόψη τα προηγούμενα ψηφίσματά του σχετικά με τη Μολδαβία,</w:t>
      </w:r>
    </w:p>
    <w:p w:rsidR="002C68F7" w:rsidRPr="001A1054" w:rsidP="002C68F7" w14:paraId="0FE1E2DC" w14:textId="77777777">
      <w:pPr>
        <w:pStyle w:val="NormalHanging"/>
      </w:pPr>
      <w:r w:rsidRPr="001A1054">
        <w:t>–</w:t>
      </w:r>
      <w:r w:rsidRPr="001A1054">
        <w:tab/>
        <w:t>έχοντας υπόψη τα συμπεράσματα του Ευρωπαϊκού Συμβουλίου, της 26ης Ιουνίου 2025, σχετικά με τη Μολδαβία,</w:t>
      </w:r>
    </w:p>
    <w:p w:rsidR="002C68F7" w:rsidRPr="001A1054" w:rsidP="002C68F7" w14:paraId="67C8D0C9" w14:textId="77777777">
      <w:pPr>
        <w:pStyle w:val="NormalHanging"/>
      </w:pPr>
      <w:r w:rsidRPr="001A1054">
        <w:t>–</w:t>
      </w:r>
      <w:r w:rsidRPr="001A1054">
        <w:tab/>
        <w:t>έχοντας υπόψη τα συμπεράσματα της Προεδρίας, της 16ης Δεκεμβρίου 2025, σχετικά με τη διεύρυνση,</w:t>
      </w:r>
    </w:p>
    <w:p w:rsidR="002C68F7" w:rsidRPr="001A1054" w:rsidP="002C68F7" w14:paraId="1DFE9812" w14:textId="5B999498">
      <w:pPr>
        <w:pStyle w:val="NormalHanging"/>
      </w:pPr>
      <w:r w:rsidRPr="001A1054">
        <w:t>–</w:t>
      </w:r>
      <w:r w:rsidRPr="001A1054">
        <w:tab/>
        <w:t xml:space="preserve">έχοντας υπόψη την κοινή δήλωση μετά την </w:t>
      </w:r>
      <w:r w:rsidR="00C52965">
        <w:t>δεύτερη</w:t>
      </w:r>
      <w:r w:rsidRPr="001A1054" w:rsidR="00C52965">
        <w:t xml:space="preserve"> </w:t>
      </w:r>
      <w:r w:rsidRPr="001A1054">
        <w:t xml:space="preserve">σύνοδο κορυφής ΕΕ – Δημοκρατίας της Μολδαβίας, της </w:t>
      </w:r>
      <w:r w:rsidR="00C52965">
        <w:t>22ας</w:t>
      </w:r>
      <w:r w:rsidRPr="001A1054" w:rsidR="00C52965">
        <w:t> </w:t>
      </w:r>
      <w:r w:rsidRPr="001A1054">
        <w:t>Ιου</w:t>
      </w:r>
      <w:r w:rsidR="00C52965">
        <w:t>ν</w:t>
      </w:r>
      <w:r w:rsidRPr="001A1054">
        <w:t>ίου 202</w:t>
      </w:r>
      <w:r w:rsidR="00C52965">
        <w:t>6</w:t>
      </w:r>
      <w:r w:rsidRPr="001A1054">
        <w:t>,</w:t>
      </w:r>
    </w:p>
    <w:p w:rsidR="002C68F7" w:rsidRPr="001A1054" w:rsidP="002C68F7" w14:paraId="4B1CB757" w14:textId="77777777">
      <w:pPr>
        <w:pStyle w:val="NormalHanging"/>
      </w:pPr>
      <w:r w:rsidRPr="001A1054">
        <w:t>–</w:t>
      </w:r>
      <w:r w:rsidRPr="001A1054">
        <w:tab/>
        <w:t>έχοντας υπόψη τα αποτελέσματα της ένατης συνεδρίασης του Συμβουλίου Σύνδεσης ΕΕ-Δημοκρατίας της Μολδαβίας, που πραγματοποιήθηκε στις 4 Ιουνίου 2025,</w:t>
      </w:r>
    </w:p>
    <w:p w:rsidR="002C68F7" w:rsidRPr="001A1054" w:rsidP="002C68F7" w14:paraId="27B2656A" w14:textId="77777777">
      <w:pPr>
        <w:pStyle w:val="NormalHanging"/>
      </w:pPr>
      <w:r w:rsidRPr="001A1054">
        <w:t>–</w:t>
      </w:r>
      <w:r w:rsidRPr="001A1054">
        <w:tab/>
        <w:t>έχοντας υπόψη το ανανεωμένο μνημόνιο συνεννόησης μεταξύ του Ευρωπαϊκού Κοινοβουλίου και του Κοινοβουλίου της Δημοκρατίας της Μολδαβίας, που υπεγράφη στις 18 Μαρτίου 2026,</w:t>
      </w:r>
    </w:p>
    <w:p w:rsidR="002C68F7" w:rsidRPr="001A1054" w:rsidP="002C68F7" w14:paraId="01E96110" w14:textId="77777777">
      <w:pPr>
        <w:pStyle w:val="NormalHanging"/>
      </w:pPr>
      <w:r w:rsidRPr="001A1054">
        <w:t>–</w:t>
      </w:r>
      <w:r w:rsidRPr="001A1054">
        <w:tab/>
        <w:t>έχοντας υπόψη το άρθρο 55 του Κανονισμού του,</w:t>
      </w:r>
    </w:p>
    <w:p w:rsidR="002C68F7" w:rsidRPr="001A1054" w:rsidP="002C68F7" w14:paraId="713D5636" w14:textId="77777777">
      <w:pPr>
        <w:pStyle w:val="NormalHanging"/>
      </w:pPr>
      <w:r w:rsidRPr="001A1054">
        <w:t>–</w:t>
      </w:r>
      <w:r w:rsidRPr="001A1054">
        <w:tab/>
        <w:t>έχοντας υπόψη την έκθεση της Επιτροπής Εξωτερικών Υποθέσεων (A10-0164/2026),</w:t>
      </w:r>
    </w:p>
    <w:p w:rsidR="002C68F7" w:rsidRPr="001A1054" w:rsidP="002C68F7" w14:paraId="592146AF" w14:textId="4814CF69">
      <w:pPr>
        <w:pStyle w:val="NormalHanging"/>
      </w:pPr>
      <w:r w:rsidRPr="001A1054">
        <w:t>Α.</w:t>
      </w:r>
      <w:r w:rsidRPr="001A1054">
        <w:tab/>
        <w:t>λαμβάνοντας υπόψη ότι στις 22 Σεπτεμβρίου 2025, η Μολδαβία ολοκλήρωσε τη διμερή διαδικασία αναλυτικής εξέτασης που ξεκίνησε στις 10 Ιουλίου 2024· λαμβάνοντας υπόψη ότι η Μολδαβία είναι έτοιμη να αρχίσει επίσημα διαπραγματεύσεις και για τις έξι ομάδες για τις διαπραγματεύσεις προσχώρησης στην ΕΕ·</w:t>
      </w:r>
      <w:r w:rsidR="00C52965">
        <w:t xml:space="preserve"> </w:t>
      </w:r>
      <w:r w:rsidRPr="00C52965" w:rsidR="00C52965">
        <w:t>λαμβάνοντας υπόψη ότι οι διαπραγματεύσεις για την ομάδα κεφαλαίων 1 (</w:t>
      </w:r>
      <w:r w:rsidR="00C52965">
        <w:t>Θ</w:t>
      </w:r>
      <w:r w:rsidRPr="00C52965" w:rsidR="00C52965">
        <w:t>εμελιώδεις αρχές) άρχισαν επισήμως στις 15 Ιουνίου 2026·</w:t>
      </w:r>
    </w:p>
    <w:p w:rsidR="002C68F7" w:rsidRPr="001A1054" w:rsidP="002C68F7" w14:paraId="6CA19C16" w14:textId="77777777">
      <w:pPr>
        <w:pStyle w:val="NormalHanging"/>
      </w:pPr>
      <w:r w:rsidRPr="001A1054">
        <w:t>Β.</w:t>
      </w:r>
      <w:r w:rsidRPr="001A1054">
        <w:tab/>
        <w:t>λαμβάνοντας υπόψη ότι η Κυβέρνηση της Μολδαβίας εξήγγειλε τον φιλόδοξο πλην όμως εφικτό στόχο της να ολοκληρώσει προσωρινά τις διαπραγματεύσεις προσχώρησης έως τις αρχές του 2028 και να προσχωρήσει στην Ευρωπαϊκή Ένωση έως το 2030·</w:t>
      </w:r>
    </w:p>
    <w:p w:rsidR="002C68F7" w:rsidRPr="001A1054" w:rsidP="002C68F7" w14:paraId="0EEDE325" w14:textId="2DE65F84">
      <w:pPr>
        <w:pStyle w:val="NormalHanging"/>
      </w:pPr>
      <w:r w:rsidRPr="001A1054">
        <w:t>Γ.</w:t>
      </w:r>
      <w:r w:rsidRPr="001A1054">
        <w:tab/>
        <w:t>λαμβάνοντας υπόψη ότι η Μολδαβία διεξήγαγε βουλευτικές εκλογές στις 28</w:t>
      </w:r>
      <w:r w:rsidR="004C1C68">
        <w:t> </w:t>
      </w:r>
      <w:r w:rsidRPr="001A1054">
        <w:t>Σεπτεμβρίου 2025, οι οποίες οδήγησαν σε φιλοευρωπαϊκή πλειοψηφία και επαναβεβαίωσαν τις προσδοκίες του λαού της Μολδαβίας για ένα ευρωπαϊκό μέλλον για τη χώρα, παρά τις πρωτοφανείς εξωτερικές παρεμβάσεις της Ρωσίας και των εντολοδόχων της, οι οποίοι, σύμφωνα με Μολδαβούς αξιωματούχους, δαπάνησαν για τις εν λόγω παρεμβάσεις ποσό ισοδύναμο του 2 % του ακαθάριστου εγχώριου προϊόντος της Μολδαβίας, 350 εκατομμυρίων EUR·</w:t>
      </w:r>
    </w:p>
    <w:p w:rsidR="002C68F7" w:rsidRPr="001A1054" w:rsidP="002C68F7" w14:paraId="572FAC53" w14:textId="77777777">
      <w:pPr>
        <w:pStyle w:val="NormalHanging"/>
      </w:pPr>
      <w:r w:rsidRPr="001A1054">
        <w:t>Δ.</w:t>
      </w:r>
      <w:r w:rsidRPr="001A1054">
        <w:tab/>
        <w:t>λαμβάνοντας υπόψη ότι η Μολδαβία διεξάγει τεχνικές διαπραγματεύσεις με την Επιτροπή σχετικά και με τις έξι ομάδες για τις διαπραγματεύσεις προσχώρησης στην ΕΕ·</w:t>
      </w:r>
    </w:p>
    <w:p w:rsidR="002C68F7" w:rsidRPr="001A1054" w:rsidP="002C68F7" w14:paraId="5AF2DA98" w14:textId="77777777">
      <w:pPr>
        <w:pStyle w:val="NormalHanging"/>
      </w:pPr>
      <w:r w:rsidRPr="001A1054">
        <w:t>Ε.</w:t>
      </w:r>
      <w:r w:rsidRPr="001A1054">
        <w:tab/>
        <w:t>λαμβάνοντας υπόψη ότι η συμφωνία σύνδεσης, η οποία περιλαμβάνει μια σφαιρική και σε βάθος ζώνη ελεύθερων συναλλαγών (DCFTA), παραμένει η βάση για την πολιτική σύνδεση και την οικονομική ολοκλήρωση μεταξύ της ΕΕ και της Μολδαβίας, και ότι συνεχίζεται σε τακτική βάση πολιτικός και οικονομικός διάλογος μεταξύ των δύο πλευρών·</w:t>
      </w:r>
    </w:p>
    <w:p w:rsidR="002C68F7" w:rsidRPr="001A1054" w:rsidP="002C68F7" w14:paraId="31B8EF62" w14:textId="77777777">
      <w:pPr>
        <w:pStyle w:val="NormalHanging"/>
      </w:pPr>
      <w:r w:rsidRPr="001A1054">
        <w:t>ΣΤ.</w:t>
      </w:r>
      <w:r w:rsidRPr="001A1054">
        <w:tab/>
        <w:t xml:space="preserve">λαμβάνοντας υπόψη ότι στις 19 Ιανουαρίου 2026, η Κυβέρνηση της Μολδαβίας ανακοίνωσε την πρόθεσή της να αποχωρήσει επίσημα από την Κοινοπολιτεία Ανεξάρτητων Κρατών, στις 2 Απριλίου 2026, το Κοινοβούλιο της Μολδαβίας ενέκρινε επίσημα νομοθεσία σε τελική ανάγνωση με σκοπό την καταγγελία των ιδρυτικών εγγράφων του εν λόγω οργανισμού και στις 6 Απριλίου 2026, η Πρόεδρος, </w:t>
      </w:r>
      <w:r w:rsidRPr="001A1054">
        <w:t>Maia</w:t>
      </w:r>
      <w:r w:rsidRPr="001A1054">
        <w:t xml:space="preserve"> </w:t>
      </w:r>
      <w:r w:rsidRPr="001A1054">
        <w:t>Sandu</w:t>
      </w:r>
      <w:r w:rsidRPr="001A1054">
        <w:t>, υπέγραψε διάταγμα για την έκδοση του νόμου·</w:t>
      </w:r>
    </w:p>
    <w:p w:rsidR="002C68F7" w:rsidRPr="001A1054" w:rsidP="002C68F7" w14:paraId="1EC4473D" w14:textId="77777777">
      <w:pPr>
        <w:pStyle w:val="Normal12a"/>
      </w:pPr>
      <w:r w:rsidRPr="001A1054">
        <w:rPr>
          <w:b/>
          <w:i/>
        </w:rPr>
        <w:t>Πρόοδος σε σχέση με τις μεταρρυθμίσεις που συνδέονται με την προσχώρηση στην ΕΕ, ιδίως όσον αφορά το κράτος δικαίου και τη διακυβέρνηση</w:t>
      </w:r>
    </w:p>
    <w:p w:rsidR="002C68F7" w:rsidRPr="001A1054" w:rsidP="000D731A" w14:paraId="6AEDB152" w14:textId="0C3B9BCA">
      <w:pPr>
        <w:pStyle w:val="NormalHanging12a"/>
        <w:ind w:left="567" w:hanging="570"/>
      </w:pPr>
      <w:r w:rsidRPr="001A1054">
        <w:t>1.</w:t>
      </w:r>
      <w:r w:rsidRPr="001A1054">
        <w:tab/>
      </w:r>
      <w:r w:rsidRPr="001A1054">
        <w:t xml:space="preserve">επαινεί τη Μολδαβία για τη συνεχιζόμενη υποδειγματική προσήλωσή της στην προσχώρηση στην ΕΕ και τη σταθερή πρόοδό της όσον αφορά τις σχετικές μεταρρυθμίσεις παρά τις σημαντικές εσωτερικές και εξωτερικές προκλήσεις, όπως οι επίμονες εχθρικές παρεμβάσεις της Ρωσίας· εκφράζει την ικανοποίησή του για την εκτίμηση της Επιτροπής ότι η Μολδαβία σημείωσε πρόοδο σε όλα τα κεφάλαια και πέτυχε τη μεγαλύτερη ετήσια πρόοδο μεταξύ των υποψήφιων χωρών· θεωρεί ότι η πρόοδος αυτή είναι ιδιαίτερα αξιοσημείωτη δεδομένης της σημαντικής γεωπολιτικής </w:t>
      </w:r>
      <w:r w:rsidRPr="001A1054">
        <w:t>πίεσης υπό την οποία εξακολουθεί να λειτουργεί η χώρα· ενθαρρύνει τη Μολδαβία να διατηρήσει τον ίδιο ρυθμό όσον αφορά τις μεταρρυθμίσεις, ώστε η πρόοδος να μετουσιωθεί σε απτά οφέλη για τους πολίτες και τις επιχειρήσεις, ώστε να ενισχυθεί η οικονομική ανάπτυξη, η ανθεκτικότητα και η σύγκλιση με την Ευρωπαϊκή Ένωση, σύμφωνα με τη δεδηλωμένη φιλοδοξία της να ολοκληρώσει προσωρινά τις διαπραγματεύσεις προσχώρησης έως τις αρχές του 2028·</w:t>
      </w:r>
    </w:p>
    <w:p w:rsidR="002C68F7" w:rsidRPr="001A1054" w:rsidP="000D731A" w14:paraId="3BB87F8A" w14:textId="3713C364">
      <w:pPr>
        <w:pStyle w:val="NormalHanging12a"/>
        <w:ind w:left="567" w:hanging="570"/>
      </w:pPr>
      <w:r w:rsidRPr="001A1054">
        <w:t>2.</w:t>
      </w:r>
      <w:r w:rsidRPr="001A1054">
        <w:tab/>
      </w:r>
      <w:r w:rsidRPr="001A1054">
        <w:t xml:space="preserve">εκφράζει την ικανοποίησή του για την </w:t>
      </w:r>
      <w:r w:rsidRPr="00C52965" w:rsidR="00C52965">
        <w:t>έναρξη των διαπραγματεύσεων προσχώρησης για την ομάδα κεφαλαίων 1 (Θεμελιώδεις αρχές) στις 15 Ιουνίου 2026, μετά την</w:t>
      </w:r>
      <w:r w:rsidR="00C52965">
        <w:t xml:space="preserve"> </w:t>
      </w:r>
      <w:r w:rsidRPr="001A1054">
        <w:t xml:space="preserve">επιτυχή ολοκλήρωση της διμερούς διαδικασίας αναλυτικής εξέτασης </w:t>
      </w:r>
      <w:r w:rsidR="00C52965">
        <w:t xml:space="preserve">τον Σεπτέμβριο του 2025 </w:t>
      </w:r>
      <w:r w:rsidRPr="001A1054">
        <w:t>και την</w:t>
      </w:r>
      <w:r w:rsidR="00C52965">
        <w:t xml:space="preserve"> επακόλουθη</w:t>
      </w:r>
      <w:r w:rsidRPr="001A1054">
        <w:t xml:space="preserve"> έναρξη τεχνικών συνομιλιών σχετικά με τις ομάδες διαπραγματευτικών κεφαλαίων· εκφράζει την ικανοποίησή του για την εκτίμηση της Επιτροπής ότι και οι έξι ομάδες διαπραγματευτικών κεφαλαίων είναι έτοιμες να ανοίξουν· παροτρύνει το Συμβούλιο να τηρήσει αξιοκρατική προσέγγιση και να ανοίξει επίσημα</w:t>
      </w:r>
      <w:r w:rsidR="00C52965">
        <w:t xml:space="preserve"> όλες</w:t>
      </w:r>
      <w:r w:rsidRPr="001A1054">
        <w:t xml:space="preserve"> τις ομάδες χωρίς περαιτέρω καθυστέρηση· υπενθυμίζει στα κράτη μέλη την αρχή της καλόπιστης συνεργασίας σύμφωνα με το άρθρο 4 παράγραφος 3 της Συνθήκης για την Ευρωπαϊκή Ένωση, η οποία απαιτεί από αυτά να απέχουν από κάθε μέτρο που θα μπορούσε να θέσει σε κίνδυνο την επίτευξη των στόχων της Ένωσης και, επομένως, τα παροτρύνει να αποφύγουν την παρεμπόδιση ή καθυστέρηση των διαπραγματεύσεων προσχώρησης λόγω διμερών ζητημάτων· τονίζει ότι η έναρξη διαπραγματεύσεων προσχώρησης θα σηματοδοτήσει ότι η ΕΕ αναγνωρίζει και επιβραβεύει τα συγκεκριμένα επιτεύγματα της Μολδαβίας, και θα ενισχύσει την αξιοπιστία και την ακεραιότητα της διαδικασίας διεύρυνσης· επικροτεί την έγκριση χαρτών πορείας για το κράτος δικαίου, τη δημόσια διοίκηση και τους δημοκρατικούς θεσμούς και το επικαιροποιημένο εθνικό πρόγραμμα προσχώρησης στην Ευρωπαϊκή Ένωση για την περίοδο 2025-2029· επαινεί την πρόοδο που έχει ήδη επιτύχει η Μολδαβία σε τεχνικό επίπεδο όσον αφορά τη μεταφορά του κεκτημένου της ΕΕ στο εθνικό της δίκαιο·</w:t>
      </w:r>
    </w:p>
    <w:p w:rsidR="002C68F7" w:rsidRPr="001A1054" w:rsidP="000D731A" w14:paraId="3001A893" w14:textId="61027A1E">
      <w:pPr>
        <w:pStyle w:val="NormalHanging12a"/>
        <w:ind w:left="567" w:hanging="570"/>
      </w:pPr>
      <w:r w:rsidRPr="001A1054">
        <w:t>3.</w:t>
      </w:r>
      <w:r w:rsidRPr="001A1054">
        <w:tab/>
      </w:r>
      <w:r w:rsidRPr="001A1054">
        <w:t>υπογραμμίζει ότι ο ρυθμός της διαδικασίας προσχώρησης της Μολδαβίας θα πρέπει να αντικατοπτρίζει τη σημαντική πρόοδο που έχει σημειώσει όσον αφορά τις μεταρρυθμίσεις· καλεί την Επιτροπή να διευκολύνει ενεργά και να παράσχει προπαρασκευαστική στήριξη, συμπεριλαμβανομένων της παροχής τεχνικής βοήθειας, ελέγχων παρακολούθησης και της ανάπτυξης διοικητικών ικανοτήτων, ώστε να μπορέσει η Μολδαβία να σημειώσει πρόοδο στις διαπραγματεύσεις αποτελεσματικά και σε όλες τις ομάδες ταυτόχρονα·</w:t>
      </w:r>
    </w:p>
    <w:p w:rsidR="002C68F7" w:rsidRPr="001A1054" w:rsidP="000D731A" w14:paraId="4AACE844" w14:textId="0C98E7D4">
      <w:pPr>
        <w:pStyle w:val="NormalHanging12a"/>
        <w:ind w:left="567" w:hanging="570"/>
      </w:pPr>
      <w:r w:rsidRPr="001A1054">
        <w:t>4.</w:t>
      </w:r>
      <w:r w:rsidRPr="001A1054">
        <w:tab/>
      </w:r>
      <w:r w:rsidRPr="001A1054">
        <w:t>αναγνωρίζει ότι η ευρωπαϊκή ολοκλήρωση της Μολδαβίας συμβάλλει θετικά στη σταθερότητα και την ασφάλεια στην Ευρώπη και λειτουργεί ως ζωτικής σημασίας καταλυτικός παράγοντας για τη δημοκρατική ανθεκτικότητα, τη θεσμική μεταρρύθμιση, το κράτος δικαίου και τη βιώσιμη οικονομική ανάπτυξη της χώρας·</w:t>
      </w:r>
    </w:p>
    <w:p w:rsidR="002C68F7" w:rsidRPr="001A1054" w:rsidP="000D731A" w14:paraId="665762E0" w14:textId="05EDBDD9">
      <w:pPr>
        <w:pStyle w:val="NormalHanging12a"/>
        <w:ind w:left="567" w:hanging="570"/>
      </w:pPr>
      <w:r w:rsidRPr="001A1054">
        <w:t>5.</w:t>
      </w:r>
      <w:r w:rsidRPr="001A1054">
        <w:tab/>
      </w:r>
      <w:r w:rsidRPr="001A1054">
        <w:t>επισημαίνει την εκτίμηση της Επιτροπής ότι η Μολδαβία έχει σημειώσει ικανοποιητική πρόοδο όσον αφορά τις μεταρρυθμίσεις στον τομέα της δικαιοσύνης· υπενθυμίζει στη Μολδαβία τη δέσμευσή της να ακολουθήσει τις συστάσεις της Επιτροπής της Βενετίας· τονίζει ότι η βιωσιμότητα των μεταρρυθμίσεων απαιτεί ευρύ αίσθημα ευθύνης σε πολιτικό επίπεδο και διάλογο χωρίς αποκλεισμούς σε ολόκληρο το πολιτικό φάσμα, καθώς και ουσιαστική διαβούλευση με την κοινωνία των πολιτών και τα επαγγελματικά ενδιαφερόμενα μέρη· αναγνωρίζει τη συνεπή πολιτική βούληση και τις συνεχείς προσπάθειες της Μολδαβίας για την ανάπτυξη ενός ανεξάρτητου, αμερόληπτου δικαστικού συστήματος με λογοδοσία και επαγγελματισμό·</w:t>
      </w:r>
    </w:p>
    <w:p w:rsidR="002C68F7" w:rsidRPr="001A1054" w:rsidP="000D731A" w14:paraId="417913FA" w14:textId="120C88EE">
      <w:pPr>
        <w:pStyle w:val="NormalHanging12a"/>
        <w:ind w:left="567" w:hanging="570"/>
      </w:pPr>
      <w:r w:rsidRPr="001A1054">
        <w:t>6.</w:t>
      </w:r>
      <w:r w:rsidRPr="001A1054">
        <w:tab/>
      </w:r>
      <w:r w:rsidRPr="001A1054">
        <w:t>καλεί τις αρχές της Μολδαβίας να διασφαλίσουν ότι η διαδικασία ελέγχου των δικαστών και εισαγγελέων διεξάγεται με συμπεριληπτικό, προβλέψιμο και νομικά άρτιο τρόπο, και ενθαρρύνει τη χώρα να ολοκληρώσει αποτελεσματικά τη διαδικασία χωρίς καθυστέρηση, δεδομένου ότι η ολοκλήρωση του ελέγχου είναι ζωτικής σημασίας για τη διασφάλιση της εμπιστοσύνης του κοινού στο δικαστικό σώμα, την αποπομπή δικαστών των οποίων η ακεραιότητα έχει υπονομευθεί και την ενίσχυση του κράτους δικαίου ως ακρογωνιαίου λίθου για την ολοκλήρωση της ΕΕ· καλεί τη Μολδαβία να διασφαλίσει επαρκείς δημοσιονομικούς και ανθρώπινους πόρους για τα δικαιοδοτικά όργανα και να συνεχίσει να λαμβάνει μέτρα για την ενίσχυση των ικανοτήτων τους, προκειμένου, μεταξύ άλλων, να αντιμετωπιστεί το έλλειμμα δικαστών και εισαγγελέων, να μειωθεί η διάρκεια των διαδικασιών, ιδίως σε υποθέσεις διαφθοράς και οικονομικού εγκλήματος, και να βελτιωθεί η ψηφιοποίηση, η προσβασιμότητα, η αποτελεσματικότητα και η διαφάνεια της δικαιοσύνης για όλους τους πολίτες·</w:t>
      </w:r>
    </w:p>
    <w:p w:rsidR="002C68F7" w:rsidRPr="001A1054" w:rsidP="000D731A" w14:paraId="5D00272C" w14:textId="7E049D1E">
      <w:pPr>
        <w:pStyle w:val="NormalHanging12a"/>
        <w:ind w:left="567" w:hanging="570"/>
      </w:pPr>
      <w:r w:rsidRPr="001A1054">
        <w:t>7.</w:t>
      </w:r>
      <w:r w:rsidRPr="001A1054">
        <w:tab/>
      </w:r>
      <w:r w:rsidRPr="001A1054">
        <w:t>σημειώνει τη σταθερή πρόοδο που έχει σημειώσει η Μολδαβία όσον αφορά την πρόληψη και την καταπολέμηση της διαφθοράς, με το βελτιωμένο ιστορικό επιδόσεών της τόσο σε υποθέσεις υψηλού επιπέδου όσο και σε υποθέσεις μη υψηλού επιπέδου· τονίζει την ανάγκη να ενισχυθούν περαιτέρω οι επιχειρησιακές ικανότητες, η θεσμική ανεξαρτησία, ο επαγγελματισμός και η λογοδοσία, και να ενισχυθούν οι μηχανισμοί συντονισμού μεταξύ όλων των βασικών θεσμών για την καταπολέμηση της διαφθοράς και την απονομή δικαιοσύνης, προκειμένου να διασφαλιστεί η μακροπρόθεσμη επιτυχία ολοκληρωμένων μεταρρυθμίσεων·</w:t>
      </w:r>
    </w:p>
    <w:p w:rsidR="002C68F7" w:rsidRPr="001A1054" w:rsidP="000D731A" w14:paraId="69EBBC84" w14:textId="10A3FBEE">
      <w:pPr>
        <w:pStyle w:val="NormalHanging12a"/>
        <w:ind w:left="567" w:hanging="570"/>
      </w:pPr>
      <w:r w:rsidRPr="001A1054">
        <w:t>8.</w:t>
      </w:r>
      <w:r w:rsidRPr="001A1054">
        <w:tab/>
      </w:r>
      <w:r w:rsidRPr="001A1054">
        <w:t xml:space="preserve">τονίζει ότι οι προσπάθειες για την καταπολέμηση της διαφθοράς πρέπει να συνεχιστούν με συνεπή, </w:t>
      </w:r>
      <w:r w:rsidRPr="001A1054">
        <w:t>αποπολιτικοποιημένο</w:t>
      </w:r>
      <w:r w:rsidRPr="001A1054">
        <w:t xml:space="preserve"> και διαφανή τρόπο, και να αποφευχθούν ad hoc ή ταχείες νομοθετικές πρωτοβουλίες που ενδέχεται να υπονομεύσουν την ασφάλεια δικαίου και την εμπιστοσύνη στους θεσμούς· τονίζει ότι είναι σημαντικό να δοθεί προτεραιότητα στην ποιότητα, τη βιωσιμότητα και τη δέουσα διαδικασία έναντι της ταχύτητας των μεταρρυθμίσεων, προκειμένου να διασφαλιστούν η μακροπρόθεσμη αξιοπιστία και η ανθεκτικότητα του πλαισίου για την καταπολέμηση της διαφθοράς·</w:t>
      </w:r>
    </w:p>
    <w:p w:rsidR="002C68F7" w:rsidRPr="001A1054" w:rsidP="000D731A" w14:paraId="13AC059F" w14:textId="77519A93">
      <w:pPr>
        <w:pStyle w:val="NormalHanging12a"/>
        <w:ind w:left="567" w:hanging="570"/>
      </w:pPr>
      <w:r w:rsidRPr="001A1054">
        <w:t>9.</w:t>
      </w:r>
      <w:r w:rsidRPr="001A1054">
        <w:tab/>
      </w:r>
      <w:r w:rsidRPr="001A1054">
        <w:t>τονίζει ότι το να συνεχίσει να αντιμετωπίζεται η επιρροή ολιγαρχικών δομών στην πολιτική, την οικονομία και στον τομέα των μέσων ενημέρωσης εξακολουθεί να αποτελεί βασική προτεραιότητα προκειμένου να προαχθεί η ευρωπαϊκή ολοκλήρωση της Μολδαβίας·</w:t>
      </w:r>
    </w:p>
    <w:p w:rsidR="002C68F7" w:rsidRPr="001A1054" w:rsidP="000D731A" w14:paraId="49606D4B" w14:textId="103C6093">
      <w:pPr>
        <w:pStyle w:val="NormalHanging12a"/>
        <w:ind w:left="567" w:hanging="570"/>
      </w:pPr>
      <w:r w:rsidRPr="001A1054">
        <w:t>10.</w:t>
      </w:r>
      <w:r w:rsidRPr="001A1054">
        <w:tab/>
      </w:r>
      <w:r w:rsidRPr="001A1054">
        <w:t xml:space="preserve">επισημαίνει το γεγονός ότι οι βουλευτικές εκλογές της 28ης Σεπτεμβρίου 2025 ήταν η πέμπτη συναπτή περίσταση στην οποία επιβεβαιώθηκε η στήριξη του λαού της Μολδαβίας για την προσχώρηση της χώρας στην ΕΕ και τις σχετικές μεταρρυθμίσεις· καταδικάζει απερίφραστα τις επανειλημμένες προσπάθειες της Ρωσικής Ομοσπονδίας, φίλα προσκείμενων προς τη Ρωσία ολιγαρχών και εντολοδόχων που ενεργούν για λογαριασμό της Ρωσίας να αποσταθεροποιήσουν τη χώρα, να δημιουργήσουν και να διαδώσουν παραπληροφόρηση, να σπείρουν διχασμό εντός της </w:t>
      </w:r>
      <w:r w:rsidRPr="001A1054">
        <w:t>μολδαβικής</w:t>
      </w:r>
      <w:r w:rsidRPr="001A1054">
        <w:t xml:space="preserve"> κοινωνίας, να υπονομεύσουν τους δημοκρατικούς θεσμούς της χώρας και να αντιστρέψουν την ευρωπαϊκή της πορεία·</w:t>
      </w:r>
    </w:p>
    <w:p w:rsidR="002C68F7" w:rsidRPr="001A1054" w:rsidP="000D731A" w14:paraId="134DA97F" w14:textId="255A31FC">
      <w:pPr>
        <w:pStyle w:val="NormalHanging12a"/>
        <w:ind w:left="567" w:hanging="570"/>
      </w:pPr>
      <w:r w:rsidRPr="001A1054">
        <w:t>11.</w:t>
      </w:r>
      <w:r w:rsidRPr="001A1054">
        <w:tab/>
      </w:r>
      <w:r w:rsidRPr="001A1054">
        <w:t xml:space="preserve">εκφράζει την ικανοποίησή του για την εκτίμηση του Γραφείου Δημοκρατικών Θεσμών και Ανθρωπίνων Δικαιωμάτων (ODIHR) του Οργανισμού για την Ασφάλεια και τη Συνεργασία στην Ευρώπη (ΟΑΣΕ) ότι οι βουλευτικές εκλογές ήταν άρτια οργανωμένες, ανταγωνιστικές και παρείχαν στους ψηφοφόρους σαφή επιλογή μεταξύ πολιτικών εναλλακτικών λύσεων· καλεί τη Μολδαβία να ευθυγραμμίσει περαιτέρω τη νομοθεσία </w:t>
      </w:r>
      <w:r w:rsidRPr="001A1054">
        <w:t>της σχετικά με τις εκλογές και τις εκλογικές διαδικασίες της με τα ευρωπαϊκά και διεθνή πρότυπα και να υλοποιήσει όλες τις συστάσεις της Επιτροπής της Βενετίας και του Γραφείου Δημοκρατικών Θεσμών και Ανθρωπίνων Δικαιωμάτων του ΟΑΣΕ που εκκρεμούν·</w:t>
      </w:r>
    </w:p>
    <w:p w:rsidR="002C68F7" w:rsidRPr="001A1054" w:rsidP="000D731A" w14:paraId="256C190C" w14:textId="130797E0">
      <w:pPr>
        <w:pStyle w:val="NormalHanging12a"/>
        <w:ind w:left="567" w:hanging="570"/>
      </w:pPr>
      <w:r w:rsidRPr="001A1054">
        <w:t>12.</w:t>
      </w:r>
      <w:r w:rsidRPr="001A1054">
        <w:tab/>
      </w:r>
      <w:r w:rsidRPr="001A1054">
        <w:t>επαινεί την ανθεκτικότητα που επέδειξαν οι θεσμοί και η κοινωνία της Μολδαβίας όσον αφορά τη διαφύλαξη της ακεραιότητας της εκλογικής διαδικασίας παρά την εκτεταμένη υβριδική εκστρατεία της Ρωσίας και των εντολοδόχων της· σημειώνει ότι βασικοί παράγοντες της επιτυχίας αυτής ήταν οι έγκαιρες και συντονισμένες προσπάθειες των αρχών της Μολδαβίας, η ενεργός συμμετοχή της κοινωνίας των πολιτών και των ανεξάρτητων μέσων ενημέρωσης, καθώς και η στήριξη της ΕΕ και των κρατών μελών της, μεταξύ άλλων μέσω της αποστολής εταιρικής σχέσης της ΕΕ στη Μολδαβία·</w:t>
      </w:r>
    </w:p>
    <w:p w:rsidR="002C68F7" w:rsidRPr="001A1054" w:rsidP="000D731A" w14:paraId="3F09A5C5" w14:textId="1C8E1D52">
      <w:pPr>
        <w:pStyle w:val="NormalHanging12a"/>
        <w:ind w:left="567" w:hanging="570"/>
      </w:pPr>
      <w:r w:rsidRPr="001A1054">
        <w:t>13.</w:t>
      </w:r>
      <w:r w:rsidRPr="001A1054">
        <w:tab/>
      </w:r>
      <w:r w:rsidRPr="001A1054">
        <w:t xml:space="preserve">προειδοποιεί ότι οι κακόβουλες ρωσικές παρεμβάσεις είναι μια συνεχής και εξελισσόμενη διαδικασία που καθιστά επιτακτική τη συνεχή εγρήγορση και την αντίδραση με βάση μια προσέγγιση η οποία αφορά το σύνολο της κοινωνίας, επαρκείς θεσμικές ικανότητες και πόρους· καλεί την ΕΕ και τα κράτη μέλη της να ενισχύσουν τη στήριξή τους για τη θεσμική ανθεκτικότητα, τις ικανότητες στρατηγικής επικοινωνίας, την κυβερνοασφάλεια, τα ανεξάρτητα μέσα ενημέρωσης και τις δημοκρατικές δικλείδες ασφαλείας της Μολδαβίας· τονίζει ότι οι προσπάθειές της για την αντιμετώπιση της διάδοσης παραπληροφόρησης και εσφαλμένης πληροφόρησης από τη Ρωσία θα πρέπει να συμμορφώνονται με τις απαιτήσεις της νομιμότητας, της αναγκαιότητας και της αναλογικότητας· σημειώνει ότι η πείρα που αποκτήθηκε στη Μολδαβία μπορεί να χρησιμοποιηθεί για την υπεράσπιση άλλων δημοκρατιών που αντιμετωπίζουν παρόμοιες υβριδικές απειλές· εκφράζει σοβαρή ανησυχία για τις δραστηριότητες φιλορωσικών δικτύων, τα οποία έχουν συνδεθεί με εκτεταμένη καταστρατήγηση των κυρώσεων, εκλογικές παρεμβάσεις και εκστρατείες παραπληροφόρησης μέσω της χρήσης υποδομών κρυπτονομισμάτων που συνδέονται με ρωσικούς χρηματοπιστωτικούς παράγοντες, όπως η </w:t>
      </w:r>
      <w:r w:rsidRPr="001A1054">
        <w:t>Promsvyazbank</w:t>
      </w:r>
      <w:r w:rsidRPr="001A1054">
        <w:t xml:space="preserve">· καλεί την Επιτροπή και τα κράτη μέλη να ενισχύσουν τη συνεργασία στον τομέα των χρηματοοικονομικών πληροφοριών, να ενισχύσουν την επιβολή κυρώσεων και να στηρίξουν τις αρχές της Μολδαβίας στην καταπολέμηση των παράνομων χρηματοοικονομικών ροών και των εξωτερικών παρεμβάσεων μέσω χωρών εκτός της ΕΕ, μεταξύ άλλων μέσω στοχευμένων κυρώσεων και μέτρων </w:t>
      </w:r>
      <w:r w:rsidRPr="001A1054">
        <w:t>κυβερνοεποπτείας</w:t>
      </w:r>
      <w:r w:rsidRPr="001A1054">
        <w:t>·</w:t>
      </w:r>
    </w:p>
    <w:p w:rsidR="002C68F7" w:rsidRPr="001A1054" w:rsidP="000D731A" w14:paraId="70294A2F" w14:textId="20E1193A">
      <w:pPr>
        <w:pStyle w:val="NormalHanging12a"/>
        <w:ind w:left="567" w:hanging="570"/>
      </w:pPr>
      <w:r w:rsidRPr="001A1054">
        <w:t>14.</w:t>
      </w:r>
      <w:r w:rsidRPr="001A1054">
        <w:tab/>
      </w:r>
      <w:r w:rsidRPr="001A1054">
        <w:t xml:space="preserve">επισημαίνει τον ζωτικό ρόλο της </w:t>
      </w:r>
      <w:r w:rsidRPr="001A1054">
        <w:t>μολδαβικής</w:t>
      </w:r>
      <w:r w:rsidRPr="001A1054">
        <w:t xml:space="preserve"> διασποράς στη διατήρηση της χώρας στην ευρωπαϊκή της πορεία, όπως καταδεικνύεται από την ενεργό συμμετοχή της στις δημοκρατικές διαδικασίες, συμπεριλαμβανομένων των βουλευτικών εκλογών της 28ης</w:t>
      </w:r>
      <w:r w:rsidR="00EC3C40">
        <w:t> </w:t>
      </w:r>
      <w:r w:rsidRPr="001A1054">
        <w:t>Σεπτεμβρίου 2025, και τη σημαντική συμβολή της στην κοινωνικοοικονομική ανάπτυξη της Μολδαβίας· καλεί τις αρχές της Μολδαβίας να συνεχίσουν να ενισχύουν τους δεσμούς με τη διασπορά και να διευκολύνουν την ενεργό συμμετοχή της στη διαδικασία ευρωπαϊκής ολοκλήρωσης της χώρας·</w:t>
      </w:r>
    </w:p>
    <w:p w:rsidR="002C68F7" w:rsidRPr="001A1054" w:rsidP="000D731A" w14:paraId="7B0FE22F" w14:textId="2900F389">
      <w:pPr>
        <w:pStyle w:val="NormalHanging12a"/>
        <w:ind w:left="567" w:hanging="570"/>
      </w:pPr>
      <w:r w:rsidRPr="001A1054">
        <w:t>15.</w:t>
      </w:r>
      <w:r w:rsidRPr="001A1054">
        <w:tab/>
      </w:r>
      <w:r w:rsidRPr="001A1054">
        <w:t xml:space="preserve">καλεί τις αρχές της Μολδαβίας να αξιοποιήσουν την ισχυρή φιλοευρωπαϊκή εντολή τους για να επιταχύνουν τον ρυθμό των βασικών μεταρρυθμίσεων που απαιτούνται για την πορεία προσχώρησης στην ΕΕ και να εκπληρώσουν τη φιλοδοξία ολοκλήρωσης των διαπραγματεύσεων προσχώρησης έως τις αρχές του 2028· αναγνωρίζει την ισχυρή δέσμευση της Μολδαβίας ως υποψήφιας χώρας να αναλάβει απαιτητικές αλλά αναγκαίες μεταρρυθμίσεις· παροτρύνει την πολιτική ελίτ της Μολδαβίας να διατηρήσει την πολιτική συναίνεση σχετικά με την προσχώρηση στην ΕΕ· υπογραμμίζει ότι είναι σημαντικό να διατηρηθεί η εμπιστοσύνη των Μολδαβών πολιτών στη διαδικασία </w:t>
      </w:r>
      <w:r w:rsidRPr="001A1054">
        <w:t>προσχώρησης στην ΕΕ, μεταξύ άλλων μέσω της έγκαιρης, επίσημης έναρξης των διαπραγματεύσεων προσχώρησης· εκφράζει την ικανοποίησή του για τη σύσταση της ειδικής κοινοβουλευτικής επιτροπής για την ευρωπαϊκή ολοκλήρωση εντός του Κοινοβουλίου της Μολδαβίας και υπογραμμίζει τη σημασία της διακομματικής συνεργασίας για τη βιώσιμη επιτυχία των μεταρρυθμίσεων που σχετίζονται με την προσχώρηση στην ΕΕ και την πρόοδο προς την ένταξη στην ΕΕ·</w:t>
      </w:r>
    </w:p>
    <w:p w:rsidR="002C68F7" w:rsidRPr="001A1054" w:rsidP="000D731A" w14:paraId="2B6521AE" w14:textId="305431A2">
      <w:pPr>
        <w:pStyle w:val="NormalHanging12a"/>
        <w:ind w:left="567" w:hanging="570"/>
      </w:pPr>
      <w:r w:rsidRPr="001A1054">
        <w:t>16.</w:t>
      </w:r>
      <w:r w:rsidRPr="001A1054">
        <w:tab/>
      </w:r>
      <w:r w:rsidRPr="001A1054">
        <w:t xml:space="preserve">εκφράζει την προθυμία του να συνεχίσει να στηρίζει το Κοινοβούλιο της Μολδαβίας μέσω αμοιβαία συμφωνημένων δραστηριοτήτων στήριξης της δημοκρατίας που ανταποκρίνονται στις ανάγκες του εν λόγω θεσμικού οργάνου, των εκλεγμένων μελών του και του προσωπικού του· επισημαίνει την επίσημη έναρξη λειτουργίας του Γραφείου Ανατολικής Εταιρικής Σχέσης του Ευρωπαϊκού Κοινοβουλίου στο </w:t>
      </w:r>
      <w:r w:rsidRPr="001A1054">
        <w:t>Κισινάου</w:t>
      </w:r>
      <w:r w:rsidRPr="001A1054">
        <w:t xml:space="preserve"> στις 7 Νοεμβρίου 2025, γεγονός που καταδεικνύει τη δέσμευση του Κοινοβουλίου να εμβαθύνει τη συνεργασία του με τη Μολδαβία και ολόκληρη την περιφέρεια της Ανατολικής Εταιρικής Σχέσης· εκφράζει, στο πλαίσιο αυτό, την ικανοποίησή του για το ανανεωμένο μνημόνιο συνεννόησης που υπέγραψαν, τον Μάρτιο του 2026, η Πρόεδρος </w:t>
      </w:r>
      <w:r w:rsidRPr="001A1054">
        <w:t>Metsola</w:t>
      </w:r>
      <w:r w:rsidRPr="001A1054">
        <w:t xml:space="preserve"> και ο Πρόεδρος του Κοινοβουλίου της Μολδαβίας, </w:t>
      </w:r>
      <w:r w:rsidRPr="001A1054">
        <w:t>Igor</w:t>
      </w:r>
      <w:r w:rsidRPr="001A1054">
        <w:t xml:space="preserve"> </w:t>
      </w:r>
      <w:r w:rsidRPr="001A1054">
        <w:t>Grosu</w:t>
      </w:r>
      <w:r w:rsidRPr="001A1054">
        <w:t>·</w:t>
      </w:r>
    </w:p>
    <w:p w:rsidR="002C68F7" w:rsidRPr="001A1054" w:rsidP="000D731A" w14:paraId="61C9ECBF" w14:textId="1E1F42D9">
      <w:pPr>
        <w:pStyle w:val="NormalHanging12a"/>
        <w:ind w:left="567" w:hanging="570"/>
      </w:pPr>
      <w:r w:rsidRPr="001A1054">
        <w:t>17.</w:t>
      </w:r>
      <w:r w:rsidRPr="001A1054">
        <w:tab/>
      </w:r>
      <w:r w:rsidRPr="001A1054">
        <w:t>χαιρετίζει τη διοργάνωση της πρώτης συνόδου κορυφής ΕΕ-Μολδαβίας τον Ιούλιο του 2025 ως σημαντικό πολιτικό ορόσημο στις σχέσεις ΕΕ-Μολδαβίας και ισχυρό πολιτικό μήνυμα στήριξης της κυριαρχίας, της δημοκρατικής σταθερότητας και της ευρωπαϊκής πορείας της Μολδαβίας·</w:t>
      </w:r>
      <w:r>
        <w:t xml:space="preserve"> </w:t>
      </w:r>
      <w:r w:rsidRPr="000D731A">
        <w:t>σημειώνει την κοινή δήλωση μετά τη δεύτερη σύνοδο κορυφής ΕΕ-Μολδαβίας στις 22 Ιουνίου 2026, στην οποία τονίζεται τόσο η δέσμευση της Μολδαβίας να συνεχίσει να ενισχύει το κράτος δικαίου όσο και η ενθάρρυνση εκ μέρους της ΕΕ να εντείνει η χώρα περαιτέρω τις προσπάθειες στους τομείς της δικαστικής μεταρρύθμισης και της καταπολέμησης της διαφθοράς·</w:t>
      </w:r>
    </w:p>
    <w:p w:rsidR="002C68F7" w:rsidRPr="001A1054" w:rsidP="000D731A" w14:paraId="1A8C41BE" w14:textId="2E87784F">
      <w:pPr>
        <w:pStyle w:val="NormalHanging12a"/>
        <w:ind w:left="567" w:hanging="570"/>
      </w:pPr>
      <w:r w:rsidRPr="001A1054">
        <w:t>18.</w:t>
      </w:r>
      <w:r w:rsidRPr="001A1054">
        <w:tab/>
      </w:r>
      <w:r w:rsidRPr="001A1054">
        <w:t>τονίζει ότι είναι σημαντικό να αντιμετωπιστεί η παραπληροφόρηση σχετικά με τη διαδικασία της ευρωπαϊκής ολοκλήρωσης· παροτρύνει την Επιτροπή, την Ευρωπαϊκή Υπηρεσία Εξωτερικής Δράσης (ΕΥΕΔ) και την Κυβέρνηση της Μολδαβίας να εντείνουν τις κοινές τους προσπάθειες στρατηγικής επικοινωνίας για τη βελτίωση της προβολής της ΕΕ στη Μολδαβία· τονίζει την ανάγκη για στοχευμένες εκστρατείες που θα διευκρινίζουν στο μολδαβικό κοινό τα απτά, καθημερινά οφέλη των προετοιμασιών για την προσχώρηση στην ΕΕ και των έργων που χρηματοδοτούνται από την ΕΕ, ιδίως σε αγροτικές περιοχές και περιφέρειες·</w:t>
      </w:r>
    </w:p>
    <w:p w:rsidR="002C68F7" w:rsidRPr="001A1054" w:rsidP="000D731A" w14:paraId="11C2CE26" w14:textId="70B36DC8">
      <w:pPr>
        <w:pStyle w:val="NormalHanging12a"/>
        <w:ind w:left="567" w:hanging="570"/>
      </w:pPr>
      <w:r w:rsidRPr="001A1054">
        <w:t>19.</w:t>
      </w:r>
      <w:r w:rsidRPr="001A1054">
        <w:tab/>
      </w:r>
      <w:r w:rsidRPr="001A1054">
        <w:t>τονίζει πόσο σημαντικές είναι οι δράσεις στήριξης της δημοκρατίας στη Μολδαβία οι οποίες βελτιώνουν την ποιότητα του δημοκρατικού διαλόγου και την ανθεκτικότητα κατά της παραπληροφόρησης· επικροτεί τη συνεργασία των αρχών και των φορέων της κοινωνίας των πολιτών της Μολδαβίας, μεταξύ άλλων, με το Ευρωπαϊκό Ταμείο για τη Δημοκρατία (ΕΤΔ) ως εργαλείο που μπορεί να καλύψει το κενό που άφησε η διάλυση του Οργανισμού Διεθνούς Ανάπτυξης των ΗΠΑ (USAID) στην περιοχή· συγχαίρει, στο πλαίσιο αυτό, το Ευρωπαϊκό Ταμείο για τη Δημοκρατία για το γεγονός ότι παρείχε 62 % περισσότερες επιχορηγήσεις το 2025 σε σύγκριση με το 2024, με προϋπολογισμό ο οποίος αυξήθηκε μόλις κατά 34 %· εκφράζει την ικανοποίησή του για το γεγονός ότι το 2025 το Ευρωπαϊκό Ταμείο για τη Δημοκρατία τριπλασίασε τη στήριξή του προς μολδαβικές οντότητες σε σύγκριση με το 2024·</w:t>
      </w:r>
    </w:p>
    <w:p w:rsidR="002C68F7" w:rsidRPr="001A1054" w:rsidP="000D731A" w14:paraId="796B3D27" w14:textId="65D32806">
      <w:pPr>
        <w:pStyle w:val="NormalHanging12a"/>
        <w:ind w:left="567" w:hanging="570"/>
      </w:pPr>
      <w:r w:rsidRPr="001A1054">
        <w:t>20.</w:t>
      </w:r>
      <w:r w:rsidRPr="001A1054">
        <w:tab/>
      </w:r>
      <w:r w:rsidRPr="001A1054">
        <w:t xml:space="preserve">επαναλαμβάνει ότι η στήριξη του λαού της Μολδαβίας στην ευρωπαϊκή ολοκλήρωση μπορεί να ενισχυθεί με την επίτευξη απτής βελτίωσης των μέσων διαβίωσής του, την ενίσχυση των κρατικών θεσμών, την ενίσχυση ενός ισχυρού συστήματος πρόνοιας, την </w:t>
      </w:r>
      <w:r w:rsidRPr="001A1054">
        <w:t>καταπολέμηση της φτώχειας, τη βελτίωση του βιοτικού επιπέδου σε ολόκληρη τη χώρα και την καταπολέμηση της διαφθοράς και της ολιγαρχικής επιρροής·</w:t>
      </w:r>
    </w:p>
    <w:p w:rsidR="002C68F7" w:rsidRPr="001A1054" w:rsidP="002C68F7" w14:paraId="2215E799" w14:textId="77777777">
      <w:pPr>
        <w:pStyle w:val="Normal12a"/>
      </w:pPr>
      <w:r w:rsidRPr="001A1054">
        <w:rPr>
          <w:b/>
          <w:i/>
        </w:rPr>
        <w:t>Κοινωνικοοικονομικές μεταρρυθμίσεις</w:t>
      </w:r>
    </w:p>
    <w:p w:rsidR="002C68F7" w:rsidRPr="001A1054" w:rsidP="000D731A" w14:paraId="3D6297BF" w14:textId="69045238">
      <w:pPr>
        <w:pStyle w:val="NormalHanging12a"/>
        <w:ind w:left="567" w:hanging="570"/>
      </w:pPr>
      <w:r w:rsidRPr="001A1054">
        <w:t>21.</w:t>
      </w:r>
      <w:r w:rsidRPr="001A1054">
        <w:tab/>
      </w:r>
      <w:r w:rsidRPr="001A1054">
        <w:t>επικροτεί την ικανοποιητική πρόοδο που έχει επιτευχθεί μέχρι στιγμής όσον αφορά την εφαρμογή του σχεδίου ανάπτυξης της Μολδαβίας και του θεματολογίου μεταρρυθμίσεων που το υποστηρίζει, το οποίο αποσκοπεί στη στήριξη των κοινωνικοοικονομικών και θεμελιωδών μεταρρυθμίσεων της Μολδαβίας και στη βελτίωση της πρόσβασης στην ενιαία αγορά της ΕΕ· εκφράζει την ικανοποίησή του για την εκταμίευση 270 εκατ</w:t>
      </w:r>
      <w:r w:rsidR="006B797D">
        <w:t>ομμυρίων</w:t>
      </w:r>
      <w:r w:rsidRPr="001A1054">
        <w:t> EUR σε προχρηματοδότηση και 207,9 εκατ</w:t>
      </w:r>
      <w:r w:rsidR="006B797D">
        <w:t>ομμυρίων</w:t>
      </w:r>
      <w:r w:rsidRPr="001A1054">
        <w:t> EUR σε πρόσθετη στήριξη από τη διευκόλυνση μεταρρυθμίσεων και ανάπτυξης για τη Μολδαβία, συμπεριλαμβανομένης της δεύτερης δόσης τον Μάρτιο του 2026, συνολικού ύψους 189 εκατ</w:t>
      </w:r>
      <w:r w:rsidR="006B797D">
        <w:t>ομμυρίων</w:t>
      </w:r>
      <w:r w:rsidRPr="001A1054">
        <w:t> EUR, ως αποτέλεσμα της πλήρους επίτευξης από τη χώρα των 24 από τα συνολικά 26 μεταρρυθμιστικά βήματα με προθεσμία τον Δεκέμβριο του 2025· καλεί τη Μολδαβία να συνεχίσει να εργάζεται για την ολοκλήρωση των υπόλοιπων δύο μεταρρυθμιστικών βημάτων με προθεσμία το 2025 και τη στηρίζει στην προσπάθεια αυτή· καλεί την Επιτροπή να εξορθολογίσει τις εσωτερικές διαδικασίες για να διασφαλίσει την έγκαιρη αξιολόγηση και εκταμίευση των κονδυλίων μετά τη θέσπιση στη Μολδαβία νομοθεσίας, τα σχέδια της οποίας είχαν προηγουμένως υποβάλει οι αρχές της Μολδαβίας και για τα οποία είχε πραγματοποιηθεί διαβούλευση·</w:t>
      </w:r>
    </w:p>
    <w:p w:rsidR="002C68F7" w:rsidRPr="001A1054" w:rsidP="000D731A" w14:paraId="0A6458F3" w14:textId="5A7F8453">
      <w:pPr>
        <w:pStyle w:val="NormalHanging12a"/>
        <w:ind w:left="567" w:hanging="570"/>
      </w:pPr>
      <w:r w:rsidRPr="001A1054">
        <w:t>22.</w:t>
      </w:r>
      <w:r w:rsidRPr="001A1054">
        <w:tab/>
      </w:r>
      <w:r w:rsidRPr="001A1054">
        <w:t>καλεί την Επιτροπή να παράσχει διοικητική και τεχνική βοήθεια στις αρχές της Μολδαβίας για να διασφαλίσει την έγκαιρη και αποτελεσματική απορρόφηση των κονδυλίων από τη διευκόλυνση μεταρρυθμίσεων και ανάπτυξης· καλεί την Κυβέρνηση της Μολδαβίας να διασφαλίσει την αποτελεσματική επικοινωνία, τη διαφάνεια, την προβολή και τη λογοδοσία όσον αφορά τη χρήση των κονδυλίων από την εν λόγω διευκόλυνση, μεταξύ άλλων μέσω της εποικοδομητικής συμμετοχής της κοινωνίας των πολιτών·</w:t>
      </w:r>
    </w:p>
    <w:p w:rsidR="002C68F7" w:rsidRPr="001A1054" w:rsidP="000D731A" w14:paraId="46B51E98" w14:textId="4FFDE679">
      <w:pPr>
        <w:pStyle w:val="NormalHanging12a"/>
        <w:ind w:left="567" w:hanging="570"/>
      </w:pPr>
      <w:r w:rsidRPr="001A1054">
        <w:t>23.</w:t>
      </w:r>
      <w:r w:rsidRPr="001A1054">
        <w:tab/>
      </w:r>
      <w:r w:rsidRPr="001A1054">
        <w:t xml:space="preserve">ζητεί ο προϋπολογισμός της ΕΕ για το 2027 να παράσχει στοχευμένη διοικητική και τεχνική βοήθεια προκειμένου η Μολδαβία να προετοιμαστεί για τη μετάβαση στη νέα δομή του επικείμενου πολυετούς δημοσιονομικού πλαισίου (ΠΔΠ) και του μηχανισμού «Παγκόσμια Ευρώπη»· τονίζει την ανάγκη να υποστηριχθεί η διοίκηση της Μολδαβίας ώστε να προσαρμοστεί στο μελλοντικό μοντέλο υλοποίησης του πυλώνα «Ευρώπη»· τονίζει ότι η κατανομή και η αποδέσμευση κονδυλίων πρέπει να εξακολουθήσουν να εξαρτώνται αυστηρά από την εκπλήρωση των συμφωνηθέντων μεταρρυθμιστικών οροσήμων, τη μακροοικονομική σταθερότητα, τη χρηστή δημοσιονομική διαχείριση, τη διαφάνεια στην εκτέλεση του προϋπολογισμού και την ύπαρξη αποτελεσματικών διασφαλίσεων κατά της απάτης, της διαφθοράς και των συγκρούσεων συμφερόντων· επαναλαμβάνει την έκκλησή του προς την Επιτροπή να συμπεριλάβει στο επόμενο ΠΔΠ της ΕΕ επαρκή ειδική ανά χώρα κατανομή για τη Μολδαβία στο πλαίσιο του μελλοντικού πυλώνα «Ευρώπη» εντός του μηχανισμού «Παγκόσμια Ευρώπη» και να αρχίσει να προετοιμάζει τη Μολδαβία για την αποδοτική χρήση των μελλοντικών προενταξιακών ενισχύσεων· επιμένει ότι απαιτούνται σαφείς και διαφανείς </w:t>
      </w:r>
      <w:r w:rsidRPr="001A1054">
        <w:t>προενταξιακές</w:t>
      </w:r>
      <w:r w:rsidRPr="001A1054">
        <w:t xml:space="preserve"> πιστώσεις για την αποτελεσματική παρακολούθηση των δαπανών και την πρόληψη της διασποράς των κονδυλίων σε ευρείς γεωγραφικούς πυλώνες·</w:t>
      </w:r>
    </w:p>
    <w:p w:rsidR="002C68F7" w:rsidRPr="001A1054" w:rsidP="000D731A" w14:paraId="2D638F87" w14:textId="54E0D2A5">
      <w:pPr>
        <w:pStyle w:val="NormalHanging12a"/>
        <w:ind w:left="567" w:hanging="570"/>
      </w:pPr>
      <w:r w:rsidRPr="001A1054">
        <w:t>24.</w:t>
      </w:r>
      <w:r w:rsidRPr="001A1054">
        <w:tab/>
      </w:r>
      <w:r w:rsidRPr="001A1054">
        <w:t xml:space="preserve">επαινεί τη συμφωνία που επιτεύχθηκε στις 24 Ιουλίου 2025 σχετικά με την επανεξέταση και την επικαιροποίηση των εμπορικών όρων της σφαιρικής και σε βάθος </w:t>
      </w:r>
      <w:r w:rsidRPr="001A1054">
        <w:t>ζώνης ελεύθερων συναλλαγών ΕΕ-Μολδαβίας</w:t>
      </w:r>
      <w:r>
        <w:rPr>
          <w:rStyle w:val="FootnoteReference"/>
        </w:rPr>
        <w:footnoteReference w:id="3"/>
      </w:r>
      <w:r w:rsidRPr="001A1054">
        <w:t xml:space="preserve">, η οποία προσφέρει σταθερότητα και προβλεψιμότητα για τους οικονομικούς φορείς της ΕΕ και της Μολδαβίας και ενισχύει την ελκυστικότητα της χώρας για τους επενδυτές· σημειώνει ότι η συμφωνία </w:t>
      </w:r>
      <w:r w:rsidRPr="001A1054">
        <w:t>συνέπεσε</w:t>
      </w:r>
      <w:r w:rsidRPr="001A1054">
        <w:t xml:space="preserve"> με τη λήξη των αυτοτελών εμπορικών μέτρων που χορηγήθηκαν στη χώρα τον Ιούλιο του 2022, τα οποία ανέστειλαν τους εισαγωγικούς δασμούς και τις ποσοστώσεις στις μολδαβικές εξαγωγές προς την ΕΕ και, συνεπώς, βοήθησαν τη Μολδαβία να αναπροσανατολίσει το εμπόριό της προς την ΕΕ προς αμοιβαίο όφελος· επισημαίνει ότι η ΕΕ είναι ο μεγαλύτερος εμπορικός εταίρος της Μολδαβίας, δεδομένου ότι το 2025 αντιπροσώπευε το 67,5 % των συνολικών εξαγωγών και το 54,1 % των συνολικών εισαγωγών, το δε 2024 αντιπροσώπευε το 86 % των άμεσων ξένων επενδύσεων (ΑΞΕ), εδραιώνοντας τη θέση της ως κεντρικού πυλώνα των ΑΞΕ στην οικονομία της Μολδαβίας· τονίζει τη σημασία των άμεσων επενδύσεων της ΕΕ στην οικονομία της Μολδαβίας για τη διευκόλυνση της οικονομικής ένταξης της χώρας στην ενιαία αγορά της ΕΕ, τη δημιουργία θέσεων εργασίας και επιχειρηματικών ευκαιριών και τη βελτίωση των μέσων διαβίωσης των πολιτών·</w:t>
      </w:r>
    </w:p>
    <w:p w:rsidR="002C68F7" w:rsidRPr="001A1054" w:rsidP="000D731A" w14:paraId="5F85ED81" w14:textId="3491B530">
      <w:pPr>
        <w:pStyle w:val="NormalHanging12a"/>
        <w:ind w:left="567" w:hanging="570"/>
      </w:pPr>
      <w:r w:rsidRPr="001A1054">
        <w:t>25.</w:t>
      </w:r>
      <w:r w:rsidRPr="001A1054">
        <w:tab/>
      </w:r>
      <w:r w:rsidRPr="001A1054">
        <w:t>εκφράζει την ικανοποίησή του για την εμβάθυνση της οικονομικής ενσωμάτωσης της Μολδαβίας στην ενιαία αγορά της ΕΕ και ενθαρρύνει περαιτέρω βήματα προς τη σταδιακή τομεακή ολοκλήρωση και προς μια φιλόδοξη, σταδιακή και βιώσιμη ελευθέρωση του εμπορίου, μεταξύ άλλων μέσω της επέκτασης και της χαλάρωσης των δασμολογικών ποσοστώσεων και, κατά περίπτωση, της σταδιακής κατάργησής τους, σύμφωνα με το αναθεωρημένο πλαίσιο της DCFTA, προκειμένου να αποφέρει απτά οικονομικά οφέλη, να ενισχύσει την ανθεκτικότητα της Μολδαβίας και να στηρίξει την πορεία της προς την ευρωπαϊκή ολοκλήρωση· καλεί, ειδικότερα, την Επιτροπή να διερευνήσει την περαιτέρω σταδιακή ελευθέρωση του εμπορίου αγροδιατροφικών προϊόντων, συμπεριλαμβανομένων της άρσης των εναπομενόντων μη δασμολογικών φραγμών και της αυξημένης στήριξης για κανονιστική ευθυγράμμιση, ιδίως όσον αφορά τα υγειονομικά και φυτοϋγειονομικά πρότυπα και τους τεχνικούς φραγμούς στο εμπόριο, καθώς και της εισαγωγής ημιαυτόματων αυξήσεων των δασμολογικών ποσοστώσεων, οι οποίες συνδέονται με τα ποσοστά χρησιμοποίησης και τη συμμόρφωση με τα πρότυπα της ΕΕ, διασφαλίζοντας παράλληλα κατάλληλους μηχανισμούς διασφάλισης για τους παραγωγούς της ΕΕ·</w:t>
      </w:r>
    </w:p>
    <w:p w:rsidR="002C68F7" w:rsidRPr="001A1054" w:rsidP="000D731A" w14:paraId="2FF5684C" w14:textId="67835646">
      <w:pPr>
        <w:pStyle w:val="NormalHanging12a"/>
        <w:ind w:left="567" w:hanging="570"/>
      </w:pPr>
      <w:r w:rsidRPr="001A1054">
        <w:t>26.</w:t>
      </w:r>
      <w:r w:rsidRPr="001A1054">
        <w:tab/>
      </w:r>
      <w:r w:rsidRPr="001A1054">
        <w:t xml:space="preserve">σημειώνει ότι η σημαντική αύξηση των εμπορικών συναλλαγών της περιοχής της Υπερδνειστερίας με την υπόλοιπη Μολδαβία και η εξάρτησή της από την ΕΕ όσον αφορά τις εξαγωγές θα μπορούσαν να δημιουργήσουν τις προϋποθέσεις για την οικονομική σύγκλιση της περιοχής με το νομικό πλαίσιο της Μολδαβίας, προωθώντας μια de facto οικονομική επανένταξη που θα μπορούσε να χρησιμεύσει ως ρεαλιστική βάση για μια ειρηνική πολιτική διευθέτηση και την ενδεχόμενη επανένωση της χώρας· υποστηρίζει τις προσπάθειες της Μολδαβίας να συμπεριλάβει την περιοχή της Υπερδνειστερίας στα μέτρα οικονομικής και κανονιστικής σύγκλισης που συνδέονται με την ενιαία αγορά της ΕΕ· επικροτεί τις προσπάθειες των αρχών του </w:t>
      </w:r>
      <w:r w:rsidRPr="001A1054">
        <w:t>Κισινάου</w:t>
      </w:r>
      <w:r w:rsidRPr="001A1054">
        <w:t xml:space="preserve"> να επεκτείνουν την εφαρμογή της φορολογικής νομοθεσίας της Μολδαβίας σε εταιρείες που δραστηριοποιούνται στην περιοχή της Υπερδνειστερίας, ως βήμα προς την κανονιστική ευθυγράμμιση και την οικονομική ολοκλήρωση·</w:t>
      </w:r>
    </w:p>
    <w:p w:rsidR="002C68F7" w:rsidRPr="001A1054" w:rsidP="000D731A" w14:paraId="74AEFDCE" w14:textId="4E066CA8">
      <w:pPr>
        <w:pStyle w:val="NormalHanging12a"/>
        <w:ind w:left="567" w:hanging="570"/>
      </w:pPr>
      <w:r w:rsidRPr="001A1054">
        <w:t>27.</w:t>
      </w:r>
      <w:r w:rsidRPr="001A1054">
        <w:tab/>
      </w:r>
      <w:r w:rsidRPr="001A1054">
        <w:t>επαναλαμβάνει τη σημασία των οργανώσεων της κοινωνίας των πολιτών (ΟΚΠ) και των ανεξάρτητων μέσων ενημέρωσης για την παρακολούθηση της διακυβέρνησης και της προόδου όσον αφορά τις μεταρρυθμίσεις που σχετίζονται με την ΕΕ· επιμένει ότι η χρηματοδοτική στήριξη προς τις μολδαβικές ΟΚΠ στο πλαίσιο του προϋπολογισμού της ΕΕ για το 2027 και του μελλοντικού μηχανισμού «Παγκόσμια Ευρώπη» πρέπει να συνεχίσει να είναι ανεξάρτητη από την πρόοδο που έχει σημειώσει η κυβέρνηση όσον αφορά τις μεταρρυθμίσεις· ζητεί προβλέψιμες, ειδικές, ευέλικτες και προσβάσιμες χρηματοδοτικές ροές για τις τοπικές ΟΚΠ και τους υπερασπιστές των ανθρωπίνων δικαιωμάτων μέσω των νέων χρηματοδοτικών μηχανισμών που περιλαμβάνονται στο θεματολόγιο μεταρρυθμίσεων, ώστε να διασφαλιστεί ότι μπορούν να λειτουργούν αποτελεσματικά· καλεί την Κυβέρνηση της Μολδαβίας να συνεργαστεί πραγματικά και αποτελεσματικά με την κοινωνία των πολιτών, μεταξύ άλλων μέσω των μόνιμων συμβουλευτικών πλατφορμών· καλεί την Κυβέρνηση της Μολδαβίας να σημειώσει πρόοδο στην εφαρμογή του εθνικού προγράμματος για την ανάπτυξη των ΟΚΠ για την περίοδο 2024-2027· εκφράζει την ικανοποίησή του για τις τακτικές διαβουλεύσεις που πραγματοποιήθηκαν σχετικά με τη διαδικασία προσχώρησης στην ΕΕ και τις μεταρρυθμίσεις που σχετίζονται με την προσχώρηση·</w:t>
      </w:r>
    </w:p>
    <w:p w:rsidR="002C68F7" w:rsidRPr="001A1054" w:rsidP="000D731A" w14:paraId="784BABA3" w14:textId="1593468E">
      <w:pPr>
        <w:pStyle w:val="NormalHanging12a"/>
        <w:ind w:left="567" w:hanging="570"/>
      </w:pPr>
      <w:r w:rsidRPr="001A1054">
        <w:t>28.</w:t>
      </w:r>
      <w:r w:rsidRPr="001A1054">
        <w:tab/>
      </w:r>
      <w:r w:rsidRPr="001A1054">
        <w:t>επαναλαμβάνει την έκκλησή του να επιταχυνθεί η σταδιακή ένταξη της Μολδαβίας στην ενιαία αγορά της ΕΕ, με τη συνεχιζόμενη ευθυγράμμιση του νομικού και κανονιστικού της πλαισίου με το κεκτημένο της ΕΕ και με τη σύνδεση της χώρας με περισσότερα προγράμματα, οργανισμούς και πρωτοβουλίες της ΕΕ, συμπεριλαμβανομένων εκείνων που σχετίζονται με την ψηφιακή οικονομία, τις χρηματοπιστωτικές υπηρεσίες και την καινοτομία· συγχαίρει τη Μολδαβία για το γεγονός ότι κατέστη επιχειρησιακό μέρος του ενιαίου χώρου πληρωμών σε ευρώ από την 6η Οκτωβρίου 2025, κάτι που διευκολύνει τις μεταφορές σε ευρώ και μειώνει το κόστος για τους πολίτες και τις επιχειρήσεις της Μολδαβίας· εκφράζει την ικανοποίησή του για την ένταξη της Μολδαβίας στην περιοχή περιαγωγής με χρέωση εσωτερικού της ΕΕ από την 1η Ιανουαρίου 2026, η οποία επιτρέπει στους Μολδαβούς πολίτες να χρησιμοποιούν τους μολδαβικούς αριθμούς τηλεφώνου τους όταν ταξιδεύουν στην ΕΕ χωρίς να επιβαρύνονται με τέλη περιαγωγής· επισημαίνει ότι τα απτά αυτά οφέλη διαδραματίζουν καίριο ρόλο στην ενίσχυση της δημόσιας στήριξης για την ένταξη στην ΕΕ· ενθαρρύνει την περαιτέρω ευθυγράμμιση με το ψηφιακό κεκτημένο της ΕΕ και τις συνεχείς προσπάθειες για την ενίσχυση της συνδεσιμότητας, των ψηφιακών υποδομών και της ολοκλήρωσης της αγοράς·</w:t>
      </w:r>
    </w:p>
    <w:p w:rsidR="002C68F7" w:rsidRPr="001A1054" w:rsidP="000D731A" w14:paraId="0A048A53" w14:textId="6D2DEABD">
      <w:pPr>
        <w:pStyle w:val="NormalHanging12a"/>
        <w:ind w:left="567" w:hanging="570"/>
      </w:pPr>
      <w:r w:rsidRPr="001A1054">
        <w:t>29.</w:t>
      </w:r>
      <w:r w:rsidRPr="001A1054">
        <w:tab/>
      </w:r>
      <w:r w:rsidRPr="001A1054">
        <w:t>υπογραμμίζει την κρίσιμη ανάγκη να επιταχυνθούν ολοκληρωμένες μεταρρυθμίσεις στη δημόσια διοίκηση· καλεί την Κυβέρνηση της Μολδαβίας να διασφαλίσει μια πλήρως αξιοκρατική, επαγγελματική και διαφανή δημόσια διοίκηση τόσο σε κεντρικό όσο και σε τοπικό επίπεδο, στοιχείο απαραίτητο για την αποτελεσματική εφαρμογή του κεκτημένου της ΕΕ· τονίζει ότι μια ουσιαστική εδαφική-διοικητική μεταρρύθμιση είναι ζωτικής σημασίας για την ενδυνάμωση των τοπικών αρχών, καθώς ο υφιστάμενος κατακερματισμός των δήμων παρεμποδίζει σοβαρά την οικονομική ανεξαρτησία τους και τη διοικητική τους ικανότητα να διεκδικούν, να απορροφούν και να διαχειρίζονται επιτυχώς την ενωσιακή χρηματοδότηση για την περιφερειακή ανάπτυξη· τονίζει ότι είναι αναγκαίο να διατεθούν στις τοπικές και τις περιφερειακές αρχές στοχευμένα εκπαιδευτικά προγράμματα και στήριξη για την ανάπτυξη ικανοτήτων, ώστε να τους δοθεί η δυνατότητα να υποβάλουν επιτυχώς αίτηση για τις διαθέσιμες ευκαιρίες ενωσιακής χρηματοδότησης, αλλά και να απορροφήσουν και να διαχειριστούν επιτυχώς αυτή τη χρηματοδότηση·</w:t>
      </w:r>
    </w:p>
    <w:p w:rsidR="002C68F7" w:rsidRPr="001A1054" w:rsidP="000D731A" w14:paraId="6B3B3A3D" w14:textId="21D46B87">
      <w:pPr>
        <w:pStyle w:val="NormalHanging12a"/>
        <w:ind w:left="567" w:hanging="570"/>
      </w:pPr>
      <w:r w:rsidRPr="001A1054">
        <w:t>30.</w:t>
      </w:r>
      <w:r w:rsidRPr="001A1054">
        <w:tab/>
      </w:r>
      <w:r w:rsidRPr="001A1054">
        <w:t>υπογραμμίζει ότι μια επιτυχής διαδικασία προσχώρησης στην ΕΕ απαιτεί ισχυρή ανάληψη ιδίας ευθύνης σε τοπικό επίπεδο· εκφράζει τη λύπη του για την έλλειψη επίσημων μηχανισμών για τις τοπικές και τις περιφερειακές αρχές στην προτεινόμενη αρχιτεκτονική του ΠΔΠ· καλεί την Κυβέρνηση της Μολδαβίας και την Επιτροπή να διασφαλίσουν τη συστηματική συμμετοχή των τοπικών και των περιφερειακών αρχών της Μολδαβίας και των οργανώσεών τους στην κατάρτιση πολυετών ενδεικτικών προγραμμάτων και σχεδίων δράσης· ζητεί τη δημιουργία ειδικών μέτρων για την ανάπτυξη ικανοτήτων και χρηματοδοτικών ροών εντός του πλαισίου του μελλοντικού μηχανισμού «Παγκόσμια Ευρώπη» για τη στήριξη των μολδαβικών δήμων στην εφαρμογή μεταρρυθμίσεων αποκέντρωσης και την παροχή ευθυγραμμισμένων με την ΕΕ δημόσιων υπηρεσιών·</w:t>
      </w:r>
    </w:p>
    <w:p w:rsidR="002C68F7" w:rsidRPr="001A1054" w:rsidP="000D731A" w14:paraId="5A3616D1" w14:textId="7528305E">
      <w:pPr>
        <w:pStyle w:val="NormalHanging12a"/>
        <w:ind w:left="567" w:hanging="570"/>
      </w:pPr>
      <w:r w:rsidRPr="001A1054">
        <w:t>31.</w:t>
      </w:r>
      <w:r w:rsidRPr="001A1054">
        <w:tab/>
      </w:r>
      <w:r w:rsidRPr="001A1054">
        <w:t xml:space="preserve">εκφράζει την ικανοποίησή του για τη συμμετοχή της Μολδαβίας στο πρόγραμμα «Δημιουργική Ευρώπη», το ενωσιακό πρόγραμμα για τη στήριξη του πολιτιστικού και του δημιουργικού τομέα, από την 1η Ιανουαρίου 2026, καθώς και στο σκέλος «Απασχόληση και Κοινωνική Καινοτομία» του Ευρωπαϊκού Κοινωνικού Ταμείου+, που επιτρέπει στη Μολδαβία να έχει πρόσβαση σε ενωσιακή χρηματοδότηση για έργα με στόχο τη μείωση της ανεργίας, τη βελτίωση της ποιότητας των θέσεων εργασίας και την προώθηση της κοινωνικής καινοτομίας· καλεί την Επιτροπή να στηρίξει την ένταξη της χώρας στον Φορέα Ευρωπαϊκών Ρυθμιστικών Αρχών για τις Ηλεκτρονικές Επικοινωνίες, στον Ευρωπαϊκό Οργανισμό Περιβάλλοντος, στο πρόγραμμα </w:t>
      </w:r>
      <w:r w:rsidRPr="001A1054">
        <w:t>Erasmus</w:t>
      </w:r>
      <w:r w:rsidRPr="001A1054">
        <w:t xml:space="preserve">+, στο πρόγραμμα </w:t>
      </w:r>
      <w:r w:rsidRPr="001A1054">
        <w:t>DiscoverEU</w:t>
      </w:r>
      <w:r w:rsidRPr="001A1054">
        <w:t xml:space="preserve"> και στο πρόγραμμα για την προώθηση της κατανάλωσης φρούτων, λαχανικών και γάλακτος στα σχολεία·</w:t>
      </w:r>
    </w:p>
    <w:p w:rsidR="002C68F7" w:rsidRPr="001A1054" w:rsidP="002C68F7" w14:paraId="6816360D" w14:textId="77777777">
      <w:pPr>
        <w:pStyle w:val="Normal12a"/>
      </w:pPr>
      <w:r w:rsidRPr="001A1054">
        <w:rPr>
          <w:b/>
          <w:i/>
        </w:rPr>
        <w:t>Ανθρώπινα δικαιώματα</w:t>
      </w:r>
    </w:p>
    <w:p w:rsidR="002C68F7" w:rsidRPr="001A1054" w:rsidP="000D731A" w14:paraId="372480AB" w14:textId="4799DFB6">
      <w:pPr>
        <w:pStyle w:val="NormalHanging12a"/>
        <w:ind w:left="567" w:hanging="570"/>
      </w:pPr>
      <w:r w:rsidRPr="001A1054">
        <w:t>32.</w:t>
      </w:r>
      <w:r w:rsidRPr="001A1054">
        <w:tab/>
      </w:r>
      <w:r w:rsidRPr="001A1054">
        <w:t xml:space="preserve">επικροτεί τις προσπάθειες των αρχών της Δημοκρατίας της Μολδαβίας να βελτιώσουν το νομοθετικό πλαίσιο για την ισότητα των φύλων, την καταπολέμηση της ενδοοικογενειακής βίας και την προστασία των θυμάτων, και να το ευθυγραμμίσουν με τα διεθνή και τα ευρωπαϊκά πρότυπα, μεταξύ άλλων με την ποινικοποίηση της ψηφιακής βίας και του καταναγκαστικού γάμου, και με την εισαγωγή του αδικήματος της </w:t>
      </w:r>
      <w:r w:rsidRPr="001A1054">
        <w:t>γυναικοκτονίας</w:t>
      </w:r>
      <w:r w:rsidRPr="001A1054">
        <w:t xml:space="preserve"> στον ποινικό της κώδικα· καλεί τις αρχές της Δημοκρατίας της Μολδαβίας να ενισχύσουν την αποτελεσματική εφαρμογή της ισχύουσας νομοθεσίας για την καταπολέμηση της βίας κατά των γυναικών, συμπεριλαμβανομένης της ενδοοικογενειακής βίας, και την προστασία των θυμάτων·</w:t>
      </w:r>
    </w:p>
    <w:p w:rsidR="002C68F7" w:rsidRPr="001A1054" w:rsidP="000D731A" w14:paraId="0E68E1D6" w14:textId="66362E44">
      <w:pPr>
        <w:pStyle w:val="NormalHanging12a"/>
        <w:ind w:left="567" w:hanging="570"/>
      </w:pPr>
      <w:r w:rsidRPr="001A1054">
        <w:t>33.</w:t>
      </w:r>
      <w:r w:rsidRPr="001A1054">
        <w:tab/>
      </w:r>
      <w:r w:rsidRPr="001A1054">
        <w:t>εκφράζει την ικανοποίησή του για τη συνεχιζόμενη εφαρμογή της εθνικής στρατηγικής για την εμπορία ανθρώπων που εγκρίθηκε τον Σεπτέμβριο του 2023· καλεί τη Μολδαβία να ενισχύσει περαιτέρω το νομικό και θεσμικό της πλαίσιο, μεταξύ άλλων με τη θέσπιση αποτελεσματικότερων εργαλείων για τις δημόσιες αρχές με σκοπό τη διερεύνηση και τη δίωξη αναδυόμενων μορφών εκμετάλλευσης·</w:t>
      </w:r>
    </w:p>
    <w:p w:rsidR="002C68F7" w:rsidRPr="001A1054" w:rsidP="000D731A" w14:paraId="68AC8DAE" w14:textId="7DEC1D8A">
      <w:pPr>
        <w:pStyle w:val="NormalHanging12a"/>
        <w:ind w:left="567" w:hanging="570"/>
      </w:pPr>
      <w:r w:rsidRPr="001A1054">
        <w:t>34.</w:t>
      </w:r>
      <w:r w:rsidRPr="001A1054">
        <w:tab/>
      </w:r>
      <w:r w:rsidRPr="001A1054">
        <w:t xml:space="preserve">σημειώνει ότι το νομικό και θεσμικό πλαίσιο για τα δικαιώματα των ατόμων με αναπηρία στη Μολδαβία χρειάζεται περαιτέρω ευθυγράμμιση με το κεκτημένο της ΕΕ </w:t>
      </w:r>
      <w:r w:rsidRPr="001A1054">
        <w:t>και τα σχετικά διεθνή πρότυπα· ζητεί ειδικότερα την ευθυγράμμιση του πλαισίου για την προσβασιμότητα με την ευρωπαϊκή πράξη για την προσβασιμότητα</w:t>
      </w:r>
      <w:r>
        <w:rPr>
          <w:rStyle w:val="FootnoteReference"/>
        </w:rPr>
        <w:footnoteReference w:id="4"/>
      </w:r>
      <w:r w:rsidRPr="001A1054">
        <w:t>·</w:t>
      </w:r>
    </w:p>
    <w:p w:rsidR="002C68F7" w:rsidRPr="001A1054" w:rsidP="000D731A" w14:paraId="3EC43C3B" w14:textId="145AE411">
      <w:pPr>
        <w:pStyle w:val="NormalHanging12a"/>
        <w:ind w:left="567" w:hanging="570"/>
      </w:pPr>
      <w:r w:rsidRPr="001A1054">
        <w:t>35.</w:t>
      </w:r>
      <w:r w:rsidRPr="001A1054">
        <w:tab/>
      </w:r>
      <w:r w:rsidRPr="001A1054">
        <w:t xml:space="preserve">εκφράζει την ανησυχία του για τις προσπάθειες των αρχών της πόλης του </w:t>
      </w:r>
      <w:r w:rsidRPr="001A1054">
        <w:t>Κισινάου</w:t>
      </w:r>
      <w:r w:rsidRPr="001A1054">
        <w:t xml:space="preserve"> να απαγορεύσουν την Παρέλαση Υπερηφάνειας στο </w:t>
      </w:r>
      <w:r w:rsidRPr="001A1054">
        <w:t>Κισινάου</w:t>
      </w:r>
      <w:r w:rsidRPr="001A1054">
        <w:t xml:space="preserve"> και για τις βίαιες επιθέσεις κατά της ειρηνικής πορείας από άτομα που πραγματοποιούσαν αντιδιαδήλωση· καταδικάζει την παραπληροφόρηση και τις στοχευμένες διαδικτυακές εκστρατείες παραπληροφόρησης οι οποίες διαδίδονται από τοπικά μέσα ενημέρωσης στη Μολδαβία τα οποία συνδέονται με τη Ρωσία· καλεί τη Μολδαβία να διασφαλίσει το δικαίωμα στην ελευθερία του συνέρχεσθαι για όλους·</w:t>
      </w:r>
    </w:p>
    <w:p w:rsidR="002C68F7" w:rsidRPr="001A1054" w:rsidP="000D731A" w14:paraId="09476C1E" w14:textId="0817CE88">
      <w:pPr>
        <w:pStyle w:val="NormalHanging12a"/>
        <w:ind w:left="567" w:hanging="570"/>
      </w:pPr>
      <w:r w:rsidRPr="001A1054">
        <w:t>36.</w:t>
      </w:r>
      <w:r w:rsidRPr="001A1054">
        <w:tab/>
      </w:r>
      <w:r w:rsidRPr="001A1054">
        <w:t>καλεί τη Μολδαβία να ενισχύσει το νομικό και θεσμικό πλαίσιο για την προστασία των δικαιωμάτων των ατόμων που ανήκουν σε μειονότητες, συμπεριλαμβανομένων των ατόμων ΛΟΑΤΙ·</w:t>
      </w:r>
    </w:p>
    <w:p w:rsidR="002C68F7" w:rsidRPr="001A1054" w:rsidP="002C68F7" w14:paraId="140B75B8" w14:textId="77777777">
      <w:pPr>
        <w:pStyle w:val="Normal12a"/>
      </w:pPr>
      <w:r w:rsidRPr="001A1054">
        <w:rPr>
          <w:b/>
          <w:i/>
        </w:rPr>
        <w:t xml:space="preserve">Ακαδημαϊκή συνεργασία και διαπροσωπικές επαφές </w:t>
      </w:r>
    </w:p>
    <w:p w:rsidR="002C68F7" w:rsidRPr="001A1054" w:rsidP="000D731A" w14:paraId="16AFDDE0" w14:textId="685B0D3D">
      <w:pPr>
        <w:pStyle w:val="NormalHanging12a"/>
        <w:ind w:left="567" w:hanging="570"/>
      </w:pPr>
      <w:r w:rsidRPr="001A1054">
        <w:t>37.</w:t>
      </w:r>
      <w:r w:rsidRPr="001A1054">
        <w:tab/>
      </w:r>
      <w:r w:rsidRPr="001A1054">
        <w:t xml:space="preserve">εκφράζει την ικανοποίησή του για τη σημαντική πρόοδο που έχει σημειώσει η Μολδαβία όσον αφορά την ευθυγράμμιση του οικείου συστήματος τριτοβάθμιας εκπαίδευσης με τον ευρωπαϊκό χώρο τριτοβάθμιας εκπαίδευσης, συμπεριλαμβανομένης της συμμετοχής τριών μολδαβικών ιδρυμάτων, ως συνδεδεμένων εταίρων, σε συνασπισμούς ευρωπαϊκών πανεπιστημίων· επαινεί περαιτέρω τη συμμετοχή της χώρας στη διεθνή διάσταση του προγράμματος </w:t>
      </w:r>
      <w:r w:rsidRPr="001A1054">
        <w:t>Erasmus</w:t>
      </w:r>
      <w:r w:rsidRPr="001A1054">
        <w:t>+ 2021-2027 και σε τέσσερις ομάδες εργασίας του Ευρωπαϊκού Χώρου Εκπαίδευσης·</w:t>
      </w:r>
    </w:p>
    <w:p w:rsidR="002C68F7" w:rsidRPr="001A1054" w:rsidP="000D731A" w14:paraId="73DF9F88" w14:textId="5729597E">
      <w:pPr>
        <w:pStyle w:val="NormalHanging12a"/>
        <w:ind w:left="567" w:hanging="570"/>
      </w:pPr>
      <w:r w:rsidRPr="001A1054">
        <w:t>38.</w:t>
      </w:r>
      <w:r w:rsidRPr="001A1054">
        <w:tab/>
      </w:r>
      <w:r w:rsidRPr="001A1054">
        <w:t>εκφράζει την ικανοποίησή του για την εντεινόμενη συνεργασία της Μολδαβίας με τα ευρωπαϊκά δίκτυα έρευνας και καινοτομίας και ενθαρρύνει την περαιτέρω ένταξή της στο πρόγραμμα «Ορίζων Ευρώπη», το οποίο θα παράσχει στα πανεπιστήμια και τα ερευνητικά ιδρύματα πρόσβαση σε ευρωπαϊκή χρηματοδότηση, συνεργατικές ερευνητικές υποδομές και επιστημονικές συμπράξεις·</w:t>
      </w:r>
    </w:p>
    <w:p w:rsidR="002C68F7" w:rsidRPr="001A1054" w:rsidP="002C68F7" w14:paraId="64F81758" w14:textId="77777777">
      <w:pPr>
        <w:pStyle w:val="Normal12a"/>
      </w:pPr>
      <w:r w:rsidRPr="001A1054">
        <w:rPr>
          <w:b/>
          <w:i/>
        </w:rPr>
        <w:t>Ενέργεια, περιβάλλον και συνδεσιμότητα</w:t>
      </w:r>
    </w:p>
    <w:p w:rsidR="002C68F7" w:rsidRPr="001A1054" w:rsidP="000D731A" w14:paraId="1CA47D63" w14:textId="42BC9192">
      <w:pPr>
        <w:pStyle w:val="NormalHanging12a"/>
        <w:ind w:left="567" w:hanging="570"/>
      </w:pPr>
      <w:r w:rsidRPr="001A1054">
        <w:t>39.</w:t>
      </w:r>
      <w:r w:rsidRPr="001A1054">
        <w:tab/>
      </w:r>
      <w:r w:rsidRPr="001A1054">
        <w:t>επαινεί τις συνεχείς προσπάθειες της χώρας να ευθυγραμμίσει τον ενεργειακό τομέα της με το κεκτημένο της ΕΕ και να κινηθεί προς την πλήρη ενσωμάτωσή του στην αγορά ενέργειας της ΕΕ, προκειμένου να διασφαλιστεί η ενεργειακή ασφάλεια και ανθεκτικότητα της Μολδαβίας·</w:t>
      </w:r>
    </w:p>
    <w:p w:rsidR="002C68F7" w:rsidRPr="001A1054" w:rsidP="000D731A" w14:paraId="6D6B0073" w14:textId="6289277B">
      <w:pPr>
        <w:pStyle w:val="NormalHanging12a"/>
        <w:ind w:left="567" w:hanging="570"/>
      </w:pPr>
      <w:r w:rsidRPr="001A1054">
        <w:t>40.</w:t>
      </w:r>
      <w:r w:rsidRPr="001A1054">
        <w:tab/>
      </w:r>
      <w:r w:rsidRPr="001A1054">
        <w:t>σημειώνει με ικανοποίηση ότι η Μολδαβία πέτυχε τις υψηλότερες επιδόσεις όσον αφορά τη μεταφορά της ευρωπαϊκής νομοθεσίας μεταξύ των χωρών μελών της Ενεργειακής Κοινότητας, καθώς πρωτοστάτησε επίσης μεταξύ των συμβαλλόμενων μερών της Κοινότητας όσον αφορά την πλήρη μεταφορά της δέσμης μέτρων για την ενοποίηση του τομέα της ηλεκτρικής ενέργειας· καλεί την Επιτροπή, τη Γραμματεία της Ενεργειακής Κοινότητας και άλλους σχετικούς φορείς να διασφαλίσουν την πλήρη σύζευξη της Μολδαβίας με την αγορά ηλεκτρικής ενέργειας της ΕΕ το αργότερο έως το 2028·</w:t>
      </w:r>
    </w:p>
    <w:p w:rsidR="002C68F7" w:rsidRPr="001A1054" w:rsidP="000D731A" w14:paraId="3CFD328A" w14:textId="2FAEDE0B">
      <w:pPr>
        <w:pStyle w:val="NormalHanging12a"/>
        <w:ind w:left="567" w:hanging="570"/>
      </w:pPr>
      <w:r w:rsidRPr="001A1054">
        <w:t>41.</w:t>
      </w:r>
      <w:r w:rsidRPr="001A1054">
        <w:tab/>
      </w:r>
      <w:r w:rsidRPr="001A1054">
        <w:t>τονίζει ότι, προκειμένου να ενισχυθεί περαιτέρω η ενεργειακή ανθεκτικότητα της Μολδαβίας, οι αρχές της, με τη στήριξη της ΕΕ, θα πρέπει να συνεχίσουν να διαφοροποιούν τις πηγές ενεργειακού εφοδιασμού της, να επιταχύνουν την ενσωμάτωσή της στην ευρωπαϊκή αγορά ενέργειας, να εντείνουν τις επενδύσεις στην ενεργειακή απόδοση των δημόσιων και οικιστικών κτιρίων, να αυξήσουν την εγχώρια παραγωγή ενέργειας και να ενθαρρύνουν τη μείωση της ζήτησης· εκφράζει την ικανοποίησή του για το γεγονός ότι η Μολδαβία έχει αυξήσει σημαντικά το οικείο μερίδιο ενέργειας από ανανεώσιμες πηγές, το οποίο ανήλθε περίπου στο 25 % της κατανάλωσης το 2025 και σε 1 GW συνολικής εγκατεστημένης δυναμικότητας, γεγονός που αποτελεί σημαντικό ορόσημο για την ανάπτυξη της τοπικής παραγωγής ενέργειας και της ενεργειακής μετάβασης της χώρας·</w:t>
      </w:r>
    </w:p>
    <w:p w:rsidR="002C68F7" w:rsidRPr="001A1054" w:rsidP="000D731A" w14:paraId="5888AE39" w14:textId="28D9340F">
      <w:pPr>
        <w:pStyle w:val="NormalHanging12a"/>
        <w:ind w:left="567" w:hanging="570"/>
      </w:pPr>
      <w:r w:rsidRPr="001A1054">
        <w:t>42.</w:t>
      </w:r>
      <w:r w:rsidRPr="001A1054">
        <w:tab/>
      </w:r>
      <w:r w:rsidRPr="001A1054">
        <w:t xml:space="preserve">εκφράζει την ικανοποίησή του για το κυβερνητικό σχέδιο δράσης του Μαρτίου του 2025 για την εξάλειψη κάθε εξάρτησης από ρωσικούς ενεργειακούς πόρους στους τομείς της ηλεκτρικής ενέργειας, του φυσικού αερίου και του πετρελαίου, το οποίο εγκρίθηκε στο πλαίσιο της υλοποίησης της ολοκληρωμένης στρατηγικής ΕΕ-Μολδαβίας για την ενεργειακή ανεξαρτησία και ανθεκτικότητα της 4ης Φεβρουαρίου 2025· υπενθυμίζει ότι το 2025 η Ρωσία σταμάτησε να εφοδιάζει τον σταθμό ηλεκτροπαραγωγής </w:t>
      </w:r>
      <w:r w:rsidRPr="001A1054">
        <w:t>Cuciurgan</w:t>
      </w:r>
      <w:r w:rsidRPr="001A1054">
        <w:t xml:space="preserve"> με φυσικό αέριο, σε μια εκβιαστική προσπάθεια να επηρεάσει τις διεθνείς επιλογές της Μολδαβίας, και ότι τα πρώτα θύματα της επακόλουθης ενεργειακής κρίσης ήταν οι άνθρωποι και στις δύο πλευρές του ποταμού Δνείστερου·</w:t>
      </w:r>
    </w:p>
    <w:p w:rsidR="002C68F7" w:rsidRPr="001A1054" w:rsidP="000D731A" w14:paraId="0E90B599" w14:textId="4336D013">
      <w:pPr>
        <w:pStyle w:val="NormalHanging12a"/>
        <w:ind w:left="567" w:hanging="570"/>
      </w:pPr>
      <w:r w:rsidRPr="001A1054">
        <w:t>43.</w:t>
      </w:r>
      <w:r w:rsidRPr="001A1054">
        <w:tab/>
      </w:r>
      <w:r w:rsidRPr="001A1054">
        <w:t>εκφράζει την ικανοποίησή του για το γεγονός ότι τον Δεκέμβριο του 2025 ολοκληρώθηκε η κατασκευή της εναέριας γραμμής μεταφοράς ηλεκτρικής ενέργειας 400 </w:t>
      </w:r>
      <w:r w:rsidRPr="001A1054">
        <w:t>kV</w:t>
      </w:r>
      <w:r w:rsidRPr="001A1054">
        <w:t xml:space="preserve"> </w:t>
      </w:r>
      <w:r w:rsidRPr="001A1054">
        <w:t>Βουλκανέστι-Κισινάου</w:t>
      </w:r>
      <w:r w:rsidRPr="001A1054">
        <w:t>, ενώ η μεταφορά ηλεκτρικής ενέργειας μέσω της εν λόγω γραμμής αναμένεται να ξεκινήσει το 2026· σημειώνει ότι αυτό το πρακτικό βήμα μειώνει την εξάρτηση της Μολδαβίας από τις ενεργειακές υποδομές στην περιοχή της Υπερδνειστερίας και την ευπάθειά της στην εχθρική ρωσική επιρροή, και επιτρέπει στη χώρα να συνδεθεί με ασφάλεια και αξιοπιστία με το ευρωπαϊκό δίκτυο ηλεκτρικής ενέργειας μέσω της Ρουμανίας·</w:t>
      </w:r>
    </w:p>
    <w:p w:rsidR="002C68F7" w:rsidRPr="001A1054" w:rsidP="000D731A" w14:paraId="60936FD8" w14:textId="15359236">
      <w:pPr>
        <w:pStyle w:val="NormalHanging12a"/>
        <w:ind w:left="567" w:hanging="570"/>
      </w:pPr>
      <w:r w:rsidRPr="001A1054">
        <w:t>44.</w:t>
      </w:r>
      <w:r w:rsidRPr="001A1054">
        <w:tab/>
      </w:r>
      <w:r w:rsidRPr="001A1054">
        <w:t>καλεί την Επιτροπή να μεγιστοποιήσει τη χρήση των κονδυλίων διασυνοριακής συνεργασίας που διατίθενται στο πλαίσιο του μελλοντικού μηχανισμού «Παγκόσμια Ευρώπη» και του Ταμείου Εθνικής και Περιφερειακής Εταιρικής Σχέσης, ώστε να επιταχυνθεί περαιτέρω η ένταξη των μεταφορών, της ενέργειας και των ψηφιακών υποδομών της Μολδαβίας στην ευρωπαϊκή ενιαία αγορά· τονίζει ότι η εν λόγω χρηματοδότηση θα πρέπει να δίνει προτεραιότητα σε έργα υψηλού αντικτύπου που αφορούν τις μεταφορές, την ενέργεια και τις ψηφιακές υποδομές, συμπεριλαμβανομένων των διασυνοριακών διασυνδέσεων, της εγχώριας παραγωγής ενέργειας από ανανεώσιμες πηγές, της ενεργειακής απόδοσης, της ευθυγράμμισης με το διευρωπαϊκό δίκτυο μεταφορών, του συγχρονισμού του ενεργειακού δικτύου και της επέκτασης των ευρυζωνικών συνδέσεων· ενθαρρύνει την ταχεία ανάπτυξη πρόσθετων έργων ενεργειακής διασύνδεσης με τη Μολδαβία, όπως οι εναέριες γραμμές μεταφοράς ηλεκτρικής ενέργειας 400 </w:t>
      </w:r>
      <w:r w:rsidRPr="001A1054">
        <w:t>kV</w:t>
      </w:r>
      <w:r w:rsidRPr="001A1054">
        <w:t xml:space="preserve"> </w:t>
      </w:r>
      <w:r w:rsidRPr="001A1054">
        <w:t>Suceava-Bălți</w:t>
      </w:r>
      <w:r w:rsidRPr="001A1054">
        <w:t xml:space="preserve"> και </w:t>
      </w:r>
      <w:r w:rsidRPr="001A1054">
        <w:t>Gutinaș-Strășeni</w:t>
      </w:r>
      <w:r w:rsidRPr="001A1054">
        <w:t>·</w:t>
      </w:r>
    </w:p>
    <w:p w:rsidR="002C68F7" w:rsidRPr="001A1054" w:rsidP="000D731A" w14:paraId="13369354" w14:textId="59A11F2B">
      <w:pPr>
        <w:pStyle w:val="NormalHanging12a"/>
        <w:ind w:left="567" w:hanging="570"/>
      </w:pPr>
      <w:r w:rsidRPr="001A1054">
        <w:t>45.</w:t>
      </w:r>
      <w:r w:rsidRPr="001A1054">
        <w:tab/>
      </w:r>
      <w:r w:rsidRPr="001A1054">
        <w:t xml:space="preserve">καταδικάζει απερίφραστα τις επιθέσεις που εξαπέλυσε η Ρωσία τον Μάρτιο του 2026 κατά ουκρανικών ενεργειακών υποδομών που απείλησαν την ενεργειακή και την υδρευτική ασφάλεια της Μολδαβίας, έχοντας άμεσο αντίκτυπο στην ασφάλεια των υδάτινων πόρων και στη δημόσια υγεία για το 80 % των πολιτών της χώρας, για τους οποίους ο ποταμός Δνείστερος αποτελεί την κύρια πηγή γλυκού νερού και πόσιμου </w:t>
      </w:r>
      <w:r w:rsidRPr="001A1054">
        <w:t>νερού, και οι οποίες προκάλεσαν την κήρυξη περιβαλλοντικής κατάστασης έκτακτης ανάγκης για διάστημα 15 ημερών στη Δημοκρατία της Μολδαβίας· εκφράζει την ικανοποίησή του για την ταχεία και συντονισμένη αντίδραση των αρχών της Μολδαβίας και της Ουκρανίας και των διαχειριστών συστημάτων μεταφοράς και καλεί την ΕΕ και τα κράτη μέλη της να παράσχουν στη Μολδαβία πρόσθετους χρηματοδοτικούς πόρους, τεχνική βοήθεια και εξειδικευμένο εξοπλισμό για την ενίσχυση της ικανότητάς της να αντιμετωπίζει μελλοντικές οικολογικές καταστροφές·</w:t>
      </w:r>
    </w:p>
    <w:p w:rsidR="002C68F7" w:rsidRPr="001A1054" w:rsidP="000D731A" w14:paraId="2FBEB989" w14:textId="65A081D1">
      <w:pPr>
        <w:pStyle w:val="NormalHanging12a"/>
        <w:ind w:left="567" w:hanging="570"/>
      </w:pPr>
      <w:r w:rsidRPr="001A1054">
        <w:t>46.</w:t>
      </w:r>
      <w:r w:rsidRPr="001A1054">
        <w:tab/>
      </w:r>
      <w:r w:rsidRPr="001A1054">
        <w:t>επισημαίνει ότι η Μολδαβία εξακολουθεί να αντιμετωπίζει σημαντικές περιβαλλοντικές προκλήσεις, συμπεριλαμβανομένων της ρύπανσης του αέρα και των υδάτων, των ανεπαρκών υποδομών διαχείρισης αποβλήτων και της συνεχιζόμενης απώλειας βιοποικιλότητας· τονίζει την ανάγκη να ενισχυθεί η διοικητική ικανότητα, να βελτιωθεί η επιβολή της περιβαλλοντικής νομοθεσίας και να εξασφαλιστούν επαρκείς επενδύσεις σε περιβαλλοντικές υποδομές·</w:t>
      </w:r>
    </w:p>
    <w:p w:rsidR="002C68F7" w:rsidRPr="001A1054" w:rsidP="000D731A" w14:paraId="42E08334" w14:textId="12E49122">
      <w:pPr>
        <w:pStyle w:val="NormalHanging12a"/>
        <w:ind w:left="567" w:hanging="570"/>
      </w:pPr>
      <w:r w:rsidRPr="001A1054">
        <w:t>47.</w:t>
      </w:r>
      <w:r w:rsidRPr="001A1054">
        <w:tab/>
      </w:r>
      <w:r w:rsidRPr="001A1054">
        <w:t>υπενθυμίζει ότι η Μολδαβία έχει ήδη υποστεί σημαντικό πλήγμα από τις σοβαρές επιπτώσεις του επιθετικού πολέμου πλήρους κλίμακας της Ρωσίας κατά της Ουκρανίας στην ασφάλεια, την οικονομία και την κοινωνία· εκφράζει τη βαθιά του ανησυχία για το γεγονός ότι είναι πλέον πιθανό η χώρα να περιληφθεί στις χώρες που θα πληγούν περισσότερο από την επιδείνωση της παγκόσμιας οικονομικής και ενεργειακής κρίσης λόγω του συνεχιζόμενου πολέμου στη Μέση Ανατολή· ζητεί από την ΕΕ και τα κράτη μέλη της να επιδείξουν συνεχή και αταλάντευτη αλληλεγγύη προς τη Μολδαβία και να παράσχουν την αναγκαία στήριξη για να συμβάλουν στον μετριασμό των επιπτώσεων των εν λόγω επικαλυπτόμενων εξωτερικών κλυδωνισμών στους πολίτες και την οικονομία της·</w:t>
      </w:r>
    </w:p>
    <w:p w:rsidR="002C68F7" w:rsidRPr="001A1054" w:rsidP="002C68F7" w14:paraId="3A1631D7" w14:textId="77777777">
      <w:pPr>
        <w:pStyle w:val="Normal12a"/>
      </w:pPr>
      <w:r w:rsidRPr="001A1054">
        <w:rPr>
          <w:b/>
          <w:i/>
        </w:rPr>
        <w:t xml:space="preserve">Συνεργασία στον τομέα της κοινής εξωτερικής πολιτικής και πολιτικής ασφάλειας και πρόοδος όσον αφορά τη διευθέτηση της διένεξης στην </w:t>
      </w:r>
      <w:r w:rsidRPr="001A1054">
        <w:rPr>
          <w:b/>
          <w:i/>
        </w:rPr>
        <w:t>Υπερδνειστερία</w:t>
      </w:r>
    </w:p>
    <w:p w:rsidR="002C68F7" w:rsidRPr="001A1054" w:rsidP="000D731A" w14:paraId="0082D7AE" w14:textId="753BD197">
      <w:pPr>
        <w:pStyle w:val="NormalHanging12a"/>
        <w:ind w:left="567" w:hanging="570"/>
      </w:pPr>
      <w:r w:rsidRPr="001A1054">
        <w:t>48.</w:t>
      </w:r>
      <w:r w:rsidRPr="001A1054">
        <w:tab/>
      </w:r>
      <w:r w:rsidRPr="001A1054">
        <w:t xml:space="preserve">συγχαίρει τη Μολδαβία για τη συνεπή συνεργασία της σε θέματα εξωτερικής πολιτικής και τις προσπάθειές της να ευθυγραμμιστεί πλήρως με τις θέσεις της κοινής εξωτερικής πολιτικής και πολιτικής ασφάλειας της ΕΕ· σημειώνει ότι το ποσοστό ευθυγράμμισης της Μολδαβίας με την εξωτερική πολιτική και την πολιτική ασφάλειας και άμυνας της ΕΕ, συμπεριλαμβανομένης της υιοθέτησης των κυρώσεων της ΕΕ κατά της Ρωσίας, ήταν 88 %· καλεί τη χώρα να συνεχίσει να βελτιώνει την ευθυγράμμιση αυτή, μεταξύ άλλων όσον αφορά τα περιοριστικά μέτρα κατά της Ρωσίας, και να συνεχίσει να συνεργάζεται για την πρόληψη της καταστρατήγησης των κυρώσεων κατά της Ρωσίας και της Λευκορωσίας που σχετίζονται με τον επιθετικό πόλεμο της Ρωσίας κατά της Ουκρανίας· επαινεί τη Μολδαβία για τη φιλοξενία του υψηλότερου κατά κεφαλήν αριθμού εκτοπισμένων Ουκρανών και για την αντιμετώπιση σημαντικών κοινωνικών, οικονομικών και διοικητικών πιέσεων ως αποτέλεσμα της μεγάλης εισροής προσφύγων· επικροτεί την αυξημένη συμμετοχή της Μολδαβίας σε αποστολές και επιχειρήσεις της ΕΕ στο πλαίσιο της κοινής πολιτικής ασφάλειας και άμυνας της ΕΕ, όπως η επιχείρηση </w:t>
      </w:r>
      <w:r w:rsidRPr="001A1054">
        <w:t>Althea</w:t>
      </w:r>
      <w:r w:rsidRPr="001A1054">
        <w:t xml:space="preserve"> στη Βοσνία και Ερζεγοβίνη και η εκπαιδευτική αποστολή της ΕΕ στη Σομαλία·</w:t>
      </w:r>
    </w:p>
    <w:p w:rsidR="002C68F7" w:rsidRPr="001A1054" w:rsidP="000D731A" w14:paraId="3698E822" w14:textId="4908E4BC">
      <w:pPr>
        <w:pStyle w:val="NormalHanging12a"/>
        <w:ind w:left="567" w:hanging="570"/>
      </w:pPr>
      <w:r w:rsidRPr="001A1054">
        <w:t>49.</w:t>
      </w:r>
      <w:r w:rsidRPr="001A1054">
        <w:tab/>
      </w:r>
      <w:r w:rsidRPr="001A1054">
        <w:t xml:space="preserve">αναγνωρίζει τον ρόλο της τριμερούς συνεργασίας μεταξύ της Μολδαβίας, της Ρουμανίας και της Ουκρανίας (το «τρίγωνο της </w:t>
      </w:r>
      <w:r w:rsidRPr="001A1054">
        <w:t>Οδησσού</w:t>
      </w:r>
      <w:r w:rsidRPr="001A1054">
        <w:t xml:space="preserve">») στην ενίσχυση της περιφερειακής ασφάλειας, στην προώθηση της διαδικασίας προσχώρησης της Μολδαβίας και της Ουκρανίας στην ΕΕ, στην ενίσχυση της συνδεσιμότητας των χωρών αυτών με την ΕΕ και στην αντιμετώπιση υβριδικών απειλών από τη Ρωσική </w:t>
      </w:r>
      <w:r w:rsidRPr="001A1054">
        <w:t>Ομοσπονδία, μεταξύ άλλων της παραπληροφόρησης και χειραγώγησης των πληροφοριών από το εξωτερικό, κυβερνοεπιθέσεων και ενεργειακών απειλών·</w:t>
      </w:r>
    </w:p>
    <w:p w:rsidR="002C68F7" w:rsidRPr="001A1054" w:rsidP="000D731A" w14:paraId="230E237E" w14:textId="3A11697E">
      <w:pPr>
        <w:pStyle w:val="NormalHanging12a"/>
        <w:ind w:left="567" w:hanging="570"/>
      </w:pPr>
      <w:r w:rsidRPr="001A1054">
        <w:t>50.</w:t>
      </w:r>
      <w:r w:rsidRPr="001A1054">
        <w:tab/>
      </w:r>
      <w:r w:rsidRPr="001A1054">
        <w:t>εκφράζει την ικανοποίησή του για την παράταση της εντολής της αποστολής εταιρικής σχέσης της ΕΕ στη Δημοκρατία της Μολδαβίας έως τις 31 Μαΐου 2027 και καλεί τα κράτη μέλη να συνεισφέρουν με τους αναγκαίους εμπειρογνώμονες και οικονομικούς πόρους· ενθαρρύνει την ΕΕ να συνεχίσει να στηρίζει την ανθεκτικότητα και την ετοιμότητα της Μολδαβίας, για παράδειγμα, έναντι πρωτοφανών ρωσικών παρεμβάσεων, μέσω της αποστολής εταιρικής σχέσης της ΕΕ, των ομάδων ταχείας αντίδρασης σε υβριδικές ενέργειες, των ομάδων ταχείας αντίδρασης στον κυβερνοχώρο και της εφεδρείας της ΕΕ στον τομέα της κυβερνοασφάλειας·</w:t>
      </w:r>
    </w:p>
    <w:p w:rsidR="002C68F7" w:rsidRPr="001A1054" w:rsidP="000D731A" w14:paraId="70744E1F" w14:textId="0D05FEEC">
      <w:pPr>
        <w:pStyle w:val="NormalHanging12a"/>
        <w:ind w:left="567" w:hanging="570"/>
      </w:pPr>
      <w:r w:rsidRPr="001A1054">
        <w:t>51.</w:t>
      </w:r>
      <w:r w:rsidRPr="001A1054">
        <w:tab/>
      </w:r>
      <w:r w:rsidRPr="001A1054">
        <w:t>επισημαίνει ότι οι φυσικές επιθέσεις κατά κρίσιμων υποδομών και οι προκλήσεις στον τομέα της ασφάλειας συνοδεύονται συστηματικά από εκστρατείες χειραγώγησης των πληροφοριών και παρεμβάσεων από το εξωτερικό που αποσκοπούν στο να μεταδώσουν πανικό στον πληθυσμό και να υπονομεύσουν την εμπιστοσύνη του κοινού στις αρχές της Μολδαβίας· τονίζει, επομένως, ότι είναι ζωτικής σημασίας να εξοπλιστούν τα θεσμικά όργανα της Μολδαβίας με ισχυρά εργαλεία για την ταχεία επικοινωνία σε καταστάσεις κρίσης, ώστε να καταπολεμηθεί αποτελεσματικά η παραπληροφόρηση και να διασφαλιστεί η ταχεία διάδοση τεκμηριωμένων πληροφοριών· σημειώνει ειδικότερα τα μέτρα που ελήφθησαν το 2025 για την ενίσχυση της επιχειρησιακής ικανότητας του Κέντρου Στρατηγικών Επικοινωνιών και Καταπολέμησης της Παραπληροφόρησης και του Εθνικού Οργανισμού για την Κυβερνοασφάλεια· ζητεί να αξιοποιηθούν στρατηγικά, το 2027 και στη συνέχεια, τα διαθέσιμα κονδύλια με σκοπό την ενίσχυση της ικανότητας της Μολδαβίας για τη στρατηγική επικοινωνία, την κυβερνοασφάλεια και την αντιμετώπιση της χειραγώγησης των πληροφοριών και των παρεμβάσεων από το εξωτερικό πριν από την ημερομηνία-στόχο για την προσχώρησή της· καλεί την ΕΕ να εφαρμόσει τα διδάγματα που αντλήθηκαν από την πείρα που αποκτήθηκε στη Μολδαβία όσον αφορά την προστασία της εκλογικής διαδικασίας και των δημοκρατικών θεσμών και την καταπολέμηση της χειραγώγησης των πληροφοριών και των παρεμβάσεων από το εξωτερικό στην ίδια την ΕΕ και σε άλλες υποψήφιες χώρες· επικροτεί, εν προκειμένω, τις προσπάθειες που καταβάλλουν οι δημόσιοι ραδιοτηλεοπτικοί φορείς των κρατών μελών για την παροχή τεκμηριωμένου περιεχομένου στο μολδαβικό κοινό·</w:t>
      </w:r>
    </w:p>
    <w:p w:rsidR="002C68F7" w:rsidRPr="001A1054" w:rsidP="000D731A" w14:paraId="38E5E1B1" w14:textId="37DBF9AC">
      <w:pPr>
        <w:pStyle w:val="NormalHanging12a"/>
        <w:ind w:left="567" w:hanging="570"/>
      </w:pPr>
      <w:r w:rsidRPr="001A1054">
        <w:t>52.</w:t>
      </w:r>
      <w:r w:rsidRPr="001A1054">
        <w:tab/>
      </w:r>
      <w:r w:rsidRPr="001A1054">
        <w:t xml:space="preserve">εκφράζει την ανησυχία του για την εργαλειοποίηση θρησκευτικών δομών για πολιτικούς σκοπούς, σύμφωνα με το ρωσικό στρατιωτικό δόγμα και την εθνική στρατηγική ασφάλειας, συμπεριλαμβανομένων των προσπαθειών επηρεασμού της κοινής γνώμης και των εκλογικών διαδικασιών με τρόπους που ενδέχεται να υπονομεύσουν την ευρωπαϊκή πορεία της Μολδαβίας· καλεί τις αρχές της Μολδαβίας να διασφαλίσουν τον πλήρη σεβασμό της θρησκευτικής ελευθερίας, αποτρέποντας παράλληλα κάθε αδικαιολόγητη εξωτερική παρέμβαση ή χειραγώγηση που θα μπορούσε να επηρεάσει τις δημοκρατικές διαδικασίες και τη στρατηγική κατεύθυνση της χώρας· καταδικάζει απερίφραστα τη χρήση της συνδεόμενης με τη Μόσχα Μητρόπολης του </w:t>
      </w:r>
      <w:r w:rsidRPr="001A1054">
        <w:t>Κισινάου</w:t>
      </w:r>
      <w:r w:rsidRPr="001A1054">
        <w:t xml:space="preserve"> και πάσης Μολδαβίας, η οποία υπάγεται στη Ρωσική Ορθόδοξη Εκκλησία, ως διαύλου κατευθυνόμενων από το Κρεμλίνο εκλογικών παρεμβάσεων, παραπληροφόρησης και υβριδικής επιρροής στη Δημοκρατία της Μολδαβίας·</w:t>
      </w:r>
    </w:p>
    <w:p w:rsidR="002C68F7" w:rsidRPr="001A1054" w:rsidP="000D731A" w14:paraId="66100277" w14:textId="50C8867B">
      <w:pPr>
        <w:pStyle w:val="NormalHanging12a"/>
        <w:ind w:left="567" w:hanging="570"/>
      </w:pPr>
      <w:r w:rsidRPr="001A1054">
        <w:t>53.</w:t>
      </w:r>
      <w:r w:rsidRPr="001A1054">
        <w:tab/>
      </w:r>
      <w:r w:rsidRPr="001A1054">
        <w:t xml:space="preserve">επαναλαμβάνει την πλήρη δέσμευσή του για την εδαφική ακεραιότητα της Μολδαβίας και την ειρηνική διευθέτηση της διένεξης με βάση την κυριαρχία και την εδαφική </w:t>
      </w:r>
      <w:r w:rsidRPr="001A1054">
        <w:t>ακεραιότητα της Μολδαβίας εντός των διεθνώς αναγνωρισμένων συνόρων της· ενθαρρύνει τη Μολδαβία να συνεχίσει τις προσπάθειές της με σκοπό την επανένταξη της περιοχής και καλεί τη Ρωσική Ομοσπονδία να εκπληρώσει τις διεθνείς υποχρεώσεις της διασφαλίζοντας την άμεση και άνευ όρων απόσυρση από την περιοχή της Υπερδνειστερίας όλου του στρατιωτικού προσωπικού, του εξοπλισμού και των πυρομαχικών της, η παρουσία των οποίων συνιστά σοβαρή παραβίαση του διεθνούς δικαίου και άμεση απειλή για την ασφάλεια της Μολδαβίας και της ευρύτερης ευρωπαϊκής γειτονίας·</w:t>
      </w:r>
    </w:p>
    <w:p w:rsidR="002C68F7" w:rsidRPr="001A1054" w:rsidP="000D731A" w14:paraId="0F3B6DCB" w14:textId="735CF8FA">
      <w:pPr>
        <w:pStyle w:val="NormalHanging12a"/>
        <w:ind w:left="567" w:hanging="570"/>
      </w:pPr>
      <w:r w:rsidRPr="001A1054">
        <w:t>54.</w:t>
      </w:r>
      <w:r w:rsidRPr="001A1054">
        <w:tab/>
      </w:r>
      <w:r w:rsidRPr="001A1054">
        <w:t>υποστηρίζει την προσέγγιση βάσει σταδίων των αρχών της Μολδαβίας όσον αφορά την επανένταξη της περιοχής της Υπερδνειστερίας, με ιδιαίτερη έμφαση στα απτά κοινωνικοοικονομικά οφέλη για τους πολίτες και στις δύο πλευρές του Δνείστερου· καλεί την ΕΕ να συμβάλει ενεργά στη διαδικασία ειρηνικής επανένταξης, μεταξύ άλλων μέσω ουσιαστικών συνεισφορών στο Ταμείο Σύγκλισης, το οποίο θα στηρίξει τη σταδιακή ευθυγράμμιση της περιοχής της Υπερδνειστερίας με το νομικό, οικονομικό και κοινωνικό πλαίσιο της Μολδαβίας, και θα επιφέρει συγκεκριμένες βελτιώσεις στις δημόσιες υπηρεσίες και τις τοπικές υποδομές για τους πολίτες·</w:t>
      </w:r>
    </w:p>
    <w:p w:rsidR="002C68F7" w:rsidRPr="001A1054" w:rsidP="000D731A" w14:paraId="75EFC10F" w14:textId="0A622CCA">
      <w:pPr>
        <w:pStyle w:val="NormalHanging12a"/>
        <w:ind w:left="567" w:hanging="570"/>
      </w:pPr>
      <w:r w:rsidRPr="001A1054">
        <w:t>55.</w:t>
      </w:r>
      <w:r w:rsidRPr="001A1054">
        <w:tab/>
      </w:r>
      <w:r w:rsidRPr="001A1054">
        <w:t xml:space="preserve">σημειώνει με ανησυχία τις συνεχιζόμενες προσπάθειες της Ρωσίας να εκμεταλλευτεί και να υποδαυλίσει εντάσεις μεταξύ της Αυτόνομης Εδαφικής Μονάδας της </w:t>
      </w:r>
      <w:r w:rsidRPr="001A1054">
        <w:t>Γκαγκαουζίας</w:t>
      </w:r>
      <w:r w:rsidRPr="001A1054">
        <w:t xml:space="preserve"> και των αρχών της Μολδαβίας· υποστηρίζει και ενθαρρύνει τις συνεχείς προσπάθειες της Κυβέρνησης της Μολδαβίας για την αντιμετώπιση των προκλήσεων αυτών μέσω εποικοδομητικού διαλόγου και συμπεριληπτικών μεταρρυθμίσεων· παροτρύνει τις περιφερειακές αρχές να συμμετάσχουν στον εν λόγω διάλογο καλή τη </w:t>
      </w:r>
      <w:r w:rsidRPr="001A1054">
        <w:t>πίστει</w:t>
      </w:r>
      <w:r w:rsidRPr="001A1054">
        <w:t xml:space="preserve"> και να διασφαλίσουν την ορθή διοργάνωση ελεύθερων, δίκαιων, διαφανών και νόμιμων εκλογών εντός της περιφέρειας, σε πλήρη συμμόρφωση με το δίκαιο της Μολδαβίας· επαναλαμβάνει ότι μια σταθερή, συνεργατική σχέση μεταξύ της πρωτεύουσας και των περιφερειών είναι απαραίτητη για την εσωτερική σταθερότητα της Μολδαβίας και τη συνεχή πρόοδό της στην ενταξιακή πορεία της στην ΕΕ·</w:t>
      </w:r>
    </w:p>
    <w:p w:rsidR="002C68F7" w:rsidRPr="001A1054" w:rsidP="000D731A" w14:paraId="09CE651F" w14:textId="18D3A4B3">
      <w:pPr>
        <w:pStyle w:val="NormalHanging12a"/>
        <w:ind w:left="567" w:hanging="570"/>
      </w:pPr>
      <w:r w:rsidRPr="001A1054">
        <w:t>56.</w:t>
      </w:r>
      <w:r w:rsidRPr="001A1054">
        <w:tab/>
      </w:r>
      <w:r w:rsidRPr="001A1054">
        <w:t>εκφράζει την ικανοποίησή του για την απόφαση της Μολδαβίας να αποχωρήσει από την Κοινοπολιτεία Ανεξαρτήτων Κρατών, στην οποία η Ρωσία διαδραματίζει κυρίαρχο ρόλο, ως κυρίαρχη και στρατηγική επιλογή που αντικατοπτρίζει την επιλογή της χώρας να ακολουθήσει ευρωπαϊκή πορεία· ζητεί να διευθετηθούν ζητήματα απότοκα της σοβιετικής περιόδου, για παράδειγμα μέσω του αποχαρακτηρισμού των αρχείων των πρώην σοβιετικών υπηρεσιών ασφαλείας, και ενθαρρύνει τη συζήτηση σχετικά με την παρουσία σοβιετικών προπαγανδιστικών συμβόλων σε δημόσιους χώρους·</w:t>
      </w:r>
    </w:p>
    <w:p w:rsidR="002C68F7" w:rsidRPr="001A1054" w:rsidP="000D731A" w14:paraId="4E0A15BA" w14:textId="7E5B8A40">
      <w:pPr>
        <w:pStyle w:val="NormalHanging12a"/>
        <w:ind w:left="567" w:hanging="570"/>
      </w:pPr>
      <w:r w:rsidRPr="001A1054">
        <w:t>57.</w:t>
      </w:r>
      <w:r w:rsidRPr="001A1054">
        <w:tab/>
      </w:r>
      <w:r w:rsidRPr="001A1054">
        <w:t>καταδικάζει απερίφραστα τις επανειλημμένες, μη εξουσιοδοτημένες παρεισφρήσεις ρωσικών δρόνων στον εναέριο χώρο και το έδαφος της Μολδαβίας από το 2022, οι οποίες συνιστούν σοβαρή παραβίαση της κυριαρχίας και της εδαφικής ακεραιότητας της Μολδαβίας· τονίζει ότι οι ενέργειες αυτές συνιστούν άμεσο κίνδυνο για τη μη στρατιωτική ασφάλεια, την προστασία και την περιφερειακή σταθερότητα, και επαναλαμβάνει την ανάγκη για αυστηρή τήρηση του διεθνούς δικαίου· υπογραμμίζει, στο πλαίσιο αυτό, την κρίσιμη σημασία των επενδύσεων σε υποδομές εναέριας επιτήρησης και προστασίας·</w:t>
      </w:r>
    </w:p>
    <w:p w:rsidR="002C68F7" w:rsidRPr="001A1054" w:rsidP="000D731A" w14:paraId="73F054A3" w14:textId="503E3A9D">
      <w:pPr>
        <w:pStyle w:val="NormalHanging12a"/>
        <w:ind w:left="567" w:hanging="570"/>
      </w:pPr>
      <w:r w:rsidRPr="001A1054">
        <w:t>58.</w:t>
      </w:r>
      <w:r w:rsidRPr="001A1054">
        <w:tab/>
      </w:r>
      <w:r w:rsidRPr="001A1054">
        <w:t xml:space="preserve">εκφράζει τη συνεχιζόμενη στήριξη προς τις ένοπλες δυνάμεις της Μολδαβίας στο πλαίσιο του Ευρωπαϊκού Μηχανισμού για την Ειρήνη· επαναλαμβάνει την έκκλησή του προς τα κράτη μέλη να αυξήσουν περαιτέρω τη χρηματοδότηση του Ευρωπαϊκού Μηχανισμού για την Ειρήνη για τη Μολδαβία, προκειμένου να ενισχυθούν οι αμυντικές </w:t>
      </w:r>
      <w:r w:rsidRPr="001A1054">
        <w:t>ικανότητες της χώρας ενόψει των υφιστάμενων απειλών κατά της ασφάλειας· καλεί την Επιτροπή, σε συντονισμό με την ΕΥΕΔ, να διασφαλίσει πιο δομημένη, προβλέψιμη και ενισχυμένη στήριξη για την ενίσχυση των ικανοτήτων ασφάλειας και άμυνας της Δημοκρατίας της Μολδαβίας και την ευθυγράμμισή της με τα πρότυπα ασφάλειας της ΕΕ, στο πλαίσιο της διαδικασίας προσχώρησης· ζητεί να συνεχιστεί η στήριξη για τον εκσυγχρονισμό του αμυντικού τομέα της Μολδαβίας, συμπεριλαμβανομένων των ικανοτήτων της στον τομέα της αεράμυνας· τονίζει ότι η Μολδαβία δεν απολαμβάνει απλώς παθητικά ασφάλεια αλλά παρέχει ασφάλεια στην ΕΕ, δεδομένης της στρατηγικής της θέσης και της πολύτιμης πείρας της σε πραγματικό χρόνο· εκφράζει την ικανοποίησή του για την αναγνώριση της Μολδαβίας ως χώρας για την οποία μπορούν να συναφθούν κοινές προμήθειες για πρόσθετες ποσότητες αμυντικών προϊόντων στο πλαίσιο του προγράμματος για την ευρωπαϊκή αμυντική βιομηχανία, και για την αύξηση του ποσοστού χρηματοδοτικής συνεισφοράς της ΕΕ από 15 % σε 25 %, και ζητεί αυτή η προτιμησιακή μεταχείριση να ενσωματωθεί στην αρχιτεκτονική για την περίοδο μετά το 2027·</w:t>
      </w:r>
    </w:p>
    <w:p w:rsidR="002C68F7" w:rsidRPr="001A1054" w:rsidP="002C68F7" w14:paraId="65EBE9C6" w14:textId="77777777">
      <w:pPr>
        <w:pStyle w:val="NormalCenter12a"/>
      </w:pPr>
      <w:r w:rsidRPr="001A1054">
        <w:t>°</w:t>
      </w:r>
    </w:p>
    <w:p w:rsidR="002C68F7" w:rsidRPr="001A1054" w:rsidP="002C68F7" w14:paraId="267434D0" w14:textId="77777777">
      <w:pPr>
        <w:pStyle w:val="NormalCenter12a"/>
      </w:pPr>
      <w:r w:rsidRPr="001A1054">
        <w:t>°</w:t>
      </w:r>
      <w:r w:rsidRPr="001A1054">
        <w:tab/>
        <w:t>°</w:t>
      </w:r>
    </w:p>
    <w:p w:rsidR="001A1054" w:rsidRPr="001A1054" w:rsidP="000D731A" w14:paraId="531AC7E8" w14:textId="79A1D390">
      <w:pPr>
        <w:pStyle w:val="NormalHanging12a"/>
        <w:ind w:left="567" w:hanging="570"/>
      </w:pPr>
      <w:r w:rsidRPr="001A1054">
        <w:t>59.</w:t>
      </w:r>
      <w:r w:rsidRPr="001A1054">
        <w:tab/>
      </w:r>
      <w:r w:rsidRPr="001A1054" w:rsidR="002C68F7">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καθώς και στην Πρόεδρο, την Κυβέρνηση και το Κοινοβούλιο της Δημοκρατίας της Μολδαβίας.</w:t>
      </w:r>
    </w:p>
    <w:p w:rsidR="00E365E1" w:rsidRPr="001A1054" w:rsidP="00F1243D" w14:paraId="22A55939" w14:textId="535DC722"/>
    <w:sectPr w:rsidSect="001A105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3FDF46F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211440A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2DE951B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243D" w:rsidRPr="001A1054" w14:paraId="71DAB59E" w14:textId="77777777">
      <w:r w:rsidRPr="001A1054">
        <w:separator/>
      </w:r>
    </w:p>
  </w:footnote>
  <w:footnote w:type="continuationSeparator" w:id="1">
    <w:p w:rsidR="00F1243D" w:rsidRPr="001A1054" w14:paraId="4EF6ED48" w14:textId="77777777">
      <w:r w:rsidRPr="001A1054">
        <w:continuationSeparator/>
      </w:r>
    </w:p>
  </w:footnote>
  <w:footnote w:id="2">
    <w:p w:rsidR="006B797D" w:rsidRPr="000D731A" w:rsidP="001A1054" w14:paraId="5A4FAE1C" w14:textId="4BC638C4">
      <w:pPr>
        <w:pStyle w:val="FootnoteText"/>
        <w:ind w:left="567" w:hanging="567"/>
        <w:rPr>
          <w:sz w:val="24"/>
          <w:lang w:val="fi-FI"/>
        </w:rPr>
      </w:pPr>
      <w:r>
        <w:rPr>
          <w:rStyle w:val="FootnoteReference"/>
        </w:rPr>
        <w:footnoteRef/>
      </w:r>
      <w:r w:rsidRPr="000D731A">
        <w:rPr>
          <w:sz w:val="24"/>
          <w:lang w:val="fi-FI"/>
        </w:rPr>
        <w:t xml:space="preserve"> </w:t>
      </w:r>
      <w:r w:rsidRPr="000D731A">
        <w:rPr>
          <w:sz w:val="24"/>
          <w:lang w:val="fi-FI"/>
        </w:rPr>
        <w:tab/>
      </w:r>
      <w:r w:rsidRPr="001A1054">
        <w:rPr>
          <w:sz w:val="24"/>
          <w:lang w:val="el-GR"/>
        </w:rPr>
        <w:t>ΕΕ</w:t>
      </w:r>
      <w:r w:rsidRPr="000D731A">
        <w:rPr>
          <w:sz w:val="24"/>
          <w:lang w:val="fi-FI"/>
        </w:rPr>
        <w:t xml:space="preserve"> L, 2025/535, 21.3.2025, ELI: </w:t>
      </w:r>
      <w:hyperlink r:id="rId1" w:tgtFrame="http://data.europa.eu/eli/reg/2025/535/oj" w:history="1">
        <w:r w:rsidRPr="000D731A">
          <w:rPr>
            <w:rStyle w:val="Hyperlink"/>
            <w:sz w:val="24"/>
            <w:lang w:val="fi-FI"/>
          </w:rPr>
          <w:t>http://data.europa.eu/eli/reg/2025/535/oj</w:t>
        </w:r>
      </w:hyperlink>
      <w:r w:rsidRPr="000D731A">
        <w:rPr>
          <w:sz w:val="24"/>
          <w:lang w:val="fi-FI"/>
        </w:rPr>
        <w:t>.</w:t>
      </w:r>
    </w:p>
  </w:footnote>
  <w:footnote w:id="3">
    <w:p w:rsidR="006B797D" w:rsidRPr="001A1054" w:rsidP="001A1054" w14:paraId="5F778608" w14:textId="686A8BA6">
      <w:pPr>
        <w:pStyle w:val="FootnoteText"/>
        <w:ind w:left="567" w:hanging="567"/>
        <w:rPr>
          <w:sz w:val="24"/>
          <w:lang w:val="el-GR"/>
        </w:rPr>
      </w:pPr>
      <w:r>
        <w:rPr>
          <w:rStyle w:val="FootnoteReference"/>
        </w:rPr>
        <w:footnoteRef/>
      </w:r>
      <w:r w:rsidRPr="001A1054">
        <w:rPr>
          <w:sz w:val="24"/>
          <w:lang w:val="el-GR"/>
        </w:rPr>
        <w:t xml:space="preserve"> </w:t>
      </w:r>
      <w:r w:rsidRPr="001A1054">
        <w:rPr>
          <w:sz w:val="24"/>
          <w:lang w:val="el-GR"/>
        </w:rPr>
        <w:tab/>
        <w:t xml:space="preserve">Συμφωνία σύνδεσης μεταξύ της Ευρωπαϊκής Ένωσης και της Ευρωπαϊκής Κοινότητας Ατομικής Ενέργειας και των κρατών μελών τους, αφενός, και της Δημοκρατίας της Μολδαβίας, αφετέρου (ΕΕ L 260 της 30.8.2014, σ. 4, ELI: </w:t>
      </w:r>
      <w:hyperlink r:id="rId2" w:history="1">
        <w:r w:rsidRPr="00E42E57">
          <w:rPr>
            <w:rStyle w:val="Hyperlink"/>
            <w:sz w:val="24"/>
            <w:lang w:val="el-GR"/>
          </w:rPr>
          <w:t>http://data.europa.eu/eli/agree_internation/2014/492/oj</w:t>
        </w:r>
      </w:hyperlink>
      <w:r w:rsidRPr="001A1054">
        <w:rPr>
          <w:sz w:val="24"/>
          <w:lang w:val="el-GR"/>
        </w:rPr>
        <w:t>).</w:t>
      </w:r>
      <w:r>
        <w:rPr>
          <w:sz w:val="24"/>
          <w:lang w:val="el-GR"/>
        </w:rPr>
        <w:t xml:space="preserve"> </w:t>
      </w:r>
    </w:p>
  </w:footnote>
  <w:footnote w:id="4">
    <w:p w:rsidR="006B797D" w:rsidRPr="001A1054" w:rsidP="001A1054" w14:paraId="2CAAC1B8" w14:textId="3D86DB8F">
      <w:pPr>
        <w:pStyle w:val="FootnoteText"/>
        <w:ind w:left="567" w:hanging="567"/>
        <w:rPr>
          <w:sz w:val="24"/>
          <w:lang w:val="el-GR"/>
        </w:rPr>
      </w:pPr>
      <w:r>
        <w:rPr>
          <w:rStyle w:val="FootnoteReference"/>
        </w:rPr>
        <w:footnoteRef/>
      </w:r>
      <w:r w:rsidRPr="001A1054">
        <w:rPr>
          <w:sz w:val="24"/>
          <w:lang w:val="el-GR"/>
        </w:rPr>
        <w:t xml:space="preserve"> </w:t>
      </w:r>
      <w:r w:rsidRPr="001A1054">
        <w:rPr>
          <w:sz w:val="24"/>
          <w:lang w:val="el-GR"/>
        </w:rPr>
        <w:tab/>
        <w:t>Οδηγία (EE) 2019/882 του Ευρωπαϊκού Κοινοβουλίου και του Συμβουλίου, της 17ης</w:t>
      </w:r>
      <w:r w:rsidR="004C1C68">
        <w:rPr>
          <w:sz w:val="24"/>
          <w:lang w:val="el-GR"/>
        </w:rPr>
        <w:t> </w:t>
      </w:r>
      <w:r w:rsidRPr="001A1054">
        <w:rPr>
          <w:sz w:val="24"/>
          <w:lang w:val="el-GR"/>
        </w:rPr>
        <w:t xml:space="preserve">Απριλίου 2019, σχετικά με τις απαιτήσεις προσβασιμότητας προϊόντων και υπηρεσιών (ΕΕ L 151 της 7.6.2019, σ. 70, ELI: </w:t>
      </w:r>
      <w:hyperlink r:id="rId3" w:tgtFrame="http://data.europa.eu/eli/dir/2019/882/oj" w:history="1">
        <w:r w:rsidRPr="001A1054">
          <w:rPr>
            <w:rStyle w:val="Hyperlink"/>
            <w:sz w:val="24"/>
            <w:lang w:val="el-GR"/>
          </w:rPr>
          <w:t>http://data.europa.eu/eli/dir/2019/882/oj</w:t>
        </w:r>
      </w:hyperlink>
      <w:r w:rsidRPr="001A105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568E4BC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4A0F480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1054" w14:paraId="18F4147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FE874CF"/>
    <w:multiLevelType w:val="hybridMultilevel"/>
    <w:tmpl w:val="9836CCE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6199026">
    <w:abstractNumId w:val="0"/>
  </w:num>
  <w:num w:numId="2" w16cid:durableId="222913353">
    <w:abstractNumId w:val="2"/>
  </w:num>
  <w:num w:numId="3" w16cid:durableId="193011924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43D"/>
    <w:rsid w:val="00002272"/>
    <w:rsid w:val="00064002"/>
    <w:rsid w:val="000677B9"/>
    <w:rsid w:val="000831BA"/>
    <w:rsid w:val="000A42CC"/>
    <w:rsid w:val="000D731A"/>
    <w:rsid w:val="000E15FB"/>
    <w:rsid w:val="000E7DD9"/>
    <w:rsid w:val="0010095E"/>
    <w:rsid w:val="00125B37"/>
    <w:rsid w:val="00187494"/>
    <w:rsid w:val="001A1054"/>
    <w:rsid w:val="001F32AE"/>
    <w:rsid w:val="002767FF"/>
    <w:rsid w:val="002B18FE"/>
    <w:rsid w:val="002B5493"/>
    <w:rsid w:val="002C68F7"/>
    <w:rsid w:val="00343214"/>
    <w:rsid w:val="00361C00"/>
    <w:rsid w:val="00395FA1"/>
    <w:rsid w:val="003C300A"/>
    <w:rsid w:val="003E15D4"/>
    <w:rsid w:val="00411CCE"/>
    <w:rsid w:val="0041666E"/>
    <w:rsid w:val="00421060"/>
    <w:rsid w:val="00471C19"/>
    <w:rsid w:val="004867E3"/>
    <w:rsid w:val="00494A28"/>
    <w:rsid w:val="004C0004"/>
    <w:rsid w:val="004C1C68"/>
    <w:rsid w:val="004C5D52"/>
    <w:rsid w:val="0050519A"/>
    <w:rsid w:val="005072A1"/>
    <w:rsid w:val="00514517"/>
    <w:rsid w:val="00526654"/>
    <w:rsid w:val="00545827"/>
    <w:rsid w:val="00560270"/>
    <w:rsid w:val="005C2568"/>
    <w:rsid w:val="005D7561"/>
    <w:rsid w:val="005F1B17"/>
    <w:rsid w:val="006037C0"/>
    <w:rsid w:val="006631B6"/>
    <w:rsid w:val="00680577"/>
    <w:rsid w:val="006B797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DD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356"/>
    <w:rsid w:val="00BE6ADC"/>
    <w:rsid w:val="00C05BFE"/>
    <w:rsid w:val="00C23CD4"/>
    <w:rsid w:val="00C52965"/>
    <w:rsid w:val="00C61C0C"/>
    <w:rsid w:val="00C941CB"/>
    <w:rsid w:val="00CC2357"/>
    <w:rsid w:val="00CF071A"/>
    <w:rsid w:val="00D058B8"/>
    <w:rsid w:val="00D06ECA"/>
    <w:rsid w:val="00D56C11"/>
    <w:rsid w:val="00D834A0"/>
    <w:rsid w:val="00D872DF"/>
    <w:rsid w:val="00D91E21"/>
    <w:rsid w:val="00DA7FCD"/>
    <w:rsid w:val="00E365E1"/>
    <w:rsid w:val="00E42E57"/>
    <w:rsid w:val="00E820A4"/>
    <w:rsid w:val="00EB006A"/>
    <w:rsid w:val="00EB4772"/>
    <w:rsid w:val="00EC3C40"/>
    <w:rsid w:val="00ED169E"/>
    <w:rsid w:val="00ED4235"/>
    <w:rsid w:val="00F04346"/>
    <w:rsid w:val="00F075DC"/>
    <w:rsid w:val="00F1243D"/>
    <w:rsid w:val="00F149E9"/>
    <w:rsid w:val="00F5134D"/>
    <w:rsid w:val="00F74202"/>
    <w:rsid w:val="00F87713"/>
    <w:rsid w:val="00FB4360"/>
    <w:rsid w:val="00FD0C70"/>
  </w:rsids>
  <w:docVars>
    <w:docVar w:name="dvdocse" w:val="A10-0164/2026"/>
    <w:docVar w:name="dvlangue" w:val="EL"/>
    <w:docVar w:name="dvnumam" w:val="0"/>
    <w:docVar w:name="dvpe" w:val="782.290"/>
    <w:docVar w:name="dvrapporteur" w:val="Εισηγητής: "/>
    <w:docVar w:name="dvtitre" w:val="Ψήφισμα του Ευρωπαϊκού Κοινοβουλίου της ... 2026 σχετικά με την έκθεση της Επιτροπής του 2025 για τη Μολδαβία(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4FC45E"/>
  <w15:chartTrackingRefBased/>
  <w15:docId w15:val="{3C52ED88-83B0-4AFA-B022-FF674FEF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C68F7"/>
    <w:pPr>
      <w:widowControl/>
      <w:spacing w:after="240"/>
    </w:pPr>
    <w:rPr>
      <w:szCs w:val="24"/>
      <w:lang w:eastAsia="en-US"/>
    </w:rPr>
  </w:style>
  <w:style w:type="paragraph" w:customStyle="1" w:styleId="NormalHanging12a">
    <w:name w:val="NormalHanging12a"/>
    <w:basedOn w:val="Normal"/>
    <w:rsid w:val="002C68F7"/>
    <w:pPr>
      <w:widowControl/>
      <w:spacing w:after="240"/>
      <w:ind w:left="566" w:hanging="566"/>
    </w:pPr>
    <w:rPr>
      <w:szCs w:val="24"/>
      <w:lang w:eastAsia="en-US"/>
    </w:rPr>
  </w:style>
  <w:style w:type="paragraph" w:customStyle="1" w:styleId="Normal12">
    <w:name w:val="Normal12"/>
    <w:basedOn w:val="Normal"/>
    <w:rsid w:val="002C68F7"/>
    <w:pPr>
      <w:spacing w:after="240"/>
    </w:pPr>
    <w:rPr>
      <w:szCs w:val="24"/>
      <w:lang w:eastAsia="en-US"/>
    </w:rPr>
  </w:style>
  <w:style w:type="paragraph" w:customStyle="1" w:styleId="NormalHanging">
    <w:name w:val="NormalHanging"/>
    <w:basedOn w:val="Normal"/>
    <w:rsid w:val="002C68F7"/>
    <w:pPr>
      <w:spacing w:after="240"/>
      <w:ind w:left="566" w:hanging="566"/>
    </w:pPr>
    <w:rPr>
      <w:szCs w:val="24"/>
      <w:lang w:eastAsia="en-US"/>
    </w:rPr>
  </w:style>
  <w:style w:type="paragraph" w:customStyle="1" w:styleId="NormalCenter12a">
    <w:name w:val="NormalCenter12a"/>
    <w:basedOn w:val="Normal"/>
    <w:rsid w:val="002C68F7"/>
    <w:pPr>
      <w:widowControl/>
      <w:spacing w:after="240"/>
      <w:jc w:val="center"/>
    </w:pPr>
    <w:rPr>
      <w:szCs w:val="24"/>
      <w:lang w:eastAsia="en-US"/>
    </w:rPr>
  </w:style>
  <w:style w:type="character" w:styleId="Hyperlink">
    <w:name w:val="Hyperlink"/>
    <w:basedOn w:val="DefaultParagraphFont"/>
    <w:rsid w:val="002C68F7"/>
    <w:rPr>
      <w:color w:val="0000FF"/>
      <w:u w:val="single"/>
    </w:rPr>
  </w:style>
  <w:style w:type="paragraph" w:styleId="Revision">
    <w:name w:val="Revision"/>
    <w:hidden/>
    <w:uiPriority w:val="99"/>
    <w:semiHidden/>
    <w:rsid w:val="006B797D"/>
    <w:rPr>
      <w:sz w:val="24"/>
      <w:lang w:val="el-GR"/>
    </w:rPr>
  </w:style>
  <w:style w:type="character" w:styleId="UnresolvedMention">
    <w:name w:val="Unresolved Mention"/>
    <w:basedOn w:val="DefaultParagraphFont"/>
    <w:uiPriority w:val="99"/>
    <w:semiHidden/>
    <w:unhideWhenUsed/>
    <w:rsid w:val="006B7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7022</Words>
  <Characters>42623</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2026-09-28T08:59:00Z</dcterms:created>
  <dcterms:modified xsi:type="dcterms:W3CDTF">2026-09-28T08:59:00Z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P10_TA(2026)0260_</vt:lpwstr>
  </property>
  <property fmtid="{D5CDD505-2E9C-101B-9397-08002B2CF9AE}" pid="4" name="&lt;Type&gt;">
    <vt:lpwstr>RR</vt:lpwstr>
  </property>
</Properties>
</file>