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DF3D220" w14:textId="77777777" w:rsidTr="0010095E">
        <w:tblPrEx>
          <w:tblW w:w="9072" w:type="dxa"/>
          <w:tblLook w:val="01E0"/>
        </w:tblPrEx>
        <w:trPr>
          <w:trHeight w:hRule="exact" w:val="1418"/>
        </w:trPr>
        <w:tc>
          <w:tcPr>
            <w:tcW w:w="6804" w:type="dxa"/>
            <w:shd w:val="clear" w:color="auto" w:fill="auto"/>
            <w:vAlign w:val="center"/>
          </w:tcPr>
          <w:p w:rsidR="00751A4A" w:rsidRPr="00FA496A" w:rsidP="0010095E" w14:paraId="1F942067" w14:textId="77777777">
            <w:pPr>
              <w:pStyle w:val="EPName"/>
            </w:pPr>
            <w:r w:rsidRPr="00FA496A">
              <w:t>Európai Parlament</w:t>
            </w:r>
          </w:p>
          <w:p w:rsidR="00751A4A" w:rsidRPr="00FA496A" w:rsidP="005F1B17" w14:paraId="10ABDF5F" w14:textId="77777777">
            <w:pPr>
              <w:pStyle w:val="EPTerm"/>
              <w:rPr>
                <w:rStyle w:val="HideTWBExt"/>
                <w:noProof w:val="0"/>
                <w:vanish w:val="0"/>
                <w:color w:val="auto"/>
              </w:rPr>
            </w:pPr>
            <w:r w:rsidRPr="00FA496A">
              <w:t>2024</w:t>
            </w:r>
            <w:r w:rsidRPr="00FA496A" w:rsidR="00817416">
              <w:t>-202</w:t>
            </w:r>
            <w:r w:rsidRPr="00FA496A">
              <w:t>9</w:t>
            </w:r>
          </w:p>
        </w:tc>
        <w:tc>
          <w:tcPr>
            <w:tcW w:w="2268" w:type="dxa"/>
            <w:shd w:val="clear" w:color="auto" w:fill="auto"/>
          </w:tcPr>
          <w:p w:rsidR="00751A4A" w:rsidRPr="00FA496A" w:rsidP="0010095E" w14:paraId="2CA4EBB9" w14:textId="77777777">
            <w:pPr>
              <w:pStyle w:val="EPLogo"/>
            </w:pPr>
            <w:r w:rsidRPr="00FA496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A496A" w:rsidP="004C5D52" w14:paraId="1DD0FF20" w14:textId="77777777">
      <w:pPr>
        <w:pStyle w:val="LineTop"/>
      </w:pPr>
    </w:p>
    <w:p w:rsidR="00680577" w:rsidRPr="00FA496A" w:rsidP="00680577" w14:paraId="75D83EDF" w14:textId="77777777">
      <w:pPr>
        <w:pStyle w:val="EPBodyTA1"/>
      </w:pPr>
      <w:r w:rsidRPr="00FA496A">
        <w:t>ELFOGADOTT SZÖVEGEK</w:t>
      </w:r>
    </w:p>
    <w:p w:rsidR="00D058B8" w:rsidRPr="00FA496A" w:rsidP="00D058B8" w14:paraId="03F0DF76" w14:textId="77777777">
      <w:pPr>
        <w:pStyle w:val="LineBottom"/>
      </w:pPr>
    </w:p>
    <w:p w:rsidR="004C442F" w:rsidRPr="00FA496A" w:rsidP="004C442F" w14:paraId="4AB95B74" w14:textId="6F738800">
      <w:pPr>
        <w:pStyle w:val="ATHeading1"/>
      </w:pPr>
      <w:bookmarkStart w:id="0" w:name="TANumber"/>
      <w:r w:rsidRPr="00FA496A">
        <w:t>P10_</w:t>
      </w:r>
      <w:r w:rsidRPr="00FA496A">
        <w:t>TA(</w:t>
      </w:r>
      <w:r w:rsidRPr="00FA496A">
        <w:t>2026)0</w:t>
      </w:r>
      <w:r w:rsidR="00FA496A">
        <w:t>26</w:t>
      </w:r>
      <w:r w:rsidRPr="00FA496A">
        <w:t>0</w:t>
      </w:r>
      <w:bookmarkEnd w:id="0"/>
    </w:p>
    <w:p w:rsidR="004C442F" w:rsidRPr="00FA496A" w:rsidP="004C442F" w14:paraId="43F643B6" w14:textId="77777777">
      <w:pPr>
        <w:pStyle w:val="ATHeading2"/>
      </w:pPr>
      <w:bookmarkStart w:id="1" w:name="title"/>
      <w:r w:rsidRPr="00FA496A">
        <w:t>A Bizottság Moldováról szóló 2025. évi jelentése</w:t>
      </w:r>
      <w:bookmarkEnd w:id="1"/>
    </w:p>
    <w:p w:rsidR="004C442F" w:rsidRPr="00FA496A" w:rsidP="004C442F" w14:paraId="59907D66" w14:textId="77777777">
      <w:pPr>
        <w:rPr>
          <w:i/>
          <w:vanish/>
        </w:rPr>
      </w:pPr>
      <w:r>
        <w:rPr>
          <w:i/>
        </w:rPr>
        <w:fldChar w:fldCharType="begin"/>
      </w:r>
      <w:r w:rsidRPr="00FA496A">
        <w:rPr>
          <w:i/>
        </w:rPr>
        <w:instrText xml:space="preserve"> TC"(</w:instrText>
      </w:r>
      <w:bookmarkStart w:id="2" w:name="DocNumber"/>
      <w:r w:rsidRPr="00FA496A">
        <w:rPr>
          <w:i/>
        </w:rPr>
        <w:instrText>A10-0164/2026</w:instrText>
      </w:r>
      <w:bookmarkEnd w:id="2"/>
      <w:r w:rsidRPr="00FA496A">
        <w:rPr>
          <w:i/>
        </w:rPr>
        <w:instrText xml:space="preserve"> - Előadó: Sven Mikser)"\l3 \n&gt; \* MERGEFORMAT </w:instrText>
      </w:r>
      <w:r>
        <w:rPr>
          <w:i/>
        </w:rPr>
        <w:fldChar w:fldCharType="end"/>
      </w:r>
    </w:p>
    <w:p w:rsidR="004C442F" w:rsidRPr="00FA496A" w:rsidP="004C442F" w14:paraId="17279B8E" w14:textId="77777777">
      <w:pPr>
        <w:rPr>
          <w:vanish/>
        </w:rPr>
      </w:pPr>
      <w:bookmarkStart w:id="3" w:name="Commission"/>
      <w:r w:rsidRPr="00FA496A">
        <w:rPr>
          <w:vanish/>
        </w:rPr>
        <w:t>Külügyi Bizottság</w:t>
      </w:r>
      <w:bookmarkEnd w:id="3"/>
    </w:p>
    <w:p w:rsidR="004C442F" w:rsidRPr="00FA496A" w:rsidP="004C442F" w14:paraId="658766D5" w14:textId="77777777">
      <w:pPr>
        <w:rPr>
          <w:vanish/>
        </w:rPr>
      </w:pPr>
      <w:bookmarkStart w:id="4" w:name="PE"/>
      <w:r w:rsidRPr="00FA496A">
        <w:rPr>
          <w:vanish/>
        </w:rPr>
        <w:t>PE782.290</w:t>
      </w:r>
      <w:bookmarkEnd w:id="4"/>
    </w:p>
    <w:p w:rsidR="004C442F" w:rsidRPr="00FA496A" w:rsidP="004C442F" w14:paraId="1680E7D3" w14:textId="77777777">
      <w:pPr>
        <w:pStyle w:val="ATHeading3"/>
      </w:pPr>
      <w:bookmarkStart w:id="5" w:name="Sujet"/>
      <w:r w:rsidRPr="00FA496A">
        <w:t>Az Európai Parlament 2026. július 8-i állásfoglalása a Bizottság Moldováról szóló 2025. évi jelentéséről</w:t>
      </w:r>
      <w:bookmarkEnd w:id="5"/>
      <w:r w:rsidRPr="00FA496A">
        <w:t xml:space="preserve"> </w:t>
      </w:r>
      <w:bookmarkStart w:id="6" w:name="References"/>
      <w:r w:rsidRPr="00FA496A">
        <w:t>(2025/2258(INI))</w:t>
      </w:r>
      <w:bookmarkEnd w:id="6"/>
    </w:p>
    <w:p w:rsidR="009F7132" w:rsidRPr="00FA496A" w:rsidP="004A492B" w14:paraId="74EC48B2" w14:textId="77777777">
      <w:pPr>
        <w:pStyle w:val="Normal12"/>
        <w:spacing w:before="360"/>
        <w:rPr>
          <w:i/>
          <w:iCs/>
        </w:rPr>
      </w:pPr>
      <w:r w:rsidRPr="00FA496A">
        <w:rPr>
          <w:i/>
          <w:iCs/>
        </w:rPr>
        <w:t>Az Európai Parlament,</w:t>
      </w:r>
    </w:p>
    <w:p w:rsidR="009F7132" w:rsidRPr="00FA496A" w:rsidP="004A492B" w14:paraId="27ADBE51" w14:textId="1FA7F5C0">
      <w:pPr>
        <w:pStyle w:val="NormalHanging"/>
        <w:widowControl/>
        <w:ind w:left="567" w:hanging="567"/>
      </w:pPr>
      <w:r w:rsidRPr="00FA496A">
        <w:t>–</w:t>
      </w:r>
      <w:r w:rsidRPr="00FA496A">
        <w:tab/>
        <w:t>tekintettel a „2025. évi közlemény az EU bővítési politikájáról” című, 2025. november 4-i bizottsági közleményre (</w:t>
      </w:r>
      <w:r w:rsidRPr="00FA496A">
        <w:t>COM(</w:t>
      </w:r>
      <w:r w:rsidRPr="00FA496A">
        <w:t>2025)0690) és az azt kísérő, „Republic of Moldova 2025 Report” (2025. évi jelentés a Moldovai Köztársaságról) című</w:t>
      </w:r>
      <w:r w:rsidR="00676753">
        <w:t>, 2025. november 4-i</w:t>
      </w:r>
      <w:r w:rsidRPr="00FA496A">
        <w:t xml:space="preserve"> bizottsági szolgálati munkadokumentumra (SWD(2025)0758),</w:t>
      </w:r>
    </w:p>
    <w:p w:rsidR="009F7132" w:rsidRPr="00FA496A" w:rsidP="004A492B" w14:paraId="4F6AE166" w14:textId="4E7D2694">
      <w:pPr>
        <w:pStyle w:val="NormalHanging"/>
        <w:widowControl/>
        <w:ind w:left="567" w:hanging="567"/>
      </w:pPr>
      <w:r w:rsidRPr="00FA496A">
        <w:t>–</w:t>
      </w:r>
      <w:r w:rsidRPr="00FA496A">
        <w:tab/>
        <w:t>tekintettel a Reform- és Növekedéstámogató Eszköz Moldovai Köztársaság számára való létrehozásáról szóló, 2025. március 18-i (EU) 2025/535 európai parlamenti és tanácsi rendeletre</w:t>
      </w:r>
      <w:r>
        <w:rPr>
          <w:rStyle w:val="FootnoteReference"/>
        </w:rPr>
        <w:footnoteReference w:id="2"/>
      </w:r>
      <w:r w:rsidRPr="00FA496A">
        <w:t>,</w:t>
      </w:r>
    </w:p>
    <w:p w:rsidR="009F7132" w:rsidRPr="00FA496A" w:rsidP="004A492B" w14:paraId="5255D3D4" w14:textId="77777777">
      <w:pPr>
        <w:pStyle w:val="NormalHanging"/>
        <w:widowControl/>
        <w:ind w:left="567" w:hanging="567"/>
      </w:pPr>
      <w:r w:rsidRPr="00FA496A">
        <w:t>–</w:t>
      </w:r>
      <w:r w:rsidRPr="00FA496A">
        <w:tab/>
        <w:t>tekintettel a Moldovai Köztársaság (a továbbiakban: Moldova) 2025 és 2027 közötti időszakra vonatkozó növekedési terve szerinti reformprogramra,</w:t>
      </w:r>
    </w:p>
    <w:p w:rsidR="009F7132" w:rsidRPr="00FA496A" w:rsidP="004A492B" w14:paraId="41AC5AAF" w14:textId="77777777">
      <w:pPr>
        <w:pStyle w:val="NormalHanging"/>
        <w:widowControl/>
        <w:ind w:left="567" w:hanging="567"/>
      </w:pPr>
      <w:r w:rsidRPr="00FA496A">
        <w:t>–</w:t>
      </w:r>
      <w:r w:rsidRPr="00FA496A">
        <w:tab/>
        <w:t>tekintettel a Moldováról szóló korábbi állásfoglalásaira,</w:t>
      </w:r>
    </w:p>
    <w:p w:rsidR="009F7132" w:rsidRPr="00FA496A" w:rsidP="004A492B" w14:paraId="0C1FD048" w14:textId="77777777">
      <w:pPr>
        <w:pStyle w:val="NormalHanging"/>
        <w:widowControl/>
        <w:ind w:left="567" w:hanging="567"/>
      </w:pPr>
      <w:r w:rsidRPr="00FA496A">
        <w:t>–</w:t>
      </w:r>
      <w:r w:rsidRPr="00FA496A">
        <w:tab/>
        <w:t>tekintettel az Európai Tanács Moldováról szóló, 2025. június 26-i következtetéseire,</w:t>
      </w:r>
    </w:p>
    <w:p w:rsidR="009F7132" w:rsidRPr="00FA496A" w:rsidP="004A492B" w14:paraId="3B86126E" w14:textId="77777777">
      <w:pPr>
        <w:pStyle w:val="NormalHanging"/>
        <w:widowControl/>
        <w:ind w:left="567" w:hanging="567"/>
      </w:pPr>
      <w:r w:rsidRPr="00FA496A">
        <w:t>–</w:t>
      </w:r>
      <w:r w:rsidRPr="00FA496A">
        <w:tab/>
        <w:t>tekintettel a bővítésről szóló, 2025. december 16-i elnökségi következtetésekre,</w:t>
      </w:r>
    </w:p>
    <w:p w:rsidR="009F7132" w:rsidRPr="00FA496A" w:rsidP="004A492B" w14:paraId="217DC940" w14:textId="1880A55A">
      <w:pPr>
        <w:pStyle w:val="NormalHanging"/>
        <w:widowControl/>
        <w:ind w:left="567" w:hanging="567"/>
      </w:pPr>
      <w:r w:rsidRPr="00FA496A">
        <w:t>–</w:t>
      </w:r>
      <w:r w:rsidRPr="00FA496A">
        <w:tab/>
      </w:r>
      <w:r w:rsidRPr="00FA496A" w:rsidR="00FA496A">
        <w:t>tekintettel a Moldovai Köztársaság és az EU közötti, 2026. június 22-i második csúcstalálkozót követő együttes nyilatkozatra</w:t>
      </w:r>
      <w:r w:rsidRPr="00FA496A">
        <w:t>,</w:t>
      </w:r>
    </w:p>
    <w:p w:rsidR="009F7132" w:rsidRPr="00FA496A" w:rsidP="004A492B" w14:paraId="719E5412" w14:textId="77777777">
      <w:pPr>
        <w:pStyle w:val="NormalHanging"/>
        <w:widowControl/>
        <w:ind w:left="567" w:hanging="567"/>
      </w:pPr>
      <w:r w:rsidRPr="00FA496A">
        <w:t>–</w:t>
      </w:r>
      <w:r w:rsidRPr="00FA496A">
        <w:tab/>
        <w:t>tekintettel az EU–Moldovai Köztársaság Társulási Tanács 2025. június 4-én tartott kilencedik ülésének eredményeire,</w:t>
      </w:r>
    </w:p>
    <w:p w:rsidR="009F7132" w:rsidRPr="00FA496A" w:rsidP="004A492B" w14:paraId="620C1CBD" w14:textId="77777777">
      <w:pPr>
        <w:pStyle w:val="NormalHanging"/>
        <w:widowControl/>
        <w:ind w:left="567" w:hanging="567"/>
      </w:pPr>
      <w:r w:rsidRPr="00FA496A">
        <w:t>–</w:t>
      </w:r>
      <w:r w:rsidRPr="00FA496A">
        <w:tab/>
        <w:t>tekintettel az Európai Parlament és a Moldovai Köztársaság parlamentje közötti, 2026. március 18-án aláírt megújított egyetértési megállapodásra,</w:t>
      </w:r>
    </w:p>
    <w:p w:rsidR="009F7132" w:rsidRPr="00FA496A" w:rsidP="004A492B" w14:paraId="05B77593" w14:textId="77777777">
      <w:pPr>
        <w:pStyle w:val="NormalHanging"/>
        <w:widowControl/>
        <w:ind w:left="567" w:hanging="567"/>
      </w:pPr>
      <w:r w:rsidRPr="00FA496A">
        <w:t>–</w:t>
      </w:r>
      <w:r w:rsidRPr="00FA496A">
        <w:tab/>
        <w:t>tekintettel eljárási szabályzata 55. cikkére,</w:t>
      </w:r>
    </w:p>
    <w:p w:rsidR="009F7132" w:rsidRPr="00FA496A" w:rsidP="004A492B" w14:paraId="6A2645FE" w14:textId="77777777">
      <w:pPr>
        <w:pStyle w:val="NormalHanging"/>
        <w:widowControl/>
        <w:ind w:left="567" w:hanging="567"/>
      </w:pPr>
      <w:r w:rsidRPr="00FA496A">
        <w:t>–</w:t>
      </w:r>
      <w:r w:rsidRPr="00FA496A">
        <w:tab/>
        <w:t>tekintettel a Külügyi Bizottság jelentésére (A10-0164/2026),</w:t>
      </w:r>
    </w:p>
    <w:p w:rsidR="009F7132" w:rsidRPr="00FA496A" w:rsidP="004A492B" w14:paraId="595806F3" w14:textId="7DFF84E0">
      <w:pPr>
        <w:pStyle w:val="NormalHanging"/>
        <w:widowControl/>
        <w:ind w:left="567" w:hanging="567"/>
      </w:pPr>
      <w:r w:rsidRPr="00FA496A">
        <w:t>A.</w:t>
      </w:r>
      <w:r w:rsidRPr="00FA496A">
        <w:tab/>
        <w:t>mivel 2025. szeptember 22-én Moldova lezárta a 2024. július 10-én kezdődött kétoldalú átvilágítást; mivel Moldova készen áll arra, hogy hivatalosan megkezdje a tárgyalásokat az uniós csatlakozási tárgyalások mind a hat témaköréről;</w:t>
      </w:r>
      <w:r w:rsidR="00FA496A">
        <w:t xml:space="preserve"> </w:t>
      </w:r>
      <w:r w:rsidRPr="00FA496A" w:rsidR="00FA496A">
        <w:t>mivel az 1. témakörről (Alapkérdések) szóló tárgyalások 2026. június 15-én hivatalosan megkezdődtek;</w:t>
      </w:r>
    </w:p>
    <w:p w:rsidR="009F7132" w:rsidRPr="00FA496A" w:rsidP="004A492B" w14:paraId="210F84C7" w14:textId="77777777">
      <w:pPr>
        <w:pStyle w:val="NormalHanging"/>
        <w:widowControl/>
        <w:ind w:left="567" w:hanging="567"/>
      </w:pPr>
      <w:r w:rsidRPr="00FA496A">
        <w:t>B.</w:t>
      </w:r>
      <w:r w:rsidRPr="00FA496A">
        <w:tab/>
        <w:t>mivel Moldova kormánya jelezte, hogy a csatlakozási tárgyalások 2028 elejéig történő ideiglenes lezárását tűzte ki nagyratörő, de megvalósítható célul, és 2030-ig csatlakozni kíván az Európai Unióhoz;</w:t>
      </w:r>
    </w:p>
    <w:p w:rsidR="009F7132" w:rsidRPr="00FA496A" w:rsidP="004A492B" w14:paraId="6B657A5E" w14:textId="77777777">
      <w:pPr>
        <w:pStyle w:val="NormalHanging"/>
        <w:widowControl/>
        <w:ind w:left="567" w:hanging="567"/>
      </w:pPr>
      <w:r w:rsidRPr="00FA496A">
        <w:t>C.</w:t>
      </w:r>
      <w:r w:rsidRPr="00FA496A">
        <w:tab/>
        <w:t>mivel Moldova 2025. szeptember 28-án parlamenti választásokat tartott, amelyek Európa-párti többséget eredményeztek, és megerősítették a moldovai nép arra irányuló törekvéseit, hogy európai jövőt teremtsenek országuk számára, Oroszország és az orosz megbízottak példátlan külföldi beavatkozása ellenére, amely a moldovai tisztviselők szerint a moldovai bruttó hazai termék 2%-ának, azaz 350 millió EUR-nak megfelelő összeget költött erre a beavatkozásra;</w:t>
      </w:r>
    </w:p>
    <w:p w:rsidR="009F7132" w:rsidRPr="00FA496A" w:rsidP="004A492B" w14:paraId="2F144B34" w14:textId="77777777">
      <w:pPr>
        <w:pStyle w:val="NormalHanging"/>
        <w:widowControl/>
        <w:ind w:left="567" w:hanging="567"/>
      </w:pPr>
      <w:r w:rsidRPr="00FA496A">
        <w:t>D.</w:t>
      </w:r>
      <w:r w:rsidRPr="00FA496A">
        <w:tab/>
        <w:t>mivel Moldova az uniós csatlakozási tárgyalások mind a hat témaköréről technikai tárgyalásokat folytat a Bizottsággal;</w:t>
      </w:r>
    </w:p>
    <w:p w:rsidR="009F7132" w:rsidRPr="00FA496A" w:rsidP="004A492B" w14:paraId="3895E8D3" w14:textId="77777777">
      <w:pPr>
        <w:pStyle w:val="NormalHanging"/>
        <w:widowControl/>
        <w:ind w:left="567" w:hanging="567"/>
      </w:pPr>
      <w:r w:rsidRPr="00FA496A">
        <w:t>E.</w:t>
      </w:r>
      <w:r w:rsidRPr="00FA496A">
        <w:tab/>
        <w:t>mivel továbbra is a mélyreható és átfogó szabadkereskedelmi térséget is magában foglaló társulási megállapodás az EU és Moldova közötti politikai társulás és gazdasági integráció alapja, és a két fél között rendszeres politikai és gazdasági párbeszéd zajlik;</w:t>
      </w:r>
    </w:p>
    <w:p w:rsidR="009F7132" w:rsidRPr="00FA496A" w:rsidP="004A492B" w14:paraId="6A11C5CF" w14:textId="77777777">
      <w:pPr>
        <w:pStyle w:val="NormalHanging"/>
        <w:widowControl/>
        <w:ind w:left="567" w:hanging="567"/>
      </w:pPr>
      <w:r w:rsidRPr="00FA496A">
        <w:t>F.</w:t>
      </w:r>
      <w:r w:rsidRPr="00FA496A">
        <w:tab/>
        <w:t>mivel 2026. január 19-én a moldovai kormány bejelentette azon szándékát, hogy hivatalosan kilép a Független Államok Közösségéből, 2026. április 2-án a moldovai parlament végső olvasatban hivatalosan jogszabályt fogadott el a szervezet alapító dokumentumainak elítéléséről, 2026. április 6-án pedig Maia Sandu elnök aláírta a törvény kihirdetéséről szóló rendeletet;</w:t>
      </w:r>
    </w:p>
    <w:p w:rsidR="009F7132" w:rsidRPr="00FA496A" w:rsidP="004A492B" w14:paraId="46DE8A43" w14:textId="77777777">
      <w:pPr>
        <w:pStyle w:val="Normal12a"/>
      </w:pPr>
      <w:r w:rsidRPr="00FA496A">
        <w:rPr>
          <w:b/>
          <w:i/>
        </w:rPr>
        <w:t>Az uniós csatlakozással kapcsolatos reformok terén elért eredmények, különös tekintettel a jogállamiságra és a kormányzásra</w:t>
      </w:r>
    </w:p>
    <w:p w:rsidR="009F7132" w:rsidRPr="00FA496A" w:rsidP="004A492B" w14:paraId="626B140A" w14:textId="77777777">
      <w:pPr>
        <w:pStyle w:val="NormalHanging12a"/>
        <w:ind w:left="567" w:hanging="567"/>
      </w:pPr>
      <w:r w:rsidRPr="00FA496A">
        <w:t>1.</w:t>
      </w:r>
      <w:r w:rsidRPr="00FA496A">
        <w:tab/>
        <w:t>elismerését fejezi ki Moldovának az uniós csatlakozás iránti folyamatos, példaértékű elkötelezettségéért és a kapcsolódó reformok terén a jelentős belső és külső kihívások, például a tartós ellenséges orosz beavatkozás ellenére elért kitartó előrehaladásáért; üdvözli a Bizottság értékelését, amely szerint Moldova valamennyi fejezet tekintetében előrelépést tett, és a tagjelölt országok közül a legnagyobb éves előrelépést érte el; úgy véli, hogy ez az előrelépés különösen figyelemreméltó, tekintettel arra a rendkívüli geopolitikai nyomásra, amely alatt az ország továbbra is működik; ösztönzi Moldovát, hogy tartsa fenn a reformok ütemét annak érdekében, hogy az előrehaladás kézzelfogható előnyökkel járjon a polgárok és a vállalkozások számára, megerősítve a gazdasági fejlődést, a rezilienciát és az Európai Unióval való konvergenciát, összhangban azon kinyilvánított törekvésével, hogy 2028 elejéig ideiglenesen lezárja a csatlakozási tárgyalásokat;</w:t>
      </w:r>
    </w:p>
    <w:p w:rsidR="009F7132" w:rsidRPr="00FA496A" w:rsidP="004A492B" w14:paraId="40ECAC75" w14:textId="166390E2">
      <w:pPr>
        <w:pStyle w:val="NormalHanging12a"/>
        <w:ind w:left="567" w:hanging="567"/>
      </w:pPr>
      <w:r w:rsidRPr="00FA496A">
        <w:t>2.</w:t>
      </w:r>
      <w:r w:rsidRPr="00FA496A">
        <w:tab/>
      </w:r>
      <w:r w:rsidRPr="00FA496A" w:rsidR="00FA496A">
        <w:t xml:space="preserve">üdvözli, hogy a kétoldalú átvilágítási folyamat 2025. szeptemberi sikeres lezárását követően 2026. június 15-én megkezdődtek a csatlakozási tárgyalások az 1. témakörről (Alapkérdések), majd ezt követően megkezdődtek a tárgyalási témakörökről szóló </w:t>
      </w:r>
      <w:r w:rsidRPr="00FA496A" w:rsidR="00FA496A">
        <w:t>technikai megbeszélések; üdvözli a Bizottság értékelését, miszerint mind a hat tárgyalási témakör készen áll a megnyitásra; sürgeti a Tanácsot, hogy alkalmazzon érdemeken alapuló megközelítést, és minden további késedelem nélkül hivatalosan nyisson meg minden témakört; emlékezteti a tagállamokat az Európai Unióról szóló szerződés 4. cikkének (3) bekezdése szerinti lojális együttműködés elvére, amely előírja számukra, hogy tartózkodjanak minden olyan intézkedéstől, amely veszélyeztetheti az Unió célkitűzéseinek megvalósítását, és ezért sürgeti őket, hogy ne blokkolják vagy késleltessék a csatlakozási tárgyalásokat kétoldalú ügyek alapján; hangsúlyozza, hogy a csatlakozási tárgyalások megkezdése azt jelezné, hogy az EU elismeri és jutalmazza Moldova konkrét eredményeit, megerősítve a bővítési folyamat hitelességét és integritását; üdvözli a jogállamiságra, a közigazgatásra és a demokratikus intézményekre vonatkozó ütemtervek, valamint az Európai Unióhoz való csatlakozás 2025–2029-es időszakra vonatkozó aktualizált nemzeti programjának elfogadását; elismerését fejezi ki a Moldova által az uniós vívmányok átültetése terén technikai szinten már elért eredményekért</w:t>
      </w:r>
      <w:r w:rsidRPr="00FA496A">
        <w:t>;</w:t>
      </w:r>
    </w:p>
    <w:p w:rsidR="009F7132" w:rsidRPr="00FA496A" w:rsidP="004A492B" w14:paraId="52A0E2C3" w14:textId="77777777">
      <w:pPr>
        <w:pStyle w:val="NormalHanging12a"/>
        <w:ind w:left="567" w:hanging="567"/>
      </w:pPr>
      <w:r w:rsidRPr="00FA496A">
        <w:t>3.</w:t>
      </w:r>
      <w:r w:rsidRPr="00FA496A">
        <w:tab/>
        <w:t>hangsúlyozza, hogy Moldova csatlakozási folyamata ütemének tükröznie kell a reformok terén elért jelentős előrelépést; felhívja a Bizottságot, hogy aktívan segítse elő és nyújtson előkészítő támogatást – beleértve a technikai segítségnyújtást, a nyomonkövetési ellenőrzéseket és az adminisztratív kapacitásépítést – annak érdekében, hogy Moldova hatékonyan és valamennyi témakörben egyidejűleg haladhasson a tárgyalásokkal;</w:t>
      </w:r>
    </w:p>
    <w:p w:rsidR="009F7132" w:rsidRPr="00FA496A" w:rsidP="004A492B" w14:paraId="01284004" w14:textId="77777777">
      <w:pPr>
        <w:pStyle w:val="NormalHanging12a"/>
        <w:ind w:left="567" w:hanging="567"/>
      </w:pPr>
      <w:r w:rsidRPr="00FA496A">
        <w:t>4.</w:t>
      </w:r>
      <w:r w:rsidRPr="00FA496A">
        <w:tab/>
        <w:t>elismeri, hogy Moldova európai integrációja pozitívan járul hozzá Európa stabilitásához és biztonságához, és létfontosságú katalizátorként szolgál az ország demokratikus rezilienciájához, intézményi reformjához, jogállamiságához és fenntartható gazdasági fejlődéséhez;</w:t>
      </w:r>
    </w:p>
    <w:p w:rsidR="009F7132" w:rsidRPr="00FA496A" w:rsidP="004A492B" w14:paraId="002C7F85" w14:textId="77777777">
      <w:pPr>
        <w:pStyle w:val="NormalHanging12a"/>
        <w:ind w:left="567" w:hanging="567"/>
      </w:pPr>
      <w:r w:rsidRPr="00FA496A">
        <w:t>5.</w:t>
      </w:r>
      <w:r w:rsidRPr="00FA496A">
        <w:tab/>
        <w:t>tudomásul veszi a Bizottság értékelését, amely szerint Moldova jó eredményeket ért el az igazságügyi ágazat reformja terén; emlékezteti Moldovát azon kötelezettségvállalására, hogy követi a Velencei Bizottság ajánlásait; hangsúlyozza, hogy a reformok fenntarthatóságához széles körű politikai felelősségvállalásra és a politikai spektrum egészére kiterjedő inkluzív párbeszédre, valamint a civil társadalommal és a szakmai érdekelt felekkel folytatott érdemi konzultációra van szükség; elismeri Moldova arra irányuló következetes politikai akaratát és folyamatos erőfeszítéseit, hogy független, pártatlan, elszámoltatható és professzionális igazságszolgáltatási rendszert építsen ki;</w:t>
      </w:r>
    </w:p>
    <w:p w:rsidR="009F7132" w:rsidRPr="00FA496A" w:rsidP="004A492B" w14:paraId="4624CF49" w14:textId="77777777">
      <w:pPr>
        <w:pStyle w:val="NormalHanging12a"/>
        <w:ind w:left="567" w:hanging="567"/>
      </w:pPr>
      <w:r w:rsidRPr="00FA496A">
        <w:t>6.</w:t>
      </w:r>
      <w:r w:rsidRPr="00FA496A">
        <w:tab/>
        <w:t>felhívja a moldovai hatóságokat annak biztosítására, hogy a bírák és ügyészek átvilágítási folyamatát inkluzív, kiszámítható és jogilag megalapozott módon folytassák le, és arra ösztönzi az országot, hogy ténylegesen és haladéktalanul zárja le a folyamatot, mivel az átvilágítás befejezése elengedhetetlen az igazságszolgáltatásba vetett közbizalom biztosításához, a kompromittálódott bírák eltávolításához és a jogállamiságnak mint az uniós integráció sarokkövének megerősítéséhez; felhívja Moldovát, hogy biztosítson elegendő költségvetési és emberi erőforrást az igazságügyi szervek számára, és továbbra is hozzon intézkedéseket kapacitásaik megerősítése érdekében, többek között a bírák és ügyészek hiányának kezelése, az eljárások hosszának különösen a korrupciós és gazdasági bűncselekményekkel kapcsolatos ügyekben való csökkentése, valamint az igazságszolgáltatás digitalizációjának, hozzáférhetőségének, hatékonyságának és átláthatóságának valamennyi polgár számára történő javítása érdekében;</w:t>
      </w:r>
    </w:p>
    <w:p w:rsidR="009F7132" w:rsidRPr="00FA496A" w:rsidP="004A492B" w14:paraId="0D30EAD1" w14:textId="77777777">
      <w:pPr>
        <w:pStyle w:val="NormalHanging12a"/>
        <w:ind w:left="567" w:hanging="567"/>
      </w:pPr>
      <w:r w:rsidRPr="00FA496A">
        <w:t>7.</w:t>
      </w:r>
      <w:r w:rsidRPr="00FA496A">
        <w:tab/>
        <w:t>megjegyzi, hogy Moldova következetes előrelépést tett a korrupció megelőzése és az ellene folytatott küzdelem terén, és mind a magas szintű, mind a nem magas szintű ügyekben jobb eredményeket ért el; hangsúlyozza, hogy az átfogó reformok hosszú távú sikerének biztosítása érdekében tovább kell erősíteni az operatív kapacitásokat, az intézményi függetlenséget, a professzionalizmust és az elszámoltathatóságot, valamint fokozni kell a koordinációs mechanizmusokat valamennyi kulcsfontosságú korrupcióellenes és igazságügyi intézmény között;</w:t>
      </w:r>
    </w:p>
    <w:p w:rsidR="009F7132" w:rsidRPr="00FA496A" w:rsidP="004A492B" w14:paraId="28ACFFFC" w14:textId="77777777">
      <w:pPr>
        <w:pStyle w:val="NormalHanging12a"/>
        <w:ind w:left="567" w:hanging="567"/>
      </w:pPr>
      <w:r w:rsidRPr="00FA496A">
        <w:t>8.</w:t>
      </w:r>
      <w:r w:rsidRPr="00FA496A">
        <w:tab/>
        <w:t>hangsúlyozza, hogy a korrupcióellenes erőfeszítéseket következetes, politikamentes és átlátható módon kell folytatni, elkerülve az ad hoc vagy gyorsított jogalkotási kezdeményezéseket, amelyek alááshatják a jogbiztonságot és az intézményi bizalmat; hangsúlyozza annak fontosságát, hogy a korrupcióellenes keret hosszú távú hitelességének és rezilienciájának biztosítása érdekében a reformok gyorsaságával szemben prioritásként kezeljék a minőséget, a fenntarthatóságot és a jogszerű eljárást;</w:t>
      </w:r>
    </w:p>
    <w:p w:rsidR="009F7132" w:rsidRPr="00FA496A" w:rsidP="004A492B" w14:paraId="0FE538E5" w14:textId="77777777">
      <w:pPr>
        <w:pStyle w:val="NormalHanging12a"/>
        <w:ind w:left="567" w:hanging="567"/>
      </w:pPr>
      <w:r w:rsidRPr="00FA496A">
        <w:t>9.</w:t>
      </w:r>
      <w:r w:rsidRPr="00FA496A">
        <w:tab/>
        <w:t>hangsúlyozza, hogy Moldova európai integrációjának előmozdítása szempontjából továbbra is kulcsfontosságú prioritás az oligarchikus struktúrák politikai, gazdasági és médiaszférára gyakorolt befolyásának kezelése;</w:t>
      </w:r>
    </w:p>
    <w:p w:rsidR="009F7132" w:rsidRPr="00FA496A" w:rsidP="004A492B" w14:paraId="67C47491" w14:textId="77777777">
      <w:pPr>
        <w:pStyle w:val="NormalHanging12a"/>
        <w:ind w:left="567" w:hanging="567"/>
      </w:pPr>
      <w:r w:rsidRPr="00FA496A">
        <w:t>10.</w:t>
      </w:r>
      <w:r w:rsidRPr="00FA496A">
        <w:tab/>
        <w:t>kiemeli, hogy a 2025. szeptember 28-i parlamenti választás az egymást követő ötödik szavazás volt, amely megerősítette, hogy a moldovai nép támogatja az ország uniós csatlakozását és a kapcsolódó reformokat; határozottan elítéli az Oroszországi Föderáció, az oroszbarát oligarchák és az orosz megbízottak arra irányuló ismételt kísérleteit, hogy destabilizálják az országot, dezinformációt hozzanak létre és terjesszenek, megosztottságot szítsanak a moldovai társadalmon belül, aláássák az ország demokratikus intézményeit, és visszafordítsák azt Európa felé vezető útjáról;</w:t>
      </w:r>
    </w:p>
    <w:p w:rsidR="009F7132" w:rsidRPr="00FA496A" w:rsidP="004A492B" w14:paraId="76B8D489" w14:textId="77777777">
      <w:pPr>
        <w:pStyle w:val="NormalHanging12a"/>
        <w:ind w:left="567" w:hanging="567"/>
      </w:pPr>
      <w:r w:rsidRPr="00FA496A">
        <w:t>11.</w:t>
      </w:r>
      <w:r w:rsidRPr="00FA496A">
        <w:tab/>
        <w:t>üdvözli az Európai Biztonsági és Együttműködési Szervezet (EBESZ)/Demokratikus Intézmények és Emberi Jogok Hivatala (ODIHR) értékelését, amely szerint a parlamenti választások jól szervezett és versengő választások voltak, és a szavazók számára egyértelmű választási lehetőséget kínáltak a politikai alternatívák között; felkéri Moldovát, hogy még jobban hangolja össze a választásokra és a választási folyamatokra vonatkozó jogszabályait az európai és nemzetközi normákkal, és hajtsa végre a Velencei Bizottság és az EBESZ/ODIHR minden olyan ajánlását, amellyel még nem foglalkoztak;</w:t>
      </w:r>
    </w:p>
    <w:p w:rsidR="009F7132" w:rsidRPr="00FA496A" w:rsidP="004A492B" w14:paraId="2BBE8142" w14:textId="77777777">
      <w:pPr>
        <w:pStyle w:val="NormalHanging12a"/>
        <w:ind w:left="567" w:hanging="567"/>
      </w:pPr>
      <w:r w:rsidRPr="00FA496A">
        <w:t>12.</w:t>
      </w:r>
      <w:r w:rsidRPr="00FA496A">
        <w:tab/>
        <w:t>elismerését fejezi ki amiatt, hogy a moldovai intézmények és társadalom Oroszország és megbízottjai elsöprő hibrid kampánya ellenére is reziliensnek bizonyult a választási folyamat integritásának megőrzése terén; megjegyzi, hogy e siker fő tényezői a moldovai hatóságok időszerű és összehangolt erőfeszítései, a civil társadalom és a független média aktív bevonása, valamint az EU és tagállamainak támogatása voltak, többek között az EU moldovai partnerségi misszióján (EUPM) keresztül;</w:t>
      </w:r>
    </w:p>
    <w:p w:rsidR="009F7132" w:rsidRPr="00FA496A" w:rsidP="004A492B" w14:paraId="4671939F" w14:textId="77777777">
      <w:pPr>
        <w:pStyle w:val="NormalHanging12a"/>
        <w:ind w:left="567" w:hanging="567"/>
      </w:pPr>
      <w:r w:rsidRPr="00FA496A">
        <w:t>13.</w:t>
      </w:r>
      <w:r w:rsidRPr="00FA496A">
        <w:tab/>
        <w:t xml:space="preserve">figyelmeztet arra, hogy a rosszindulatú orosz beavatkozás egy folyamatos és állandóan változó folyamat, amely a társadalom egészére kiterjedő megközelítésen, megfelelő intézményi képességeken és erőforrásokon alapuló folyamatos nyomon követést és reagálást igényel; felhívja az EU-t és tagállamait, hogy erősítsék meg Moldova intézményi rezilienciájához, stratégiai kommunikációs kapacitásaihoz, kiberbiztonságához, független médiájához és demokratikus biztosítékaihoz nyújtott támogatásukat; hangsúlyozza, hogy az Oroszországból érkező dezinformáció és félretájékoztatás terjedése elleni küzdelemre irányuló erőfeszítéseinek meg kell </w:t>
      </w:r>
      <w:r w:rsidRPr="00FA496A">
        <w:t>felelniük a jogszerűség, a szükségesség és az arányosság követelményeinek; megjegyzi, hogy a Moldovában szerzett tapasztalatok felhasználhatók a hasonló hibrid fenyegetésekkel szembesülő más demokráciák védelmére is; komoly aggodalmának ad hangot az oroszbarát hálózatok tevékenységei miatt, amelyek orosz pénzügyi szereplőkhöz, például a Promszvjazbankhoz kapcsolódó kriptovaluta-infrastruktúrák használata révén a szankciók széles körű kijátszásához, választási beavatkozáshoz és dezinformációs kampányokhoz kapcsolódnak; felhívja a Bizottságot és a tagállamokat, hogy erősítsék meg a pénzügyi hírszerzési együttműködést, fokozzák a szankciók végrehajtását, és támogassák a moldovai hatóságokat a nem uniós országokon keresztül történő illegális pénzmozgások és külföldi beavatkozás elleni küzdelemben, többek között célzott szankciók és kiberellenőrzési intézkedések révén;</w:t>
      </w:r>
    </w:p>
    <w:p w:rsidR="009F7132" w:rsidRPr="00FA496A" w:rsidP="004A492B" w14:paraId="0E392204" w14:textId="77777777">
      <w:pPr>
        <w:pStyle w:val="NormalHanging12a"/>
        <w:ind w:left="567" w:hanging="567"/>
      </w:pPr>
      <w:r w:rsidRPr="00FA496A">
        <w:t>14.</w:t>
      </w:r>
      <w:r w:rsidRPr="00FA496A">
        <w:tab/>
        <w:t>kiemeli, hogy a moldovai diaszpóra létfontosságú szerepet játszik abban, hogy az ország az európai úton maradjon, amint azt a demokratikus folyamatokban, többek között a 2025. szeptember 28-i parlamenti választásokon való aktív részvételük, valamint Moldova társadalmi-gazdasági fejlődéséhez való jelentős hozzájárulásuk is mutatja; felhívja a moldovai hatóságokat, hogy folytassák a diaszpórával fenntartott kapcsolatok megerősítését, és segítsék elő aktív részvételüket az ország európai integrációs folyamatában;</w:t>
      </w:r>
    </w:p>
    <w:p w:rsidR="009F7132" w:rsidRPr="00FA496A" w:rsidP="004A492B" w14:paraId="40DAB278" w14:textId="77777777">
      <w:pPr>
        <w:pStyle w:val="NormalHanging12a"/>
        <w:ind w:left="567" w:hanging="567"/>
      </w:pPr>
      <w:r w:rsidRPr="00FA496A">
        <w:t>15.</w:t>
      </w:r>
      <w:r w:rsidRPr="00FA496A">
        <w:tab/>
        <w:t>felhívja a moldovai hatóságokat, hogy használják ki erős Európa-párti megbízatásukat az uniós tagság felé vezető úthoz szükséges kulcsfontosságú reformok ütemének felgyorsítására és a csatlakozási tárgyalások 2028 elejéig történő lezárására irányuló törekvés teljesítésére; elismeri Moldova mint tagjelölt ország szilárd elkötelezettségét amellett, hogy ambiciózus, de szükséges reformokat hajt végre; sürgeti a moldovai politikai elitet, hogy tartsa fenn az uniós csatlakozással kapcsolatos politikai konszenzust; hangsúlyozza, hogy alapvető fontosságú a moldovai polgárok uniós csatlakozási folyamatba vetett bizalmának fenntartása, többek között a csatlakozási tárgyalások időben történő, hivatalos megnyitása révén; üdvözli, hogy a Moldovai Köztársaság parlamentjén belül létrehoztak egy kifejezetten az európai integrációval foglalkozó parlamenti bizottságot, és hangsúlyozza a pártok közötti együttműködés fontosságát az uniós csatlakozással kapcsolatos reformok fenntartható sikere és az uniós tagság felé történő előrelépés szempontjából;</w:t>
      </w:r>
    </w:p>
    <w:p w:rsidR="009F7132" w:rsidRPr="00FA496A" w:rsidP="004A492B" w14:paraId="20FD7638" w14:textId="77777777">
      <w:pPr>
        <w:pStyle w:val="NormalHanging12a"/>
        <w:ind w:left="567" w:hanging="567"/>
      </w:pPr>
      <w:r w:rsidRPr="00FA496A">
        <w:t>16.</w:t>
      </w:r>
      <w:r w:rsidRPr="00FA496A">
        <w:tab/>
        <w:t>készségét fejezi ki arra, hogy továbbra is olyan kölcsönösen elfogadott demokráciatámogató tevékenységek révén támogassa a moldovai parlamentet, amelyek megfelelnek az intézmény, annak választott tagjai és személyzete szükségleteinek; kiemeli, hogy 2025. november 7-én Chișinăuban hivatalosan megnyitották az Európai Parlament keleti partnerségi irodáját, ami bizonyítja a Parlament elkötelezettségét a Moldovával és a keleti partnerség teljes régiójával folytatott együttműködés elmélyítése iránt; ezzel összefüggésben üdvözli a Metsola elnök és Igor Grosu moldovai parlamenti elnök által 2026 márciusában aláírt megújított egyetértési megállapodást;</w:t>
      </w:r>
    </w:p>
    <w:p w:rsidR="009F7132" w:rsidRPr="00FA496A" w:rsidP="004A492B" w14:paraId="36AD06E7" w14:textId="1AF056D1">
      <w:pPr>
        <w:pStyle w:val="NormalHanging12a"/>
        <w:ind w:left="567" w:hanging="567"/>
      </w:pPr>
      <w:r w:rsidRPr="00FA496A">
        <w:t>17.</w:t>
      </w:r>
      <w:r w:rsidRPr="00FA496A">
        <w:tab/>
        <w:t>üdvözli, hogy 2025 júliusában sor került az első EU–Moldova csúcstalálkozó megszervezésére, ami fontos politikai mérföldkő az EU és Moldova közötti kapcsolatokban, és erős politikai jelzés Moldova szuverenitásának, demokratikus stabilitásának és európai útjának támogatása mellett;</w:t>
      </w:r>
      <w:r w:rsidR="00FA496A">
        <w:t xml:space="preserve"> </w:t>
      </w:r>
      <w:r w:rsidRPr="00FA496A" w:rsidR="00FA496A">
        <w:t>tudomásul veszi a 2026. június 22-i második EU–Moldova csúcstalálkozót követő együttes nyilatkozatot, amely kiemeli Moldova elkötelezettségét a jogállamiság további megerősítése mellett, valamint az EU arra vonatkozó bátorítását, hogy Moldova fokozza az erőfeszítéseket az igazságügyi reform és a korrupció elleni küzdelem területén;</w:t>
      </w:r>
    </w:p>
    <w:p w:rsidR="009F7132" w:rsidRPr="00FA496A" w:rsidP="004A492B" w14:paraId="26EEAD7A" w14:textId="77777777">
      <w:pPr>
        <w:pStyle w:val="NormalHanging12a"/>
        <w:ind w:left="567" w:hanging="567"/>
      </w:pPr>
      <w:r w:rsidRPr="00FA496A">
        <w:t>18.</w:t>
      </w:r>
      <w:r w:rsidRPr="00FA496A">
        <w:tab/>
        <w:t>hangsúlyozza az európai integrációs folyamattal kapcsolatos dezinformáció elleni küzdelem fontosságát; sürgeti a Bizottságot, az Európai Külügyi Szolgálatot (EKSZ) és a moldovai kormányt, hogy fokozzák közös stratégiai kommunikációs erőfeszítéseiket az EU moldovai láthatóságának javítása érdekében; hangsúlyozza, hogy célzott kampányokra van szükség, amelyek elmagyarázzák a moldovai lakosságnak az uniós csatlakozásra való felkészülés és az uniós finanszírozású projektek kézzelfogható, napi előnyeit, különösen a vidéki térségekben és régiókban;</w:t>
      </w:r>
    </w:p>
    <w:p w:rsidR="009F7132" w:rsidRPr="00FA496A" w:rsidP="004A492B" w14:paraId="2D81E7D4" w14:textId="77777777">
      <w:pPr>
        <w:pStyle w:val="NormalHanging12a"/>
        <w:ind w:left="567" w:hanging="567"/>
      </w:pPr>
      <w:r w:rsidRPr="00FA496A">
        <w:t>19.</w:t>
      </w:r>
      <w:r w:rsidRPr="00FA496A">
        <w:tab/>
        <w:t>hangsúlyozza a demokratikus vita minőségét és a dezinformáció elleni rezilienciát előmozdító, a demokráciát támogató fellépések fontosságát Moldovában; üdvözli, hogy a moldovai hatóságok és a civil társadalmi szereplők együttműködnek többek között a Demokráciáért Európai Alapítvánnyal (EED) mint olyan eszközzel, amely képes betölteni az Egyesült Államok Nemzetközi Fejlesztési Ügynökségének (USAID) felszámolása által a régióban hagyott vákuumot; ezzel összefüggésben gratulál a Demokráciáért Európai Alapítványnak, amiért 2025-ben – mindössze 34%-kal nagyobb költségvetés mellett – 62%-kal több vissza nem térítendő támogatást nyújtott; üdvözli, hogy 2025-ben a Demokráciáért Európai Alapítvány 2024-hez képest megháromszorozta a moldovai szervezeteknek nyújtott támogatását;</w:t>
      </w:r>
    </w:p>
    <w:p w:rsidR="009F7132" w:rsidRPr="00FA496A" w:rsidP="004A492B" w14:paraId="6BA786EE" w14:textId="77777777">
      <w:pPr>
        <w:pStyle w:val="NormalHanging12a"/>
        <w:ind w:left="567" w:hanging="567"/>
      </w:pPr>
      <w:r w:rsidRPr="00FA496A">
        <w:t>20.</w:t>
      </w:r>
      <w:r w:rsidRPr="00FA496A">
        <w:tab/>
        <w:t>megismétli, hogy az európai integrációnak a moldovai nép általi támogatása a megélhetés kézzelfogható javítása, az állami intézmények megerősítése, valamint egy erős jóléti rendszer megerősítése, a szegénység elleni küzdelem és az életszínvonalnak az egész ország területén való növelése, továbbá a korrupció és az oligarchikus befolyás elleni küzdelem révén erősíthető meg;</w:t>
      </w:r>
    </w:p>
    <w:p w:rsidR="009F7132" w:rsidRPr="00FA496A" w:rsidP="004A492B" w14:paraId="14F04D47" w14:textId="77777777">
      <w:pPr>
        <w:pStyle w:val="Normal12a"/>
        <w:ind w:left="567" w:hanging="567"/>
      </w:pPr>
      <w:r w:rsidRPr="00FA496A">
        <w:rPr>
          <w:b/>
          <w:i/>
        </w:rPr>
        <w:t>Társadalmi-gazdasági reformok</w:t>
      </w:r>
    </w:p>
    <w:p w:rsidR="009F7132" w:rsidRPr="00FA496A" w:rsidP="004A492B" w14:paraId="61D15729" w14:textId="77777777">
      <w:pPr>
        <w:pStyle w:val="NormalHanging12a"/>
        <w:ind w:left="567" w:hanging="567"/>
      </w:pPr>
      <w:r w:rsidRPr="00FA496A">
        <w:t>21.</w:t>
      </w:r>
      <w:r w:rsidRPr="00FA496A">
        <w:tab/>
        <w:t>üdvözli a Moldova növekedési tervének és az azt alátámasztó reformprogramnak a végrehajtása terén elért jó előrelépést, amely terv célja, hogy támogassa Moldova társadalmi-gazdasági és alapvető reformjait, valamint javítsa az országnak az EU egységes piacához való hozzáférését; üdvözli, hogy 270 millió EUR összegű előfinanszírozást és 207,9 millió EUR összegű további támogatást folyósítottak a Moldovai Reform- és Növekedéstámogató Eszközből, beleértve a 2026 márciusában folyósított, összesen 189 millió EUR összegű második részletet is, annak eredményeként, hogy az ország 2025 decemberi határidővel az összesen 26 reformlépésből 24-et maradéktalanul megvalósított; felhívja Moldovát, hogy folytassa a fennmaradó két reformlépés 2025-ös határidővel történő befejezésére irányuló munkát, és támogatja ebben a törekvésében; felhívja a Bizottságot, hogy egyszerűsítse a belső eljárásokat annak biztosítása érdekében, hogy a moldovai hatóságok által korábban benyújtott és konzultációra bocsátott jogszabálytervezetek Moldovában történő elfogadását követően időben sor kerüljön az értékelésre és a források folyósítására;</w:t>
      </w:r>
    </w:p>
    <w:p w:rsidR="009F7132" w:rsidRPr="00FA496A" w:rsidP="004A492B" w14:paraId="3709ACD7" w14:textId="77777777">
      <w:pPr>
        <w:pStyle w:val="NormalHanging12a"/>
        <w:ind w:left="567" w:hanging="567"/>
      </w:pPr>
      <w:r w:rsidRPr="00FA496A">
        <w:t>22.</w:t>
      </w:r>
      <w:r w:rsidRPr="00FA496A">
        <w:tab/>
        <w:t>felhívja a Bizottságot, hogy nyújtson adminisztratív és technikai segítséget a moldovai hatóságoknak a Reform- és Növekedéstámogató Eszközből származó források időben történő és hatékony felhasználásának biztosítása érdekében; felhívja a moldovai kormányt, hogy biztosítsa az ezen eszközből származó források felhasználásával kapcsolatosan a hatékony kommunikációt, az átláthatóságot, a láthatóságot és az elszámoltathatóságot, többek között a civil társadalom konstruktív bevonása révén;</w:t>
      </w:r>
    </w:p>
    <w:p w:rsidR="009F7132" w:rsidRPr="00FA496A" w:rsidP="004A492B" w14:paraId="093891FF" w14:textId="77777777">
      <w:pPr>
        <w:pStyle w:val="NormalHanging12a"/>
        <w:ind w:left="567" w:hanging="567"/>
      </w:pPr>
      <w:r w:rsidRPr="00FA496A">
        <w:t>23.</w:t>
      </w:r>
      <w:r w:rsidRPr="00FA496A">
        <w:tab/>
        <w:t xml:space="preserve">kéri, hogy a 2027. évi uniós költségvetés nyújtson célzott adminisztratív és technikai segítséget Moldovának ahhoz, hogy felkészüljön a következő többéves pénzügyi keret </w:t>
      </w:r>
      <w:r w:rsidRPr="00FA496A">
        <w:t>és a Globális Európa eszköz új struktúrájára való átállásra; hangsúlyozza, hogy támogatni kell a moldovai közigazgatást a jövőbeli „európai” pillér teljesítési modelljéhez való alkalmazkodásban; hangsúlyozza, hogy a források elosztásának és felszabadításának továbbra is szigorúan az elfogadott reformmérföldkövek teljesítésétől, a makroszintű pénzügyi stabilitástól, a hatékony és eredményes pénzgazdálkodástól, a költségvetés végrehajtásának átláthatóságától, valamint a csalás, a korrupció és az összeférhetetlenség elleni hatékony biztosítékok meglététől kell függenie; ismételten felhívja a Bizottságot, hogy az EU következő többéves pénzügyi keretébe foglaljon bele egy megfelelő országspecifikus allokációt Moldova számára a jövőbeli Globális Európa „Európa” pillérén belül, és kezdje meg Moldova felkészítését a jövőbeli előcsatlakozási alapok hatékony felhasználására; ragaszkodik ahhoz, hogy kifejezetten erre a célra szolgáló és átlátható előcsatlakozási támogatásokra van szükség annak érdekében, hogy hatékonyan nyomon kövessék a kiadásokat, és megelőzzék a források felhígulását az átfogó földrajzi pilléreken belül;</w:t>
      </w:r>
    </w:p>
    <w:p w:rsidR="009F7132" w:rsidRPr="00FA496A" w:rsidP="004A492B" w14:paraId="5A45879A" w14:textId="5EE24018">
      <w:pPr>
        <w:pStyle w:val="NormalHanging12a"/>
        <w:ind w:left="567" w:hanging="567"/>
      </w:pPr>
      <w:r w:rsidRPr="00FA496A">
        <w:t>24.</w:t>
      </w:r>
      <w:r w:rsidRPr="00FA496A">
        <w:tab/>
        <w:t>elismerését fejezi ki az EU és Moldova közötti mélyreható és átfogó szabadkereskedelmi térség kereskedelmi rendelkezéseinek felülvizsgálatáról és aktualizálásáról 2025. július 24-én elért megállapodásért</w:t>
      </w:r>
      <w:r>
        <w:rPr>
          <w:rStyle w:val="FootnoteReference"/>
        </w:rPr>
        <w:footnoteReference w:id="3"/>
      </w:r>
      <w:r w:rsidRPr="00FA496A">
        <w:t>, amely stabilitást és kiszámíthatóságot biztosít az uniós és moldovai gazdasági szereplők számára, és növeli az ország vonzerejét a befektetők számára; megjegyzi, hogy a megállapodás egybeesett az ország számára 2022 júliusa óta biztosított autonóm kereskedelmi intézkedések hatályvesztésével, amelyek felfüggesztették az EU-ba irányuló moldovai exportra vonatkozó behozatali vámokat és vámkontingenseket, és ezáltal segítették Moldovát abban, hogy kereskedelemét mindkét fél javára az EU felé irányítsa; kiemeli, hogy az EU Moldova legnagyobb kereskedelmi partnere, amely 2025-ben a teljes export 67,5%-át és a teljes behozatal 54,1%-át, 2024-ben pedig a közvetlen külföldi befektetések 86%-át adta, megszilárdítva Moldova gazdaságában a közvetlen külföldi befektetések központi pilléreként betöltött pozícióját; hangsúlyozza a Moldova gazdaságába történő közvetlen uniós beruházások fontosságát az ország uniós egységes piacba való gazdasági integrációjának megkönnyítése, a munkahelyteremtés és az üzleti lehetőségek megteremtése, valamint a polgárok megélhetésének javítása szempontjából;</w:t>
      </w:r>
    </w:p>
    <w:p w:rsidR="009F7132" w:rsidRPr="00FA496A" w:rsidP="004A492B" w14:paraId="386FFFFA" w14:textId="77777777">
      <w:pPr>
        <w:pStyle w:val="NormalHanging12a"/>
        <w:ind w:left="567" w:hanging="567"/>
      </w:pPr>
      <w:r w:rsidRPr="00FA496A">
        <w:t>25.</w:t>
      </w:r>
      <w:r w:rsidRPr="00FA496A">
        <w:tab/>
        <w:t>üdvözli Moldova uniós egységes piacba való gazdasági integrációjának elmélyítését, és további lépéseket szorgalmaz a fokozatos ágazati integráció és a kereskedelem nagyratörő, fokozatos és fenntartható liberalizálása felé, többek között a vámkontingensek kiterjesztése és enyhítése, valamint adott esetben fokozatos megszüntetése révén, a felülvizsgált DCFTA-kerettel összhangban, kézzelfogható gazdasági előnyök biztosítása, Moldova rezilienciájának megerősítése és európai integrációs útjának támogatása érdekében; felhívja különösen a Bizottságot, hogy vizsgálja meg az agrár-élelmiszeripari termékek kereskedelmének további fokozatos liberalizálását, beleértve a fennmaradó nem vámjellegű akadályok felszámolását és a szabályozás összehangolásának fokozott támogatását, különösen az egészségügyi és növényegészségügyi szabványok és a kereskedelem technikai akadályai tekintetében, valamint a vámkontingensek félautomatikus növelésének bevezetését a felhasználási arányokhoz és az uniós normáknak való megfeleléshez kapcsolódóan, miközben megfelelő védelmi mechanizmusokat biztosít az uniós termelők számára;</w:t>
      </w:r>
    </w:p>
    <w:p w:rsidR="009F7132" w:rsidRPr="00FA496A" w:rsidP="004A492B" w14:paraId="3BBBFC47" w14:textId="77777777">
      <w:pPr>
        <w:pStyle w:val="NormalHanging12a"/>
        <w:ind w:left="567" w:hanging="567"/>
      </w:pPr>
      <w:r w:rsidRPr="00FA496A">
        <w:t>26.</w:t>
      </w:r>
      <w:r w:rsidRPr="00FA496A">
        <w:tab/>
        <w:t>megjegyzi, hogy a Dnyeszteren túli régió Moldova többi részével folytatott kereskedelmének jelentős növekedése és az EU-tól való exportfüggősége lehetővé teheti a régió Moldova jogi keretéhez való gazdasági konvergálásának feltételeit, előmozdítva a de facto gazdasági reintegrációt, amely pragmatikus alapként szolgálhat a békés politikai rendezéshez és az ország esetleges újraegyesítéséhez; támogatja Moldova arra irányuló erőfeszítéseit, hogy a Dnyeszteren túli régiót bevonja az EU egységes piacához kapcsolódó gazdasági és szabályozási konvergenciaintézkedésekbe; üdvözli a chișinăui hatóságok arra irányuló erőfeszítéseit, hogy a szabályozás összehangolása és a gazdasági integráció felé tett lépésként kiterjesszék a moldovai adójogszabályok alkalmazását a Dnyeszteren túli régióban működő vállalatokra;</w:t>
      </w:r>
    </w:p>
    <w:p w:rsidR="009F7132" w:rsidRPr="00FA496A" w:rsidP="004A492B" w14:paraId="35C9FD32" w14:textId="77777777">
      <w:pPr>
        <w:pStyle w:val="NormalHanging12a"/>
        <w:ind w:left="567" w:hanging="567"/>
      </w:pPr>
      <w:r w:rsidRPr="00FA496A">
        <w:t>27.</w:t>
      </w:r>
      <w:r w:rsidRPr="00FA496A">
        <w:tab/>
        <w:t>ismételten hangsúlyozza, hogy a civil társadalmi szervezetek és a független média fontos szerepet játszanak az EU-val kapcsolatos reformok irányításának és előrehaladásának nyomon követésében; kitart amellett, hogy a moldovai civil társadalmi szervezeteknek a 2027. évi uniós költségvetés és a jövőbeli Globális Európa eszköz keretében nyújtott pénzügyi támogatás továbbra is független a kormány által a reformok terén elért eredményektől; kiszámítható, célzott, rugalmas és hozzáférhető finanszírozási forrásokat szorgalmaz a helyi civil társadalmi szervezetek és az emberijog-védők számára a reformprogramban foglalt új finanszírozási mechanizmusokon keresztül hatékony működésük biztosítása érdekében; felhívja a moldovai kormányt, hogy folytasson valódi és hatékony együttműködést a civil társadalommal, többek között állandó konzultációs platformokon keresztül; felhívja a moldovai kormányt, hogy tegyen előrelépést a civil társadalmi szervezetek fejlesztésére irányuló, a 2024–2027-es időszakra vonatkozó nemzeti program végrehajtása terén; üdvözli az uniós csatlakozási folyamatról és a csatlakozással kapcsolatos reformokról folytatott rendszeres konzultációkat;</w:t>
      </w:r>
    </w:p>
    <w:p w:rsidR="009F7132" w:rsidRPr="00FA496A" w:rsidP="004A492B" w14:paraId="210332FE" w14:textId="77777777">
      <w:pPr>
        <w:pStyle w:val="NormalHanging12a"/>
        <w:ind w:left="567" w:hanging="567"/>
      </w:pPr>
      <w:r w:rsidRPr="00FA496A">
        <w:t>28.</w:t>
      </w:r>
      <w:r w:rsidRPr="00FA496A">
        <w:tab/>
        <w:t>megismétli arra irányuló felhívását, hogy gyorsítsák fel Moldova uniós egységes piacba történő fokozatos integrálását azáltal, hogy folytatják jogi és szabályozási keretének összehangolását az uniós vívmányokkal, és bevonják az országot több uniós programba, ügynökségbe és kezdeményezésbe, többek között a digitális gazdasággal, a pénzügyi szolgáltatásokkal és az innovációval kapcsolatos programokba, ügynökségekbe és kezdeményezésekbe; gratulál Moldovának ahhoz, hogy 2025. október 6-tól kezdődően az egységes eurófizetési térség operatív részét alkotja, megkönnyítve az euróátutalásokat és csökkentve a moldovai polgárok és vállalkozások költségeit; üdvözli, hogy Moldova 2026. január 1-jétől a belföldi díjszabás szerinti barangolást biztosító uniós térség részévé vált, lehetővé téve a moldovai állampolgárok számára, hogy az EU-n belüli utazásaik során barangolási díjak nélkül használják moldovai telefonszámaikat; kiemeli, hogy az ilyen kézzelfogható előnyök kulcsszerepet játszanak az uniós integráció nyilvánosság általi támogatásának megerősítésében; ösztönzi a további összehangolást az uniós digitális vívmányokkal, valamint a konnektivitás, a digitális infrastruktúra és a piaci integráció megerősítésére irányuló folyamatos erőfeszítéseket;</w:t>
      </w:r>
    </w:p>
    <w:p w:rsidR="009F7132" w:rsidRPr="00FA496A" w:rsidP="004A492B" w14:paraId="12C80D39" w14:textId="77777777">
      <w:pPr>
        <w:pStyle w:val="NormalHanging12a"/>
        <w:ind w:left="567" w:hanging="567"/>
      </w:pPr>
      <w:r w:rsidRPr="00FA496A">
        <w:t>29.</w:t>
      </w:r>
      <w:r w:rsidRPr="00FA496A">
        <w:tab/>
        <w:t xml:space="preserve">hangsúlyozza, hogy feltétlenül fel kell gyorsítani az átfogó közigazgatási reformot; felhívja a moldovai kormányt, hogy biztosítsa a teljes mértékben érdemeken alapuló, professzionális és átlátható közszolgálatot mind központi, mind helyi szinten, ami elengedhetetlen az uniós vívmányok hatékony végrehajtásához; hangsúlyozza, hogy egy érdemi területi-közigazgatási reform elengedhetetlen a helyi hatóságok szerepvállalásának növeléséhez, mivel a települések jelenlegi széttagoltsága jelentős mértékben akadályozza pénzügyi függetlenségüket és az uniós regionális fejlesztési </w:t>
      </w:r>
      <w:r w:rsidRPr="00FA496A">
        <w:t>alapok sikeres megpályázására, felhasználására és kezelésére szolgáló adminisztratív kapacitásukat; hangsúlyozza, hogy célzott oktatási programokat és kapacitásépítési támogatást kell biztosítani a helyi és regionális önkormányzatok számára annak érdekében, hogy képesek legyenek sikeresen pályázni a rendelkezésre álló uniós finanszírozási lehetőségekre, valamint felhasználni és kezelni azokat;</w:t>
      </w:r>
    </w:p>
    <w:p w:rsidR="009F7132" w:rsidRPr="00FA496A" w:rsidP="004A492B" w14:paraId="1FAFFA1B" w14:textId="77777777">
      <w:pPr>
        <w:pStyle w:val="NormalHanging12a"/>
        <w:ind w:left="567" w:hanging="567"/>
      </w:pPr>
      <w:r w:rsidRPr="00FA496A">
        <w:t>30.</w:t>
      </w:r>
      <w:r w:rsidRPr="00FA496A">
        <w:tab/>
        <w:t>hangsúlyozza, hogy a sikeres uniós bővítési folyamathoz erős helyi felelősségvállalásra van szükség; sajnálatát fejezi ki amiatt, hogy a többéves pénzügyi keret javasolt struktúrájában nincsenek hivatalos mechanizmusok a helyi és regionális önkormányzatok számára; felhívja a moldovai kormányt és a Bizottságot, hogy szisztematikusan vonják be a moldovai helyi és regionális önkormányzatokat és szövetségeiket a többéves indikatív programok és cselekvési tervek kidolgozásába; sürgeti, hogy a jövőbeli Globális Európa keretében hozzanak létre célzott kapacitásépítési intézkedéseket és finanszírozási forrásokat annak érdekében, hogy támogassák a moldovai önkormányzatokat a decentralizációs reformok és az EU-hoz igazodó közszolgáltatások végrehajtásában;</w:t>
      </w:r>
    </w:p>
    <w:p w:rsidR="009F7132" w:rsidRPr="00FA496A" w:rsidP="004A492B" w14:paraId="3D1AB2B4" w14:textId="77777777">
      <w:pPr>
        <w:pStyle w:val="NormalHanging12a"/>
        <w:ind w:left="567" w:hanging="567"/>
      </w:pPr>
      <w:r w:rsidRPr="00FA496A">
        <w:t>31.</w:t>
      </w:r>
      <w:r w:rsidRPr="00FA496A">
        <w:tab/>
        <w:t>üdvözli, hogy Moldova 2026. január 1-jétől részt vesz a „Kreatív Európa” elnevezésű, a kulturális és kreatív ágazatokat támogató uniós programban, valamint az Európai Szociális Alap Plusz foglalkoztatási és társadalmi innovációs ágában, ami lehetővé teszi Moldova számára, hogy hozzáférjen a munkanélküliség csökkentését, a munkahelyek minőségének javítását és a társadalmi innováció előmozdítását célzó uniós finanszírozási projektekhez; felhívja a Bizottságot, hogy támogassa az ország bevonását az Európai Elektronikus Hírközlési Szabályozók Testületébe, az Európai Környezetvédelmi Ügynökségbe, az Erasmus+ programba, a DiscoverEU programba, valamint az iskolagyümölcs-, iskolazöldség- és iskolatejprogramba;</w:t>
      </w:r>
    </w:p>
    <w:p w:rsidR="009F7132" w:rsidRPr="00FA496A" w:rsidP="004A492B" w14:paraId="44467583" w14:textId="77777777">
      <w:pPr>
        <w:pStyle w:val="Normal12a"/>
        <w:ind w:left="567" w:hanging="567"/>
      </w:pPr>
      <w:r w:rsidRPr="00FA496A">
        <w:rPr>
          <w:b/>
          <w:i/>
        </w:rPr>
        <w:t>Emberi jogok</w:t>
      </w:r>
    </w:p>
    <w:p w:rsidR="009F7132" w:rsidRPr="00FA496A" w:rsidP="004A492B" w14:paraId="5E16FF6D" w14:textId="77777777">
      <w:pPr>
        <w:pStyle w:val="NormalHanging12a"/>
        <w:ind w:left="567" w:hanging="567"/>
      </w:pPr>
      <w:r w:rsidRPr="00FA496A">
        <w:t>32.</w:t>
      </w:r>
      <w:r w:rsidRPr="00FA496A">
        <w:tab/>
        <w:t>üdvözli a Moldovai Köztársaság hatóságainak arra irányuló erőfeszítéseit, hogy javítsák a nemek közötti egyenlőségre, a kapcsolati erőszak elleni küzdelemre és az áldozatok védelmére vonatkozó jogszabályi keretet, és azt összehangolják a nemzetközi és az európai normákkal, beleértve a digitális erőszak és a kényszerházasság bűncselekménnyé nyilvánítását, valamint a nőgyilkosság büntető törvénykönyvbe való bevezetését; felhívja a Moldovai Köztársaság hatóságait, hogy erősítsék meg a nőkkel szembeni erőszak, többek között a kapcsolati erőszak elleni küzdelemre és az áldozatok védelmére vonatkozó meglévő jogszabályok hatékony végrehajtását;</w:t>
      </w:r>
    </w:p>
    <w:p w:rsidR="009F7132" w:rsidRPr="00FA496A" w:rsidP="004A492B" w14:paraId="3351D476" w14:textId="77777777">
      <w:pPr>
        <w:pStyle w:val="NormalHanging12a"/>
        <w:ind w:left="567" w:hanging="567"/>
      </w:pPr>
      <w:r w:rsidRPr="00FA496A">
        <w:t>33.</w:t>
      </w:r>
      <w:r w:rsidRPr="00FA496A">
        <w:tab/>
        <w:t>üdvözli a 2023 szeptemberében elfogadott, az emberkereskedelemre vonatkozó nemzeti stratégia folyamatban lévő végrehajtását; felhívja Moldovát, hogy erősítse tovább jogi és intézményi keretét, többek között azáltal, hogy hatékonyabb eszközöket vezet be a hatóságok számára a kizsákmányolás újonnan megjelenő formáinak kivizsgálására és büntetőeljárás alá vonására;</w:t>
      </w:r>
    </w:p>
    <w:p w:rsidR="009F7132" w:rsidRPr="00FA496A" w:rsidP="004A492B" w14:paraId="655080DE" w14:textId="0ED0A5E4">
      <w:pPr>
        <w:pStyle w:val="NormalHanging12a"/>
        <w:ind w:left="567" w:hanging="567"/>
      </w:pPr>
      <w:r w:rsidRPr="00FA496A">
        <w:t>34.</w:t>
      </w:r>
      <w:r w:rsidRPr="00FA496A">
        <w:tab/>
        <w:t xml:space="preserve">megjegyzi, hogy Moldovában a fogyatékossággal élő személyek jogaira vonatkozó jogi és intézményi keretet jobban össze kell hangolni az uniós vívmányokkal és a vonatkozó </w:t>
      </w:r>
      <w:r w:rsidRPr="00FA496A">
        <w:t>nemzetközi normákkal; kéri különösen azt, hogy az akadálymentesítési keretet hangolják össze az európai akadálymentesítési irányelvvel</w:t>
      </w:r>
      <w:r>
        <w:rPr>
          <w:rStyle w:val="FootnoteReference"/>
        </w:rPr>
        <w:footnoteReference w:id="4"/>
      </w:r>
      <w:r w:rsidRPr="00FA496A">
        <w:t>;</w:t>
      </w:r>
    </w:p>
    <w:p w:rsidR="009F7132" w:rsidRPr="00FA496A" w:rsidP="004A492B" w14:paraId="5C6CA1DC" w14:textId="77777777">
      <w:pPr>
        <w:pStyle w:val="NormalHanging12a"/>
        <w:ind w:left="567" w:hanging="567"/>
      </w:pPr>
      <w:r w:rsidRPr="00FA496A">
        <w:t>35.</w:t>
      </w:r>
      <w:r w:rsidRPr="00FA496A">
        <w:tab/>
        <w:t>aggodalmát fejezi ki a chișinăui városi hatóságok arra irányuló kísérletei miatt, hogy betiltsák a Chișinău Pride-ot, valamint az ellentüntetők által a békés felvonulás ellen elkövetett erőszakos támadások miatt; elítéli az orosz kötődésű helyi média által Moldovában terjesztett félretájékoztatási és célzott online dezinformációs kampányokat; felszólítja Moldovát, hogy mindenki számára biztosítsa a gyülekezés szabadságához való jogot;</w:t>
      </w:r>
    </w:p>
    <w:p w:rsidR="009F7132" w:rsidRPr="00FA496A" w:rsidP="004A492B" w14:paraId="4E8A4D43" w14:textId="77777777">
      <w:pPr>
        <w:pStyle w:val="NormalHanging12a"/>
        <w:ind w:left="567" w:hanging="567"/>
      </w:pPr>
      <w:r w:rsidRPr="00FA496A">
        <w:t>36.</w:t>
      </w:r>
      <w:r w:rsidRPr="00FA496A">
        <w:tab/>
        <w:t>felszólítja Moldovát, hogy erősítse meg a kisebbségekhez tartozó személyek, köztük az LMBTI-személyek jogainak védelmére szolgáló jogi és intézményi keretet;</w:t>
      </w:r>
    </w:p>
    <w:p w:rsidR="009F7132" w:rsidRPr="00FA496A" w:rsidP="004A492B" w14:paraId="2AC2E31A" w14:textId="77777777">
      <w:pPr>
        <w:pStyle w:val="Normal12a"/>
        <w:ind w:left="567" w:hanging="567"/>
      </w:pPr>
      <w:r w:rsidRPr="00FA496A">
        <w:rPr>
          <w:b/>
          <w:i/>
        </w:rPr>
        <w:t xml:space="preserve">Tudományos együttműködés és emberek közötti kapcsolatok </w:t>
      </w:r>
    </w:p>
    <w:p w:rsidR="009F7132" w:rsidRPr="00FA496A" w:rsidP="004A492B" w14:paraId="118F152B" w14:textId="77777777">
      <w:pPr>
        <w:pStyle w:val="NormalHanging12a"/>
        <w:ind w:left="567" w:hanging="567"/>
      </w:pPr>
      <w:r w:rsidRPr="00FA496A">
        <w:t>37.</w:t>
      </w:r>
      <w:r w:rsidRPr="00FA496A">
        <w:tab/>
        <w:t>üdvözli a Moldova által annak érdekében tett jelentős előrelépést, hogy felsőoktatási rendszerét összhangba hozza az európai felsőoktatási térséggel, beleértve három moldovai intézmény társult partnerként való részvételét az európai egyetemek szövetségeiben; elismerését fejezi ki továbbá az országnak a 2021–2027-es Erasmus+ program nemzetközi dimenziójában való szerepvállalásáért, valamint az európai oktatási térség négy munkacsoportjában való részvételéért;</w:t>
      </w:r>
    </w:p>
    <w:p w:rsidR="009F7132" w:rsidRPr="00FA496A" w:rsidP="004A492B" w14:paraId="392BD95B" w14:textId="77777777">
      <w:pPr>
        <w:pStyle w:val="NormalHanging12a"/>
        <w:ind w:left="567" w:hanging="567"/>
      </w:pPr>
      <w:r w:rsidRPr="00FA496A">
        <w:t>38.</w:t>
      </w:r>
      <w:r w:rsidRPr="00FA496A">
        <w:tab/>
        <w:t>üdvözli Moldova növekvő szerepvállalását az európai kutatási és innovációs hálózatokban, és ösztönzi a Horizont Európával való további integrációt, amely hozzáférést biztosítana az egyetemek és a kutatóintézetek számára az európai finanszírozáshoz, az együttműködésen alapuló kutatási infrastruktúrákhoz és a tudományos partnerségekhez;</w:t>
      </w:r>
    </w:p>
    <w:p w:rsidR="009F7132" w:rsidRPr="00FA496A" w:rsidP="004A492B" w14:paraId="623E3D84" w14:textId="77777777">
      <w:pPr>
        <w:pStyle w:val="Normal12a"/>
        <w:ind w:left="567" w:hanging="567"/>
      </w:pPr>
      <w:r w:rsidRPr="00FA496A">
        <w:rPr>
          <w:b/>
          <w:i/>
        </w:rPr>
        <w:t>Energia, környezetvédelem és konnektivitás</w:t>
      </w:r>
    </w:p>
    <w:p w:rsidR="009F7132" w:rsidRPr="00FA496A" w:rsidP="004A492B" w14:paraId="08CAD968" w14:textId="77777777">
      <w:pPr>
        <w:pStyle w:val="NormalHanging12a"/>
        <w:ind w:left="567" w:hanging="567"/>
      </w:pPr>
      <w:r w:rsidRPr="00FA496A">
        <w:t>39.</w:t>
      </w:r>
      <w:r w:rsidRPr="00FA496A">
        <w:tab/>
        <w:t>elismerését fejezi ki az ország arra irányuló folyamatos erőfeszítéseiért, hogy Moldova energiabiztonságának és energetikai rezilienciájának biztosítása érdekében összehangolja a moldovai energiaágazatot az uniós vívmányokkal, hogy előmozdítsa annak az uniós energiapiacba történő teljes integrációját;</w:t>
      </w:r>
    </w:p>
    <w:p w:rsidR="009F7132" w:rsidRPr="00FA496A" w:rsidP="004A492B" w14:paraId="69032632" w14:textId="77777777">
      <w:pPr>
        <w:pStyle w:val="NormalHanging12a"/>
        <w:ind w:left="567" w:hanging="567"/>
      </w:pPr>
      <w:r w:rsidRPr="00FA496A">
        <w:t>40.</w:t>
      </w:r>
      <w:r w:rsidRPr="00FA496A">
        <w:tab/>
        <w:t>megelégedéssel veszi tudomásul, hogy Moldova érte el a legmagasabb pontszámot az európai jogszabályok átültetése terén az Energiaközösség tagországai közül, és egyúttal a Közösség szerződő felei között is élen járt a villamosenergia-piac integrációjáról szóló csomag teljes körű átültetésében; felhívja a Bizottságot, az Energiaközösség Titkárságát és más érintett szereplőket, hogy legkésőbb 2028-ig biztosítsák Moldova teljes körű összekapcsolását az uniós villamosenergia-piaccal;</w:t>
      </w:r>
    </w:p>
    <w:p w:rsidR="009F7132" w:rsidRPr="00FA496A" w:rsidP="004A492B" w14:paraId="38DD4DF1" w14:textId="77777777">
      <w:pPr>
        <w:pStyle w:val="NormalHanging12a"/>
        <w:ind w:left="567" w:hanging="567"/>
      </w:pPr>
      <w:r w:rsidRPr="00FA496A">
        <w:t>41.</w:t>
      </w:r>
      <w:r w:rsidRPr="00FA496A">
        <w:tab/>
        <w:t xml:space="preserve">hangsúlyozza, hogy Moldova energetikai rezilienciájának további megerősítése érdekében hatóságainak az EU támogatásával folytatniuk kell Moldova energiaellátási forrásainak diverzifikálását, fel kell gyorsítaniuk az európai energiapiacba való integrációját, fokozniuk kell a köz- és lakóépületek energiahatékonyságába történő beruházásokat, növelniük kell a belföldi energiatermelést és ösztönözniük kell a kereslet csökkenését; üdvözli, hogy Moldova jelentősen növelte a megújuló energia részarányát, </w:t>
      </w:r>
      <w:r w:rsidRPr="00FA496A">
        <w:t>amely 2025-ben elérte a fogyasztás mintegy 25%-át és az 1 GW teljes beépített teljesítményt, ami jelentős mérföldkő az ország helyi energiatermelésének fejlesztésében és energetikai átállásában;</w:t>
      </w:r>
    </w:p>
    <w:p w:rsidR="009F7132" w:rsidRPr="00FA496A" w:rsidP="004A492B" w14:paraId="1D03E11B" w14:textId="77777777">
      <w:pPr>
        <w:pStyle w:val="NormalHanging12a"/>
        <w:ind w:left="567" w:hanging="567"/>
      </w:pPr>
      <w:r w:rsidRPr="00FA496A">
        <w:t>42.</w:t>
      </w:r>
      <w:r w:rsidRPr="00FA496A">
        <w:tab/>
        <w:t>üdvözli az energiafüggetlenségre és energetikai rezilienciára vonatkozó, 2025. február 4-i átfogó EU–Moldova stratégia végrehajtásának részeként elfogadott, az orosz energiaforrásoktól való teljes függőség megszüntetésére irányuló, 2025. márciusi kormányzati cselekvési tervet a villamosenergia-, a gáz- és a kőolajágazatban; emlékeztet, hogy 2025-ben Oroszország beszüntette a Cuciurgan erőmű gázzal való ellátását, arra irányuló kényszerítő kísérletként, hogy befolyásolja Moldova nemzetközi döntéseit, és hogy az ezt követő energiaválság első áldozatai a Dnyeszter folyó két oldalán élő emberek voltak;</w:t>
      </w:r>
    </w:p>
    <w:p w:rsidR="009F7132" w:rsidRPr="00FA496A" w:rsidP="004A492B" w14:paraId="38DF9862" w14:textId="77777777">
      <w:pPr>
        <w:pStyle w:val="NormalHanging12a"/>
        <w:ind w:left="567" w:hanging="567"/>
      </w:pPr>
      <w:r w:rsidRPr="00FA496A">
        <w:t>43.</w:t>
      </w:r>
      <w:r w:rsidRPr="00FA496A">
        <w:tab/>
        <w:t>üdvözli, hogy 2025 decemberében befejeződött a Vulcănești és Chișinău közötti 400 kV-os felsővezeték építése, amelynek nyomán 2026-ban várhatóan megkezdődik az elektromos vezetéken keresztül történő villamosenergia-átvitel; megjegyzi, hogy ez a gyakorlati lépés csökkenti Moldova Dnyeszteren túli régióbeli energiainfrastruktúrától való függőségét, valamint az ellenséges orosz befolyással szembeni sebezhetőségét, és lehetővé teszi az ország számára, hogy Románián keresztül biztonságosan és megbízhatóan kapcsolódjon az európai villamosenergia-hálózathoz;</w:t>
      </w:r>
    </w:p>
    <w:p w:rsidR="009F7132" w:rsidRPr="00FA496A" w:rsidP="004A492B" w14:paraId="74E5BDB1" w14:textId="77777777">
      <w:pPr>
        <w:pStyle w:val="NormalHanging12a"/>
        <w:ind w:left="567" w:hanging="567"/>
      </w:pPr>
      <w:r w:rsidRPr="00FA496A">
        <w:t>44.</w:t>
      </w:r>
      <w:r w:rsidRPr="00FA496A">
        <w:tab/>
        <w:t>felhívja a Bizottságot, hogy maximalizálja a jövőbeli Globális Európa eszköz és a Nemzeti és Regionális Partnerségi Alap keretében rendelkezésre álló, határokon átnyúló együttműködésre vonatkozó allokációk felhasználását, hogy még jobban felgyorsítsa Moldova közlekedési, energetikai és digitális infrastruktúrájának az európai egységes piaccal való integrációját; hangsúlyozza, hogy az ilyen finanszírozásnak előnyben kell részesítenie a közlekedési, energetikai és digitális infrastruktúrát érintő nagy hatású projekteket, beleértve a határkeresztező átviteli kapacitásokat, a belföldi megújulóenergia-termelést, az energiahatékonyságot, a transzeurópai közlekedési hálózat összehangolását, az energiahálózat szinkronizálását és a széles sávú hálózatok bővítését; ösztönzi a Moldovával való további energia-összeköttetési projektek, például a Suceava–Bălți és Gutinaș–Strășeni 400 kV-os felsővezetékek gyors fejlesztését;</w:t>
      </w:r>
    </w:p>
    <w:p w:rsidR="009F7132" w:rsidRPr="00FA496A" w:rsidP="004A492B" w14:paraId="2CAB2431" w14:textId="77777777">
      <w:pPr>
        <w:pStyle w:val="NormalHanging12a"/>
        <w:ind w:left="567" w:hanging="567"/>
      </w:pPr>
      <w:r w:rsidRPr="00FA496A">
        <w:t>45.</w:t>
      </w:r>
      <w:r w:rsidRPr="00FA496A">
        <w:tab/>
        <w:t>határozottan elítéli az ukrán energiainfrastruktúra elleni, 2026 márciusában elkövetett orosz támadásokat, amelyek veszélyeztették Moldova energia- és vízellátásának biztonságát, közvetlen hatást gyakoroltak a vízkészletek biztonságára és az ország lakossága 80%-ának egészségére, akik számára a Dnyeszter folyó az édesvíz és az ivóvíz fő forrása, és amely támadások 15 napos környezeti vészhelyzetet teremtettek a Moldovai Köztársaságban; üdvözli a moldovai és az ukrán hatóságok, valamint az átvitelirendszer-üzemeltetők gyors és összehangolt válaszát, és felhívja az EU-t és tagállamait, hogy biztosítsanak további pénzügyi forrásokat, technikai segítségnyújtást és speciális felszereléseket Moldovának a jövőbeli ökológiai katasztrófák kezelésére irányuló kapacitásának növelése érdekében;</w:t>
      </w:r>
    </w:p>
    <w:p w:rsidR="009F7132" w:rsidRPr="00FA496A" w:rsidP="004A492B" w14:paraId="3C982D10" w14:textId="77777777">
      <w:pPr>
        <w:pStyle w:val="NormalHanging12a"/>
        <w:ind w:left="567" w:hanging="567"/>
      </w:pPr>
      <w:r w:rsidRPr="00FA496A">
        <w:t>46.</w:t>
      </w:r>
      <w:r w:rsidRPr="00FA496A">
        <w:tab/>
        <w:t>kiemeli, hogy Moldova továbbra is jelentős környezeti kihívásokkal néz szembe, beleértve a levegő- és vízszennyezést, az elégtelen hulladékgazdálkodási infrastruktúrát és a biológiai sokféleség folyamatos csökkenését; hangsúlyozza, hogy meg kell erősíteni az adminisztratív kapacitást, javítani kell a környezetvédelmi jogszabályok végrehajtását, és biztosítani kell a környezetvédelmi infrastruktúrába történő megfelelő beruházásokat;</w:t>
      </w:r>
    </w:p>
    <w:p w:rsidR="009F7132" w:rsidRPr="00FA496A" w:rsidP="004A492B" w14:paraId="3505A0AB" w14:textId="77777777">
      <w:pPr>
        <w:pStyle w:val="NormalHanging12a"/>
        <w:ind w:left="567" w:hanging="567"/>
      </w:pPr>
      <w:r w:rsidRPr="00FA496A">
        <w:t>47.</w:t>
      </w:r>
      <w:r w:rsidRPr="00FA496A">
        <w:tab/>
        <w:t>emlékeztet arra, hogy Moldovát már mélyen sújtották Oroszország Ukrajna elleni teljes körű agressziós háborújának súlyos biztonsági, gazdasági és társadalmi következményei; mély aggodalmát fejezi ki amiatt, hogy az ország jelenleg azon országok közé tartozik, amelyeket a legsúlyosabban érintenek a folyamatban lévő közel-keleti háború miatt súlyosbodó globális gazdasági és energiaválságok; felhívja az EU-t és tagállamait, hogy tanúsítsanak folyamatos és megingathatatlan szolidaritást Moldovával, és biztosítsák a szükséges támogatást az ezen egymást átfedő külső sokkhatások által a polgáraira és gazdaságára gyakorolt hatások mérsékléséhez;</w:t>
      </w:r>
    </w:p>
    <w:p w:rsidR="009F7132" w:rsidRPr="00FA496A" w:rsidP="004A492B" w14:paraId="33F1A281" w14:textId="77777777">
      <w:pPr>
        <w:pStyle w:val="Normal12a"/>
      </w:pPr>
      <w:r w:rsidRPr="00FA496A">
        <w:rPr>
          <w:b/>
          <w:i/>
        </w:rPr>
        <w:t>Együttműködés a közös kül- és biztonságpolitika terén és előrelépés a Dnyeszteren túli területtel kapcsolatos rendezésben</w:t>
      </w:r>
    </w:p>
    <w:p w:rsidR="009F7132" w:rsidRPr="00FA496A" w:rsidP="004A492B" w14:paraId="57F3F54B" w14:textId="77777777">
      <w:pPr>
        <w:pStyle w:val="NormalHanging12a"/>
        <w:ind w:left="567" w:hanging="567"/>
      </w:pPr>
      <w:r w:rsidRPr="00FA496A">
        <w:t>48.</w:t>
      </w:r>
      <w:r w:rsidRPr="00FA496A">
        <w:tab/>
        <w:t>elismerését fejezi ki Moldovának a külpolitikai kérdéseket érintő következetes együttműködéséért és az arra irányuló erőfeszítéseiért, hogy teljes mértékben igazodjon az EU közös kül- és biztonságpolitikai álláspontjaihoz; megjegyzi, hogy Moldova 88%-ban igazodik az EU kül-, biztonság- és védelempolitikájához, beleértve az Oroszországgal szembeni uniós szankciókat is; felkéri az országot, hogy javítsa tovább ezt az igazodást, többek között az Oroszországgal szembeni korlátozó intézkedések tekintetében, és továbbra is működjön együtt az Oroszországgal és Belarusszal szembeni, Oroszország Ukrajna elleni agressziós háborújához kapcsolódó szankciók kijátszásának megelőzése érdekében; elismerését fejezi ki Moldovának a lakóhelyüket elhagyni kényszerült ukránok egy főre jutó legnagyobb számának befogadásáért, valamint azért, hogy képes lépést tartani a menekültek nagyarányú beáramlása miatt jelentkező jelentős társadalmi, gazdasági és adminisztratív nyomással; üdvözli Moldova fokozott részvételét az EU közös biztonság- és védelempolitikája keretében megvalósuló uniós missziókban és műveletekben, például a bosznia-hercegovinai Althaia műveletben és az EU szomáliai kiképző missziójában;</w:t>
      </w:r>
    </w:p>
    <w:p w:rsidR="009F7132" w:rsidRPr="00FA496A" w:rsidP="004A492B" w14:paraId="4516348F" w14:textId="77777777">
      <w:pPr>
        <w:pStyle w:val="NormalHanging12a"/>
        <w:ind w:left="567" w:hanging="567"/>
      </w:pPr>
      <w:r w:rsidRPr="00FA496A">
        <w:t>49.</w:t>
      </w:r>
      <w:r w:rsidRPr="00FA496A">
        <w:tab/>
        <w:t>elismeri a Moldova, Románia és Ukrajna közötti háromoldalú együttműködés (az „Odessza-háromszög”) szerepét a regionális biztonság megerősítésében, Moldova és Ukrajna uniós integrációs folyamatának előmozdításában, ezen országok EU-val való összeköttetésének javításában, valamint az Oroszországi Föderációból érkező hibrid fenyegetésekkel, többek között a dezinformációval és a külföldi információmanipulációval, a kibertámadásokkal és az energetikai fenyegetésekkel szembeni fellépésben;</w:t>
      </w:r>
    </w:p>
    <w:p w:rsidR="009F7132" w:rsidRPr="00FA496A" w:rsidP="004A492B" w14:paraId="7FEB2484" w14:textId="77777777">
      <w:pPr>
        <w:pStyle w:val="NormalHanging12a"/>
        <w:ind w:left="567" w:hanging="567"/>
      </w:pPr>
      <w:r w:rsidRPr="00FA496A">
        <w:t>50.</w:t>
      </w:r>
      <w:r w:rsidRPr="00FA496A">
        <w:tab/>
        <w:t>üdvözli az EU moldovai köztársasági polgári partnerségi missziója (EUPM) megbízatásának 2027. május 31-ig történő meghosszabbítását, és felhívja a tagállamokat, hogy ehhez járuljanak hozzá a szükséges szakértők és pénzügyi források biztosításával; ösztönzi az EU-t, hogy továbbra is támogassa Moldova rezilienciáját és felkészültségét, többek között a példa nélküli orosz beavatkozással szemben, az EUPM, a hibrid fenyegetéseket kezelő gyorsreagálású csoportok, a kiberbiztonsági incidensekkel foglalkozó gyorsreagálású csoportok és az uniós kiberbiztonsági tartalék révén;</w:t>
      </w:r>
    </w:p>
    <w:p w:rsidR="009F7132" w:rsidRPr="00FA496A" w:rsidP="004A492B" w14:paraId="7AE4E299" w14:textId="77777777">
      <w:pPr>
        <w:pStyle w:val="NormalHanging12a"/>
        <w:ind w:left="567" w:hanging="567"/>
      </w:pPr>
      <w:r w:rsidRPr="00FA496A">
        <w:t>51.</w:t>
      </w:r>
      <w:r w:rsidRPr="00FA496A">
        <w:tab/>
        <w:t xml:space="preserve">kiemeli, hogy a kritikus infrastruktúrák elleni fizikai támadásokat és a biztonsági provokációkat szisztematikus külföldi információmanipulációs és beavatkozási kampányok kísérik, amelyek célja, hogy pánikot szítsanak a lakosság körében, és aláássák a moldovai hatóságokba vetett közbizalmat; hangsúlyozza ezért annak alapvető fontosságát, hogy a moldovai intézményeket megbízható eszközökkel lássák el a gyors válságkommunikációhoz, hogy hatékonyan tudjanak fellépni a dezinformáció ellen, és </w:t>
      </w:r>
      <w:r w:rsidRPr="00FA496A">
        <w:t>biztosítsák a tényszerű információk gyors terjesztését; tudomásul veszi különösen a stratégiai kommunikációval és a dezinformáció elleni küzdelemmel foglalkozó központ és a Nemzeti Kiberbiztonsági Ügynökség operatív kapacitásának növelése érdekében 2025-ben tett lépéseket; felszólít a rendelkezésre álló források 2027-ben és azt követően történő stratégiai felhasználására Moldova stratégiai kommunikációs, kiberbiztonsági és a külföldi információmanipuláció és beavatkozás elleni küzdelemre irányuló kapacitásának a csatlakozás tervezett időpontja előtt történő megerősítése érdekében; felhívja az EU-t, hogy a választási folyamat és a demokratikus intézmények védelme, valamint a külföldi információmanipuláció és beavatkozás elleni küzdelem terén Moldovában szerzett tapasztalatokból levont tanulságokat alkalmazza magára az EU-ra és más tagjelölt országokra is; üdvözli e tekintetben a tagállamok közszolgálati műsorszolgáltatóinak arra irányuló erőfeszítéseit, hogy tényeken alapuló tartalmakat biztosítsanak a moldovai nyilvánosság számára;</w:t>
      </w:r>
    </w:p>
    <w:p w:rsidR="009F7132" w:rsidRPr="00FA496A" w:rsidP="004A492B" w14:paraId="39D5F128" w14:textId="77777777">
      <w:pPr>
        <w:pStyle w:val="NormalHanging12a"/>
        <w:ind w:left="567" w:hanging="567"/>
      </w:pPr>
      <w:r w:rsidRPr="00FA496A">
        <w:t>52.</w:t>
      </w:r>
      <w:r w:rsidRPr="00FA496A">
        <w:tab/>
        <w:t>aggodalmát fejezi ki amiatt, hogy a vallási struktúrákat politikai célokra használják fel, összhangban az orosz katonai doktrínával és a nemzetbiztonsági stratégiával, beleértve a közvélemény és a választási folyamatok oly módon történő befolyásolására irányuló kísérleteket, amelyek alááshatják Moldova európai útját; felhívja a moldovai hatóságokat, hogy biztosítsák a vallásszabadság teljes körű tiszteletben tartását, ugyanakkor előzzenek meg minden olyan indokolatlan külső beavatkozást vagy manipulációt, amely hatással lehet az ország demokratikus folyamataira és stratégiai irányára; határozottan elítéli, hogy az orosz ortodox egyház irányítása alá tartozó, Moszkvához kapcsolódó moldáv ortodox egyházat a Kreml által irányított dezinformáció, választási beavatkozás és hibrid befolyás eszközeként használják a Moldovai Köztársaságban;</w:t>
      </w:r>
    </w:p>
    <w:p w:rsidR="009F7132" w:rsidRPr="00FA496A" w:rsidP="004A492B" w14:paraId="5F9162D2" w14:textId="77777777">
      <w:pPr>
        <w:pStyle w:val="NormalHanging12a"/>
        <w:ind w:left="567" w:hanging="567"/>
      </w:pPr>
      <w:r w:rsidRPr="00FA496A">
        <w:t>53.</w:t>
      </w:r>
      <w:r w:rsidRPr="00FA496A">
        <w:tab/>
        <w:t>ismételten hangsúlyozza, hogy teljes mértékben elkötelezett Moldova területi integritása és a konfliktus békés rendezése mellett, amely Moldova nemzetközileg elismert határain belüli szuverenitásán és területi integritásán alapul; ösztönzi Moldovát, hogy folytassa reintegrációs erőfeszítéseit, és felhívja az Oroszországi Föderációt, hogy tegyen eleget nemzetközi kötelezettségeinek azáltal, hogy biztosítja teljes katonai személyzetének, valamennyi felszerelésének és lőszerének a Dnyeszteren túli régióból történő azonnali és feltétel nélküli kivonását, mivel ezek jelenléte súlyosan sérti a nemzetközi jogot, és közvetlen biztonsági fenyegetést jelent Moldovára és a tágabb európai szomszédságra nézve;</w:t>
      </w:r>
    </w:p>
    <w:p w:rsidR="009F7132" w:rsidRPr="00FA496A" w:rsidP="004A492B" w14:paraId="67890394" w14:textId="77777777">
      <w:pPr>
        <w:pStyle w:val="NormalHanging12a"/>
        <w:ind w:left="567" w:hanging="567"/>
      </w:pPr>
      <w:r w:rsidRPr="00FA496A">
        <w:t>54.</w:t>
      </w:r>
      <w:r w:rsidRPr="00FA496A">
        <w:tab/>
        <w:t>támogatja a moldovai hatóságok fokozatos megközelítését az ország reintegrációjával kapcsolatban, nagy hangsúlyt fektetve a folyó két partján élő polgárok számára kézzelfogható társadalmi-gazdasági előnyökre; felhívja az EU-t, hogy aktívan járuljon hozzá a békés reintegrációs folyamathoz, többek között a konvergenciaalaphoz való érdemi hozzájárulás révén, amely támogatni fogja a Dnyeszteren túli régió Moldova jogi, gazdasági és társadalmi keretéhez való fokozatos igazodását, és konkrét javulást fog elérni a polgárok számára nyújtott közszolgáltatások és helyi infrastruktúra terén;</w:t>
      </w:r>
    </w:p>
    <w:p w:rsidR="009F7132" w:rsidRPr="00FA496A" w:rsidP="004A492B" w14:paraId="0E5B372F" w14:textId="77777777">
      <w:pPr>
        <w:pStyle w:val="NormalHanging12a"/>
        <w:ind w:left="567" w:hanging="567"/>
      </w:pPr>
      <w:r w:rsidRPr="00FA496A">
        <w:t>55.</w:t>
      </w:r>
      <w:r w:rsidRPr="00FA496A">
        <w:tab/>
        <w:t xml:space="preserve">aggodalommal állapítja meg, hogy Oroszország továbbra is igyekszik kihasználni és fokozni a Gagauzia Autonóm Területi Egység és a moldovai hatóságok közötti feszültségeket; támogatja és ösztönzi a moldovai kormány arra irányuló folyamatos erőfeszítéseit, hogy konstruktív párbeszéden és inkluzív reformokon keresztül kezelje ezeket a kihívásokat; sürgeti a regionális hatóságokat, hogy jóhiszeműen vegyenek részt ebben a párbeszédben, és biztosítsák a szabad, tisztességes, átlátható és jogszerű választások megfelelő megszervezését a régión belül, a moldovai jogszabályokkal teljes </w:t>
      </w:r>
      <w:r w:rsidRPr="00FA496A">
        <w:t>összhangban; megismétli, hogy Moldova belső stabilitása és az uniós csatlakozás felé vezető úton tett folyamatos előrehaladása szempontjából elengedhetetlen a főváros és a régiók közötti stabil, együttműködésen alapuló kapcsolat;</w:t>
      </w:r>
    </w:p>
    <w:p w:rsidR="009F7132" w:rsidRPr="00FA496A" w:rsidP="004A492B" w14:paraId="5C60C78F" w14:textId="77777777">
      <w:pPr>
        <w:pStyle w:val="NormalHanging12a"/>
        <w:ind w:left="567" w:hanging="567"/>
      </w:pPr>
      <w:r w:rsidRPr="00FA496A">
        <w:t>56.</w:t>
      </w:r>
      <w:r w:rsidRPr="00FA496A">
        <w:tab/>
        <w:t>üdvözli Moldova azon döntését, hogy kilép az Oroszország dominálta Független Államok Közösségéből, ami az ország által választott európai utat tükröző szuverén és stratégiai döntés; felszólít a szovjet időszak örökségének kezelésére, például a volt szovjet biztonsági szolgálatok levéltári anyagai titkosításának feloldása révén, és ösztönzi a szovjet propaganda szimbólumainak nyilvános helyeken való jelenlétéről szóló vitát;</w:t>
      </w:r>
    </w:p>
    <w:p w:rsidR="009F7132" w:rsidRPr="00FA496A" w:rsidP="004A492B" w14:paraId="07D4AFB7" w14:textId="77777777">
      <w:pPr>
        <w:pStyle w:val="NormalHanging12a"/>
        <w:ind w:left="567" w:hanging="567"/>
      </w:pPr>
      <w:r w:rsidRPr="00FA496A">
        <w:t>57.</w:t>
      </w:r>
      <w:r w:rsidRPr="00FA496A">
        <w:tab/>
        <w:t>határozottan elítéli az orosz drónok 2022 óta ismétlődő, engedély nélküli behatolását Moldova légterébe és területére, ami Moldova szuverenitásának és területi integritásának súlyos megsértését jelenti; hangsúlyozza, hogy az ilyen fellépések közvetlen kockázatot jelentenek a polgári biztonságra, védelemre és a regionális stabilitásra nézve, és megismétli, hogy szigorúan be kell tartani a nemzetközi jogot; ezzel összefüggésben hangsúlyozza a légtérellenőrzési és -védelmi infrastruktúrába történő beruházások kritikus fontosságát;</w:t>
      </w:r>
    </w:p>
    <w:p w:rsidR="009F7132" w:rsidRPr="00FA496A" w:rsidP="004A492B" w14:paraId="0565AF24" w14:textId="77777777">
      <w:pPr>
        <w:pStyle w:val="NormalHanging12a"/>
        <w:ind w:left="567" w:hanging="567"/>
      </w:pPr>
      <w:r w:rsidRPr="00FA496A">
        <w:t>58.</w:t>
      </w:r>
      <w:r w:rsidRPr="00FA496A">
        <w:tab/>
        <w:t>üdvözli a moldovai fegyveres erőknek az Európai Békekeret keretében nyújtott folyamatos támogatást; ismételten felhívja a tagállamokat, hogy a jelenlegi biztonsági fenyegetésekre tekintettel növeljék tovább az Európai Békekeretből Moldovának nyújtott finanszírozást az ország védelmi képességeinek megerősítése érdekében; felhívja a Bizottságot, hogy az EKSZ-szel együttműködve a csatlakozási folyamat részeként biztosítson strukturáltabb, kiszámíthatóbb és fokozott támogatást a Moldovai Köztársaság biztonsági és védelmi kapacitásainak megerősítéséhez és az uniós biztonsági normákhoz való igazodásához; felszólít Moldova védelmi ágazata – többek között légvédelmi képességei – korszerűsítésének folytatólagos támogatására; hangsúlyozza, hogy Moldova nemcsak biztonsági ügyfél, hanem biztonsági szolgáltató is az EU számára, tekintettel stratégiai elhelyezkedésére és értékes valós idejű tapasztalataira; üdvözli Moldova olyan országként való elismerését, amely számára az európai védelmi ipari program keretében közösen további védelmi termékek szerezhetők be, és az uniós pénzügyi hozzájárulás aránya 15%-ról 25%-ra nőtt, és kéri, hogy ezt a preferenciális elbánást építsék be a 2027 utáni architektúrába;</w:t>
      </w:r>
    </w:p>
    <w:p w:rsidR="009F7132" w:rsidRPr="00FA496A" w:rsidP="004A492B" w14:paraId="28FC9946" w14:textId="77777777">
      <w:pPr>
        <w:pStyle w:val="NormalCenter12a"/>
        <w:ind w:left="567" w:hanging="567"/>
      </w:pPr>
      <w:r w:rsidRPr="00FA496A">
        <w:t>°</w:t>
      </w:r>
    </w:p>
    <w:p w:rsidR="009F7132" w:rsidRPr="00FA496A" w:rsidP="004A492B" w14:paraId="7D90D7CF" w14:textId="77777777">
      <w:pPr>
        <w:pStyle w:val="NormalCenter12a"/>
        <w:ind w:left="567" w:hanging="567"/>
      </w:pPr>
      <w:r w:rsidRPr="00FA496A">
        <w:t>°</w:t>
      </w:r>
      <w:r w:rsidRPr="00FA496A">
        <w:tab/>
        <w:t>°</w:t>
      </w:r>
    </w:p>
    <w:p w:rsidR="00B23342" w:rsidRPr="00B23342" w:rsidP="004A492B" w14:paraId="38B4280C" w14:textId="67283040">
      <w:pPr>
        <w:pStyle w:val="NormalHanging12a"/>
        <w:ind w:left="567" w:hanging="567"/>
      </w:pPr>
      <w:r w:rsidRPr="00FA496A">
        <w:t>59.</w:t>
      </w:r>
      <w:r w:rsidRPr="00FA496A">
        <w:tab/>
        <w:t>utasítja elnökét, hogy továbbítsa ezt az állásfoglalást a Tanácsnak, a Bizottságnak, a Bizottság alelnökének/az Unió külügyi és biztonságpolitikai főképviselőjének, valamint a Moldovai Köztársaság elnökének, kormányának és parlamentjének.</w:t>
      </w:r>
    </w:p>
    <w:sectPr w:rsidSect="00B23342">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3342" w14:paraId="3B855CD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3342" w14:paraId="167178D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3342" w14:paraId="230640A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C442F" w:rsidRPr="00B23342" w14:paraId="02E4B33C" w14:textId="77777777">
      <w:r w:rsidRPr="00B23342">
        <w:separator/>
      </w:r>
    </w:p>
  </w:footnote>
  <w:footnote w:type="continuationSeparator" w:id="1">
    <w:p w:rsidR="004C442F" w:rsidRPr="00B23342" w14:paraId="57630B2B" w14:textId="77777777">
      <w:r w:rsidRPr="00B23342">
        <w:continuationSeparator/>
      </w:r>
    </w:p>
  </w:footnote>
  <w:footnote w:id="2">
    <w:p w:rsidR="004A492B" w:rsidRPr="00B23342" w:rsidP="00B23342" w14:paraId="3E0E87D1" w14:textId="098B7E5A">
      <w:pPr>
        <w:pStyle w:val="FootnoteText"/>
        <w:ind w:left="567" w:hanging="567"/>
        <w:rPr>
          <w:sz w:val="24"/>
          <w:lang w:val="hu-HU"/>
        </w:rPr>
      </w:pPr>
      <w:r>
        <w:rPr>
          <w:rStyle w:val="FootnoteReference"/>
        </w:rPr>
        <w:footnoteRef/>
      </w:r>
      <w:r w:rsidRPr="00B23342">
        <w:rPr>
          <w:sz w:val="24"/>
          <w:lang w:val="hu-HU"/>
        </w:rPr>
        <w:t xml:space="preserve"> </w:t>
      </w:r>
      <w:r w:rsidRPr="00B23342">
        <w:rPr>
          <w:sz w:val="24"/>
          <w:lang w:val="hu-HU"/>
        </w:rPr>
        <w:tab/>
        <w:t>HL L</w:t>
      </w:r>
      <w:r w:rsidR="00676753">
        <w:rPr>
          <w:sz w:val="24"/>
          <w:lang w:val="hu-HU"/>
        </w:rPr>
        <w:t>,</w:t>
      </w:r>
      <w:r w:rsidRPr="00B23342">
        <w:rPr>
          <w:sz w:val="24"/>
          <w:lang w:val="hu-HU"/>
        </w:rPr>
        <w:t xml:space="preserve"> 2025/535, 2025.3.21., ELI: </w:t>
      </w:r>
      <w:hyperlink r:id="rId1" w:tgtFrame="http://data.europa.eu/eli/reg/2025/535/oj" w:history="1">
        <w:r w:rsidRPr="00B23342">
          <w:rPr>
            <w:rStyle w:val="Hyperlink"/>
            <w:sz w:val="24"/>
            <w:lang w:val="hu-HU"/>
          </w:rPr>
          <w:t>http://data.europa.eu/eli/reg/2025/535/oj</w:t>
        </w:r>
      </w:hyperlink>
      <w:r w:rsidRPr="00B23342">
        <w:rPr>
          <w:sz w:val="24"/>
          <w:lang w:val="hu-HU"/>
        </w:rPr>
        <w:t>.</w:t>
      </w:r>
    </w:p>
  </w:footnote>
  <w:footnote w:id="3">
    <w:p w:rsidR="004A492B" w:rsidRPr="00B23342" w:rsidP="00B23342" w14:paraId="5CDE8006" w14:textId="29BDEBB1">
      <w:pPr>
        <w:pStyle w:val="FootnoteText"/>
        <w:ind w:left="567" w:hanging="567"/>
        <w:rPr>
          <w:sz w:val="24"/>
          <w:lang w:val="hu-HU"/>
        </w:rPr>
      </w:pPr>
      <w:r>
        <w:rPr>
          <w:rStyle w:val="FootnoteReference"/>
        </w:rPr>
        <w:footnoteRef/>
      </w:r>
      <w:r w:rsidRPr="00B23342">
        <w:rPr>
          <w:sz w:val="24"/>
          <w:lang w:val="hu-HU"/>
        </w:rPr>
        <w:t xml:space="preserve"> </w:t>
      </w:r>
      <w:r w:rsidRPr="00B23342">
        <w:rPr>
          <w:sz w:val="24"/>
          <w:lang w:val="hu-HU"/>
        </w:rPr>
        <w:tab/>
        <w:t xml:space="preserve">Társulási megállapodás egyrészről az Európai Unió, az Európai Atomenergia-közösség és tagállamaik, másrészről a Moldovai Köztársaság között (HL L 260., 2014.8.30., 4. o., ELI: </w:t>
      </w:r>
      <w:hyperlink r:id="rId2" w:history="1">
        <w:r w:rsidRPr="004A492B">
          <w:rPr>
            <w:rStyle w:val="Hyperlink"/>
            <w:sz w:val="24"/>
            <w:lang w:val="hu-HU"/>
          </w:rPr>
          <w:t>http://data.europa.eu/eli/agree_internation/2014/492/oj</w:t>
        </w:r>
      </w:hyperlink>
      <w:r w:rsidRPr="00B23342">
        <w:rPr>
          <w:sz w:val="24"/>
          <w:lang w:val="hu-HU"/>
        </w:rPr>
        <w:t>).</w:t>
      </w:r>
    </w:p>
  </w:footnote>
  <w:footnote w:id="4">
    <w:p w:rsidR="004A492B" w:rsidRPr="00B23342" w:rsidP="00B23342" w14:paraId="7D9D18E3" w14:textId="39FD0F3F">
      <w:pPr>
        <w:pStyle w:val="FootnoteText"/>
        <w:ind w:left="567" w:hanging="567"/>
        <w:rPr>
          <w:sz w:val="24"/>
          <w:lang w:val="hu-HU"/>
        </w:rPr>
      </w:pPr>
      <w:r>
        <w:rPr>
          <w:rStyle w:val="FootnoteReference"/>
        </w:rPr>
        <w:footnoteRef/>
      </w:r>
      <w:r w:rsidRPr="00B23342">
        <w:rPr>
          <w:sz w:val="24"/>
          <w:lang w:val="hu-HU"/>
        </w:rPr>
        <w:t xml:space="preserve"> </w:t>
      </w:r>
      <w:r w:rsidRPr="00B23342">
        <w:rPr>
          <w:sz w:val="24"/>
          <w:lang w:val="hu-HU"/>
        </w:rPr>
        <w:tab/>
        <w:t xml:space="preserve">Az Európai Parlament és a Tanács (EU) 2019/882 irányelve (2019. április 17.) a termékekre és a szolgáltatásokra vonatkozó akadálymentességi követelményekről (HL L 151., 2019.6.7., 70. o., ELI: </w:t>
      </w:r>
      <w:hyperlink r:id="rId3" w:tgtFrame="http://data.europa.eu/eli/dir/2019/882/oj" w:history="1">
        <w:r w:rsidRPr="00B23342">
          <w:rPr>
            <w:rStyle w:val="Hyperlink"/>
            <w:sz w:val="24"/>
            <w:lang w:val="hu-HU"/>
          </w:rPr>
          <w:t>http://data.europa.eu/eli/dir/2019/882/oj</w:t>
        </w:r>
      </w:hyperlink>
      <w:r w:rsidRPr="00B23342">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3342" w14:paraId="4927E8B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3342" w14:paraId="47BD152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3342" w14:paraId="09C7DBB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5731452">
    <w:abstractNumId w:val="9"/>
  </w:num>
  <w:num w:numId="2" w16cid:durableId="1500190842">
    <w:abstractNumId w:val="9"/>
  </w:num>
  <w:num w:numId="3" w16cid:durableId="1768698898">
    <w:abstractNumId w:val="7"/>
  </w:num>
  <w:num w:numId="4" w16cid:durableId="1575629712">
    <w:abstractNumId w:val="7"/>
  </w:num>
  <w:num w:numId="5" w16cid:durableId="2131438661">
    <w:abstractNumId w:val="6"/>
  </w:num>
  <w:num w:numId="6" w16cid:durableId="1059092505">
    <w:abstractNumId w:val="6"/>
  </w:num>
  <w:num w:numId="7" w16cid:durableId="1352027348">
    <w:abstractNumId w:val="5"/>
  </w:num>
  <w:num w:numId="8" w16cid:durableId="1055661565">
    <w:abstractNumId w:val="5"/>
  </w:num>
  <w:num w:numId="9" w16cid:durableId="588663869">
    <w:abstractNumId w:val="4"/>
  </w:num>
  <w:num w:numId="10" w16cid:durableId="1579751679">
    <w:abstractNumId w:val="4"/>
  </w:num>
  <w:num w:numId="11" w16cid:durableId="1831821476">
    <w:abstractNumId w:val="8"/>
  </w:num>
  <w:num w:numId="12" w16cid:durableId="2145151668">
    <w:abstractNumId w:val="8"/>
  </w:num>
  <w:num w:numId="13" w16cid:durableId="327754961">
    <w:abstractNumId w:val="3"/>
  </w:num>
  <w:num w:numId="14" w16cid:durableId="114255339">
    <w:abstractNumId w:val="3"/>
  </w:num>
  <w:num w:numId="15" w16cid:durableId="239292073">
    <w:abstractNumId w:val="2"/>
  </w:num>
  <w:num w:numId="16" w16cid:durableId="114755317">
    <w:abstractNumId w:val="2"/>
  </w:num>
  <w:num w:numId="17" w16cid:durableId="356125998">
    <w:abstractNumId w:val="1"/>
  </w:num>
  <w:num w:numId="18" w16cid:durableId="1115978355">
    <w:abstractNumId w:val="1"/>
  </w:num>
  <w:num w:numId="19" w16cid:durableId="1357121434">
    <w:abstractNumId w:val="0"/>
  </w:num>
  <w:num w:numId="20" w16cid:durableId="1473643949">
    <w:abstractNumId w:val="0"/>
  </w:num>
  <w:num w:numId="21" w16cid:durableId="1913464684">
    <w:abstractNumId w:val="9"/>
  </w:num>
  <w:num w:numId="22" w16cid:durableId="1161194162">
    <w:abstractNumId w:val="7"/>
  </w:num>
  <w:num w:numId="23" w16cid:durableId="1733847197">
    <w:abstractNumId w:val="6"/>
  </w:num>
  <w:num w:numId="24" w16cid:durableId="956833019">
    <w:abstractNumId w:val="5"/>
  </w:num>
  <w:num w:numId="25" w16cid:durableId="2039819349">
    <w:abstractNumId w:val="4"/>
  </w:num>
  <w:num w:numId="26" w16cid:durableId="1277520102">
    <w:abstractNumId w:val="8"/>
  </w:num>
  <w:num w:numId="27" w16cid:durableId="1225336499">
    <w:abstractNumId w:val="3"/>
  </w:num>
  <w:num w:numId="28" w16cid:durableId="1120224357">
    <w:abstractNumId w:val="2"/>
  </w:num>
  <w:num w:numId="29" w16cid:durableId="183784310">
    <w:abstractNumId w:val="1"/>
  </w:num>
  <w:num w:numId="30" w16cid:durableId="1095174443">
    <w:abstractNumId w:val="0"/>
  </w:num>
  <w:num w:numId="31" w16cid:durableId="1442145458">
    <w:abstractNumId w:val="9"/>
  </w:num>
  <w:num w:numId="32" w16cid:durableId="2096170787">
    <w:abstractNumId w:val="7"/>
  </w:num>
  <w:num w:numId="33" w16cid:durableId="242030771">
    <w:abstractNumId w:val="6"/>
  </w:num>
  <w:num w:numId="34" w16cid:durableId="296835199">
    <w:abstractNumId w:val="5"/>
  </w:num>
  <w:num w:numId="35" w16cid:durableId="1515069523">
    <w:abstractNumId w:val="4"/>
  </w:num>
  <w:num w:numId="36" w16cid:durableId="1248149701">
    <w:abstractNumId w:val="8"/>
  </w:num>
  <w:num w:numId="37" w16cid:durableId="1432704648">
    <w:abstractNumId w:val="3"/>
  </w:num>
  <w:num w:numId="38" w16cid:durableId="510492023">
    <w:abstractNumId w:val="2"/>
  </w:num>
  <w:num w:numId="39" w16cid:durableId="1039235600">
    <w:abstractNumId w:val="1"/>
  </w:num>
  <w:num w:numId="40" w16cid:durableId="832339137">
    <w:abstractNumId w:val="0"/>
  </w:num>
  <w:num w:numId="41" w16cid:durableId="1326083282">
    <w:abstractNumId w:val="10"/>
  </w:num>
  <w:num w:numId="42" w16cid:durableId="1486778744">
    <w:abstractNumId w:val="10"/>
  </w:num>
  <w:num w:numId="43" w16cid:durableId="2088452584">
    <w:abstractNumId w:val="10"/>
  </w:num>
  <w:num w:numId="44" w16cid:durableId="18008303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42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492B"/>
    <w:rsid w:val="004C0004"/>
    <w:rsid w:val="004C442F"/>
    <w:rsid w:val="004C5D52"/>
    <w:rsid w:val="004D18BD"/>
    <w:rsid w:val="0050519A"/>
    <w:rsid w:val="005072A1"/>
    <w:rsid w:val="00514517"/>
    <w:rsid w:val="00545827"/>
    <w:rsid w:val="00560270"/>
    <w:rsid w:val="005C2568"/>
    <w:rsid w:val="005F1B17"/>
    <w:rsid w:val="006037C0"/>
    <w:rsid w:val="006631B6"/>
    <w:rsid w:val="00676753"/>
    <w:rsid w:val="00680577"/>
    <w:rsid w:val="006F74FA"/>
    <w:rsid w:val="00731ADD"/>
    <w:rsid w:val="00734777"/>
    <w:rsid w:val="00747932"/>
    <w:rsid w:val="00751A4A"/>
    <w:rsid w:val="00756632"/>
    <w:rsid w:val="00762C74"/>
    <w:rsid w:val="00786EC0"/>
    <w:rsid w:val="007C087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132"/>
    <w:rsid w:val="00A1687D"/>
    <w:rsid w:val="00A41C5E"/>
    <w:rsid w:val="00A43E52"/>
    <w:rsid w:val="00A4678D"/>
    <w:rsid w:val="00A778C7"/>
    <w:rsid w:val="00AB441E"/>
    <w:rsid w:val="00AB6293"/>
    <w:rsid w:val="00AE0928"/>
    <w:rsid w:val="00AF3B82"/>
    <w:rsid w:val="00B12E95"/>
    <w:rsid w:val="00B22876"/>
    <w:rsid w:val="00B2334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7B2"/>
    <w:rsid w:val="00F5134D"/>
    <w:rsid w:val="00F74202"/>
    <w:rsid w:val="00F84BD2"/>
    <w:rsid w:val="00F87713"/>
    <w:rsid w:val="00FA496A"/>
    <w:rsid w:val="00FB4360"/>
    <w:rsid w:val="00FD0C70"/>
  </w:rsids>
  <w:docVars>
    <w:docVar w:name="dvdocse" w:val="A10-0164/2026"/>
    <w:docVar w:name="dvlangue" w:val="HU"/>
    <w:docVar w:name="dvnumam" w:val="0"/>
    <w:docVar w:name="dvpe" w:val="782.290"/>
    <w:docVar w:name="dvrapporteur" w:val="Előadó: "/>
    <w:docVar w:name="dvtitre" w:val="Az Európai Parlament 2026. július 8-i állásfoglalása a Bizottság Moldováról szóló 2025. évi jelentéséről(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02A5D88"/>
  <w15:chartTrackingRefBased/>
  <w15:docId w15:val="{CB1D9BDB-A473-4562-AC1C-0F5A8E46F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F7132"/>
    <w:pPr>
      <w:widowControl/>
      <w:spacing w:after="240"/>
    </w:pPr>
    <w:rPr>
      <w:szCs w:val="24"/>
      <w:lang w:eastAsia="en-US"/>
    </w:rPr>
  </w:style>
  <w:style w:type="paragraph" w:customStyle="1" w:styleId="NormalHanging12a">
    <w:name w:val="NormalHanging12a"/>
    <w:basedOn w:val="Normal"/>
    <w:rsid w:val="009F7132"/>
    <w:pPr>
      <w:widowControl/>
      <w:spacing w:after="240"/>
      <w:ind w:left="566" w:hanging="566"/>
    </w:pPr>
    <w:rPr>
      <w:szCs w:val="24"/>
      <w:lang w:eastAsia="en-US"/>
    </w:rPr>
  </w:style>
  <w:style w:type="paragraph" w:customStyle="1" w:styleId="Normal12">
    <w:name w:val="Normal12"/>
    <w:basedOn w:val="Normal"/>
    <w:rsid w:val="009F7132"/>
    <w:pPr>
      <w:spacing w:after="240"/>
    </w:pPr>
    <w:rPr>
      <w:szCs w:val="24"/>
      <w:lang w:eastAsia="en-US"/>
    </w:rPr>
  </w:style>
  <w:style w:type="paragraph" w:customStyle="1" w:styleId="NormalHanging">
    <w:name w:val="NormalHanging"/>
    <w:basedOn w:val="Normal"/>
    <w:rsid w:val="009F7132"/>
    <w:pPr>
      <w:spacing w:after="240"/>
      <w:ind w:left="566" w:hanging="566"/>
    </w:pPr>
    <w:rPr>
      <w:szCs w:val="24"/>
      <w:lang w:eastAsia="en-US"/>
    </w:rPr>
  </w:style>
  <w:style w:type="paragraph" w:customStyle="1" w:styleId="NormalCenter12a">
    <w:name w:val="NormalCenter12a"/>
    <w:basedOn w:val="Normal"/>
    <w:rsid w:val="009F7132"/>
    <w:pPr>
      <w:widowControl/>
      <w:spacing w:after="240"/>
      <w:jc w:val="center"/>
    </w:pPr>
    <w:rPr>
      <w:szCs w:val="24"/>
      <w:lang w:eastAsia="en-US"/>
    </w:rPr>
  </w:style>
  <w:style w:type="character" w:styleId="Hyperlink">
    <w:name w:val="Hyperlink"/>
    <w:basedOn w:val="DefaultParagraphFont"/>
    <w:rsid w:val="009F7132"/>
    <w:rPr>
      <w:color w:val="0000FF"/>
      <w:u w:val="single"/>
    </w:rPr>
  </w:style>
  <w:style w:type="character" w:styleId="UnresolvedMention">
    <w:name w:val="Unresolved Mention"/>
    <w:basedOn w:val="DefaultParagraphFont"/>
    <w:uiPriority w:val="99"/>
    <w:semiHidden/>
    <w:unhideWhenUsed/>
    <w:rsid w:val="004A492B"/>
    <w:rPr>
      <w:color w:val="605E5C"/>
      <w:shd w:val="clear" w:color="auto" w:fill="E1DFDD"/>
    </w:rPr>
  </w:style>
  <w:style w:type="paragraph" w:styleId="Revision">
    <w:name w:val="Revision"/>
    <w:hidden/>
    <w:uiPriority w:val="99"/>
    <w:semiHidden/>
    <w:rsid w:val="004A492B"/>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5479</Words>
  <Characters>40673</Characters>
  <Application>Microsoft Office Word</Application>
  <DocSecurity>0</DocSecurity>
  <Lines>338</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2026-08-10T13:03:00Z</dcterms:created>
  <dcterms:modified xsi:type="dcterms:W3CDTF">2026-08-10T13:03:00Z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A10-0164/2026</vt:lpwstr>
  </property>
  <property fmtid="{D5CDD505-2E9C-101B-9397-08002B2CF9AE}" pid="4" name="&lt;Type&gt;">
    <vt:lpwstr>RR</vt:lpwstr>
  </property>
</Properties>
</file>