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034A7F4" w14:textId="77777777" w:rsidTr="0010095E">
        <w:tblPrEx>
          <w:tblW w:w="9072" w:type="dxa"/>
          <w:tblLook w:val="01E0"/>
        </w:tblPrEx>
        <w:trPr>
          <w:trHeight w:hRule="exact" w:val="1418"/>
        </w:trPr>
        <w:tc>
          <w:tcPr>
            <w:tcW w:w="6804" w:type="dxa"/>
            <w:shd w:val="clear" w:color="auto" w:fill="auto"/>
            <w:vAlign w:val="center"/>
          </w:tcPr>
          <w:p w:rsidR="00751A4A" w:rsidRPr="00130C3A" w:rsidP="0010095E" w14:paraId="40241DC7" w14:textId="77777777">
            <w:pPr>
              <w:pStyle w:val="EPName"/>
            </w:pPr>
            <w:r w:rsidRPr="00130C3A">
              <w:t>Europos Parlamentas</w:t>
            </w:r>
          </w:p>
          <w:p w:rsidR="00751A4A" w:rsidRPr="00130C3A" w:rsidP="005F1B17" w14:paraId="44971FA1" w14:textId="77777777">
            <w:pPr>
              <w:pStyle w:val="EPTerm"/>
              <w:rPr>
                <w:rStyle w:val="HideTWBExt"/>
                <w:noProof w:val="0"/>
                <w:vanish w:val="0"/>
                <w:color w:val="auto"/>
              </w:rPr>
            </w:pPr>
            <w:r w:rsidRPr="00130C3A">
              <w:t>2024</w:t>
            </w:r>
            <w:r w:rsidRPr="00130C3A" w:rsidR="00817416">
              <w:t>-202</w:t>
            </w:r>
            <w:r w:rsidRPr="00130C3A">
              <w:t>9</w:t>
            </w:r>
          </w:p>
        </w:tc>
        <w:tc>
          <w:tcPr>
            <w:tcW w:w="2268" w:type="dxa"/>
            <w:shd w:val="clear" w:color="auto" w:fill="auto"/>
          </w:tcPr>
          <w:p w:rsidR="00751A4A" w:rsidRPr="00130C3A" w:rsidP="0010095E" w14:paraId="74A53023" w14:textId="77777777">
            <w:pPr>
              <w:pStyle w:val="EPLogo"/>
            </w:pPr>
            <w:r w:rsidRPr="00130C3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30C3A" w:rsidP="004C5D52" w14:paraId="7F1BEB37" w14:textId="77777777">
      <w:pPr>
        <w:pStyle w:val="LineTop"/>
      </w:pPr>
    </w:p>
    <w:p w:rsidR="00680577" w:rsidRPr="00130C3A" w:rsidP="00680577" w14:paraId="6D1BAA4B" w14:textId="77777777">
      <w:pPr>
        <w:pStyle w:val="EPBodyTA1"/>
      </w:pPr>
      <w:r w:rsidRPr="00130C3A">
        <w:t>PRIIMTI TEKSTAI</w:t>
      </w:r>
    </w:p>
    <w:p w:rsidR="00D058B8" w:rsidRPr="00130C3A" w:rsidP="00D058B8" w14:paraId="5960FD80" w14:textId="77777777">
      <w:pPr>
        <w:pStyle w:val="LineBottom"/>
      </w:pPr>
    </w:p>
    <w:p w:rsidR="003B718D" w:rsidRPr="00130C3A" w:rsidP="003B718D" w14:paraId="78E9F3E2" w14:textId="28F62F2F">
      <w:pPr>
        <w:pStyle w:val="ATHeading1"/>
      </w:pPr>
      <w:bookmarkStart w:id="0" w:name="TANumber"/>
      <w:r w:rsidRPr="00130C3A">
        <w:t>P10_TA(2026)0</w:t>
      </w:r>
      <w:r w:rsidR="00F11481">
        <w:t>26</w:t>
      </w:r>
      <w:r w:rsidRPr="00130C3A">
        <w:t>0</w:t>
      </w:r>
      <w:bookmarkEnd w:id="0"/>
    </w:p>
    <w:p w:rsidR="003B718D" w:rsidRPr="00130C3A" w:rsidP="003B718D" w14:paraId="423E23E1" w14:textId="77777777">
      <w:pPr>
        <w:pStyle w:val="ATHeading2"/>
      </w:pPr>
      <w:bookmarkStart w:id="1" w:name="title"/>
      <w:r w:rsidRPr="00130C3A">
        <w:t>2025 m. Komisijos ataskaita dėl Moldovos</w:t>
      </w:r>
      <w:bookmarkEnd w:id="1"/>
    </w:p>
    <w:p w:rsidR="003B718D" w:rsidRPr="00130C3A" w:rsidP="003B718D" w14:paraId="64F35577" w14:textId="77777777">
      <w:pPr>
        <w:rPr>
          <w:i/>
          <w:vanish/>
        </w:rPr>
      </w:pPr>
      <w:r>
        <w:rPr>
          <w:i/>
        </w:rPr>
        <w:fldChar w:fldCharType="begin"/>
      </w:r>
      <w:r w:rsidRPr="00130C3A">
        <w:rPr>
          <w:i/>
        </w:rPr>
        <w:instrText xml:space="preserve"> TC"(</w:instrText>
      </w:r>
      <w:bookmarkStart w:id="2" w:name="DocNumber"/>
      <w:r w:rsidRPr="00130C3A">
        <w:rPr>
          <w:i/>
        </w:rPr>
        <w:instrText>A10-0164/2026</w:instrText>
      </w:r>
      <w:bookmarkEnd w:id="2"/>
      <w:r w:rsidRPr="00130C3A">
        <w:rPr>
          <w:i/>
        </w:rPr>
        <w:instrText xml:space="preserve"> - Pranešėjas: Sven Mikser)"\l3 \n&gt; \* MERGEFORMAT </w:instrText>
      </w:r>
      <w:r>
        <w:rPr>
          <w:i/>
        </w:rPr>
        <w:fldChar w:fldCharType="end"/>
      </w:r>
    </w:p>
    <w:p w:rsidR="003B718D" w:rsidRPr="00130C3A" w:rsidP="003B718D" w14:paraId="66229131" w14:textId="77777777">
      <w:pPr>
        <w:rPr>
          <w:vanish/>
        </w:rPr>
      </w:pPr>
      <w:bookmarkStart w:id="3" w:name="Commission"/>
      <w:r w:rsidRPr="00130C3A">
        <w:rPr>
          <w:vanish/>
        </w:rPr>
        <w:t>Užsienio reikalų komitetas</w:t>
      </w:r>
      <w:bookmarkEnd w:id="3"/>
    </w:p>
    <w:p w:rsidR="003B718D" w:rsidRPr="00130C3A" w:rsidP="003B718D" w14:paraId="5728F245" w14:textId="77777777">
      <w:pPr>
        <w:rPr>
          <w:vanish/>
        </w:rPr>
      </w:pPr>
      <w:bookmarkStart w:id="4" w:name="PE"/>
      <w:r w:rsidRPr="00130C3A">
        <w:rPr>
          <w:vanish/>
        </w:rPr>
        <w:t>PE782.290</w:t>
      </w:r>
      <w:bookmarkEnd w:id="4"/>
    </w:p>
    <w:p w:rsidR="003B718D" w:rsidRPr="00130C3A" w:rsidP="003B718D" w14:paraId="58E3295E" w14:textId="77777777">
      <w:pPr>
        <w:pStyle w:val="ATHeading3"/>
      </w:pPr>
      <w:bookmarkStart w:id="5" w:name="Sujet"/>
      <w:r w:rsidRPr="00130C3A">
        <w:t>2026 m. liepos 8 d. Europos Parlamento rezoliucija dėl 2025 m. Komisijos ataskaitos dėl Moldovos</w:t>
      </w:r>
      <w:bookmarkEnd w:id="5"/>
      <w:r w:rsidRPr="00130C3A">
        <w:t xml:space="preserve"> </w:t>
      </w:r>
      <w:bookmarkStart w:id="6" w:name="References"/>
      <w:r w:rsidRPr="00130C3A">
        <w:t>(2025/2258(INI))</w:t>
      </w:r>
      <w:bookmarkEnd w:id="6"/>
    </w:p>
    <w:p w:rsidR="00D919A3" w:rsidRPr="00130C3A" w:rsidP="00D919A3" w14:paraId="1927E8AD" w14:textId="77777777">
      <w:pPr>
        <w:pStyle w:val="Normal12"/>
      </w:pPr>
      <w:r w:rsidRPr="00130C3A">
        <w:rPr>
          <w:i/>
        </w:rPr>
        <w:t>Europos Parlamentas</w:t>
      </w:r>
      <w:r w:rsidRPr="00130C3A">
        <w:t>,</w:t>
      </w:r>
    </w:p>
    <w:p w:rsidR="00D919A3" w:rsidRPr="00130C3A" w:rsidP="00D919A3" w14:paraId="2B15E567" w14:textId="0DE6A4AB">
      <w:pPr>
        <w:pStyle w:val="NormalHanging"/>
      </w:pPr>
      <w:r w:rsidRPr="00130C3A">
        <w:t>–</w:t>
      </w:r>
      <w:r w:rsidRPr="00130C3A">
        <w:tab/>
        <w:t>atsižvelgdamas į 2025 m. lapkričio 4 d. Komisijos komunikatą „2025 m. komunikatas dėl ES plėtros politikos“ (</w:t>
      </w:r>
      <w:r w:rsidRPr="00242BB3" w:rsidR="003B4825">
        <w:t>COM(2025)0690</w:t>
      </w:r>
      <w:r w:rsidRPr="00130C3A">
        <w:t>) ir prie jo pridėtą 2025 m. lapkričio 4 d. Komisijos tarnybų darbinį dokumentą „2025 m. ataskaita dėl Moldovos Respublikos“ (SWD(2025)0758),</w:t>
      </w:r>
    </w:p>
    <w:p w:rsidR="00D919A3" w:rsidRPr="00130C3A" w:rsidP="00D919A3" w14:paraId="020E6EDF" w14:textId="77777777">
      <w:pPr>
        <w:pStyle w:val="NormalHanging"/>
      </w:pPr>
      <w:r w:rsidRPr="00130C3A">
        <w:t>–</w:t>
      </w:r>
      <w:r w:rsidRPr="00130C3A">
        <w:tab/>
        <w:t>atsižvelgdamas į 2025 m. kovo 18 d. Europos Parlamento ir Tarybos reglamentą (ES) 2025/535, kuriuo nustatoma Moldovos Respublikos reformų ir ekonomikos augimo priemonė</w:t>
      </w:r>
      <w:r>
        <w:rPr>
          <w:rStyle w:val="FootnoteReference"/>
        </w:rPr>
        <w:footnoteReference w:customMarkFollows="1" w:id="2"/>
        <w:t xml:space="preserve">1</w:t>
      </w:r>
      <w:r w:rsidRPr="00130C3A">
        <w:t>,</w:t>
      </w:r>
    </w:p>
    <w:p w:rsidR="00D919A3" w:rsidRPr="00130C3A" w:rsidP="00D919A3" w14:paraId="7EC01B4D" w14:textId="77777777">
      <w:pPr>
        <w:pStyle w:val="NormalHanging"/>
      </w:pPr>
      <w:r w:rsidRPr="00130C3A">
        <w:t>–</w:t>
      </w:r>
      <w:r w:rsidRPr="00130C3A">
        <w:tab/>
        <w:t>atsižvelgdamas į reformų darbotvarkę pagal Moldovos Respublikos (toliau – Moldova) 2025–2027 m. ekonomikos augimo planą,</w:t>
      </w:r>
    </w:p>
    <w:p w:rsidR="00D919A3" w:rsidRPr="00130C3A" w:rsidP="00D919A3" w14:paraId="2AE46551" w14:textId="77777777">
      <w:pPr>
        <w:pStyle w:val="NormalHanging"/>
      </w:pPr>
      <w:r w:rsidRPr="00130C3A">
        <w:t>–</w:t>
      </w:r>
      <w:r w:rsidRPr="00130C3A">
        <w:tab/>
        <w:t>atsižvelgdamas į savo ankstesnes rezoliucijas dėl Moldovos,</w:t>
      </w:r>
    </w:p>
    <w:p w:rsidR="00D919A3" w:rsidRPr="00130C3A" w:rsidP="00D919A3" w14:paraId="170FA713" w14:textId="77777777">
      <w:pPr>
        <w:pStyle w:val="NormalHanging"/>
      </w:pPr>
      <w:r w:rsidRPr="00130C3A">
        <w:t>–</w:t>
      </w:r>
      <w:r w:rsidRPr="00130C3A">
        <w:tab/>
        <w:t>atsižvelgdamas į 2025 m. birželio 26 d. Europos Vadovų Tarybos išvadas dėl Moldovos,</w:t>
      </w:r>
    </w:p>
    <w:p w:rsidR="00D919A3" w:rsidRPr="00130C3A" w:rsidP="00D919A3" w14:paraId="4E8944CA" w14:textId="77777777">
      <w:pPr>
        <w:pStyle w:val="NormalHanging"/>
      </w:pPr>
      <w:r w:rsidRPr="00130C3A">
        <w:t>–</w:t>
      </w:r>
      <w:r w:rsidRPr="00130C3A">
        <w:tab/>
        <w:t>atsižvelgdamas į 2025 m. gruodžio 16 d. Tarybai pirmininkaujančios valstybės narės išvadas dėl plėtros,</w:t>
      </w:r>
    </w:p>
    <w:p w:rsidR="00D919A3" w:rsidRPr="00130C3A" w:rsidP="00D919A3" w14:paraId="0320DEC4" w14:textId="578752CC">
      <w:pPr>
        <w:pStyle w:val="NormalHanging"/>
      </w:pPr>
      <w:r w:rsidRPr="00130C3A">
        <w:t>–</w:t>
      </w:r>
      <w:r w:rsidRPr="00130C3A">
        <w:tab/>
        <w:t xml:space="preserve">atsižvelgdamas į bendrą deklaraciją, priimtą po </w:t>
      </w:r>
      <w:r w:rsidRPr="000E761D" w:rsidR="000E761D">
        <w:t>2026 m. birželio 22 d.</w:t>
      </w:r>
      <w:r w:rsidRPr="00130C3A">
        <w:t xml:space="preserve"> vykusio </w:t>
      </w:r>
      <w:r w:rsidRPr="000E761D" w:rsidR="000E761D">
        <w:t xml:space="preserve">antrojo </w:t>
      </w:r>
      <w:r w:rsidRPr="00130C3A">
        <w:t>Moldovos Respublikos ir ES aukščiausiojo lygio susitikimo,</w:t>
      </w:r>
    </w:p>
    <w:p w:rsidR="00D919A3" w:rsidRPr="00130C3A" w:rsidP="00D919A3" w14:paraId="1F0EAF77" w14:textId="77777777">
      <w:pPr>
        <w:pStyle w:val="NormalHanging"/>
      </w:pPr>
      <w:r w:rsidRPr="00130C3A">
        <w:t>–</w:t>
      </w:r>
      <w:r w:rsidRPr="00130C3A">
        <w:tab/>
        <w:t>atsižvelgdamas į 2025 m. birželio 4 d. įvykusio devintojo ES ir Moldovos Respublikos asociacijos tarybos posėdžio rezultatus,</w:t>
      </w:r>
    </w:p>
    <w:p w:rsidR="00D919A3" w:rsidRPr="00130C3A" w:rsidP="00D919A3" w14:paraId="116E2CCC" w14:textId="77777777">
      <w:pPr>
        <w:pStyle w:val="NormalHanging"/>
      </w:pPr>
      <w:r w:rsidRPr="00130C3A">
        <w:t>–</w:t>
      </w:r>
      <w:r w:rsidRPr="00130C3A">
        <w:tab/>
        <w:t>atsižvelgdamas į 2026 m. kovo 18 d. pasirašytą atnaujintą Europos Parlamento ir Moldovos Respublikos parlamento susitarimo memorandumą,</w:t>
      </w:r>
    </w:p>
    <w:p w:rsidR="00D919A3" w:rsidRPr="00130C3A" w:rsidP="00D919A3" w14:paraId="4AB939F1" w14:textId="77777777">
      <w:pPr>
        <w:pStyle w:val="NormalHanging"/>
      </w:pPr>
      <w:r w:rsidRPr="00130C3A">
        <w:t>–</w:t>
      </w:r>
      <w:r w:rsidRPr="00130C3A">
        <w:tab/>
        <w:t>atsižvelgdamas į Darbo tvarkos taisyklių 55 straipsnį,</w:t>
      </w:r>
    </w:p>
    <w:p w:rsidR="00D919A3" w:rsidRPr="00130C3A" w:rsidP="00D919A3" w14:paraId="3EF0B65B" w14:textId="53B4CA70">
      <w:pPr>
        <w:pStyle w:val="NormalHanging"/>
      </w:pPr>
      <w:r w:rsidRPr="00130C3A">
        <w:t>–</w:t>
      </w:r>
      <w:r w:rsidRPr="00130C3A">
        <w:tab/>
        <w:t>atsižvelgdamas į Užsienio reikalų komiteto pranešimą (A10-0</w:t>
      </w:r>
      <w:r w:rsidR="003B4825">
        <w:t>164</w:t>
      </w:r>
      <w:r w:rsidRPr="00130C3A">
        <w:t>/2026),</w:t>
      </w:r>
    </w:p>
    <w:p w:rsidR="00D919A3" w:rsidRPr="00130C3A" w:rsidP="00D919A3" w14:paraId="339098CD" w14:textId="2A621356">
      <w:pPr>
        <w:pStyle w:val="NormalHanging"/>
      </w:pPr>
      <w:r w:rsidRPr="00130C3A">
        <w:t>A.</w:t>
      </w:r>
      <w:r w:rsidRPr="00130C3A">
        <w:tab/>
        <w:t>kadangi 2025 m. rugsėjo 22 d. Moldova užbaigė 2024 m. liepos 10 d. pradėtą dvišalę peržiūrą; kadangi Moldova yra pasirengusi oficialiai pradėti derybas dėl visų šešių stojimo į ES derybų skyrių grupių;</w:t>
      </w:r>
      <w:r w:rsidR="0076204A">
        <w:t xml:space="preserve"> </w:t>
      </w:r>
      <w:r w:rsidRPr="0076204A" w:rsidR="0076204A">
        <w:t>kadangi 2026 m. birželio 15 d. buvo oficialiai pradėtos derybos dėl 1 derybų skyrių grupės (Pagrindiniai principai);</w:t>
      </w:r>
    </w:p>
    <w:p w:rsidR="00D919A3" w:rsidRPr="00130C3A" w:rsidP="00D919A3" w14:paraId="4D42BED9" w14:textId="77777777">
      <w:pPr>
        <w:pStyle w:val="NormalHanging"/>
      </w:pPr>
      <w:r w:rsidRPr="00130C3A">
        <w:t>B.</w:t>
      </w:r>
      <w:r w:rsidRPr="00130C3A">
        <w:tab/>
        <w:t>kadangi Moldovos vyriausybė pranešė apie savo plataus užmojo, bet įgyvendinamą tikslą iki 2028 m. pradžios preliminariai užbaigti stojimo derybas ir iki 2030 m. įstoti į Europos Sąjungą;</w:t>
      </w:r>
    </w:p>
    <w:p w:rsidR="00D919A3" w:rsidRPr="00130C3A" w:rsidP="00D919A3" w14:paraId="14A06486" w14:textId="77777777">
      <w:pPr>
        <w:pStyle w:val="NormalHanging"/>
      </w:pPr>
      <w:r w:rsidRPr="00130C3A">
        <w:t>C.</w:t>
      </w:r>
      <w:r w:rsidRPr="00130C3A">
        <w:tab/>
        <w:t>kadangi 2025 m. rugsėjo 28 d. Moldovoje įvyko parlamento rinkimai, jų rezultatas – proeuropietiška dauguma ir taip buvo dar kartą patvirtinti Moldovos žmonių siekiai dėl savo šalies europinės ateities, nepaisant precedento neturinčio Rusijos ir Rusijos įgaliotinių kišimosi, o jie, Moldovos pareigūnų teigimu, šiam kišimuisi išleido 2 proc. Moldovos bendrojo vidaus produkto atitinkančią sumą, t. y. 350 mln. EUR;</w:t>
      </w:r>
    </w:p>
    <w:p w:rsidR="00D919A3" w:rsidRPr="00130C3A" w:rsidP="00D919A3" w14:paraId="683D2C6A" w14:textId="59C6FEAE">
      <w:pPr>
        <w:pStyle w:val="NormalHanging"/>
      </w:pPr>
      <w:r w:rsidRPr="00130C3A">
        <w:t>D.</w:t>
      </w:r>
      <w:r w:rsidRPr="00130C3A">
        <w:tab/>
        <w:t>kadangi Moldova vykdo technines derybas su Komisija dėl visų šešių stojimo į ES derybų skyrių grupių</w:t>
      </w:r>
      <w:r w:rsidR="00E86258">
        <w:t>;</w:t>
      </w:r>
    </w:p>
    <w:p w:rsidR="00D919A3" w:rsidRPr="00130C3A" w:rsidP="00D919A3" w14:paraId="0DDDC025" w14:textId="77777777">
      <w:pPr>
        <w:pStyle w:val="NormalHanging"/>
      </w:pPr>
      <w:r w:rsidRPr="00130C3A">
        <w:t>E.</w:t>
      </w:r>
      <w:r w:rsidRPr="00130C3A">
        <w:tab/>
        <w:t>kadangi asociacijos susitarimas, kuris apima išsamią ir visapusišką laisvosios prekybos erdvę (IVLPE), toliau yra ES ir Moldovos politinės asociacijos ir ekonominės integracijos pagrindas ir kadangi nuolat vykdomas šių dviejų šalių politinis bei ekonominis dialogas;</w:t>
      </w:r>
    </w:p>
    <w:p w:rsidR="00D919A3" w:rsidRPr="00130C3A" w:rsidP="00D919A3" w14:paraId="0F20F28F" w14:textId="77777777">
      <w:pPr>
        <w:pStyle w:val="NormalHanging"/>
      </w:pPr>
      <w:r w:rsidRPr="00130C3A">
        <w:t>F.</w:t>
      </w:r>
      <w:r w:rsidRPr="00130C3A">
        <w:tab/>
        <w:t>kadangi 2026 m. sausio 19 d. Moldovos vyriausybė paskelbė ketinanti oficialiai pasitraukti iš Nepriklausomų valstybių sandraugos, ir 2026 m. balandžio 2 d. Moldovos parlamentas per galutinį svarstymą oficialiai priėmė teisės aktą, kuriuo denonsavo tos organizacijos steigimo dokumentus, ir 2026 m. balandžio 6 d. Prezidentė Maia Sandu pasirašė dekretą dėl įstatymo paskelbimo;</w:t>
      </w:r>
    </w:p>
    <w:p w:rsidR="00D919A3" w:rsidRPr="00130C3A" w:rsidP="00D919A3" w14:paraId="7E060461" w14:textId="77777777">
      <w:pPr>
        <w:pStyle w:val="Normal12a"/>
      </w:pPr>
      <w:r w:rsidRPr="00130C3A">
        <w:rPr>
          <w:b/>
          <w:i/>
        </w:rPr>
        <w:t>Pažanga vykdant su stojimu į ES susijusias reformas, visų pirma teisinės valstybės ir valdymo srityse</w:t>
      </w:r>
    </w:p>
    <w:p w:rsidR="00D919A3" w:rsidRPr="00130C3A" w:rsidP="00D919A3" w14:paraId="47E2F26D" w14:textId="7D73B39D">
      <w:pPr>
        <w:pStyle w:val="NormalHanging12a"/>
      </w:pPr>
      <w:r w:rsidRPr="00130C3A">
        <w:t>1.</w:t>
      </w:r>
      <w:r w:rsidRPr="00130C3A">
        <w:tab/>
        <w:t>giria Moldovą už jos nuolatinį pavyzdinį įsipareigojimą siekti narystės ES ir tvirtą pažangą vykdant susijusias reformas, nepaisant didelių vidaus ir išorės iššūkių, pvz., nuolatinio priešiško Rusijos kišimosi; palankiai vertina Komisijos vertinimą, kad Moldova padarė pažangą pagal visus skyrius ir didžiausią metinę pažangą tarp šalių kandidačių; mano, kad ši pažanga yra ypač didelė, atsižvelgiant į ypatingą geopolitinį spaudimą, kurį patirdama šalis toliau funkcionuoja; ragina Moldovą išlaikyti reformų tempą, kad pažanga duotų apčiuopiamos naudos piliečiams ir įmonėms, stiprinant ekonominį vystymąsi, atsparumą ir konvergenciją su Europos Sąjunga, atsižvelgiant į savo nurodytą užmojį – preliminariai užbaigti stojimo derybas iki 2028 m. pradžios;</w:t>
      </w:r>
    </w:p>
    <w:p w:rsidR="00D919A3" w:rsidRPr="00130C3A" w:rsidP="00D919A3" w14:paraId="687B1CBB" w14:textId="2791065D">
      <w:pPr>
        <w:pStyle w:val="NormalHanging12a"/>
      </w:pPr>
      <w:r w:rsidRPr="00130C3A">
        <w:t>2.</w:t>
      </w:r>
      <w:r w:rsidRPr="00130C3A">
        <w:tab/>
        <w:t xml:space="preserve">palankiai vertina tai, kad </w:t>
      </w:r>
      <w:r w:rsidRPr="00250039" w:rsidR="00250039">
        <w:t xml:space="preserve">2026 m. birželio 15 d. pradėtos stojimo derybos dėl 1 derybų skyrių grupės (Pagrindiniai principai) po 2025 m. rugsėjo mėn. sėkmingai užbaigto dvišalio </w:t>
      </w:r>
      <w:r w:rsidRPr="00130C3A">
        <w:t xml:space="preserve">peržiūros </w:t>
      </w:r>
      <w:r w:rsidRPr="005138EF" w:rsidR="00250039">
        <w:rPr>
          <w:bCs/>
          <w:iCs/>
        </w:rPr>
        <w:t>proceso</w:t>
      </w:r>
      <w:r w:rsidRPr="000F00E9" w:rsidR="00250039">
        <w:rPr>
          <w:b/>
          <w:i/>
        </w:rPr>
        <w:t xml:space="preserve"> </w:t>
      </w:r>
      <w:r w:rsidRPr="00130C3A">
        <w:t xml:space="preserve">ir </w:t>
      </w:r>
      <w:r w:rsidRPr="00250039" w:rsidR="00250039">
        <w:t xml:space="preserve">vėliau </w:t>
      </w:r>
      <w:r w:rsidRPr="00130C3A">
        <w:t xml:space="preserve">pradėtos techninės derybos dėl derybų skyrių grupių; palankiai vertina Komisijos vertinimą, kad pasiruošta atidaryti visas šešias derybų grupes; primygtinai ragina Tarybą laikytis nuopelnais grindžiamo požiūrio ir nedelsiant atidaryti </w:t>
      </w:r>
      <w:r w:rsidRPr="00C42459" w:rsidR="00C42459">
        <w:t xml:space="preserve">visas </w:t>
      </w:r>
      <w:r w:rsidRPr="00130C3A">
        <w:t xml:space="preserve">derybų skyrių grupes; primena valstybėms narėms lojalaus bendradarbiavimo principą pagal Europos Sąjungos sutarties 4 straipsnio 3 dalį, pagal kurią reikalaujama, kad jos nesiimtų jokių priemonių, kurios gali trukdyti siekti Sąjungos tikslų, ir todėl primygtinai ragina jas neblokuoti arba nevilkinti stojimo derybų remiantis dvišaliais klausimais; pabrėžia, kad pradėjus stojimo derybas būtų parodyta, jog ES pripažįsta konkrečius Moldovos pasiekimus ir už juos atlygina, ir taip būtų sustiprintas plėtros proceso patikimumas ir vientisumas; palankiai vertina tai, kad priimtos veiksmų gairės dėl teisinės valstybės, viešojo administravimo ir demokratinių institucijų ir atnaujinta 2025–2029 m. nacionalinė stojimo į Europos Sąjungą programa; palankiai vertina Moldovos jau padarytą pažangą techniniu lygmeniu perkeliant ES </w:t>
      </w:r>
      <w:r w:rsidRPr="00130C3A">
        <w:rPr>
          <w:i/>
        </w:rPr>
        <w:t>acquis</w:t>
      </w:r>
      <w:r w:rsidRPr="00130C3A">
        <w:t xml:space="preserve"> į nacionalinę teisę;</w:t>
      </w:r>
    </w:p>
    <w:p w:rsidR="00D919A3" w:rsidRPr="00130C3A" w:rsidP="00D919A3" w14:paraId="560A29AB" w14:textId="77777777">
      <w:pPr>
        <w:pStyle w:val="NormalHanging12a"/>
      </w:pPr>
      <w:r w:rsidRPr="00130C3A">
        <w:t>3.</w:t>
      </w:r>
      <w:r w:rsidRPr="00130C3A">
        <w:tab/>
        <w:t>pabrėžia, kad Moldovos stojimo proceso tempas turėtų atspindėti didelę pažangą, kurią ji padarė vykdydama reformas; ragina Komisiją imtis aktyvaus vaidmens sudarant palankesnes sąlygas naudotis parengiamąja parama ir ją teikti, įskaitant techninę pagalbą, užtikrinant tolesnius patikrinimus ir administracinių gebėjimų stiprinimą, kad Moldova galėtų vienu metu veiksmingai daryti pažangą pagal visas derybų skyrių grupes;</w:t>
      </w:r>
    </w:p>
    <w:p w:rsidR="00D919A3" w:rsidRPr="00130C3A" w:rsidP="00D919A3" w14:paraId="5EED6900" w14:textId="77777777">
      <w:pPr>
        <w:pStyle w:val="NormalHanging12a"/>
      </w:pPr>
      <w:r w:rsidRPr="00130C3A">
        <w:t>4.</w:t>
      </w:r>
      <w:r w:rsidRPr="00130C3A">
        <w:tab/>
        <w:t>pripažįsta, kad Moldovos integracija į Europą teigiamai prisideda prie stabilumo ir saugumo Europoje ir yra gyvybiškai svarbus šalies demokratinio atsparumo, institucinės reformos, teisinės valstybės ir darnaus ekonominio vystymosi katalizatorius;</w:t>
      </w:r>
    </w:p>
    <w:p w:rsidR="00D919A3" w:rsidRPr="00130C3A" w:rsidP="00D919A3" w14:paraId="54E203B5" w14:textId="77777777">
      <w:pPr>
        <w:pStyle w:val="NormalHanging12a"/>
      </w:pPr>
      <w:r w:rsidRPr="00130C3A">
        <w:t>5.</w:t>
      </w:r>
      <w:r w:rsidRPr="00130C3A">
        <w:tab/>
        <w:t>atkreipia dėmesį į Komisijos vertinimą, kad Moldova padarė didelę pažangą reformuodama teisingumo sektorių; primena Moldovai jos įsipareigojimą laikytis Venecijos komisijos rekomendacijų; pabrėžia, kad reformų tvarumui užtikrinti reikia plačios politinės atsakomybės ir įtraukaus visų politinių jėgų dialogo, taip pat prasmingų konsultacijų su pilietine visuomene ir profesionaliais suinteresuotaisiais subjektais; pripažįsta nuoseklią Moldovos politinę valią ir nuolatines pastangas, dedamas siekiant sukurti nepriklausomą, nešališką, atskaitingą ir profesionalią teismų sistemą;</w:t>
      </w:r>
    </w:p>
    <w:p w:rsidR="00D919A3" w:rsidRPr="00130C3A" w:rsidP="00D919A3" w14:paraId="7DB5275E" w14:textId="77777777">
      <w:pPr>
        <w:pStyle w:val="NormalHanging12a"/>
      </w:pPr>
      <w:r w:rsidRPr="00130C3A">
        <w:t>6.</w:t>
      </w:r>
      <w:r w:rsidRPr="00130C3A">
        <w:tab/>
        <w:t>ragina Moldovos valdžios institucijas užtikrinti, kad teisėjų ir prokurorų tikrinimo procesas būtų vykdomas įtraukiai, nuspėjamai ir teisiškai patikimai, ir ragina šalį nedelsiant veiksmingai užbaigti šį procesą, nes tikrinimo užbaigimas yra labai svarbus siekiant užtikrinti visuomenės pasitikėjimą teisminėmis institucijomis, atleisti iš pareigų susikompromitavusius teisėjus ir stiprinti teisinę valstybę kaip ES integracijos pagrindą; ragina Moldovą užtikrinti pakankamus teisminių institucijų biudžeto ir žmogiškuosius išteklius ir toliau imtis priemonių jų pajėgumams stiprinti, kad, be kita ko, būtų galima spręsti teisėjų ir prokurorų trūkumo problemą, sutrumpinti proceso trukmę, ypač korupcijos ir ekonominių nusikaltimų bylose, taip pat pagerinti teisingumo sistemos skaitmenizaciją, prieinamumą, veiksmingumą ir skaidrumą visų piliečių labui;</w:t>
      </w:r>
    </w:p>
    <w:p w:rsidR="00D919A3" w:rsidRPr="00130C3A" w:rsidP="00D919A3" w14:paraId="29B44194" w14:textId="77777777">
      <w:pPr>
        <w:pStyle w:val="NormalHanging12a"/>
      </w:pPr>
      <w:r w:rsidRPr="00130C3A">
        <w:t>7.</w:t>
      </w:r>
      <w:r w:rsidRPr="00130C3A">
        <w:tab/>
        <w:t>atkreipia dėmesį į nuolatinę Moldovos pažangą korupcijos prevencijos ir kovos su ja srityje – ji pasiekė geresnių rezultatų tiek aukšto, tiek ne tik aukšto lygio bylose; pabrėžia, kad reikia toliau stiprinti veiklos pajėgumus, institucijų nepriklausomumą, profesionalumą ir atskaitomybę, taip pat visų pagrindinių kovos su korupcija ir teisingumo institucijų koordinavimo mechanizmus, kad būtų užtikrinta ilgalaikė visapusiškų reformų sėkmė;</w:t>
      </w:r>
    </w:p>
    <w:p w:rsidR="00D919A3" w:rsidRPr="00130C3A" w:rsidP="00D919A3" w14:paraId="03448B22" w14:textId="77777777">
      <w:pPr>
        <w:pStyle w:val="NormalHanging12a"/>
      </w:pPr>
      <w:r w:rsidRPr="00130C3A">
        <w:t>8.</w:t>
      </w:r>
      <w:r w:rsidRPr="00130C3A">
        <w:tab/>
        <w:t xml:space="preserve">pabrėžia, kad kovos su korupcija pastangos turi būti dedamos nuosekliai, depolitizuotai ir skaidriai, vengiant </w:t>
      </w:r>
      <w:r w:rsidRPr="00130C3A">
        <w:rPr>
          <w:i/>
        </w:rPr>
        <w:t>ad doc</w:t>
      </w:r>
      <w:r w:rsidRPr="00130C3A">
        <w:t xml:space="preserve"> ar pagreitintų teisėkūros iniciatyvų, kurios gali pakenkti teisiniam tikrumui ir pasitikėjimui institucijomis; pabrėžia, kad, siekiant užtikrinti ilgalaikį kovos su korupcija sistemos patikimumą ir atsparumą, svarbu pirmenybę teikti kokybei, tvarumui ir tinkamam procesui, o ne reformų spartai;</w:t>
      </w:r>
    </w:p>
    <w:p w:rsidR="00D919A3" w:rsidRPr="00130C3A" w:rsidP="00D919A3" w14:paraId="779A4BF3" w14:textId="77777777">
      <w:pPr>
        <w:pStyle w:val="NormalHanging12a"/>
      </w:pPr>
      <w:r w:rsidRPr="00130C3A">
        <w:t>9.</w:t>
      </w:r>
      <w:r w:rsidRPr="00130C3A">
        <w:tab/>
        <w:t>pabrėžia, kad būtinybė toliau spręsti oligarchinių struktūrų įtakos politinėje, ekonominėje ir žiniasklaidos srityse problemą tebėra svarbus prioritetas skatinant Moldovos integraciją į Europą;</w:t>
      </w:r>
    </w:p>
    <w:p w:rsidR="00D919A3" w:rsidRPr="00130C3A" w:rsidP="00D919A3" w14:paraId="756096BF" w14:textId="77777777">
      <w:pPr>
        <w:pStyle w:val="NormalHanging12a"/>
      </w:pPr>
      <w:r w:rsidRPr="00130C3A">
        <w:t>10.</w:t>
      </w:r>
      <w:r w:rsidRPr="00130C3A">
        <w:tab/>
        <w:t>atkreipia dėmesį į tai, kad 2025 m. rugsėjo 28 d. įvykę parlamento rinkimai buvo penktasis iš eilės balsavimas, patvirtinantis Moldovos žmonių paramą šalies stojimui į ES ir susijusioms reformoms; griežtai smerkia pakartotinius Rusijos Federacijos, prorusiškų oligarchų ir Rusijos įgaliotinių bandymus destabilizuoti šalį, kurti ir skleisti dezinformaciją, sėti susiskaldymą Moldovos visuomenėje, kenkti šalies demokratinėms institucijoms ir pakeisti jos europinę kryptį;</w:t>
      </w:r>
    </w:p>
    <w:p w:rsidR="00D919A3" w:rsidRPr="00130C3A" w:rsidP="00D919A3" w14:paraId="15841CB1" w14:textId="77777777">
      <w:pPr>
        <w:pStyle w:val="NormalHanging12a"/>
      </w:pPr>
      <w:r w:rsidRPr="00130C3A">
        <w:t>11.</w:t>
      </w:r>
      <w:r w:rsidRPr="00130C3A">
        <w:tab/>
        <w:t>palankiai vertina Europos saugumo ir bendradarbiavimo organizacijos (ESBO) ir Demokratinių institucijų ir žmogaus teisių biuro (ODIHR) vertinimą, kad parlamento rinkimai buvo gerai organizuoti, konkurencingi ir suteikė rinkėjams aiškių politinių alternatyvų pasirinkimo galimybių; ragina Moldovą toliau derinti savo teisės aktus, susijusius su rinkimais ir rinkimų procesais, su Europos ir tarptautiniais standartais ir įgyvendinti visas neįvykdytas Venecijos komisijos ir ESBO bei ODIHR rekomendacijas;</w:t>
      </w:r>
    </w:p>
    <w:p w:rsidR="00D919A3" w:rsidRPr="00130C3A" w:rsidP="00D919A3" w14:paraId="084D7D28" w14:textId="77777777">
      <w:pPr>
        <w:pStyle w:val="NormalHanging12a"/>
      </w:pPr>
      <w:r w:rsidRPr="00130C3A">
        <w:t>12.</w:t>
      </w:r>
      <w:r w:rsidRPr="00130C3A">
        <w:tab/>
        <w:t>palankiai vertina Moldovos institucijų ir visuomenės parodytą atsparumą užtikrinant rinkimų proceso sąžiningumą, nepaisant Rusijos ir jos įgaliotinių vykdomos masinės hibridinės kampanijos; pažymi, kad pagrindiniai šios sėkmės veiksniai buvo savalaikės ir koordinuotos Moldovos valdžios institucijų pastangos, aktyvus pilietinės visuomenės ir nepriklausomos žiniasklaidos dalyvavimas ir ES bei jos valstybių narių parama, be kita ko, pasitelkiant ES partnerystės misiją Moldovoje (EUPM);</w:t>
      </w:r>
    </w:p>
    <w:p w:rsidR="00D919A3" w:rsidRPr="00130C3A" w:rsidP="00D919A3" w14:paraId="1FC72C9E" w14:textId="77777777">
      <w:pPr>
        <w:pStyle w:val="NormalHanging12a"/>
      </w:pPr>
      <w:r w:rsidRPr="00130C3A">
        <w:t>13.</w:t>
      </w:r>
      <w:r w:rsidRPr="00130C3A">
        <w:tab/>
        <w:t>įspėja, kad piktavališkas Rusijos kišimasis yra nuolatinis ir kintantis procesas, jį būtina nuolat stebėti ir reaguoti, remiantis visos visuomenės įtraukimo požiūriu, pasinaudojant tinkamais instituciniais pajėgumais ir ištekliais; ragina ES ir jos valstybes nares stiprinti savo paramą Moldovos instituciniam atsparumui, strateginės komunikacijos pajėgumams, kibernetiniam saugumui, nepriklausomai žiniasklaidai ir demokratinėms apsaugos priemonėms; pabrėžia, kad dedant pastangas kovoti su dezinformacijos ir klaidingos informacijos plitimu iš Rusijos turėtų būti laikomasi teisėtumo, būtinumo ir proporcingumo reikalavimų; pažymi, kad Moldovoje įgyta patirtimi gali būti pasinaudota kitoms demokratinėms valstybėms, susiduriančioms su panašiomis hibridinėmis grėsmėmis, ginti; reiškia didelį susirūpinimą dėl prorusiškų tinklų veiklos, kuri yra susijusi su plataus masto sankcijų apėjimu, kišimusi į rinkimus ir dezinformacijos kampanijomis naudojant kriptovaliutų infrastruktūrą, sietiną su Rusijos finansų subjektais, pvz., „Promsvyazbank“; ragina Komisiją ir valstybes nares stiprinti bendradarbiavimą finansinės žvalgybos srityje, stiprinti sankcijų vykdymo užtikrinimą ir remti Moldovos valdžios institucijas kovojant su neteisėtais finansiniais srautais ir užsienio kišimusi per ES nepriklausančias valstybes, be kita ko, taikant tikslines sankcijas ir kibernetinės stebėsenos priemones;</w:t>
      </w:r>
    </w:p>
    <w:p w:rsidR="00D919A3" w:rsidRPr="00130C3A" w:rsidP="00D919A3" w14:paraId="37076F02" w14:textId="77777777">
      <w:pPr>
        <w:pStyle w:val="NormalHanging12a"/>
      </w:pPr>
      <w:r w:rsidRPr="00130C3A">
        <w:t>14.</w:t>
      </w:r>
      <w:r w:rsidRPr="00130C3A">
        <w:tab/>
        <w:t>pabrėžia gyvybiškai svarbų Moldovos diasporos vaidmenį išlaikant šalies europinį kelią, kaip matyti iš jos aktyvaus dalyvavimo demokratiniuose procesuose, įskaitant 2025 m. rugsėjo 28 d. parlamento rinkimus, ir jos reikšmingo indėlio į socialinį ir ekonominį Moldovos vystymąsi; ragina Moldovos valdžios institucijas toliau stiprinti ryšius su diaspora ir sudaryti palankesnes sąlygas jai aktyviai dalyvauti šalies integracijos į Europą procese;</w:t>
      </w:r>
    </w:p>
    <w:p w:rsidR="00D919A3" w:rsidRPr="00130C3A" w:rsidP="00D919A3" w14:paraId="333A6FC0" w14:textId="77777777">
      <w:pPr>
        <w:pStyle w:val="NormalHanging12a"/>
      </w:pPr>
      <w:r w:rsidRPr="00130C3A">
        <w:t>15.</w:t>
      </w:r>
      <w:r w:rsidRPr="00130C3A">
        <w:tab/>
        <w:t>ragina Moldovos valdžios institucijas pasinaudoti savo tvirtais proeuropietiškais įgaliojimais, siekiant paspartinti pagrindinių reformų, reikalingų siekiant narystės ES, tempą ir įgyvendinti tikslą – užbaigti stojimo derybas iki 2028 m. pradžios; pripažįsta tvirtą Moldovos, kaip šalies kandidatės, įsipareigojimą imtis sudėtingų, bet būtinų reformų; primygtinai ragina Moldovos politinį elitą išlaikyti politinį sutarimą dėl stojimo į ES; pabrėžia, kad labai svarbu išlaikyti Moldovos piliečių pasitikėjimą stojimo į ES procesu, be kita ko, laiku oficialiai pradedant stojimo derybas; palankiai vertina tai, kad Moldovos parlamente įsteigtas specialus Europos integracijos parlamentinis komitetas, ir pabrėžia įvairių partijų bendradarbiavimo svarbą siekiant tvarios su stojimu į ES susijusių reformų sėkmės ir pažangos siekiant narystės ES;</w:t>
      </w:r>
    </w:p>
    <w:p w:rsidR="00D919A3" w:rsidRPr="00130C3A" w:rsidP="00D919A3" w14:paraId="63DDF24A" w14:textId="77777777">
      <w:pPr>
        <w:pStyle w:val="NormalHanging12a"/>
      </w:pPr>
      <w:r w:rsidRPr="00130C3A">
        <w:t>16.</w:t>
      </w:r>
      <w:r w:rsidRPr="00130C3A">
        <w:tab/>
        <w:t>pareiškia, kad yra pasirengęs toliau remti Moldovos parlamentą vykdydamas abipusiškai sutartą demokratijos rėmimo veiklą, kuria tenkinami institucijos, jos išrinktų narių ir darbuotojų poreikiai; atkreipia dėmesį į tai, kad 2025 m. lapkričio 7 d. Kišiniove oficialiai atidarytas Europos Parlamento Rytų partnerystės biuras, ir tai rodo Parlamento įsipareigojimą stiprinti bendradarbiavimą su Moldova ir visu Rytų partnerystės regionu; atsižvelgdamas į tai, palankiai vertina atnaujintą susitarimo memorandumą, kurį 2026 m. kovo mėn. pasirašė Pirmininkė R. Metsola ir Moldovos Parlamento Pirmininkas Igor Grosu;</w:t>
      </w:r>
    </w:p>
    <w:p w:rsidR="00D919A3" w:rsidRPr="00130C3A" w:rsidP="00D919A3" w14:paraId="54A4DD0B" w14:textId="0B2A4A75">
      <w:pPr>
        <w:pStyle w:val="NormalHanging12a"/>
      </w:pPr>
      <w:r w:rsidRPr="00130C3A">
        <w:t>17.</w:t>
      </w:r>
      <w:r w:rsidRPr="00130C3A">
        <w:tab/>
        <w:t>palankiai vertina tai, kad 2025 m. liepos mėn. surengtas pirmasis ES ir Moldovos aukščiausiojo lygio susitikimas, nes tai yra svarbus politinis ES ir Moldovos santykių etapas ir aiškus politinis ženklas, kad remiamas Moldovos suverenitetas, demokratinis stabilumas ir europinis kelias;</w:t>
      </w:r>
      <w:r w:rsidR="009F778C">
        <w:t xml:space="preserve"> </w:t>
      </w:r>
      <w:r w:rsidRPr="009F778C" w:rsidR="009F778C">
        <w:t>atkreipia dėmesį į bendrą deklaraciją, priimtą po 2026 m. birželio 22 d. įvykusio antrojo ES ir Moldovos aukščiausiojo lygio susitikimo, kurioje pabrėžiamas tiek Moldovos įsipareigojimas toliau stiprinti teisinę valstybę, tiek ES raginimas toliau dėti daugiau pastangų teismų reformos ir kovos su korupcija srityse;</w:t>
      </w:r>
    </w:p>
    <w:p w:rsidR="00D919A3" w:rsidRPr="00130C3A" w:rsidP="00D919A3" w14:paraId="53C0D8DE" w14:textId="77777777">
      <w:pPr>
        <w:pStyle w:val="NormalHanging12a"/>
      </w:pPr>
      <w:r w:rsidRPr="00130C3A">
        <w:t>18.</w:t>
      </w:r>
      <w:r w:rsidRPr="00130C3A">
        <w:tab/>
        <w:t>pabrėžia, kad svarbu kovoti su dezinformacija apie europinės integracijos procesą; primygtinai ragina Komisiją, Europos išorės veiksmų tarnybą (EIVT) ir Moldovos vyriausybę aktyviau kartu vykdyti strateginę komunikaciją siekiant padidinti ES matomumą Moldovoje; pabrėžia, kad reikia vykdyti tikslines kampanijas siekiant paaiškinti Moldovos visuomenei apčiuopiamą kasdienę pasirengimo stojimui į ES ir ES finansuojamų projektų naudą, ypač kaimo vietovėse ir regionuose;</w:t>
      </w:r>
    </w:p>
    <w:p w:rsidR="00D919A3" w:rsidRPr="00130C3A" w:rsidP="00D919A3" w14:paraId="284CAFBD" w14:textId="77777777">
      <w:pPr>
        <w:pStyle w:val="NormalHanging12a"/>
      </w:pPr>
      <w:r w:rsidRPr="00130C3A">
        <w:t>19.</w:t>
      </w:r>
      <w:r w:rsidRPr="00130C3A">
        <w:tab/>
        <w:t>pabrėžia paramos demokratijai veiksmų Moldovoje, kuriais gerinama demokratinių diskusijų kokybė ir atsparumas dezinformacijai, svarbą; palankiai vertina Moldovos valdžios institucijų ir pilietinės visuomenės veikėjų bendradarbiavimą, be kita ko, su Europos demokratijos fondu (EDF), nes tai yra priemonė, galinti užpildyti vakuumą, atsiradusį dėl JAV tarptautinio vystymosi agentūros (USAID) veiklos nutraukimo regione; atsižvelgdamas į tai, palankia vertina tai, kad EDF 2025 m. suteikė 62 proc. daugiau dotacijų nei 2024 m., o biudžetas buvo tik 34 proc. didesnis; palankiai vertina tai, kad 2025 m. EDF tris kartus padidino savo paramą Moldovos subjektams, palyginti su 2024 m.;</w:t>
      </w:r>
    </w:p>
    <w:p w:rsidR="00D919A3" w:rsidRPr="00130C3A" w:rsidP="00D919A3" w14:paraId="20FEBF80" w14:textId="77777777">
      <w:pPr>
        <w:pStyle w:val="NormalHanging12a"/>
      </w:pPr>
      <w:r w:rsidRPr="00130C3A">
        <w:t>20.</w:t>
      </w:r>
      <w:r w:rsidRPr="00130C3A">
        <w:tab/>
        <w:t>pakartoja, kad Moldovos žmonių paramą Europos integracijai galima padidinti apčiuopiamai pagerinus jų pragyvenimo šaltinius, stiprinant valstybės institucijas ir užtikrinant tvirtą gerovės sistemą, kovojant su skurdu ir keliant pragyvenimo lygį visoje šalyje, taip pat kovojant su korupcija ir oligarchų įtaka;</w:t>
      </w:r>
    </w:p>
    <w:p w:rsidR="00D919A3" w:rsidRPr="00130C3A" w:rsidP="00D919A3" w14:paraId="6805632B" w14:textId="77777777">
      <w:pPr>
        <w:pStyle w:val="Normal12a"/>
      </w:pPr>
      <w:r w:rsidRPr="00130C3A">
        <w:rPr>
          <w:b/>
          <w:i/>
        </w:rPr>
        <w:t>Socialinės ir ekonominės reformos</w:t>
      </w:r>
    </w:p>
    <w:p w:rsidR="00D919A3" w:rsidRPr="00130C3A" w:rsidP="00D919A3" w14:paraId="31BA6860" w14:textId="77777777">
      <w:pPr>
        <w:pStyle w:val="NormalHanging12a"/>
      </w:pPr>
      <w:r w:rsidRPr="00130C3A">
        <w:t>21.</w:t>
      </w:r>
      <w:r w:rsidRPr="00130C3A">
        <w:tab/>
        <w:t>teigiamai vertina iki šiol padarytą didelę pažangą įgyvendinant Moldovos ekonomikos augimo planą ir su juo susijusią reformų darbotvarkę, kuriais siekiama remti Moldovos socialines, ekonomines ir su pagrindiniais principais susijusias reformas ir didinti galimybes patekti į ES bendrąją rinką; palankiai vertina tai, kad išmokėta 270 mln. EUR kaip išankstinis finansavimas ir 207,9 mln. EUR skirta kaip papildoma parama pagal Moldovos reformų ir ekonomikos augimo priemonę, taip pat 2026 m. kovo mėn. išmokėta antroji dalis, siekianti 189 mln. EUR, kadangi šalis iki 2025 m. gruodžio mėn. visiškai įvykdė 24 iš 26 reformų veiksmų; ragina Moldovą toliau dirbti siekiant užbaigti likusius du reformų etapus, kurių terminas – 2025 m., ir remia jos pastangas šioje srityje; ragina Komisiją supaprastinti vidaus procedūras siekiant užtikrinti, kad, Moldovoje priėmus teisės aktus, kurių projektus Moldovos valdžios institucijos anksčiau buvo pateikusios ir dėl kurių buvo konsultuotasi, laiku būtų atliktas vertinimas ir būtų išmokėtos lėšos;</w:t>
      </w:r>
    </w:p>
    <w:p w:rsidR="00D919A3" w:rsidRPr="00130C3A" w:rsidP="00D919A3" w14:paraId="5742F919" w14:textId="77777777">
      <w:pPr>
        <w:pStyle w:val="NormalHanging12a"/>
      </w:pPr>
      <w:r w:rsidRPr="00130C3A">
        <w:t>22.</w:t>
      </w:r>
      <w:r w:rsidRPr="00130C3A">
        <w:tab/>
        <w:t>ragina Komisiją teikti administracinę ir techninę pagalbą Moldovos valdžios institucijoms siekiant užtikrinti, kad reformų ir ekonomikos augimo priemonės lėšos būtų įsisavintos laiku ir veiksmingai; ragina Moldovos vyriausybę šios priemonės lėšų naudojimo atvejais užtikrinti veiksmingą komunikaciją, skaidrumą, matomumą ir atskaitomybę, be kita ko, konstruktyviai įtraukiant pilietinę visuomenę;</w:t>
      </w:r>
    </w:p>
    <w:p w:rsidR="00D919A3" w:rsidRPr="00130C3A" w:rsidP="00D919A3" w14:paraId="3F5B2633" w14:textId="77777777">
      <w:pPr>
        <w:pStyle w:val="NormalHanging12a"/>
      </w:pPr>
      <w:r w:rsidRPr="00130C3A">
        <w:t>23.</w:t>
      </w:r>
      <w:r w:rsidRPr="00130C3A">
        <w:tab/>
        <w:t>ragina 2027 m. ES biudžete numatyti tikslinę administracinę ir techninę pagalbą, kad Moldova būtų pasirengusi pereiti prie naujos būsimos daugiametės finansinės programos (DFP) struktūros ir priemonės „Globali Europa“; pabrėžia, kad reikia padėti Moldovos administracijai prisitaikyti prie būsimo Europos ramsčio įgyvendinimo modelio; pabrėžia, kad lėšų paskyrimas ir išmokėjimas ir toliau turi griežtai priklausyti nuo to, ar pasiekiamos sutartos reformų tarpinės reikšmės, makrofinansinio stabilumo, patikimo finansų valdymo, biudžeto vykdymo skaidrumo ir veiksmingų apsaugos nuo sukčiavimo, korupcijos ir interesų konfliktų priemonių buvimo; pakartoja savo raginimą Komisijai į kitą ES DFP įtraukti tinkamą konkretų Moldovai skirtą asignavimą pagal būsimą priemonės „Globali Europa“ Europos ramstį, ir pradėti rengti Moldovą veiksmingai naudoti būsimas pasirengimo narystei lėšas; primygtinai pabrėžia, kad aiškūs ir skaidrūs pasirengimo narystei asignavimai yra būtini siekiant veiksmingai stebėti išlaidas ir užkirsti kelią neveiksmingam lėšų išskaidymui pagal plačius geografinius ramsčius;</w:t>
      </w:r>
    </w:p>
    <w:p w:rsidR="00D919A3" w:rsidRPr="00130C3A" w:rsidP="00D919A3" w14:paraId="26D53E82" w14:textId="77777777">
      <w:pPr>
        <w:pStyle w:val="NormalHanging12a"/>
      </w:pPr>
      <w:r w:rsidRPr="00130C3A">
        <w:t>24.</w:t>
      </w:r>
      <w:r w:rsidRPr="00130C3A">
        <w:tab/>
        <w:t>palankiai vertina 2025 m. liepos 24 d. pasiektą susitarimą dėl ES ir Moldovos išsamios ir visapusiškos laisvosios prekybos erdvės (IVLPE)</w:t>
      </w:r>
      <w:r>
        <w:rPr>
          <w:rStyle w:val="FootnoteReference"/>
        </w:rPr>
        <w:footnoteReference w:customMarkFollows="1" w:id="3"/>
        <w:t xml:space="preserve">2</w:t>
      </w:r>
      <w:r w:rsidRPr="00130C3A">
        <w:t>, kuria užtikrinamas stabilumas ir nuspėjamumas ES ir Moldovos veiklos vykdytojams ir didinamas šalies patrauklumas investuotojams, sąlygų peržiūros ir atnaujinimo; pažymi, kad susitarimas sutapo su šaliai nuo 2022 m. liepos mėn. suteiktų autonominių prekybos priemonių, kuriomis sustabdytas importo muitų ir kvotų taikymas Moldovos eksportui į ES, taip padedant Moldovai perorientuoti savo prekybą į ES siekiant abipusės naudos, galiojimo pabaiga; pabrėžia, kad ES yra didžiausia Moldovos prekybos partnerė, kuriai 2025 m. teko 67,5 proc. viso eksporto ir 54,1 proc. viso importo, taip pat 86 proc. tiesioginių užsienio investicijų (TUI) 2024 m., taip įtvirtinta ES, kaip pagrindinio TUI į Moldovos ekonomiką ramsčio, pozicija; pabrėžia ES tiesioginių investicijų į Moldovos ekonomiką svarbą sudarant palankesnes sąlygas šalies ekonominei integracijai į ES bendrąją rinką, kuriant darbo vietas ir verslo galimybes ir gerinant piliečių pragyvenimo šaltinius;</w:t>
      </w:r>
    </w:p>
    <w:p w:rsidR="00D919A3" w:rsidRPr="00130C3A" w:rsidP="00D919A3" w14:paraId="5DCBBBBE" w14:textId="77777777">
      <w:pPr>
        <w:pStyle w:val="NormalHanging12a"/>
      </w:pPr>
      <w:r w:rsidRPr="00130C3A">
        <w:t>25.</w:t>
      </w:r>
      <w:r w:rsidRPr="00130C3A">
        <w:tab/>
        <w:t>palankiai vertina Moldovos ekonominės integracijos į ES bendrąją rinką stiprinimą ir ragina imtis tolesnių veiksmų siekiant laipsniškos sektorių integracijos ir plataus užmojo, laipsniško ir tvaraus prekybos liberalizavimo, be kita ko, plečiant ir mažinant tarifines kvotas ir, kai tinkama, laipsniškai jas panaikinant, vadovaujantis peržiūrėta IVLPE sistema, kad būtų užtikrinta apčiuopiama ekonominė nauda, sustiprintas Moldovos atsparumas ir remiamas jos integracijos į Europą kelias; ragina Komisiją visų pirma išnagrinėti tolesnį laipsnišką prekybos žemės ūkio maisto produktais liberalizavimą, įskaitant likusių netarifinių kliūčių panaikinimą ir didesnę paramą reguliavimo suderinimui, visų pirma kiek tai susiję su sanitarijos ir fitosanitarijos standartais ir techninėmis prekybos kliūtimis, taip pat galimybę taikyti pusiau automatinį tarifinių kvotų didinimą atsižvelgiant į panaudojimo lygį ir atitiktį ES standartams, kartu užtikrinant tinkamus apsaugos mechanizmus ES gamintojams;</w:t>
      </w:r>
    </w:p>
    <w:p w:rsidR="00D919A3" w:rsidRPr="00130C3A" w:rsidP="00D919A3" w14:paraId="6BEE62E7" w14:textId="77777777">
      <w:pPr>
        <w:pStyle w:val="NormalHanging12a"/>
      </w:pPr>
      <w:r w:rsidRPr="00130C3A">
        <w:t>26.</w:t>
      </w:r>
      <w:r w:rsidRPr="00130C3A">
        <w:tab/>
        <w:t xml:space="preserve">pažymi, kad labai išaugusi Padniestrės regiono prekyba su likusia Moldovos dalimi ir jo priklausomybė nuo eksporto į ES galėtų sudaryti sąlygas regiono ekonominei konvergencijai su Moldovos teisine sistema, skatinant </w:t>
      </w:r>
      <w:r w:rsidRPr="00130C3A">
        <w:rPr>
          <w:i/>
        </w:rPr>
        <w:t>de facto</w:t>
      </w:r>
      <w:r w:rsidRPr="00130C3A">
        <w:t xml:space="preserve"> ekonominę reintegraciją, ir tai galėtų būti pragmatiškas taikaus politinio sprendimo ir galimo šalies susivienijimo pagrindas; remia Moldovos pastangas įtraukti Padnestrės regioną į ekonominės ir reguliavimo konvergencijos priemones, susijusias su ES bendrąja rinka; palankiai vertina Kišiniovo valdžios institucijų pastangas išplėsti Moldovos mokesčių teisės aktų taikymą Padnestrės regione veikiančioms įmonėms, nes tai yra žingsnis siekiant reglamentavimo suderinimo ir ekonominės integracijos;</w:t>
      </w:r>
    </w:p>
    <w:p w:rsidR="00D919A3" w:rsidRPr="00130C3A" w:rsidP="00D919A3" w14:paraId="335533ED" w14:textId="77777777">
      <w:pPr>
        <w:pStyle w:val="NormalHanging12a"/>
      </w:pPr>
      <w:r w:rsidRPr="00130C3A">
        <w:t>27.</w:t>
      </w:r>
      <w:r w:rsidRPr="00130C3A">
        <w:tab/>
        <w:t>pakartoja pilietinės visuomenės organizacijų (PVO) ir nepriklausomos žiniasklaidos svarbą stebint su ES susijusių reformų valdymą ir pažangą; primygtinai ragina, kad finansinė parama Moldovos pilietinės visuomenės organizacijoms pagal 2027 m. ES biudžetą ir būsimą priemonę „Globali Europa“ ir toliau nepriklausytų nuo vyriausybės pažangos vykdant reformas; ragina numatyti nuspėjamus, specialius, lanksčius ir prieinamus finansavimo srautus vietos pilietinės visuomenės organizacijoms ir žmogaus teisių gynėjams taikant naujus finansavimo mechanizmus, įtrauktus į reformų darbotvarkę, siekiant užtikrinti, kad jie galėtų veiksmingai dirbti; ragina Moldovos vyriausybę pradėti tikrą ir veiksmingą bendradarbiavimą su pilietine visuomene, be kita ko, pasitelkiant nuolatines konsultacijų platformas; ragina Moldovos vyriausybę daryti pažangą įgyvendinant 2024–2027 m. nacionalinę pilietinės visuomenės organizacijų plėtros programą; palankiai vertina reguliarias konsultacijas dėl stojimo į ES proceso ir su stojimu susijusių reformų;</w:t>
      </w:r>
    </w:p>
    <w:p w:rsidR="00D919A3" w:rsidRPr="00130C3A" w:rsidP="00D919A3" w14:paraId="66B5D640" w14:textId="77777777">
      <w:pPr>
        <w:pStyle w:val="NormalHanging12a"/>
      </w:pPr>
      <w:r w:rsidRPr="00130C3A">
        <w:t>28.</w:t>
      </w:r>
      <w:r w:rsidRPr="00130C3A">
        <w:tab/>
        <w:t xml:space="preserve">pakartoja savo raginimą paspartinti laipsnišką Moldovos integraciją į ES bendrąją rinką toliau derinant jos teisinę ir reguliavimo sistemą su ES </w:t>
      </w:r>
      <w:r w:rsidRPr="00130C3A">
        <w:rPr>
          <w:i/>
        </w:rPr>
        <w:t>acquis</w:t>
      </w:r>
      <w:r w:rsidRPr="00130C3A">
        <w:t xml:space="preserve"> ir įtraukiant šalį į daugiau ES programų, agentūrų ir iniciatyvų, įskaitant susijusias su skaitmenine ekonomika, finansinėmis paslaugomis ir inovacijomis; sveikina Moldovą 2025 m. spalio 6 d. tapus bendros mokėjimų eurais erdvės funkcionalia dalimi, nes taip sudaromos palankesnės sąlygos pervedimams eurais ir sumažinamos Moldovos piliečių ir įmonių išlaidos; palankiai vertina tai, kad nuo 2026 m. sausio 1 d. Moldova įtraukta į ES tarptinklinio ryšio savo šalies kainomis erdvę, todėl Moldovos piliečiai, keliaudami ES, gali naudotis savo Moldovos telefono numeriais nemokėdami tarptinklinio ryšio mokesčių; pabrėžia, kad tokia apčiuopiama nauda atlieka svarbų vaidmenį stiprinant visuomenės paramą integracijai į ES; ragina toliau derinti teisės aktus su ES skaitmeninės srities </w:t>
      </w:r>
      <w:r w:rsidRPr="00130C3A">
        <w:rPr>
          <w:i/>
        </w:rPr>
        <w:t>acquis</w:t>
      </w:r>
      <w:r w:rsidRPr="00130C3A">
        <w:t xml:space="preserve"> ir toliau dėti pastangas siekiant stiprinti junglumą, skaitmeninę infrastruktūrą ir rinkos integraciją;</w:t>
      </w:r>
    </w:p>
    <w:p w:rsidR="00D919A3" w:rsidRPr="00130C3A" w:rsidP="00D919A3" w14:paraId="68E93634" w14:textId="77777777">
      <w:pPr>
        <w:pStyle w:val="NormalHanging12a"/>
      </w:pPr>
      <w:r w:rsidRPr="00130C3A">
        <w:t>29.</w:t>
      </w:r>
      <w:r w:rsidRPr="00130C3A">
        <w:tab/>
        <w:t xml:space="preserve">pabrėžia, kad būtina paspartinti visapusišką viešojo administravimo reformą; ragina Moldovos vyriausybę užtikrinti visiškai nuopelnais grindžiamą, profesionalią ir skaidrią valstybės tarnybą tiek centriniu, tiek vietos lygmenimis, nes tai labai svarbu siekiant veiksmingai įgyvendinti ES </w:t>
      </w:r>
      <w:r w:rsidRPr="00130C3A">
        <w:rPr>
          <w:i/>
        </w:rPr>
        <w:t>acquis</w:t>
      </w:r>
      <w:r w:rsidRPr="00130C3A">
        <w:t>; pabrėžia, kad prasminga teritorinė ir administracinė reforma yra būtina siekiant įgalinti vietos valdžios institucijas, nes dabartinis savivaldybių susiskaidymas labai trukdo jų finansiniam nepriklausomumui ir administraciniams gebėjimams sėkmingai teikti paraiškas dėl ES regioninės plėtros finansavimo, jį įsisavinti ir valdyti; pabrėžia, kad būtina teikti tikslines švietimo programas ir gebėjimų stiprinimo paramą vietos ir regionų valdžios institucijoms, kad jos galėtų sėkmingai teikti paraiškas dėl turimų ES finansavimo galimybių, jį įsisavinti ir valdyti;</w:t>
      </w:r>
    </w:p>
    <w:p w:rsidR="00D919A3" w:rsidRPr="00130C3A" w:rsidP="00D919A3" w14:paraId="55D16ABE" w14:textId="77777777">
      <w:pPr>
        <w:pStyle w:val="NormalHanging12a"/>
      </w:pPr>
      <w:r w:rsidRPr="00130C3A">
        <w:t>30.</w:t>
      </w:r>
      <w:r w:rsidRPr="00130C3A">
        <w:tab/>
        <w:t>pabrėžia, kad sėkmingam stojimo į ES procesui reikia tvirtos atsakomybės vietos lygmeniu; apgailestauja, kad siūlomoje DFP struktūroje trūksta oficialių mechanizmų, skirtų vietos ir regionų valdžios institucijoms; ragina Moldovos vyriausybę ir Komisiją sistemingai įtraukti Moldovos vietos ir regionų valdžios institucijas ir jų asociacijas į daugiamečių orientacinių programų ir veiksmų planų rengimą; primygtinai ragina būsimoje sistemoje „Globali Europa“ sukurti specialias gebėjimų stiprinimo priemones ir finansavimo srautus, siekiant padėti Moldovos savivaldybėms įgyvendinti decentralizacijos reformas ir teikti su ES suderintas viešąsias paslaugas;</w:t>
      </w:r>
    </w:p>
    <w:p w:rsidR="00D919A3" w:rsidRPr="00130C3A" w:rsidP="00D919A3" w14:paraId="5DF8CC8B" w14:textId="77777777">
      <w:pPr>
        <w:pStyle w:val="NormalHanging12a"/>
      </w:pPr>
      <w:r w:rsidRPr="00130C3A">
        <w:t>31.</w:t>
      </w:r>
      <w:r w:rsidRPr="00130C3A">
        <w:tab/>
        <w:t>palankiai vertina Moldovos dalyvavimą nuo 2026 m. sausio 1 d. ES programoje „Kūrybiška Europa“, pagal kurią remiami kultūros ir kūrybos sektoriai, taip pat „Europos socialinio fondo +“ užimtumo ir socialinių inovacijų komponente, suteikiant Moldovai galimybę naudotis ES fondais projektams, kuriais siekiama mažinti nedarbą, gerinti darbo vietų kokybę ir skatinti socialines inovacijas; ragina Komisiją remti šalies įtraukimą į Europos elektroninių ryšių reguliuotojų instituciją, Europos aplinkos agentūrą, programą „Erasmus+“, programą „DiscoverEU“ ir vaisių, daržovių ir pieno vartojimo skatinimo mokyklose programą;</w:t>
      </w:r>
    </w:p>
    <w:p w:rsidR="00D919A3" w:rsidRPr="00130C3A" w:rsidP="00D919A3" w14:paraId="2CCBE250" w14:textId="77777777">
      <w:pPr>
        <w:pStyle w:val="Normal12a"/>
      </w:pPr>
      <w:r w:rsidRPr="00130C3A">
        <w:rPr>
          <w:b/>
          <w:i/>
        </w:rPr>
        <w:t>Žmogaus teisės</w:t>
      </w:r>
    </w:p>
    <w:p w:rsidR="00D919A3" w:rsidRPr="00130C3A" w:rsidP="00D919A3" w14:paraId="24B5ED88" w14:textId="77777777">
      <w:pPr>
        <w:pStyle w:val="NormalHanging12a"/>
      </w:pPr>
      <w:r w:rsidRPr="00130C3A">
        <w:t>32.</w:t>
      </w:r>
      <w:r w:rsidRPr="00130C3A">
        <w:tab/>
        <w:t>palankiai vertina Moldovos Respublikos valdžios institucijų pastangas tobulinti lyčių lygybės, kovos su smurtu šeimoje ir aukų apsaugos teisės aktų sistemą ir suderinti ją su tarptautiniais ir Europos standartais, įskaitant smurto skaitmeninėje erdvėje ir priverstinių santuokų kriminalizavimą ir moterų žudymo dėl lyties įtraukimą į jos baudžiamąjį kodeksą; ragina Moldovos Respublikos valdžios institucijas stiprinti veiksmingą dabartinių teisės aktų dėl kovos su smurtu prieš moteris, įskaitant smurtą šeimoje, ir aukų apsaugos įgyvendinimą;</w:t>
      </w:r>
    </w:p>
    <w:p w:rsidR="00D919A3" w:rsidRPr="00130C3A" w:rsidP="00D919A3" w14:paraId="72664568" w14:textId="77777777">
      <w:pPr>
        <w:pStyle w:val="NormalHanging12a"/>
      </w:pPr>
      <w:r w:rsidRPr="00130C3A">
        <w:t>33.</w:t>
      </w:r>
      <w:r w:rsidRPr="00130C3A">
        <w:tab/>
        <w:t>palankiai vertina tai, kad šiuo metu įgyvendinama 2023 m. rugsėjo mėn. priimta nacionalinė kovos su prekyba žmonėmis strategija; ragina Moldovą toliau stiprinti savo teisinę ir institucinę sistemą, be kita ko, nustatant veiksmingesnes priemones valdžios institucijoms, kad jos galėtų tirti atsirandančias išnaudojimo formas ir vykdyti baudžiamąjį persekiojimą už jas;</w:t>
      </w:r>
    </w:p>
    <w:p w:rsidR="00D919A3" w:rsidRPr="00130C3A" w:rsidP="00D919A3" w14:paraId="5881A02A" w14:textId="77777777">
      <w:pPr>
        <w:pStyle w:val="NormalHanging12a"/>
      </w:pPr>
      <w:r w:rsidRPr="00130C3A">
        <w:t>34.</w:t>
      </w:r>
      <w:r w:rsidRPr="00130C3A">
        <w:tab/>
        <w:t xml:space="preserve">pažymi, kad Moldovos asmenų su negalia teisių teisinę ir institucinę sistemą reikia toliau derinti su ES </w:t>
      </w:r>
      <w:r w:rsidRPr="00130C3A">
        <w:rPr>
          <w:i/>
        </w:rPr>
        <w:t>acquis</w:t>
      </w:r>
      <w:r w:rsidRPr="00130C3A">
        <w:t xml:space="preserve"> ir atitinkamais tarptautiniais standartais; ypač ragina suderinti prieinamumo sistemą su Europos prieinamumo aktu</w:t>
      </w:r>
      <w:r>
        <w:rPr>
          <w:rStyle w:val="FootnoteReference"/>
        </w:rPr>
        <w:footnoteReference w:customMarkFollows="1" w:id="4"/>
        <w:t xml:space="preserve">3</w:t>
      </w:r>
      <w:r w:rsidRPr="00130C3A">
        <w:t>;</w:t>
      </w:r>
    </w:p>
    <w:p w:rsidR="00D919A3" w:rsidRPr="00130C3A" w:rsidP="00D919A3" w14:paraId="7FEA4EFC" w14:textId="77777777">
      <w:pPr>
        <w:pStyle w:val="NormalHanging12a"/>
      </w:pPr>
      <w:r w:rsidRPr="00130C3A">
        <w:t>35.</w:t>
      </w:r>
      <w:r w:rsidRPr="00130C3A">
        <w:tab/>
        <w:t>yra susirūpinęs dėl Kišiniovo miesto valdžios institucijų bandymų uždrausti Kišiniovo LGBTI asmenų eitynes ir dėl protestuotojų smurtinių išpuolių prieš taikius eitynių dalyvius; smerkia klaidingą informaciją ir tikslines internetines dezinformacijos kampanijas, kurias Moldovoje skleidžia su Rusija susijusi vietos žiniasklaida; ragina Moldovą visiems užtikrinti teisę į susirinkimų laisvę;</w:t>
      </w:r>
    </w:p>
    <w:p w:rsidR="00D919A3" w:rsidRPr="00130C3A" w:rsidP="00D919A3" w14:paraId="5AE510AE" w14:textId="77777777">
      <w:pPr>
        <w:pStyle w:val="NormalHanging12a"/>
      </w:pPr>
      <w:r w:rsidRPr="00130C3A">
        <w:t>36.</w:t>
      </w:r>
      <w:r w:rsidRPr="00130C3A">
        <w:tab/>
        <w:t>ragina Moldovą stiprinti teisinę ir institucinę mažumoms priklausančių asmenų, įskaitant LGBTI asmenis, teisių apsaugos sistemą;</w:t>
      </w:r>
    </w:p>
    <w:p w:rsidR="00D919A3" w:rsidRPr="00130C3A" w:rsidP="00D919A3" w14:paraId="20BDDC39" w14:textId="77777777">
      <w:pPr>
        <w:pStyle w:val="Normal12a"/>
      </w:pPr>
      <w:r w:rsidRPr="00130C3A">
        <w:rPr>
          <w:b/>
          <w:i/>
        </w:rPr>
        <w:t xml:space="preserve">Akademinis bendradarbiavimas ir žmonių tarpusavio ryšiai </w:t>
      </w:r>
    </w:p>
    <w:p w:rsidR="00D919A3" w:rsidRPr="00130C3A" w:rsidP="00D919A3" w14:paraId="2EB63799" w14:textId="77777777">
      <w:pPr>
        <w:pStyle w:val="NormalHanging12a"/>
      </w:pPr>
      <w:r w:rsidRPr="00130C3A">
        <w:t>37.</w:t>
      </w:r>
      <w:r w:rsidRPr="00130C3A">
        <w:tab/>
        <w:t>palankiai vertina didelę Moldovos pažangą derinant savo aukštojo mokslo sistemą su Europos aukštojo mokslo erdve, įskaitant trijų Moldovos institucijų, kaip asocijuotųjų partnerių, dalyvavimą Europos universitetų aljansuose; taip pat palankiai vertina šalies dalyvavimą įgyvendinant 2021–2027 m. programos „Erasmus+“ tarptautinį aspektą ir dalyvavimą keturiose Europos švietimo erdvės darbo grupėse;</w:t>
      </w:r>
    </w:p>
    <w:p w:rsidR="00D919A3" w:rsidRPr="00130C3A" w:rsidP="00D919A3" w14:paraId="1F7FA799" w14:textId="77777777">
      <w:pPr>
        <w:pStyle w:val="NormalHanging12a"/>
      </w:pPr>
      <w:r w:rsidRPr="00130C3A">
        <w:t>38.</w:t>
      </w:r>
      <w:r w:rsidRPr="00130C3A">
        <w:tab/>
        <w:t>palankiai vertina tai, kad Moldova vis aktyviau bendradarbiauja su Europos mokslinių tyrimų ir inovacijų tinklais, ir ragina ją toliau integruotis į programą „Europos horizontas“, nes tai suteiktų universitetams ir mokslinių tyrimų institucijoms galimybę gauti Europos finansavimą, naudotis bendradarbiaujamąja mokslinių tyrimų infrastruktūra ir mokslo partnerystėmis;</w:t>
      </w:r>
    </w:p>
    <w:p w:rsidR="00D919A3" w:rsidRPr="00130C3A" w:rsidP="00D919A3" w14:paraId="7F4D6934" w14:textId="77777777">
      <w:pPr>
        <w:pStyle w:val="Normal12a"/>
      </w:pPr>
      <w:r w:rsidRPr="00130C3A">
        <w:rPr>
          <w:b/>
          <w:i/>
        </w:rPr>
        <w:t>Energetika, aplinka ir jungtys</w:t>
      </w:r>
    </w:p>
    <w:p w:rsidR="00D919A3" w:rsidRPr="00130C3A" w:rsidP="00D919A3" w14:paraId="57C9DAD0" w14:textId="77777777">
      <w:pPr>
        <w:pStyle w:val="NormalHanging12a"/>
      </w:pPr>
      <w:r w:rsidRPr="00130C3A">
        <w:t>39.</w:t>
      </w:r>
      <w:r w:rsidRPr="00130C3A">
        <w:tab/>
        <w:t xml:space="preserve">palankiai vertina nuolatines Moldovos pastangas priderinti šalies energetikos sektorių prie ES </w:t>
      </w:r>
      <w:r w:rsidRPr="00130C3A">
        <w:rPr>
          <w:i/>
        </w:rPr>
        <w:t>acquis</w:t>
      </w:r>
      <w:r w:rsidRPr="00130C3A">
        <w:t xml:space="preserve"> ir siekti visapusiškos jo integracijos į ES energijos rinką, kad būtų užtikrintas Moldovos energetinis saugumas ir atsparumas;</w:t>
      </w:r>
    </w:p>
    <w:p w:rsidR="00D919A3" w:rsidRPr="00130C3A" w:rsidP="00D919A3" w14:paraId="75DC3F31" w14:textId="77777777">
      <w:pPr>
        <w:pStyle w:val="NormalHanging12a"/>
      </w:pPr>
      <w:r w:rsidRPr="00130C3A">
        <w:t>40.</w:t>
      </w:r>
      <w:r w:rsidRPr="00130C3A">
        <w:tab/>
        <w:t>su pasitenkinimu pažymi, kad Moldova pasiekė aukščiausius Europos teisės aktų perkėlimo į nacionalinę teisę rezultatus tarp Energijos bendrijos valstybių narių, taip pat buvo pirmoji Bendrijos susitariančioji šalis, visiškai perkėlusi į nacionalinę teisę elektros energijos integravimo dokumentų rinkinį; ragina Komisiją, Energijos bendrijos sekretoriatą ir kitus atitinkamus subjektus užtikrinti visapusišką Moldovos susiejimą su ES elektros energijos rinka ne vėliau kaip iki 2028 m.;</w:t>
      </w:r>
    </w:p>
    <w:p w:rsidR="00D919A3" w:rsidRPr="00130C3A" w:rsidP="00D919A3" w14:paraId="1D712EA4" w14:textId="77777777">
      <w:pPr>
        <w:pStyle w:val="NormalHanging12a"/>
      </w:pPr>
      <w:r w:rsidRPr="00130C3A">
        <w:t>41.</w:t>
      </w:r>
      <w:r w:rsidRPr="00130C3A">
        <w:tab/>
        <w:t>pabrėžia, kad, siekdamos toliau stiprinti Moldovos energetinį atsparumą, jos valdžios institucijos, remiamos ES, turėtų toliau įvairinti savo energijos tiekimo šaltinius, spartinti jos integraciją į Europos energijos rinką, didinti investicijas į viešųjų ir gyvenamųjų pastatų energijos vartojimo efektyvumą, padidinti vidaus energijos gamybą ir skatinti paklausos mažinimą; palankiai vertina tai, kad Moldova gerokai padidino savo atsinaujinančiųjų išteklių energijos dalį, kuri 2025 m. pasiekė apie 25 proc. suvartojimo ir 1 GW suminės įrengtosios galios, o tai yra svarbus žingsnis plėtojant šalies vietos energijos gamybą ir energetikos pertvarką;</w:t>
      </w:r>
    </w:p>
    <w:p w:rsidR="00D919A3" w:rsidRPr="00130C3A" w:rsidP="00D919A3" w14:paraId="1A171C87" w14:textId="77777777">
      <w:pPr>
        <w:pStyle w:val="NormalHanging12a"/>
      </w:pPr>
      <w:r w:rsidRPr="00130C3A">
        <w:t>42.</w:t>
      </w:r>
      <w:r w:rsidRPr="00130C3A">
        <w:tab/>
        <w:t>palankiai vertina 2025 m. kovo mėn. vyriausybės veiksmų planą, kuriuo siekiama panaikinti bet kokią priklausomybę nuo Rusijos energijos išteklių elektros energijos, dujų ir naftos sektoriuose, priimtą įgyvendinant 2025 m. vasario 4 d. ES ir Moldovos visapusišką energetinės nepriklausomybės ir atsparumo strategiją; primena, kad 2025 m. Rusija nustojo tiekti dujas Kučurhano elektrinei, bandydama prievartos būdu paveikti Moldovos tarptautinius sprendimus, ir kad pirmosios su tuo susijusios energetikos krizės aukos buvo žmonės abiejose Dniestro upės pusėse;</w:t>
      </w:r>
    </w:p>
    <w:p w:rsidR="00D919A3" w:rsidRPr="00130C3A" w:rsidP="00D919A3" w14:paraId="03AE1D72" w14:textId="77777777">
      <w:pPr>
        <w:pStyle w:val="NormalHanging12a"/>
      </w:pPr>
      <w:r w:rsidRPr="00130C3A">
        <w:t>43.</w:t>
      </w:r>
      <w:r w:rsidRPr="00130C3A">
        <w:tab/>
        <w:t>palankiai vertina tai, kad 2025 m. gruodžio mėn. baigta tiesti 400 kV antžeminė Vulkeneščio-Kišiniovo elektros linija, o elektros energijos perdavimas elektros linija turėtų prasidėti 2026 m.; pažymi, kad šis praktinis žingsnis mažina Moldovos priklausomybę nuo energetikos infrastruktūros Padniestrės regione ir jos pažeidžiamumą priešiškos Rusijos įtakos atžvilgiu ir suteikia šaliai galimybę saugiai ir patikimai prisijungti prie Europos elektros tinklo per Rumuniją;</w:t>
      </w:r>
    </w:p>
    <w:p w:rsidR="00D919A3" w:rsidRPr="00130C3A" w:rsidP="00D919A3" w14:paraId="49AC4CF2" w14:textId="77777777">
      <w:pPr>
        <w:pStyle w:val="NormalHanging12a"/>
      </w:pPr>
      <w:r w:rsidRPr="00130C3A">
        <w:t>44.</w:t>
      </w:r>
      <w:r w:rsidRPr="00130C3A">
        <w:tab/>
        <w:t>ragina Komisiją kuo labiau išnaudoti tarpvalstybinio bendradarbiavimo asignavimus, turimus pagal būsimą priemonę „Globali Europa“ ir Nacionalinės ir regioninės partnerystės fondą, siekiant dar labiau paspartinti Moldovos transporto, energetikos ir skaitmeninės infrastruktūros integraciją į Europos bendrąją rinką; pabrėžia, kad skiriant tokį finansavimą pirmenybė turėtų būti teikiama didelio poveikio projektams, susijusiems su transporto, energetikos ir skaitmenine infrastruktūra, įskaitant tarpvalstybines jungtis, vidaus atsinaujinančiųjų išteklių energijos gamybą, energijos vartojimo efektyvumą, transeuropinio transporto tinklo suderinimą, energijos tinklų sinchronizavimą ir plačiajuosčio ryšio plėtrą; ragina sparčiai plėtoti papildomus energetikos tinklų jungčių projektus su Moldova, pvz., Sučavos–Belcio ir Gutinašo–Strešenio 400 kV antžemines elektros linijas;</w:t>
      </w:r>
    </w:p>
    <w:p w:rsidR="00D919A3" w:rsidRPr="00130C3A" w:rsidP="00D919A3" w14:paraId="7210B208" w14:textId="77777777">
      <w:pPr>
        <w:pStyle w:val="NormalHanging12a"/>
      </w:pPr>
      <w:r w:rsidRPr="00130C3A">
        <w:t>45.</w:t>
      </w:r>
      <w:r w:rsidRPr="00130C3A">
        <w:tab/>
        <w:t>griežtai smerkia 2026 m. kovo mėn. Rusijos išpuolius prieš Ukrainos energetikos infrastruktūrą, keliančius grėsmę Moldovos energetiniam ir apsirūpinimo vandeniu saugumui, kurie turėjo tiesioginį poveikį vandens išteklių saugumui ir 80 proc. šalies piliečių, kuriems Dniestro upė yra pagrindinis gėlo ir geriamojo vandens šaltinis, visuomenės sveikatai ir dėl kurių Moldovos Respublikoje susidarė 15 dienų kritinė aplinkos padėtis; palankiai vertina greitą ir koordinuotą Moldovos ir Ukrainos valdžios institucijų ir perdavimo sistemos operatorių atsaką ir ragina ES ir jos valstybes nares suteikti Moldovai papildomų finansinių išteklių, techninę pagalbą ir specializuotą įrangą, kad būtų sustiprinti jos pajėgumai įveikti būsimas ekologines katastrofas;</w:t>
      </w:r>
    </w:p>
    <w:p w:rsidR="00D919A3" w:rsidRPr="00130C3A" w:rsidP="00D919A3" w14:paraId="058AE01C" w14:textId="77777777">
      <w:pPr>
        <w:pStyle w:val="NormalHanging12a"/>
      </w:pPr>
      <w:r w:rsidRPr="00130C3A">
        <w:t>46.</w:t>
      </w:r>
      <w:r w:rsidRPr="00130C3A">
        <w:tab/>
        <w:t>pabrėžia, kad Moldova ir toliau susiduria su dideliais aplinkosaugos iššūkiais, įskaitant oro ir vandens taršą, nepakankamą atliekų tvarkymo infrastruktūrą ir vykstantį biologinės įvairovės nykimą; pabrėžia, kad reikia stiprinti administracinius gebėjimus, gerinti aplinkos teisės aktų vykdymo užtikrinimą ir užtikrinti tinkamas investicijas į aplinkos infrastruktūrą;</w:t>
      </w:r>
    </w:p>
    <w:p w:rsidR="00D919A3" w:rsidRPr="00130C3A" w:rsidP="00D919A3" w14:paraId="3BC447BF" w14:textId="77777777">
      <w:pPr>
        <w:pStyle w:val="NormalHanging12a"/>
      </w:pPr>
      <w:r w:rsidRPr="00130C3A">
        <w:t>47.</w:t>
      </w:r>
      <w:r w:rsidRPr="00130C3A">
        <w:tab/>
        <w:t>primena, kad Moldova jau labai nukentėjo nuo didelių Rusijos plataus masto agresijos karo prieš Ukrainą padarinių saugumui, ekonomikai ir visuomenei; reiškia didelį susirūpinimą dėl to, kad šiuo metu šalis yra viena iš labiausiai nukentėjusių nuo didėjančios pasaulinės ekonomikos ir energetikos krizės, kurią sukėlė besitęsiantis karas Artimuosiuose Rytuose; ragina ES ir jos valstybes nares parodyti nuolatinį ir tvirtą solidarumą su Moldova ir teikti reikiamą paramą siekiant padėti sušvelninti šių sutampančių išorės sukrėtimų poveikį jos piliečiams ir ekonomikai;</w:t>
      </w:r>
    </w:p>
    <w:p w:rsidR="00D919A3" w:rsidRPr="00130C3A" w:rsidP="00D919A3" w14:paraId="74013F5A" w14:textId="77777777">
      <w:pPr>
        <w:pStyle w:val="Normal12a"/>
      </w:pPr>
      <w:r w:rsidRPr="00130C3A">
        <w:rPr>
          <w:b/>
          <w:i/>
        </w:rPr>
        <w:t>Bendradarbiavimas bendros užsienio ir saugumo politikos srityje ir pažanga siekiant Padniestrės konflikto sureguliavimo</w:t>
      </w:r>
    </w:p>
    <w:p w:rsidR="00D919A3" w:rsidRPr="00130C3A" w:rsidP="00D919A3" w14:paraId="6EE85F25" w14:textId="77777777">
      <w:pPr>
        <w:pStyle w:val="NormalHanging12a"/>
      </w:pPr>
      <w:r w:rsidRPr="00130C3A">
        <w:t>48.</w:t>
      </w:r>
      <w:r w:rsidRPr="00130C3A">
        <w:tab/>
        <w:t>gerai vertina Moldovos nuolatinį bendradarbiavimą užsienio politikos klausimais ir jos pastangas, dedamas siekiant visiško pozicijų suderinimo su ES bendra užsienio ir saugumo politika; pažymi, kad Moldovos suderinimo su ES užsienio, saugumo ir gynybos politika lygis, įskaitant ES sankcijų Rusijai atkartojimą, buvo 88 proc.; ragina šalį toliau gerinti šį suderinimą, be kita ko, Rusijai taikomų ribojamųjų priemonių srityje, ir tęsti bendradarbiavimą siekiant užkirsti kelią sankcijų Rusijai ir Baltarusijai, susijusių su Rusijos agresijos karu prieš Ukrainą, apėjimui; giria Moldovą už tai, kad ji priėmė didžiausią perkeltųjų ukrainiečių skaičių vienam gyventojui ir susidorojo su dideliu socialiniu, ekonominiu ir administraciniu spaudimu, kurį lemia didelis pabėgėlių srautas; palankiai vertina aktyvesnį Moldovos dalyvavimą ES misijose ir operacijose pagal ES bendrą saugumo ir gynybos politiką, pvz., operacijoje ALTHEA Bosnijoje ir Hercegovinoje ir ES mokymo misijoje Somalyje;</w:t>
      </w:r>
    </w:p>
    <w:p w:rsidR="00D919A3" w:rsidRPr="00130C3A" w:rsidP="00D919A3" w14:paraId="63970D98" w14:textId="77777777">
      <w:pPr>
        <w:pStyle w:val="NormalHanging12a"/>
      </w:pPr>
      <w:r w:rsidRPr="00130C3A">
        <w:t>49.</w:t>
      </w:r>
      <w:r w:rsidRPr="00130C3A">
        <w:tab/>
        <w:t>pripažįsta trišalio Moldovos, Rumunijos ir Ukrainos bendradarbiavimo („Odesos trikampio“) vaidmenį stiprinant regioninį saugumą, spartinant Moldovos ir Ukrainos integracijos į ES procesą, didinant šių šalių sujungiamumą su ES ir kovojant su Rusijos Federacijos hibridinėmis grėsmėmis, įskaitant dezinformaciją ir užsienio vykdomą manipuliavimą informacija, kibernetinius išpuolius ir grėsmes energetikai;</w:t>
      </w:r>
    </w:p>
    <w:p w:rsidR="00D919A3" w:rsidRPr="00130C3A" w:rsidP="00D919A3" w14:paraId="34F16380" w14:textId="77777777">
      <w:pPr>
        <w:pStyle w:val="NormalHanging12a"/>
      </w:pPr>
      <w:r w:rsidRPr="00130C3A">
        <w:t>50.</w:t>
      </w:r>
      <w:r w:rsidRPr="00130C3A">
        <w:tab/>
        <w:t>palankiai vertina EUPM Moldovos Respublikoje įgaliojimų pratęsimą iki 2027 m. gegužės 31 d. ir ragina valstybes nares skirti reikiamus ekspertus ir finansinius išteklius; ragina ES toliau remti Moldovos atsparumą ir pasirengimą, pvz., precedento neturinčiam Rusijos kišimuisi, pasitelkiant EUPM, greitojo reagavimo į hibridines grėsmes grupes, greitojo reagavimo į kibernetinius incidentus komandas ir ES kibernetinio saugumo rezervą;</w:t>
      </w:r>
    </w:p>
    <w:p w:rsidR="00D919A3" w:rsidRPr="00130C3A" w:rsidP="00D919A3" w14:paraId="2B82F2D4" w14:textId="77777777">
      <w:pPr>
        <w:pStyle w:val="NormalHanging12a"/>
      </w:pPr>
      <w:r w:rsidRPr="00130C3A">
        <w:t>51.</w:t>
      </w:r>
      <w:r w:rsidRPr="00130C3A">
        <w:tab/>
        <w:t>pabrėžia, kad fizinius išpuolius prieš ypatingos svarbos infrastruktūrą ir saugumo provokacijas sistemingai lydi užsienio vykdomo manipuliavimo informacija ir kišimosi (FIMI) kampanijos, kuriomis siekiama sukelti paniką tarp gyventojų ir pakenkti visuomenės pasitikėjimui Moldovos valdžios institucijomis; todėl pabrėžia, kad labai svarbu aprūpinti Moldovos institucijas tvirtomis greitos komunikacijos krizės atveju priemonėmis, kad būtų galima veiksmingai kovoti su dezinformacija ir užtikrinti greitą faktinės informacijos sklaidą; ypač atkreipia dėmesį į veiksmus, kurių imtasi 2025 m. siekiant sustiprinti Strateginės komunikacijos ir kovos su dezinformacija centro ir Nacionalinės kibernetinio saugumo agentūros veiklos pajėgumus; ragina 2027 m. ir vėliau strategiškai panaudoti turimas lėšas siekiant sustiprinti Moldovos strateginės komunikacijos, kibernetinio saugumo ir kovos su užsienio vykdomu manipuliavimu informacija ir kišimusi pajėgumus iki numatytos stojimo datos; ragina ES pritaikyti Moldovoje įgytą patirtį siekiant apsaugoti rinkimų procesą ir demokratines institucijas ir kovoti su užsienio vykdomu manipuliavimu informacija ir kišimusi pačioje ES ir kitose šalyse kandidatėse; atsižvelgdamas į tai, palankiai vertina valstybių narių visuomeninių transliuotojų pastangas Moldovos visuomenei teikti faktais pagrįstą turinį;</w:t>
      </w:r>
    </w:p>
    <w:p w:rsidR="00D919A3" w:rsidRPr="00130C3A" w:rsidP="00D919A3" w14:paraId="59AA73E0" w14:textId="77777777">
      <w:pPr>
        <w:pStyle w:val="NormalHanging12a"/>
      </w:pPr>
      <w:r w:rsidRPr="00130C3A">
        <w:t>52.</w:t>
      </w:r>
      <w:r w:rsidRPr="00130C3A">
        <w:tab/>
        <w:t>reiškia susirūpinimą dėl religinių struktūrų naudojimo politiniais tikslais, laikantis Rusijos karinės doktrinos ir nacionalinės saugumo strategijos, įskaitant bandymus daryti įtaką viešajai nuomonei ir rinkimų procesams taip, kad tai galėtų pakenkti Moldovos europiniam keliui; ragina Moldovos valdžios institucijas užtikrinti visapusišką pagarbą religijos laisvei, kartu užkertant kelią bet kokiam nederamam išorės kišimuisi ar manipuliavimui, kuris galėtų daryti poveikį šalies demokratiniams procesams ir strateginei krypčiai; griežtai smerkia tai, kad su Maskva susijusi Kišiniovo ir visos Moldovos metropolija, pavaldi Rusijos stačiatikių bažnyčiai, naudojama kaip priemonė Kremliaus vadovaujamai dezinformacijai, kišimuisi į rinkimus ir hibridinei įtakai Moldovos Respublikoje;</w:t>
      </w:r>
    </w:p>
    <w:p w:rsidR="00D919A3" w:rsidRPr="00130C3A" w:rsidP="00D919A3" w14:paraId="7B2C2F70" w14:textId="77777777">
      <w:pPr>
        <w:pStyle w:val="NormalHanging12a"/>
      </w:pPr>
      <w:r w:rsidRPr="00130C3A">
        <w:t>53.</w:t>
      </w:r>
      <w:r w:rsidRPr="00130C3A">
        <w:tab/>
        <w:t>pakartoja, kad yra visapusiškai įsipareigojęs saugoti Moldovos teritorinį vientisumą ir užtikrinti taikų konflikto sureguliavimą, grindžiamą Moldovos suverenitetu ir teritoriniu vientisumu, atsižvelgiant į tarptautiniu mastu pripažintas jos sienas; skatina Moldovą toliau dėti reintegracijos pastangas ir ragina Rusijos Federaciją vykdyti savo tarptautinius įsipareigojimus užtikrinant, kad visas jos karinis personalas, įranga ir šaudmenys būtų nedelsiant ir besąlygiškai išvesti iš Padnestrės regiono, nes jų buvimas yra sunkus tarptautinės teisės pažeidimas ir tiesioginė grėsmė saugumui Moldovoje ir platesnėje Europos kaimynystėje;</w:t>
      </w:r>
    </w:p>
    <w:p w:rsidR="00D919A3" w:rsidRPr="00130C3A" w:rsidP="00D919A3" w14:paraId="6924DE6F" w14:textId="77777777">
      <w:pPr>
        <w:pStyle w:val="NormalHanging12a"/>
      </w:pPr>
      <w:r w:rsidRPr="00130C3A">
        <w:t>54.</w:t>
      </w:r>
      <w:r w:rsidRPr="00130C3A">
        <w:tab/>
        <w:t>remia laipsnišką Moldovos valdžios institucijų požiūrį į šalies reintegraciją, daug dėmesio skiriant apčiuopiamai socialinei ir ekonominei naudai piliečiams abiejuose upės krantuose; ragina ES aktyviai prisidėti prie taikaus reintegracijos proceso, be kita ko, reikšmingai prisidedant prie Konvergencijos fondo, kuris rems laipsnišką Padniestrės regiono suderinimą su Moldovos teisine, ekonomine ir socialine sistema ir užtikrins konkrečius piliečiams skirtų viešųjų paslaugų ir vietos infrastruktūros patobulinimus;</w:t>
      </w:r>
    </w:p>
    <w:p w:rsidR="00D919A3" w:rsidRPr="00130C3A" w:rsidP="00D919A3" w14:paraId="4676472E" w14:textId="77777777">
      <w:pPr>
        <w:pStyle w:val="NormalHanging12a"/>
      </w:pPr>
      <w:r w:rsidRPr="00130C3A">
        <w:t>55.</w:t>
      </w:r>
      <w:r w:rsidRPr="00130C3A">
        <w:tab/>
        <w:t>susirūpinęs atkreipia dėmesį į nuolatinius Rusijos bandymus išnaudoti ir kurstyti įtampą tarp Gagauzijos autonominio teritorinio vieneto ir Moldovos valdžios institucijų; remia ir skatina nuolatines Moldovos vyriausybės pastangas spręsti šias problemas palaikant konstruktyvų dialogą ir vykdant įtraukias reformas; primygtinai ragina regionų valdžios institucijas gera valia dalyvauti šiame dialoge ir užtikrinti, kad regione būtų tinkamai surengti laisvi, sąžiningi, skaidrūs ir teisėti rinkimai, visapusiškai laikantis Moldovos teisės; pakartoja, kad stabilūs ir bendradarbiavimu grindžiami sostinės ir regionų santykiai yra labai svarbūs Moldovos vidaus stabilumui ir jos nuolatinei pažangai siekiant narystės ES;</w:t>
      </w:r>
    </w:p>
    <w:p w:rsidR="00D919A3" w:rsidRPr="00130C3A" w:rsidP="00D919A3" w14:paraId="4295770B" w14:textId="77777777">
      <w:pPr>
        <w:pStyle w:val="NormalHanging12a"/>
      </w:pPr>
      <w:r w:rsidRPr="00130C3A">
        <w:t>56.</w:t>
      </w:r>
      <w:r w:rsidRPr="00130C3A">
        <w:tab/>
        <w:t>palankiai vertina Moldovos sprendimą pasitraukti iš Rusijos dominuojamos Nepriklausomų valstybių sandraugos, nes tai yra suverenus ir strateginis pasirinkimas, atspindintis šalies pasirinktą europinį kelią; ragina spręsti sovietinio laikotarpio palikimo klausimą, pvz., išslaptinant buvusių sovietinių saugumo tarnybų archyvus, ir skatina rengti diskusijas dėl sovietinės propagandos simbolių buvimo viešosiose erdvėse;</w:t>
      </w:r>
    </w:p>
    <w:p w:rsidR="00D919A3" w:rsidRPr="00130C3A" w:rsidP="00D919A3" w14:paraId="7B04B7D6" w14:textId="77777777">
      <w:pPr>
        <w:pStyle w:val="NormalHanging12a"/>
      </w:pPr>
      <w:r w:rsidRPr="00130C3A">
        <w:t>57.</w:t>
      </w:r>
      <w:r w:rsidRPr="00130C3A">
        <w:tab/>
        <w:t>griežtai smerkia pakartotinius neleistinus Rusijos bepiločių orlaivių įsiveržimus į Moldovos oro erdvę ir teritoriją nuo 2022 m., kurie yra šiurkštus Moldovos suvereniteto ir teritorinio vientisumo pažeidimas; pabrėžia, kad tokie veiksmai kelia tiesioginį pavojų civilinei saugai, saugumui ir regiono stabilumui, ir pakartoja, kad reikia griežtai laikytis tarptautinės teisės; atsižvelgdamas į tai pabrėžia, kad labai svarbu investuoti į oro stebėjimo ir apsaugos infrastruktūrą;</w:t>
      </w:r>
    </w:p>
    <w:p w:rsidR="00D919A3" w:rsidRPr="00130C3A" w:rsidP="00D919A3" w14:paraId="7F0D7A95" w14:textId="77777777">
      <w:pPr>
        <w:pStyle w:val="NormalHanging12a"/>
      </w:pPr>
      <w:r w:rsidRPr="00130C3A">
        <w:t>58.</w:t>
      </w:r>
      <w:r w:rsidRPr="00130C3A">
        <w:tab/>
        <w:t>palankiai vertina nuolatinę paramą Moldovos ginkluotosioms pajėgoms pagal Europos taikos priemonę; pakartoja savo raginimą valstybėms narėms toliau didinti Moldovos finansavimą pagal Europos taikos priemonę, kad būtų sustiprinti šalies gynybos pajėgumai, atsižvelgiant į dabartines grėsmes saugumui; ragina Komisiją, koordinuojant veiksmus su EIVT, kaip sudedamąją stojimo proceso dalį, užtikrinti labiau struktūrizuotą, nuspėjamą ir didesnę paramą Moldovos Respublikos saugumo ir gynybos pajėgumų stiprinimui ir jų suderinimui su ES saugumo standartais; ragina toliau remti Moldovos gynybos sektoriaus modernizavimą, įskaitant jos oro gynybos pajėgumus; pabrėžia, kad Moldova yra ne tik saugumo vartotoja, bet ir saugumo užtikrintoja ES, atsižvelgiant į jos strateginę padėtį ir vertingą tikralaikę patirtį; palankiai vertina tai, kad Moldova pripažinta šalimi, kuriai pagal Europos gynybos pramonės programą gali būti bendrai perkami papildomi gynybos produktų kiekiai, padidinant ES finansinio įnašo normą nuo 15 proc. iki 25 proc., ir ragina šį lengvatinį režimą integruoti į struktūrą po 2027 m.;</w:t>
      </w:r>
    </w:p>
    <w:p w:rsidR="00D919A3" w:rsidRPr="00130C3A" w:rsidP="00D919A3" w14:paraId="4324B16C" w14:textId="77777777">
      <w:pPr>
        <w:pStyle w:val="NormalCenter12a"/>
      </w:pPr>
      <w:r w:rsidRPr="00130C3A">
        <w:t>°</w:t>
      </w:r>
    </w:p>
    <w:p w:rsidR="00D919A3" w:rsidRPr="00130C3A" w:rsidP="00D919A3" w14:paraId="71B7497C" w14:textId="77777777">
      <w:pPr>
        <w:pStyle w:val="NormalCenter12a"/>
      </w:pPr>
      <w:r w:rsidRPr="00130C3A">
        <w:t>°</w:t>
      </w:r>
      <w:r w:rsidRPr="00130C3A">
        <w:tab/>
        <w:t>°</w:t>
      </w:r>
    </w:p>
    <w:p w:rsidR="00130C3A" w:rsidRPr="00130C3A" w:rsidP="00130C3A" w14:paraId="1F8AFE4E" w14:textId="6A6C9F3D">
      <w:pPr>
        <w:pStyle w:val="NormalHanging12a"/>
      </w:pPr>
      <w:r w:rsidRPr="00130C3A">
        <w:t>59.</w:t>
      </w:r>
      <w:r w:rsidRPr="00130C3A">
        <w:tab/>
        <w:t>paveda Pirmininkei perduoti šią rezoliuciją Tarybai, Komisijai, Komisijos pirmininko pavaduotojai ir Sąjungos vyriausiajai įgaliotinei užsienio reikalams ir saugumo politikai ir Moldovos Respublikos prezidentei, vyriausybei bei parlamentui.</w:t>
      </w:r>
    </w:p>
    <w:p w:rsidR="00E365E1" w:rsidRPr="00130C3A" w:rsidP="003B718D" w14:paraId="09627945" w14:textId="5D05C139"/>
    <w:sectPr w:rsidSect="00130C3A">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30C3A" w14:paraId="34BBAB8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30C3A" w14:paraId="649476F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30C3A" w14:paraId="3088CF8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B718D" w:rsidRPr="00130C3A" w14:paraId="7993B219" w14:textId="77777777">
      <w:r w:rsidRPr="00130C3A">
        <w:separator/>
      </w:r>
    </w:p>
  </w:footnote>
  <w:footnote w:type="continuationSeparator" w:id="1">
    <w:p w:rsidR="003B718D" w:rsidRPr="00130C3A" w14:paraId="36D16AC2" w14:textId="77777777">
      <w:r w:rsidRPr="00130C3A">
        <w:continuationSeparator/>
      </w:r>
    </w:p>
  </w:footnote>
  <w:footnote w:id="2">
    <w:p w:rsidR="00D919A3" w:rsidRPr="00130C3A" w:rsidP="00130C3A" w14:paraId="759ADFA5" w14:textId="4476FC70">
      <w:pPr>
        <w:pStyle w:val="FootnoteText"/>
        <w:ind w:left="567" w:hanging="567"/>
        <w:rPr>
          <w:sz w:val="24"/>
          <w:lang w:val="lt-LT"/>
        </w:rPr>
      </w:pPr>
      <w:r w:rsidRPr="00130C3A">
        <w:rPr>
          <w:rStyle w:val="FootnoteReference"/>
          <w:sz w:val="24"/>
          <w:lang w:val="lt-LT"/>
        </w:rPr>
        <w:t>1</w:t>
      </w:r>
      <w:r w:rsidRPr="00130C3A" w:rsidR="00130C3A">
        <w:rPr>
          <w:sz w:val="24"/>
          <w:lang w:val="lt-LT"/>
        </w:rPr>
        <w:t xml:space="preserve"> </w:t>
      </w:r>
      <w:r w:rsidRPr="00130C3A" w:rsidR="00130C3A">
        <w:rPr>
          <w:sz w:val="24"/>
          <w:lang w:val="lt-LT"/>
        </w:rPr>
        <w:tab/>
      </w:r>
      <w:r w:rsidRPr="00130C3A">
        <w:rPr>
          <w:sz w:val="24"/>
          <w:lang w:val="lt-LT"/>
        </w:rPr>
        <w:t xml:space="preserve">OL L, 2025/535, 2025 3 21, ELI: </w:t>
      </w:r>
      <w:hyperlink r:id="rId1" w:tgtFrame="http://data.europa.eu/eli/reg/2025/535/oj" w:history="1">
        <w:r w:rsidRPr="00130C3A">
          <w:rPr>
            <w:rStyle w:val="Hyperlink"/>
            <w:sz w:val="24"/>
            <w:lang w:val="lt-LT"/>
          </w:rPr>
          <w:t>http://data.europa.eu/eli/reg/2025/535/oj</w:t>
        </w:r>
      </w:hyperlink>
      <w:r w:rsidRPr="00130C3A">
        <w:rPr>
          <w:sz w:val="24"/>
          <w:lang w:val="lt-LT"/>
        </w:rPr>
        <w:t>.</w:t>
      </w:r>
    </w:p>
  </w:footnote>
  <w:footnote w:id="3">
    <w:p w:rsidR="00D919A3" w:rsidRPr="00130C3A" w:rsidP="00130C3A" w14:paraId="5182B700" w14:textId="20E4DD3D">
      <w:pPr>
        <w:pStyle w:val="FootnoteText"/>
        <w:ind w:left="567" w:hanging="567"/>
        <w:rPr>
          <w:sz w:val="24"/>
          <w:lang w:val="lt-LT"/>
        </w:rPr>
      </w:pPr>
      <w:r w:rsidRPr="00130C3A">
        <w:rPr>
          <w:rStyle w:val="FootnoteReference"/>
          <w:sz w:val="24"/>
          <w:lang w:val="lt-LT"/>
        </w:rPr>
        <w:t>2</w:t>
      </w:r>
      <w:r w:rsidRPr="00130C3A" w:rsidR="00130C3A">
        <w:rPr>
          <w:sz w:val="24"/>
          <w:lang w:val="lt-LT"/>
        </w:rPr>
        <w:t xml:space="preserve"> </w:t>
      </w:r>
      <w:r w:rsidRPr="00130C3A" w:rsidR="00130C3A">
        <w:rPr>
          <w:sz w:val="24"/>
          <w:lang w:val="lt-LT"/>
        </w:rPr>
        <w:tab/>
      </w:r>
      <w:r w:rsidRPr="00130C3A">
        <w:rPr>
          <w:sz w:val="24"/>
          <w:lang w:val="lt-LT"/>
        </w:rPr>
        <w:t xml:space="preserve">Europos Sąjungos ir Europos atominės energijos bendrijos bei jų valstybių narių ir Moldovos Respublikos asociacijos susitarimas (OL L 260, 2014 8 30, p. 4, ELI: </w:t>
      </w:r>
      <w:hyperlink r:id="rId2" w:history="1">
        <w:r w:rsidRPr="00E86258">
          <w:rPr>
            <w:rStyle w:val="Hyperlink"/>
            <w:sz w:val="24"/>
            <w:lang w:val="lt-LT"/>
          </w:rPr>
          <w:t>http://data.europa.eu/eli/agree_internation/2014/492/oj</w:t>
        </w:r>
      </w:hyperlink>
      <w:r w:rsidRPr="00130C3A">
        <w:rPr>
          <w:sz w:val="24"/>
          <w:lang w:val="lt-LT"/>
        </w:rPr>
        <w:t>).</w:t>
      </w:r>
    </w:p>
  </w:footnote>
  <w:footnote w:id="4">
    <w:p w:rsidR="00D919A3" w:rsidRPr="00130C3A" w:rsidP="00130C3A" w14:paraId="1EB350CC" w14:textId="1ED8CF8A">
      <w:pPr>
        <w:pStyle w:val="FootnoteText"/>
        <w:ind w:left="567" w:hanging="567"/>
        <w:rPr>
          <w:sz w:val="24"/>
          <w:lang w:val="lt-LT"/>
        </w:rPr>
      </w:pPr>
      <w:r w:rsidRPr="00130C3A">
        <w:rPr>
          <w:rStyle w:val="FootnoteReference"/>
          <w:sz w:val="24"/>
          <w:lang w:val="lt-LT"/>
        </w:rPr>
        <w:t>3</w:t>
      </w:r>
      <w:r w:rsidRPr="00130C3A" w:rsidR="00130C3A">
        <w:rPr>
          <w:sz w:val="24"/>
          <w:lang w:val="lt-LT"/>
        </w:rPr>
        <w:t xml:space="preserve"> </w:t>
      </w:r>
      <w:r w:rsidRPr="00130C3A" w:rsidR="00130C3A">
        <w:rPr>
          <w:sz w:val="24"/>
          <w:lang w:val="lt-LT"/>
        </w:rPr>
        <w:tab/>
      </w:r>
      <w:r w:rsidRPr="00130C3A">
        <w:rPr>
          <w:sz w:val="24"/>
          <w:lang w:val="lt-LT"/>
        </w:rPr>
        <w:t xml:space="preserve">2019 m. balandžio 17 d. Europos Parlamento ir Tarybos direktyva (ES) 2019/882 dėl gaminių ir paslaugų prieinamumo reikalavimų (OL L 151, 2019 6 7, p. 70, ELI: </w:t>
      </w:r>
      <w:hyperlink r:id="rId3" w:tgtFrame="http://data.europa.eu/eli/dir/2019/882/oj" w:history="1">
        <w:r w:rsidRPr="00130C3A">
          <w:rPr>
            <w:rStyle w:val="Hyperlink"/>
            <w:sz w:val="24"/>
            <w:lang w:val="lt-LT"/>
          </w:rPr>
          <w:t>http://data.europa.eu/eli/dir/2019/882/oj</w:t>
        </w:r>
      </w:hyperlink>
      <w:r w:rsidRPr="00130C3A">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30C3A" w14:paraId="6713958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30C3A" w14:paraId="012F6E9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30C3A" w14:paraId="66E21B8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66774679">
    <w:abstractNumId w:val="9"/>
  </w:num>
  <w:num w:numId="2" w16cid:durableId="2132891277">
    <w:abstractNumId w:val="9"/>
  </w:num>
  <w:num w:numId="3" w16cid:durableId="2028671859">
    <w:abstractNumId w:val="7"/>
  </w:num>
  <w:num w:numId="4" w16cid:durableId="95294606">
    <w:abstractNumId w:val="7"/>
  </w:num>
  <w:num w:numId="5" w16cid:durableId="1306812899">
    <w:abstractNumId w:val="6"/>
  </w:num>
  <w:num w:numId="6" w16cid:durableId="29041034">
    <w:abstractNumId w:val="6"/>
  </w:num>
  <w:num w:numId="7" w16cid:durableId="1849060776">
    <w:abstractNumId w:val="5"/>
  </w:num>
  <w:num w:numId="8" w16cid:durableId="1960719148">
    <w:abstractNumId w:val="5"/>
  </w:num>
  <w:num w:numId="9" w16cid:durableId="1505436654">
    <w:abstractNumId w:val="4"/>
  </w:num>
  <w:num w:numId="10" w16cid:durableId="1877279016">
    <w:abstractNumId w:val="4"/>
  </w:num>
  <w:num w:numId="11" w16cid:durableId="1399135054">
    <w:abstractNumId w:val="8"/>
  </w:num>
  <w:num w:numId="12" w16cid:durableId="255556627">
    <w:abstractNumId w:val="8"/>
  </w:num>
  <w:num w:numId="13" w16cid:durableId="185951215">
    <w:abstractNumId w:val="3"/>
  </w:num>
  <w:num w:numId="14" w16cid:durableId="1249541818">
    <w:abstractNumId w:val="3"/>
  </w:num>
  <w:num w:numId="15" w16cid:durableId="974412470">
    <w:abstractNumId w:val="2"/>
  </w:num>
  <w:num w:numId="16" w16cid:durableId="298876479">
    <w:abstractNumId w:val="2"/>
  </w:num>
  <w:num w:numId="17" w16cid:durableId="1890796471">
    <w:abstractNumId w:val="1"/>
  </w:num>
  <w:num w:numId="18" w16cid:durableId="1190801882">
    <w:abstractNumId w:val="1"/>
  </w:num>
  <w:num w:numId="19" w16cid:durableId="615601361">
    <w:abstractNumId w:val="0"/>
  </w:num>
  <w:num w:numId="20" w16cid:durableId="125660375">
    <w:abstractNumId w:val="0"/>
  </w:num>
  <w:num w:numId="21" w16cid:durableId="1361470350">
    <w:abstractNumId w:val="9"/>
  </w:num>
  <w:num w:numId="22" w16cid:durableId="986326344">
    <w:abstractNumId w:val="7"/>
  </w:num>
  <w:num w:numId="23" w16cid:durableId="480191396">
    <w:abstractNumId w:val="6"/>
  </w:num>
  <w:num w:numId="24" w16cid:durableId="2092045857">
    <w:abstractNumId w:val="5"/>
  </w:num>
  <w:num w:numId="25" w16cid:durableId="125977633">
    <w:abstractNumId w:val="4"/>
  </w:num>
  <w:num w:numId="26" w16cid:durableId="512962500">
    <w:abstractNumId w:val="8"/>
  </w:num>
  <w:num w:numId="27" w16cid:durableId="1067725322">
    <w:abstractNumId w:val="3"/>
  </w:num>
  <w:num w:numId="28" w16cid:durableId="816268140">
    <w:abstractNumId w:val="2"/>
  </w:num>
  <w:num w:numId="29" w16cid:durableId="145366622">
    <w:abstractNumId w:val="1"/>
  </w:num>
  <w:num w:numId="30" w16cid:durableId="845368078">
    <w:abstractNumId w:val="0"/>
  </w:num>
  <w:num w:numId="31" w16cid:durableId="1565990895">
    <w:abstractNumId w:val="9"/>
  </w:num>
  <w:num w:numId="32" w16cid:durableId="971639665">
    <w:abstractNumId w:val="7"/>
  </w:num>
  <w:num w:numId="33" w16cid:durableId="967010778">
    <w:abstractNumId w:val="6"/>
  </w:num>
  <w:num w:numId="34" w16cid:durableId="784350484">
    <w:abstractNumId w:val="5"/>
  </w:num>
  <w:num w:numId="35" w16cid:durableId="2092239298">
    <w:abstractNumId w:val="4"/>
  </w:num>
  <w:num w:numId="36" w16cid:durableId="142283153">
    <w:abstractNumId w:val="8"/>
  </w:num>
  <w:num w:numId="37" w16cid:durableId="1081289541">
    <w:abstractNumId w:val="3"/>
  </w:num>
  <w:num w:numId="38" w16cid:durableId="604115113">
    <w:abstractNumId w:val="2"/>
  </w:num>
  <w:num w:numId="39" w16cid:durableId="548339968">
    <w:abstractNumId w:val="1"/>
  </w:num>
  <w:num w:numId="40" w16cid:durableId="1640955951">
    <w:abstractNumId w:val="0"/>
  </w:num>
  <w:num w:numId="41" w16cid:durableId="1464348432">
    <w:abstractNumId w:val="10"/>
  </w:num>
  <w:num w:numId="42" w16cid:durableId="1076240903">
    <w:abstractNumId w:val="10"/>
  </w:num>
  <w:num w:numId="43" w16cid:durableId="1864971876">
    <w:abstractNumId w:val="10"/>
  </w:num>
  <w:num w:numId="44" w16cid:durableId="20487953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18D"/>
    <w:rsid w:val="00002272"/>
    <w:rsid w:val="00064002"/>
    <w:rsid w:val="000677B9"/>
    <w:rsid w:val="000831BA"/>
    <w:rsid w:val="00091B04"/>
    <w:rsid w:val="000A42CC"/>
    <w:rsid w:val="000D76DC"/>
    <w:rsid w:val="000E761D"/>
    <w:rsid w:val="000E7DD9"/>
    <w:rsid w:val="000F00E9"/>
    <w:rsid w:val="0010095E"/>
    <w:rsid w:val="00125B37"/>
    <w:rsid w:val="00130C3A"/>
    <w:rsid w:val="00187494"/>
    <w:rsid w:val="001F32AE"/>
    <w:rsid w:val="00242BB3"/>
    <w:rsid w:val="00250039"/>
    <w:rsid w:val="002767FF"/>
    <w:rsid w:val="002B18FE"/>
    <w:rsid w:val="002B5493"/>
    <w:rsid w:val="00343214"/>
    <w:rsid w:val="00361C00"/>
    <w:rsid w:val="00395FA1"/>
    <w:rsid w:val="003B4825"/>
    <w:rsid w:val="003B718D"/>
    <w:rsid w:val="003E15D4"/>
    <w:rsid w:val="00411CCE"/>
    <w:rsid w:val="0041666E"/>
    <w:rsid w:val="00421060"/>
    <w:rsid w:val="00471C19"/>
    <w:rsid w:val="004867E3"/>
    <w:rsid w:val="00494A28"/>
    <w:rsid w:val="004C0004"/>
    <w:rsid w:val="004C5D52"/>
    <w:rsid w:val="0050519A"/>
    <w:rsid w:val="005072A1"/>
    <w:rsid w:val="005138EF"/>
    <w:rsid w:val="00514517"/>
    <w:rsid w:val="00545827"/>
    <w:rsid w:val="00560270"/>
    <w:rsid w:val="005C2568"/>
    <w:rsid w:val="005F1B17"/>
    <w:rsid w:val="006037C0"/>
    <w:rsid w:val="00637451"/>
    <w:rsid w:val="006631B6"/>
    <w:rsid w:val="00680577"/>
    <w:rsid w:val="006F74FA"/>
    <w:rsid w:val="00731ADD"/>
    <w:rsid w:val="00734777"/>
    <w:rsid w:val="00747932"/>
    <w:rsid w:val="00751A4A"/>
    <w:rsid w:val="00756632"/>
    <w:rsid w:val="0076204A"/>
    <w:rsid w:val="00762C74"/>
    <w:rsid w:val="00786EC0"/>
    <w:rsid w:val="007D1690"/>
    <w:rsid w:val="007E22AD"/>
    <w:rsid w:val="00817416"/>
    <w:rsid w:val="00842779"/>
    <w:rsid w:val="00860449"/>
    <w:rsid w:val="00865F67"/>
    <w:rsid w:val="00881A7B"/>
    <w:rsid w:val="008840E5"/>
    <w:rsid w:val="00887B3E"/>
    <w:rsid w:val="008C2AC6"/>
    <w:rsid w:val="00927467"/>
    <w:rsid w:val="00930C23"/>
    <w:rsid w:val="0093193B"/>
    <w:rsid w:val="009509D8"/>
    <w:rsid w:val="00950B64"/>
    <w:rsid w:val="00981893"/>
    <w:rsid w:val="009F6828"/>
    <w:rsid w:val="009F778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2459"/>
    <w:rsid w:val="00C61C0C"/>
    <w:rsid w:val="00C941CB"/>
    <w:rsid w:val="00CC2357"/>
    <w:rsid w:val="00CC7480"/>
    <w:rsid w:val="00CF071A"/>
    <w:rsid w:val="00D058B8"/>
    <w:rsid w:val="00D56C11"/>
    <w:rsid w:val="00D834A0"/>
    <w:rsid w:val="00D872DF"/>
    <w:rsid w:val="00D919A3"/>
    <w:rsid w:val="00D91E21"/>
    <w:rsid w:val="00DA7FCD"/>
    <w:rsid w:val="00E365E1"/>
    <w:rsid w:val="00E820A4"/>
    <w:rsid w:val="00E86258"/>
    <w:rsid w:val="00EB006A"/>
    <w:rsid w:val="00EB4772"/>
    <w:rsid w:val="00ED169E"/>
    <w:rsid w:val="00ED4235"/>
    <w:rsid w:val="00F04346"/>
    <w:rsid w:val="00F075DC"/>
    <w:rsid w:val="00F11481"/>
    <w:rsid w:val="00F149E9"/>
    <w:rsid w:val="00F5134D"/>
    <w:rsid w:val="00F74202"/>
    <w:rsid w:val="00F87713"/>
    <w:rsid w:val="00FB4360"/>
    <w:rsid w:val="00FD0C70"/>
  </w:rsids>
  <w:docVars>
    <w:docVar w:name="dvdocse" w:val="A10-0164/2026"/>
    <w:docVar w:name="dvlangue" w:val="LT"/>
    <w:docVar w:name="dvnumam" w:val="0"/>
    <w:docVar w:name="dvpe" w:val="782.290"/>
    <w:docVar w:name="dvrapporteur" w:val="Pranešėjas: "/>
    <w:docVar w:name="dvtitre" w:val="2026 m. liepos 8 d. Europos Parlamento rezoliucija dėl 2025 m. Komisijos ataskaitos dėl Moldovos(2025/2258(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BABCC26"/>
  <w15:chartTrackingRefBased/>
  <w15:docId w15:val="{381B2607-A7E5-43FE-BFB1-42C34EFA0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919A3"/>
    <w:pPr>
      <w:widowControl/>
      <w:spacing w:after="240"/>
    </w:pPr>
    <w:rPr>
      <w:szCs w:val="24"/>
      <w:lang w:eastAsia="en-US"/>
    </w:rPr>
  </w:style>
  <w:style w:type="paragraph" w:customStyle="1" w:styleId="NormalHanging12a">
    <w:name w:val="NormalHanging12a"/>
    <w:basedOn w:val="Normal"/>
    <w:rsid w:val="00D919A3"/>
    <w:pPr>
      <w:widowControl/>
      <w:spacing w:after="240"/>
      <w:ind w:left="566" w:hanging="566"/>
    </w:pPr>
    <w:rPr>
      <w:szCs w:val="24"/>
      <w:lang w:eastAsia="en-US"/>
    </w:rPr>
  </w:style>
  <w:style w:type="paragraph" w:customStyle="1" w:styleId="Normal12">
    <w:name w:val="Normal12"/>
    <w:basedOn w:val="Normal"/>
    <w:rsid w:val="00D919A3"/>
    <w:pPr>
      <w:spacing w:after="240"/>
    </w:pPr>
    <w:rPr>
      <w:szCs w:val="24"/>
      <w:lang w:eastAsia="en-US"/>
    </w:rPr>
  </w:style>
  <w:style w:type="paragraph" w:customStyle="1" w:styleId="NormalHanging">
    <w:name w:val="NormalHanging"/>
    <w:basedOn w:val="Normal"/>
    <w:rsid w:val="00D919A3"/>
    <w:pPr>
      <w:spacing w:after="240"/>
      <w:ind w:left="566" w:hanging="566"/>
    </w:pPr>
    <w:rPr>
      <w:szCs w:val="24"/>
      <w:lang w:eastAsia="en-US"/>
    </w:rPr>
  </w:style>
  <w:style w:type="paragraph" w:customStyle="1" w:styleId="NormalCenter12a">
    <w:name w:val="NormalCenter12a"/>
    <w:basedOn w:val="Normal"/>
    <w:rsid w:val="00D919A3"/>
    <w:pPr>
      <w:widowControl/>
      <w:spacing w:after="240"/>
      <w:jc w:val="center"/>
    </w:pPr>
    <w:rPr>
      <w:szCs w:val="24"/>
      <w:lang w:eastAsia="en-US"/>
    </w:rPr>
  </w:style>
  <w:style w:type="character" w:styleId="Hyperlink">
    <w:name w:val="Hyperlink"/>
    <w:basedOn w:val="DefaultParagraphFont"/>
    <w:rsid w:val="00D919A3"/>
    <w:rPr>
      <w:color w:val="0000FF"/>
      <w:u w:val="single"/>
    </w:rPr>
  </w:style>
  <w:style w:type="paragraph" w:styleId="Revision">
    <w:name w:val="Revision"/>
    <w:hidden/>
    <w:uiPriority w:val="99"/>
    <w:semiHidden/>
    <w:rsid w:val="003B4825"/>
    <w:rPr>
      <w:sz w:val="24"/>
      <w:lang w:val="lt-LT"/>
    </w:rPr>
  </w:style>
  <w:style w:type="character" w:styleId="UnresolvedMention">
    <w:name w:val="Unresolved Mention"/>
    <w:basedOn w:val="DefaultParagraphFont"/>
    <w:uiPriority w:val="99"/>
    <w:semiHidden/>
    <w:unhideWhenUsed/>
    <w:rsid w:val="00E862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535/oj" TargetMode="External" /><Relationship Id="rId2" Type="http://schemas.openxmlformats.org/officeDocument/2006/relationships/hyperlink" Target="http://data.europa.eu/eli/agree_internation/2014/492/oj" TargetMode="External" /><Relationship Id="rId3" Type="http://schemas.openxmlformats.org/officeDocument/2006/relationships/hyperlink" Target="http://data.europa.eu/eli/dir/2019/8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5153</Words>
  <Characters>35913</Characters>
  <Application>Microsoft Office Word</Application>
  <DocSecurity>0</DocSecurity>
  <Lines>299</Lines>
  <Paragraphs>81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P10_TA(2026)0000</vt:lpstr>
      <vt:lpstr>    2025 m. Komisijos ataskaita dėl Moldovos</vt:lpstr>
      <vt:lpstr>        2026 m. liepos 8 d. Europos Parlamento rezoliucija dėl 2025 m. Komisijos ataskai</vt:lpstr>
    </vt:vector>
  </TitlesOfParts>
  <Company/>
  <LinksUpToDate>false</LinksUpToDate>
  <CharactersWithSpaces>40985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2026-07-08T13:49:00Z</dcterms:created>
  <dcterms:modified xsi:type="dcterms:W3CDTF">2026-07-08T13:49:00Z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A10-0164/2026</vt:lpwstr>
  </property>
  <property fmtid="{D5CDD505-2E9C-101B-9397-08002B2CF9AE}" pid="4" name="&lt;Type&gt;">
    <vt:lpwstr>RR</vt:lpwstr>
  </property>
</Properties>
</file>