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25489A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84E50" w:rsidP="0010095E" w14:paraId="62A903EE" w14:textId="77777777">
            <w:pPr>
              <w:pStyle w:val="EPName"/>
            </w:pPr>
            <w:r w:rsidRPr="00584E50">
              <w:t>Parlament Europejski</w:t>
            </w:r>
          </w:p>
          <w:p w:rsidR="00751A4A" w:rsidRPr="00584E50" w:rsidP="005F1B17" w14:paraId="0908ACE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4E50">
              <w:t>2024</w:t>
            </w:r>
            <w:r w:rsidRPr="00584E50" w:rsidR="00817416">
              <w:t>-202</w:t>
            </w:r>
            <w:r w:rsidRPr="00584E5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84E50" w:rsidP="0010095E" w14:paraId="2CDE2C41" w14:textId="77777777">
            <w:pPr>
              <w:pStyle w:val="EPLogo"/>
            </w:pPr>
            <w:r w:rsidRPr="00584E5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84E50" w:rsidP="004C5D52" w14:paraId="60310BC1" w14:textId="77777777">
      <w:pPr>
        <w:pStyle w:val="LineTop"/>
      </w:pPr>
    </w:p>
    <w:p w:rsidR="00680577" w:rsidRPr="00584E50" w:rsidP="00680577" w14:paraId="549CC746" w14:textId="77777777">
      <w:pPr>
        <w:pStyle w:val="EPBodyTA1"/>
      </w:pPr>
      <w:r w:rsidRPr="00584E50">
        <w:t>TEKSTY PRZYJĘTE</w:t>
      </w:r>
    </w:p>
    <w:p w:rsidR="00D058B8" w:rsidRPr="00584E50" w:rsidP="00D058B8" w14:paraId="1D95B24E" w14:textId="77777777">
      <w:pPr>
        <w:pStyle w:val="LineBottom"/>
      </w:pPr>
    </w:p>
    <w:p w:rsidR="00155924" w:rsidRPr="00584E50" w:rsidP="00155924" w14:paraId="12E62711" w14:textId="1337C8C0">
      <w:pPr>
        <w:pStyle w:val="ATHeading1"/>
      </w:pPr>
      <w:bookmarkStart w:id="0" w:name="TANumber"/>
      <w:r w:rsidRPr="00584E50">
        <w:t>P10_TA(2026)0</w:t>
      </w:r>
      <w:r w:rsidR="00475652">
        <w:t>260</w:t>
      </w:r>
      <w:bookmarkEnd w:id="0"/>
    </w:p>
    <w:p w:rsidR="00155924" w:rsidRPr="00D71656" w:rsidP="00155924" w14:paraId="22756AA7" w14:textId="3FCF6D82">
      <w:pPr>
        <w:pStyle w:val="ATHeading2"/>
      </w:pPr>
      <w:r w:rsidRPr="00D71656">
        <w:rPr>
          <w:bCs/>
        </w:rPr>
        <w:t>Sprawozdanie Komisji dotyczące Mołdawii – 2025 r.</w:t>
      </w:r>
    </w:p>
    <w:p w:rsidR="00155924" w:rsidRPr="00584E50" w:rsidP="00155924" w14:paraId="0D895A58" w14:textId="77777777">
      <w:pPr>
        <w:rPr>
          <w:i/>
          <w:vanish/>
        </w:rPr>
      </w:pPr>
      <w:r>
        <w:rPr>
          <w:i/>
        </w:rPr>
        <w:fldChar w:fldCharType="begin"/>
      </w:r>
      <w:r w:rsidRPr="00584E50">
        <w:rPr>
          <w:i/>
        </w:rPr>
        <w:instrText xml:space="preserve"> TC"(</w:instrText>
      </w:r>
      <w:bookmarkStart w:id="1" w:name="DocNumber"/>
      <w:r w:rsidRPr="00584E50">
        <w:rPr>
          <w:i/>
        </w:rPr>
        <w:instrText>A10-0164/2026</w:instrText>
      </w:r>
      <w:bookmarkEnd w:id="1"/>
      <w:r w:rsidRPr="00584E50">
        <w:rPr>
          <w:i/>
        </w:rPr>
        <w:instrText xml:space="preserve"> - Sprawozdawca: Sven Mikser)"\l3 \n&gt; \* MERGEFORMAT </w:instrText>
      </w:r>
      <w:r>
        <w:rPr>
          <w:i/>
        </w:rPr>
        <w:fldChar w:fldCharType="end"/>
      </w:r>
    </w:p>
    <w:p w:rsidR="00155924" w:rsidRPr="00584E50" w:rsidP="00155924" w14:paraId="695B94FE" w14:textId="77777777">
      <w:pPr>
        <w:rPr>
          <w:vanish/>
        </w:rPr>
      </w:pPr>
      <w:bookmarkStart w:id="2" w:name="Commission"/>
      <w:r w:rsidRPr="00584E50">
        <w:rPr>
          <w:vanish/>
        </w:rPr>
        <w:t>Komisja Spraw Zagranicznych</w:t>
      </w:r>
      <w:bookmarkEnd w:id="2"/>
    </w:p>
    <w:p w:rsidR="00155924" w:rsidRPr="00584E50" w:rsidP="00155924" w14:paraId="796FC8DC" w14:textId="77777777">
      <w:pPr>
        <w:rPr>
          <w:vanish/>
        </w:rPr>
      </w:pPr>
      <w:bookmarkStart w:id="3" w:name="PE"/>
      <w:r w:rsidRPr="00584E50">
        <w:rPr>
          <w:vanish/>
        </w:rPr>
        <w:t>PE782.290</w:t>
      </w:r>
      <w:bookmarkEnd w:id="3"/>
    </w:p>
    <w:p w:rsidR="00155924" w:rsidRPr="00584E50" w:rsidP="00155924" w14:paraId="50799209" w14:textId="25E484D5">
      <w:pPr>
        <w:pStyle w:val="ATHeading3"/>
      </w:pPr>
      <w:bookmarkStart w:id="4" w:name="Sujet"/>
      <w:r w:rsidRPr="00584E50">
        <w:t xml:space="preserve">Rezolucja Parlamentu Europejskiego z dnia </w:t>
      </w:r>
      <w:r w:rsidR="00D71656">
        <w:t>8 lipca</w:t>
      </w:r>
      <w:r w:rsidRPr="00584E50">
        <w:t xml:space="preserve"> 2026 r. w sprawie sprawozdania Komisji dotyczącego Mołdawii – 2025 r.</w:t>
      </w:r>
      <w:bookmarkEnd w:id="4"/>
      <w:r w:rsidRPr="00584E50">
        <w:t xml:space="preserve"> </w:t>
      </w:r>
      <w:bookmarkStart w:id="5" w:name="References"/>
      <w:r w:rsidRPr="00584E50">
        <w:t>(2025/2258(INI))</w:t>
      </w:r>
      <w:bookmarkEnd w:id="5"/>
    </w:p>
    <w:p w:rsidR="0010231B" w:rsidRPr="00584E50" w:rsidP="0010231B" w14:paraId="08E66287" w14:textId="77777777">
      <w:pPr>
        <w:pStyle w:val="Normal12"/>
      </w:pPr>
      <w:r w:rsidRPr="00584E50">
        <w:t>Parlament Europejski,</w:t>
      </w:r>
    </w:p>
    <w:p w:rsidR="0010231B" w:rsidRPr="00584E50" w:rsidP="0010231B" w14:paraId="095E98A2" w14:textId="09B4F550">
      <w:pPr>
        <w:pStyle w:val="NormalHanging"/>
      </w:pPr>
      <w:r w:rsidRPr="00584E50">
        <w:t>–</w:t>
      </w:r>
      <w:r w:rsidRPr="00584E50">
        <w:tab/>
        <w:t>uwzględniając komunikat Komisji z dnia 4 listopada 2025 r. pt. „Komunikat w sprawie polityki rozszerzenia UE w 2025 r.” (</w:t>
      </w:r>
      <w:r w:rsidRPr="00444DB4" w:rsidR="00D71656">
        <w:t>COM(2025)0690</w:t>
      </w:r>
      <w:r w:rsidRPr="00584E50">
        <w:t>), któremu towarzyszy dokument roboczy służb Komisji z 4 listopada 2025 r. pt. „Sprawozdanie dotyczące Republiki Mołdawii za rok 2025” (SWD(2025)0758),</w:t>
      </w:r>
    </w:p>
    <w:p w:rsidR="0010231B" w:rsidRPr="00584E50" w:rsidP="0010231B" w14:paraId="0D122C30" w14:textId="4492C04F">
      <w:pPr>
        <w:pStyle w:val="NormalHanging"/>
      </w:pPr>
      <w:r w:rsidRPr="00584E50">
        <w:t>–</w:t>
      </w:r>
      <w:r w:rsidRPr="00584E50">
        <w:tab/>
        <w:t>uwzględniając rozporządzenie Parlamentu Europejskiego i Rady (UE) 2025/535 z dnia 18 marca 2025 r. w sprawie ustanowienia Instrumentu Wsparcia Reform i Wzrostu Gospodarczego w Republice Mołdawii</w:t>
      </w:r>
      <w:r>
        <w:rPr>
          <w:rStyle w:val="FootnoteReference"/>
        </w:rPr>
        <w:footnoteReference w:id="2"/>
      </w:r>
      <w:r w:rsidRPr="00584E50">
        <w:t>,</w:t>
      </w:r>
    </w:p>
    <w:p w:rsidR="0010231B" w:rsidRPr="00584E50" w:rsidP="0010231B" w14:paraId="0D35DCCC" w14:textId="77777777">
      <w:pPr>
        <w:pStyle w:val="NormalHanging"/>
      </w:pPr>
      <w:r w:rsidRPr="00584E50">
        <w:t>–</w:t>
      </w:r>
      <w:r w:rsidRPr="00584E50">
        <w:tab/>
        <w:t>uwzględniając program reform w ramach planu wzrostu gospodarczego Republiki Mołdawii (zwanej dalej „Mołdawią”) na lata 2025–2027,</w:t>
      </w:r>
    </w:p>
    <w:p w:rsidR="0010231B" w:rsidRPr="00584E50" w:rsidP="0010231B" w14:paraId="666429CA" w14:textId="77777777">
      <w:pPr>
        <w:pStyle w:val="NormalHanging"/>
      </w:pPr>
      <w:r w:rsidRPr="00584E50">
        <w:t>–</w:t>
      </w:r>
      <w:r w:rsidRPr="00584E50">
        <w:tab/>
        <w:t>uwzględniając swoje poprzednie rezolucje w sprawie Mołdawii,</w:t>
      </w:r>
    </w:p>
    <w:p w:rsidR="0010231B" w:rsidRPr="00584E50" w:rsidP="0010231B" w14:paraId="2BA4269E" w14:textId="5304D95D">
      <w:pPr>
        <w:pStyle w:val="NormalHanging"/>
      </w:pPr>
      <w:r w:rsidRPr="00584E50">
        <w:t>–</w:t>
      </w:r>
      <w:r w:rsidRPr="00584E50">
        <w:tab/>
        <w:t>uwzględniając konkluzje Rady Europejskiej w sprawie Mołdawii z </w:t>
      </w:r>
      <w:r w:rsidRPr="00584E50" w:rsidR="00D71656">
        <w:t xml:space="preserve">dnia </w:t>
      </w:r>
      <w:r w:rsidRPr="00584E50">
        <w:t>26 czerwca 2025 r.,</w:t>
      </w:r>
    </w:p>
    <w:p w:rsidR="0010231B" w:rsidRPr="00584E50" w:rsidP="0010231B" w14:paraId="536A3504" w14:textId="000CBECC">
      <w:pPr>
        <w:pStyle w:val="NormalHanging"/>
      </w:pPr>
      <w:r w:rsidRPr="00584E50">
        <w:t>–</w:t>
      </w:r>
      <w:r w:rsidRPr="00584E50">
        <w:tab/>
        <w:t>uwzględniając konkluzje prezydencji Rady dotyczące rozszerzenia z </w:t>
      </w:r>
      <w:r w:rsidRPr="00584E50" w:rsidR="00D71656">
        <w:t xml:space="preserve">dnia </w:t>
      </w:r>
      <w:r w:rsidRPr="00584E50">
        <w:t>16 grudnia 2025 r.,</w:t>
      </w:r>
    </w:p>
    <w:p w:rsidR="0010231B" w:rsidRPr="00584E50" w:rsidP="0010231B" w14:paraId="2C80CE72" w14:textId="758761AB">
      <w:pPr>
        <w:pStyle w:val="NormalHanging"/>
      </w:pPr>
      <w:r w:rsidRPr="00584E50">
        <w:t>–</w:t>
      </w:r>
      <w:r w:rsidRPr="00584E50">
        <w:tab/>
      </w:r>
      <w:r w:rsidRPr="003A335C" w:rsidR="003A335C">
        <w:t>uwzględniając wspólną deklarację przyjętą po drugim szczycie między UE a Republiką Mołdawii, który odbył się 22 czerwca 2026 r.,</w:t>
      </w:r>
    </w:p>
    <w:p w:rsidR="0010231B" w:rsidRPr="00584E50" w:rsidP="0010231B" w14:paraId="647CA5C8" w14:textId="6F917D39">
      <w:pPr>
        <w:pStyle w:val="NormalHanging"/>
      </w:pPr>
      <w:r w:rsidRPr="00584E50">
        <w:t>–</w:t>
      </w:r>
      <w:r w:rsidRPr="00584E50">
        <w:tab/>
        <w:t xml:space="preserve">uwzględniając wyniki dziewiątego posiedzenia Rady Stowarzyszenia UE–Republika Mołdawii z </w:t>
      </w:r>
      <w:r w:rsidRPr="00584E50" w:rsidR="00D71656">
        <w:t xml:space="preserve">dnia </w:t>
      </w:r>
      <w:r w:rsidRPr="00584E50">
        <w:t>4 czerwca 2025 r.,</w:t>
      </w:r>
    </w:p>
    <w:p w:rsidR="0010231B" w:rsidRPr="00584E50" w:rsidP="0010231B" w14:paraId="1CF0D69B" w14:textId="77777777">
      <w:pPr>
        <w:pStyle w:val="NormalHanging"/>
      </w:pPr>
      <w:r w:rsidRPr="00584E50">
        <w:t>–</w:t>
      </w:r>
      <w:r w:rsidRPr="00584E50">
        <w:tab/>
        <w:t>uwzględniając odnowiony protokół ustaleń między Parlamentem Europejskim a Parlamentem Republiki Mołdawii podpisany 18 marca 2026 r.,</w:t>
      </w:r>
    </w:p>
    <w:p w:rsidR="0010231B" w:rsidRPr="00584E50" w:rsidP="0010231B" w14:paraId="5E65AFD4" w14:textId="77777777">
      <w:pPr>
        <w:pStyle w:val="NormalHanging"/>
      </w:pPr>
      <w:r w:rsidRPr="00584E50">
        <w:t>–</w:t>
      </w:r>
      <w:r w:rsidRPr="00584E50">
        <w:tab/>
        <w:t>uwzględniając art. 55 Regulaminu,</w:t>
      </w:r>
    </w:p>
    <w:p w:rsidR="0010231B" w:rsidRPr="00584E50" w:rsidP="0010231B" w14:paraId="7E1748B4" w14:textId="77777777">
      <w:pPr>
        <w:pStyle w:val="NormalHanging"/>
      </w:pPr>
      <w:r w:rsidRPr="00584E50">
        <w:t>–</w:t>
      </w:r>
      <w:r w:rsidRPr="00584E50">
        <w:tab/>
        <w:t>uwzględniając sprawozdanie Komisji Spraw Zagranicznych (A10-0164/2026),</w:t>
      </w:r>
    </w:p>
    <w:p w:rsidR="0010231B" w:rsidRPr="00584E50" w:rsidP="0010231B" w14:paraId="5E4D28C9" w14:textId="13F2F14D">
      <w:pPr>
        <w:pStyle w:val="NormalHanging"/>
      </w:pPr>
      <w:r w:rsidRPr="00584E50">
        <w:t>A.</w:t>
      </w:r>
      <w:r w:rsidRPr="00584E50">
        <w:tab/>
        <w:t>mając na uwadze, że 22 września 2025 r. Mołdawia zakończyła dwustronny przegląd zgodności prawa krajowego z prawem unijnym, który rozpoczął się 10 lipca 2024 r.; mając na uwadze, że Mołdawia jest gotowa do formalnego otwarcia negocjacji w sprawie wszystkich sześciu klastrów na potrzeby negocjacji akcesyjnych z UE;</w:t>
      </w:r>
      <w:r w:rsidR="003A335C">
        <w:t xml:space="preserve"> </w:t>
      </w:r>
      <w:r w:rsidRPr="003A335C" w:rsidR="003A335C">
        <w:t>mając na uwadze, że 15 czerwca 2026 r. formalnie otwarto negocjacje w sprawie klastra 1 (kwestie podstawowe);</w:t>
      </w:r>
    </w:p>
    <w:p w:rsidR="0010231B" w:rsidRPr="00584E50" w:rsidP="0010231B" w14:paraId="5122898D" w14:textId="77777777">
      <w:pPr>
        <w:pStyle w:val="NormalHanging"/>
      </w:pPr>
      <w:r w:rsidRPr="00584E50">
        <w:t>B.</w:t>
      </w:r>
      <w:r w:rsidRPr="00584E50">
        <w:tab/>
        <w:t>mając na uwadze, że rząd Mołdawii zapowiedział swój ambitny, ale możliwy do osiągnięcia cel, jakim jest tymczasowe zamknięcie negocjacji akcesyjnych najpóźniej na początku 2028 r. i przystąpienie do Unii Europejskiej do 2030 r.;</w:t>
      </w:r>
    </w:p>
    <w:p w:rsidR="0010231B" w:rsidRPr="00584E50" w:rsidP="0010231B" w14:paraId="3503BA98" w14:textId="77777777">
      <w:pPr>
        <w:pStyle w:val="NormalHanging"/>
      </w:pPr>
      <w:r w:rsidRPr="00584E50">
        <w:t>C.</w:t>
      </w:r>
      <w:r w:rsidRPr="00584E50">
        <w:tab/>
        <w:t>mając na uwadze, że 28 września 2025 r. w Mołdawii odbyły się wybory parlamentarne, w wyniku których powstała większościowa koalicja proeuropejska i potwierdzono aspiracje narodu mołdawskiego dotyczące europejskiej przyszłości ich kraju, pomimo bezprecedensowej ingerencji zagranicznej ze strony Rosji i rosyjskich popleczników, którzy – według mołdawskich urzędników – wydali na tę ingerencję równowartość 2 % mołdawskiego produktu krajowego brutto, czyli równowartość 350 mln EUR;</w:t>
      </w:r>
    </w:p>
    <w:p w:rsidR="0010231B" w:rsidRPr="00584E50" w:rsidP="0010231B" w14:paraId="6B1A20EC" w14:textId="77777777">
      <w:pPr>
        <w:pStyle w:val="NormalHanging"/>
      </w:pPr>
      <w:r w:rsidRPr="00584E50">
        <w:t>D.</w:t>
      </w:r>
      <w:r w:rsidRPr="00584E50">
        <w:tab/>
        <w:t>mając na uwadze, że Mołdawia prowadzi negocjacje techniczne z Komisją na temat wszystkich sześciu klastrów negocjacji akcesyjnych z UE;</w:t>
      </w:r>
    </w:p>
    <w:p w:rsidR="0010231B" w:rsidRPr="00584E50" w:rsidP="0010231B" w14:paraId="646DF76B" w14:textId="77777777">
      <w:pPr>
        <w:pStyle w:val="NormalHanging"/>
      </w:pPr>
      <w:r w:rsidRPr="00584E50">
        <w:t>E.</w:t>
      </w:r>
      <w:r w:rsidRPr="00584E50">
        <w:tab/>
        <w:t>mając na uwadze, że układ o stowarzyszeniu, który przewiduje pogłębioną i kompleksową strefę wolnego handlu (DCFTA), pozostaje podstawą politycznego stowarzyszenia i integracji gospodarczej między UE a Mołdawią oraz że obie strony prowadzą regularny dialog polityczny i gospodarczy;</w:t>
      </w:r>
    </w:p>
    <w:p w:rsidR="0010231B" w:rsidRPr="00584E50" w:rsidP="0010231B" w14:paraId="69B99D1C" w14:textId="77777777">
      <w:pPr>
        <w:pStyle w:val="NormalHanging"/>
      </w:pPr>
      <w:r w:rsidRPr="00584E50">
        <w:t>F.</w:t>
      </w:r>
      <w:r w:rsidRPr="00584E50">
        <w:tab/>
        <w:t xml:space="preserve">mając na uwadze, że 19 stycznia 2026 r. rząd Mołdawii ogłosił zamiar formalnego wycofania się ze Wspólnoty Niepodległych Państw, 2 kwietnia 2026 r. parlament Mołdawii oficjalnie przyjął w ostatnim czytaniu ustawę o wypowiedzeniu dokumentów założycielskich tej organizacji, a 6 kwietnia 2026 r. prezydentka </w:t>
      </w:r>
      <w:r w:rsidRPr="00584E50">
        <w:t>Maia</w:t>
      </w:r>
      <w:r w:rsidRPr="00584E50">
        <w:t xml:space="preserve"> </w:t>
      </w:r>
      <w:r w:rsidRPr="00584E50">
        <w:t>Sandu</w:t>
      </w:r>
      <w:r w:rsidRPr="00584E50">
        <w:t xml:space="preserve"> podpisała dekret ogłaszający tę ustawę;</w:t>
      </w:r>
    </w:p>
    <w:p w:rsidR="0010231B" w:rsidRPr="00584E50" w:rsidP="0010231B" w14:paraId="10CD21D4" w14:textId="77777777">
      <w:pPr>
        <w:pStyle w:val="Normal12a"/>
      </w:pPr>
      <w:r w:rsidRPr="00584E50">
        <w:rPr>
          <w:b/>
          <w:i/>
        </w:rPr>
        <w:t>Postępy w realizacji reform związanych z przystąpieniem do UE, w szczególności dotyczących praworządności i sprawowania rządów</w:t>
      </w:r>
    </w:p>
    <w:p w:rsidR="0010231B" w:rsidRPr="00584E50" w:rsidP="0010231B" w14:paraId="28976FA6" w14:textId="77777777">
      <w:pPr>
        <w:pStyle w:val="NormalHanging12a"/>
      </w:pPr>
      <w:r w:rsidRPr="00584E50">
        <w:t>1.</w:t>
      </w:r>
      <w:r w:rsidRPr="00584E50">
        <w:tab/>
        <w:t>wyraża uznanie dla Mołdawii za jej nieustanne, wzorowe zaangażowanie na rzecz przystąpienia do UE oraz za konsekwentne postępy w zakresie związanych z tym reform mimo poważnych wyzwań wewnętrznych i zewnętrznych, takich jak nieustanne wrogie ingerencje ze strony Rosji; z zadowoleniem przyjmuje ocenę Komisji, zgodnie z którą Mołdawia poczyniła postępy we wszystkich rozdziałach i osiągnęła największe roczne postępy ze wszystkich krajów kandydujących; uważa, że postępy te są szczególnie godne uwagi ze względu na nadzwyczajną presję geopolityczną, pod jaką kraj ten nadal funkcjonuje; zachęca Mołdawię do utrzymania tempa reform, tak aby postępy przełożyły się na wymierne korzyści dla obywateli i przedsiębiorstw, wzmacniając rozwój gospodarczy, odporność i konwergencję z Unią Europejską zgodnie z deklaracją Mołdawii, że będzie ona dążyć do tymczasowego zamknięcia negocjacji akcesyjnych najpóźniej na początku 2028 r.;</w:t>
      </w:r>
    </w:p>
    <w:p w:rsidR="0010231B" w:rsidRPr="00584E50" w:rsidP="0010231B" w14:paraId="54A2FE88" w14:textId="1C9ECB70">
      <w:pPr>
        <w:pStyle w:val="NormalHanging12a"/>
      </w:pPr>
      <w:r w:rsidRPr="00584E50">
        <w:t>2.</w:t>
      </w:r>
      <w:r w:rsidRPr="00584E50">
        <w:tab/>
      </w:r>
      <w:r w:rsidRPr="003A335C" w:rsidR="003A335C">
        <w:t>z zadowoleniem przyjmuje rozpoczęcie 15 czerwca 2026 r. negocjacji akcesyjnych w sprawie klastra 1 (kwestie podstawowe), po pomyślnym zakończeniu dwustronnego przeglądu zgodności prawa krajowego z prawem unijnym we wrześniu 2025 r. oraz po następującym po nim rozpoczęciu rozmów technicznych w sprawie klastrów negocjacyjnych; z zadowoleniem przyjmuje ocenę Komisji, zgodnie z którą wszystkie sześć klastrów negocjacyjnych jest gotowych do otwarcia; wzywa Radę do przyjęcia podejścia opartego na osiągnięciach i formalnego otwarcia wszystkich klastrów bez dalszej zwłoki; przypomina państwom członkowskim o zasadzie lojalnej współpracy na mocy art. 4 ust. 3 Traktatu o Unii Europejskiej, zgodnie z którą nie powinny one podejmować środków, które mogłyby zagrozić osiągnięciu celów Unii, i w związku z tym apeluje do nich, by nie blokowały ani nie opóźniały negocjacji akcesyjnych ze względu na kwestie dwustronne; podkreśla, że otwarcie negocjacji akcesyjnych byłoby sygnałem, iż UE uznaje i nagradza konkretne osiągnięcia Mołdawii, co by wzmocniło wiarygodność i integralność procesu rozszerzenia; z zadowoleniem odnosi się do przyjęcia planów działania dotyczących praworządności, administracji publicznej i instytucji demokratycznych oraz zaktualizowanego krajowego programu przystąpienia do Unii Europejskiej na lata 2025–2029; pochwala postępy osiągnięte już przez Mołdawię na szczeblu technicznym w zakresie transpozycji dorobku prawnego UE;</w:t>
      </w:r>
    </w:p>
    <w:p w:rsidR="0010231B" w:rsidRPr="00584E50" w:rsidP="0010231B" w14:paraId="0C0B8F56" w14:textId="77777777">
      <w:pPr>
        <w:pStyle w:val="NormalHanging12a"/>
      </w:pPr>
      <w:r w:rsidRPr="00584E50">
        <w:t>3.</w:t>
      </w:r>
      <w:r w:rsidRPr="00584E50">
        <w:tab/>
        <w:t>podkreśla, że tempo procesu akcesyjnego Mołdawii powinno odzwierciedlać ogromne postępy, jakie kraj ten poczynił w zakresie reform; wzywa Komisję do aktywnego ułatwiania i zapewniania wsparcia przygotowawczego, w tym udzielania pomocy technicznej, dalszych weryfikacji i budowania zdolności administracyjnych, aby umożliwić Mołdawii skuteczne postępy w negocjacjach we wszystkich klastrach jednocześnie;</w:t>
      </w:r>
    </w:p>
    <w:p w:rsidR="0010231B" w:rsidRPr="00584E50" w:rsidP="0010231B" w14:paraId="3286873F" w14:textId="77777777">
      <w:pPr>
        <w:pStyle w:val="NormalHanging12a"/>
      </w:pPr>
      <w:r w:rsidRPr="00584E50">
        <w:t>4.</w:t>
      </w:r>
      <w:r w:rsidRPr="00584E50">
        <w:tab/>
        <w:t>uznaje, że integracja europejska Mołdawii pozytywnie przyczynia się do stabilności i bezpieczeństwa w Europie oraz stanowi istotny katalizator odporności demokratycznej tego kraju, reform instytucjonalnych, praworządności i zrównoważonego rozwoju gospodarczego;</w:t>
      </w:r>
    </w:p>
    <w:p w:rsidR="0010231B" w:rsidRPr="00584E50" w:rsidP="0010231B" w14:paraId="6DFF4DC8" w14:textId="77777777">
      <w:pPr>
        <w:pStyle w:val="NormalHanging12a"/>
      </w:pPr>
      <w:r w:rsidRPr="00584E50">
        <w:t>5.</w:t>
      </w:r>
      <w:r w:rsidRPr="00584E50">
        <w:tab/>
        <w:t xml:space="preserve">zauważa, że zgodnie z oceną Komisji Mołdawia poczyniła znaczne postępy w reformowaniu wymiaru sprawiedliwości; przypomina Mołdawii o jej zobowiązaniu do stosowania się do zaleceń Komisji Weneckiej; podkreśla, że trwałość reform wymaga szerokiej odpowiedzialności politycznej i pluralistycznego dialogu w całym spektrum politycznym, a także konstruktywnych konsultacji ze społeczeństwem obywatelskim i zainteresowanymi stronami z sektora; uznaje stałą wolę polityczną Mołdawii i jej nieustające wysiłki na rzecz budowy niezależnego, bezstronnego, </w:t>
      </w:r>
      <w:r w:rsidRPr="00584E50">
        <w:t>rozliczalnego</w:t>
      </w:r>
      <w:r w:rsidRPr="00584E50">
        <w:t xml:space="preserve"> i profesjonalnego systemu sądowego;</w:t>
      </w:r>
    </w:p>
    <w:p w:rsidR="0010231B" w:rsidRPr="00584E50" w:rsidP="0010231B" w14:paraId="7657DFF3" w14:textId="77777777">
      <w:pPr>
        <w:pStyle w:val="NormalHanging12a"/>
      </w:pPr>
      <w:r w:rsidRPr="00584E50">
        <w:t>6.</w:t>
      </w:r>
      <w:r w:rsidRPr="00584E50">
        <w:tab/>
        <w:t xml:space="preserve">wzywa władze mołdawskie do dopilnowania, by proces weryfikacji sędziów i prokuratorów był prowadzony w sposób </w:t>
      </w:r>
      <w:r w:rsidRPr="00584E50">
        <w:t>inkluzywny</w:t>
      </w:r>
      <w:r w:rsidRPr="00584E50">
        <w:t xml:space="preserve">, przewidywalny i solidny pod względem prawnym, oraz zachęca ten kraj do skutecznego i niezwłocznego zakończenia tego procesu, ponieważ zakończenie weryfikacji ma kluczowe znaczenie dla zagwarantowania zaufania publicznego do wymiaru sprawiedliwości, wyeliminowania sędziów o wątpliwej reputacji oraz wzmocnienia praworządności jako fundamentu integracji z UE; wzywa Mołdawię do zapewnienia organom sądowym wystarczających środków budżetowych i zasobów kadrowych oraz do dalszego podejmowania działań mających na celu wzmocnienie ich potencjału, między innymi w celu zaradzenia niedoborowi sędziów i prokuratorów, skrócenia czasu trwania postępowań, zwłaszcza w sprawach dotyczących korupcji i przestępstw gospodarczych, </w:t>
      </w:r>
      <w:r w:rsidRPr="00584E50">
        <w:t>a także poprawy cyfryzacji, dostępności, skuteczności i przejrzystości wymiaru sprawiedliwości dla wszystkich obywateli;</w:t>
      </w:r>
    </w:p>
    <w:p w:rsidR="0010231B" w:rsidRPr="00584E50" w:rsidP="0010231B" w14:paraId="24375581" w14:textId="77777777">
      <w:pPr>
        <w:pStyle w:val="NormalHanging12a"/>
      </w:pPr>
      <w:r w:rsidRPr="00584E50">
        <w:t>7.</w:t>
      </w:r>
      <w:r w:rsidRPr="00584E50">
        <w:tab/>
        <w:t>odnotowuje stałe postępy poczynione przez Mołdawię w zapobieganiu korupcji i jej zwalczaniu, przy czym kraj ten osiąga lepsze wyniki zarówno w sprawach na wysokim szczeblu, jak i w sprawach innych niż na wysokim szczeblu; podkreśla, że należy dalej wzmacniać zdolności operacyjne, niezależność instytucjonalną, profesjonalizm i odpowiedzialność, oraz poprawiać mechanizmy koordynacji między wszystkimi kluczowymi instytucjami antykorupcyjnymi i sądowymi, aby zagwarantować długoterminowy sukces kompleksowych reform;</w:t>
      </w:r>
    </w:p>
    <w:p w:rsidR="0010231B" w:rsidRPr="00584E50" w:rsidP="0010231B" w14:paraId="79D802D0" w14:textId="77777777">
      <w:pPr>
        <w:pStyle w:val="NormalHanging12a"/>
      </w:pPr>
      <w:r w:rsidRPr="00584E50">
        <w:t>8.</w:t>
      </w:r>
      <w:r w:rsidRPr="00584E50">
        <w:tab/>
        <w:t xml:space="preserve">podkreśla, że działania antykorupcyjne należy prowadzić w sposób spójny, odpolityczniony i przejrzysty oraz unikać przy tym doraźnych lub przyspieszonych inicjatyw ustawodawczych, które mogłyby podważać pewność prawa i zaufanie instytucjonalne; podkreśla, że w celu zapewnienia długoterminowej wiarygodności i odporności ram antykorupcyjnych należy przedkładać jakość, </w:t>
      </w:r>
      <w:r w:rsidRPr="00584E50">
        <w:t>zrównoważoność</w:t>
      </w:r>
      <w:r w:rsidRPr="00584E50">
        <w:t xml:space="preserve"> i należytą procedurę nad tempo reform;</w:t>
      </w:r>
    </w:p>
    <w:p w:rsidR="0010231B" w:rsidRPr="00584E50" w:rsidP="0010231B" w14:paraId="6EF0D44E" w14:textId="77777777">
      <w:pPr>
        <w:pStyle w:val="NormalHanging12a"/>
      </w:pPr>
      <w:r w:rsidRPr="00584E50">
        <w:t>9.</w:t>
      </w:r>
      <w:r w:rsidRPr="00584E50">
        <w:tab/>
        <w:t>podkreśla, że dalsze przeciwdziałanie wpływowi struktur oligarchicznych w sferze politycznej, gospodarczej i medialnej pozostaje kluczowym priorytetem dla postępów integracji Mołdawii z Europą;</w:t>
      </w:r>
    </w:p>
    <w:p w:rsidR="0010231B" w:rsidRPr="00584E50" w:rsidP="0010231B" w14:paraId="280DA029" w14:textId="60618F44">
      <w:pPr>
        <w:pStyle w:val="NormalHanging12a"/>
      </w:pPr>
      <w:r w:rsidRPr="00584E50">
        <w:t>10.</w:t>
      </w:r>
      <w:r w:rsidRPr="00584E50">
        <w:tab/>
        <w:t xml:space="preserve">podkreśla, że wybory parlamentarne z </w:t>
      </w:r>
      <w:r w:rsidRPr="00584E50" w:rsidR="00D71656">
        <w:t xml:space="preserve">dnia </w:t>
      </w:r>
      <w:r w:rsidRPr="00584E50">
        <w:t>28 września 2025 r. były piątym z rzędu głosowaniem, w którym potwierdzono poparcie narodu mołdawskiego dla przystąpienia tego kraju do UE i związanych z tym reform; zdecydowanie potępia ponawiane przez Federację Rosyjską, prorosyjskich oligarchów i rosyjskich popleczników próby destabilizacji tego kraju, tworzenia i rozpowszechniania dezinformacji, wywoływania podziałów w mołdawskim społeczeństwie, podważania demokratycznych instytucji tego kraju i odwrócenia jego europejskiego kursu;</w:t>
      </w:r>
    </w:p>
    <w:p w:rsidR="0010231B" w:rsidRPr="00584E50" w:rsidP="0010231B" w14:paraId="2DC6070F" w14:textId="77777777">
      <w:pPr>
        <w:pStyle w:val="NormalHanging12a"/>
      </w:pPr>
      <w:r w:rsidRPr="00584E50">
        <w:t>11.</w:t>
      </w:r>
      <w:r w:rsidRPr="00584E50">
        <w:tab/>
        <w:t>z zadowoleniem przyjmuje ocenę Organizacji Bezpieczeństwa i Współpracy w Europie (OBWE)/Biura Instytucji Demokratycznych i Praw Człowieka (ODIHR), zgodnie z którą wybory parlamentarne były dobrze zorganizowane, konkurencyjne i oferowały wyborcom wyraźny wybór między alternatywami politycznymi; zachęca Mołdawię do dalszego dostosowywania ustawodawstwa dotyczącego wyborów i procesów wyborczych do standardów europejskich i międzynarodowych oraz zachęca do wdrożenia wszystkich niezrealizowanych zaleceń Komisji Weneckiej i OBWE/ODIHR;</w:t>
      </w:r>
    </w:p>
    <w:p w:rsidR="0010231B" w:rsidRPr="00584E50" w:rsidP="0010231B" w14:paraId="21098CD7" w14:textId="77777777">
      <w:pPr>
        <w:pStyle w:val="NormalHanging12a"/>
      </w:pPr>
      <w:r w:rsidRPr="00584E50">
        <w:t>12.</w:t>
      </w:r>
      <w:r w:rsidRPr="00584E50">
        <w:tab/>
        <w:t>pochwala odporność mołdawskich instytucji i społeczeństwa pod względem ochrony integralności procesu wyborczego pomimo masowej kampanii hybrydowej prowadzonej przez Rosję i jej popleczników; zauważa, że kluczowymi czynnikami tego sukcesu były terminowe i skoordynowane wysiłki władz mołdawskich, aktywne zaangażowanie społeczeństwa obywatelskiego i niezależnych mediów oraz wsparcie UE i jej państw członkowskich, w tym za pośrednictwem partnerskiej misji UE (EUPM) w Mołdawii;</w:t>
      </w:r>
    </w:p>
    <w:p w:rsidR="0010231B" w:rsidRPr="00584E50" w:rsidP="0010231B" w14:paraId="066CC50A" w14:textId="77777777">
      <w:pPr>
        <w:pStyle w:val="NormalHanging12a"/>
      </w:pPr>
      <w:r w:rsidRPr="00584E50">
        <w:t>13.</w:t>
      </w:r>
      <w:r w:rsidRPr="00584E50">
        <w:tab/>
        <w:t xml:space="preserve">ostrzega, że wroga rosyjska ingerencja jest procesem ciągłym i zmieniającym się, który wymaga stałego monitorowania i reagowania z zastosowaniem podejścia obejmującego całe społeczeństwo, odpowiednie zdolności instytucjonalne i zasoby; wzywa UE i jej państwa członkowskie do zwiększenia wsparcia dla odporności instytucjonalnej Mołdawii, jej zdolności w zakresie komunikacji strategicznej, </w:t>
      </w:r>
      <w:r w:rsidRPr="00584E50">
        <w:t>cyberbezpieczeństwa</w:t>
      </w:r>
      <w:r w:rsidRPr="00584E50">
        <w:t xml:space="preserve">, </w:t>
      </w:r>
      <w:r w:rsidRPr="00584E50">
        <w:t xml:space="preserve">niezależnych mediów i gwarancji demokratycznych; podkreśla, że jej wysiłki na rzecz przeciwdziałania rozprzestrzenianiu się dezinformacji i informacji wprowadzających w błąd wysyłanych z Rosji powinny być zgodne z wymogami legalności, konieczności i proporcjonalności; zauważa, że doświadczenia zdobyte w Mołdawii można wykorzystać do obrony innych demokracji stojących w obliczu podobnych zagrożeń hybrydowych; wyraża poważne zaniepokojenie działalnością prorosyjskich sieci powiązanych z obchodzeniem sankcji na dużą skalę, ingerencją wyborczą i kampaniami dezinformacyjnymi poprzez wykorzystywanie infrastruktury </w:t>
      </w:r>
      <w:r w:rsidRPr="00584E50">
        <w:t>kryptowalut</w:t>
      </w:r>
      <w:r w:rsidRPr="00584E50">
        <w:t xml:space="preserve"> powiązanej z rosyjskimi podmiotami finansowymi, takimi jak </w:t>
      </w:r>
      <w:r w:rsidRPr="00584E50">
        <w:t>Promsvyazbank</w:t>
      </w:r>
      <w:r w:rsidRPr="00584E50">
        <w:t xml:space="preserve">; wzywa Komisję i państwa członkowskie do zacieśnienia współpracy w zakresie wywiadu finansowego, poprawy egzekwowania sankcji i wspierania władz mołdawskich w przeciwdziałaniu nielegalnym przepływom finansowym i obcym ingerencjom za pośrednictwem państw spoza UE, w tym przez ukierunkowane sankcje i środki monitorowania </w:t>
      </w:r>
      <w:r w:rsidRPr="00584E50">
        <w:t>cyberbezpieczeństwa</w:t>
      </w:r>
      <w:r w:rsidRPr="00584E50">
        <w:t>;</w:t>
      </w:r>
    </w:p>
    <w:p w:rsidR="0010231B" w:rsidRPr="00584E50" w:rsidP="0010231B" w14:paraId="15CFB533" w14:textId="1A1534B3">
      <w:pPr>
        <w:pStyle w:val="NormalHanging12a"/>
      </w:pPr>
      <w:r w:rsidRPr="00584E50">
        <w:t>14.</w:t>
      </w:r>
      <w:r w:rsidRPr="00584E50">
        <w:tab/>
        <w:t xml:space="preserve">podkreśla kluczową rolę diaspory mołdawskiej w utrzymaniu kraju na drodze do integracji europejskiej, o czym świadczy aktywny udział tej diaspory w procesach demokratycznych, w tym w wyborach parlamentarnych z </w:t>
      </w:r>
      <w:r w:rsidRPr="00584E50" w:rsidR="00D71656">
        <w:t xml:space="preserve">dnia </w:t>
      </w:r>
      <w:r w:rsidRPr="00584E50">
        <w:t xml:space="preserve">28 września 2025 </w:t>
      </w:r>
      <w:r w:rsidRPr="00584E50">
        <w:t>r.,</w:t>
      </w:r>
      <w:r w:rsidRPr="00584E50">
        <w:t xml:space="preserve"> oraz jej znaczący wkład w rozwój społeczno-gospodarczy Mołdawii; wzywa władze mołdawskie do dalszego zacieśniania więzi z diasporą i do ułatwiania jej aktywnego zaangażowania w proces integracji europejskiej tego kraju;</w:t>
      </w:r>
    </w:p>
    <w:p w:rsidR="0010231B" w:rsidRPr="00584E50" w:rsidP="0010231B" w14:paraId="5C673194" w14:textId="77777777">
      <w:pPr>
        <w:pStyle w:val="NormalHanging12a"/>
      </w:pPr>
      <w:r w:rsidRPr="00584E50">
        <w:t>15.</w:t>
      </w:r>
      <w:r w:rsidRPr="00584E50">
        <w:tab/>
        <w:t>wzywa władze mołdawskie, aby wykorzystały swój silny proeuropejski mandat do przyspieszenia tempa kluczowych reform koniecznych na drodze do członkostwa w UE, a także do osiągnięcia ambitnego celu, jakim jest zakończenie negocjacji akcesyjnych najpóźniej na początku 2028 r.; uznaje silne zaangażowanie Mołdawii jako kraju kandydującego w podejmowanie ambitnych, ale niezbędnych reform; wzywa mołdawską elitę polityczną do utrzymania konsensusu politycznego w sprawie przystąpienia do UE; podkreśla, że zasadnicze znaczenie ma utrzymanie zaufania obywateli Mołdawii do procesu przystąpienia do UE, w tym przez terminowe, formalne otwarcie negocjacji akcesyjnych; wyraża zadowolenie, że w parlamencie Mołdawii powstała specjalna komisja parlamentarna ds. integracji europejskiej, i podkreśla znaczenie współpracy międzypartyjnej dla trwałego powodzenia reform związanych z przystąpieniem do UE i postępów na drodze do członkostwa w UE;</w:t>
      </w:r>
    </w:p>
    <w:p w:rsidR="0010231B" w:rsidRPr="00584E50" w:rsidP="0010231B" w14:paraId="7DE5E29D" w14:textId="77777777">
      <w:pPr>
        <w:pStyle w:val="NormalHanging12a"/>
      </w:pPr>
      <w:r w:rsidRPr="00584E50">
        <w:t>16.</w:t>
      </w:r>
      <w:r w:rsidRPr="00584E50">
        <w:tab/>
        <w:t xml:space="preserve">wyraża gotowość do dalszego wspierania parlamentu Mołdawii za pomocą wspólnie uzgodnionych działań wzmacniających demokrację, które odpowiadają potrzebom tej instytucji, jej członków i pracowników; podkreśla oficjalne otwarcie Biura ds. Stosunków Parlamentu Europejskiego z Partnerstwem Wschodnim w Kiszyniowie 7 listopada 2025 r., co świadczy o zaangażowaniu Parlamentu w pogłębienie współpracy z Mołdawią i całym regionem Partnerstwa Wschodniego; w tym kontekście z zadowoleniem przyjmuje odnowiony protokół ustaleń podpisany w marcu 2026 r. przez przewodniczącą Robertę </w:t>
      </w:r>
      <w:r w:rsidRPr="00584E50">
        <w:t>Metsolę</w:t>
      </w:r>
      <w:r w:rsidRPr="00584E50">
        <w:t xml:space="preserve"> i przewodniczącego parlamentu Mołdawii Igora </w:t>
      </w:r>
      <w:r w:rsidRPr="00584E50">
        <w:t>Grosu</w:t>
      </w:r>
      <w:r w:rsidRPr="00584E50">
        <w:t>;</w:t>
      </w:r>
    </w:p>
    <w:p w:rsidR="0010231B" w:rsidRPr="00584E50" w:rsidP="0010231B" w14:paraId="773397CB" w14:textId="76F2E364">
      <w:pPr>
        <w:pStyle w:val="NormalHanging12a"/>
      </w:pPr>
      <w:r w:rsidRPr="00584E50">
        <w:t>17.</w:t>
      </w:r>
      <w:r w:rsidRPr="00584E50">
        <w:tab/>
        <w:t>z zadowoleniem przyjmuje zorganizowanie pierwszego w historii szczytu UE–Mołdawia w lipcu 2025 r. jako ważny krok polityczny w stosunkach UE–Mołdawia oraz silny sygnał polityczny poparcia dla suwerenności, stabilności demokratycznej i europejskiej drogi Mołdawii;</w:t>
      </w:r>
      <w:r w:rsidR="003A335C">
        <w:t xml:space="preserve"> </w:t>
      </w:r>
      <w:r w:rsidRPr="003A335C" w:rsidR="003A335C">
        <w:t xml:space="preserve">odnotowuje wspólną deklarację wydaną po drugim szczycie UE–Mołdawia z 22 czerwca 2026 r., w której podkreślono zarówno </w:t>
      </w:r>
      <w:r w:rsidRPr="003A335C" w:rsidR="003A335C">
        <w:t>zobowiązanie Mołdawii do dalszego wzmacniania praworządności, jak i zachętę UE do wzmożenia wysiłków na rzecz reformy sądownictwa i walki z korupcją;</w:t>
      </w:r>
    </w:p>
    <w:p w:rsidR="0010231B" w:rsidRPr="00584E50" w:rsidP="0010231B" w14:paraId="11534335" w14:textId="77777777">
      <w:pPr>
        <w:pStyle w:val="NormalHanging12a"/>
      </w:pPr>
      <w:r w:rsidRPr="00584E50">
        <w:t>18.</w:t>
      </w:r>
      <w:r w:rsidRPr="00584E50">
        <w:tab/>
        <w:t>podkreśla, jak ważne jest przeciwdziałanie dezinformacji na temat procesu integracji europejskiej; apeluje do Komisji, Europejskiej Służby Działań Zewnętrznych (ESDZ) oraz rządu mołdawskiego do wzmożenia wspólnych działań w dziedzinie komunikacji strategicznej w celu poprawy widoczności UE w Mołdawii; podkreśla potrzebę ukierunkowanych kampanii wyjaśniających społeczeństwu mołdawskiemu wymierne, codzienne korzyści płynące z przygotowań do przystąpienia do UE i projektów finansowanych przez UE, zwłaszcza na obszarach wiejskich i w regionach wiejskich;</w:t>
      </w:r>
    </w:p>
    <w:p w:rsidR="0010231B" w:rsidRPr="00584E50" w:rsidP="0010231B" w14:paraId="4245F07E" w14:textId="77777777">
      <w:pPr>
        <w:pStyle w:val="NormalHanging12a"/>
      </w:pPr>
      <w:r w:rsidRPr="00584E50">
        <w:t>19.</w:t>
      </w:r>
      <w:r w:rsidRPr="00584E50">
        <w:tab/>
        <w:t>podkreśla znaczenie działań wspierających demokrację w Mołdawii, które poprawiają jakość debaty demokratycznej i odporność na dezinformację; z zadowoleniem przyjmuje współpracę władz mołdawskich i podmiotów społeczeństwa obywatelskiego, między innymi z Europejskim Funduszem na rzecz Demokracji (EED), jako narzędzie, które może wypełnić próżnię pozostawioną w wyniku likwidacji Agencji Stanów Zjednoczonych ds. Rozwoju Międzynarodowego (USAID) w regionie; w tym kontekście gratuluje EED przyznania w 2025 r. o 62% więcej dotacji niż w 2024 r. przy budżecie większym zaledwie o 34%; z zadowoleniem przyjmuje fakt, że w 2025 r. EED potroił wsparcie dla mołdawskich podmiotów w porównaniu z 2024 r.;</w:t>
      </w:r>
    </w:p>
    <w:p w:rsidR="0010231B" w:rsidRPr="00584E50" w:rsidP="0010231B" w14:paraId="1027DA02" w14:textId="77777777">
      <w:pPr>
        <w:pStyle w:val="NormalHanging12a"/>
      </w:pPr>
      <w:r w:rsidRPr="00584E50">
        <w:t>20.</w:t>
      </w:r>
      <w:r w:rsidRPr="00584E50">
        <w:tab/>
        <w:t>przypomina, że wsparcie narodu mołdawskiego dla integracji europejskiej można zwiększyć dzięki osiągnięciu wymiernej poprawy jego warunków życia, wzmocnieniu instytucji państwowych, wsparciu solidnego systemu opieki społecznej, zwalczaniu ubóstwa, podnoszeniu poziomu życia w całym kraju oraz zwalczaniu korupcji i oligarchii;</w:t>
      </w:r>
    </w:p>
    <w:p w:rsidR="0010231B" w:rsidRPr="00584E50" w:rsidP="0010231B" w14:paraId="63E33619" w14:textId="77777777">
      <w:pPr>
        <w:pStyle w:val="Normal12a"/>
      </w:pPr>
      <w:r w:rsidRPr="00584E50">
        <w:rPr>
          <w:b/>
          <w:i/>
        </w:rPr>
        <w:t>Reformy społeczno-gospodarcze</w:t>
      </w:r>
    </w:p>
    <w:p w:rsidR="0010231B" w:rsidRPr="00584E50" w:rsidP="0010231B" w14:paraId="1E9F3FD7" w14:textId="77777777">
      <w:pPr>
        <w:pStyle w:val="NormalHanging12a"/>
      </w:pPr>
      <w:r w:rsidRPr="00584E50">
        <w:t>21.</w:t>
      </w:r>
      <w:r w:rsidRPr="00584E50">
        <w:tab/>
        <w:t>z zadowoleniem przyjmuje dotychczasowe duże postępy we wdrażaniu planu wzrostu gospodarczego dla Mołdawii, który ma wspierać mołdawskie reformy społeczno-gospodarcze i reformy w kwestiach podstawowych oraz poprawić dostęp tego kraju do jednolitego rynku UE, a także w realizacji programu reform leżącego u podstaw tego planu; z zadowoleniem przyjmuje wypłatę 270 mln EUR w formie płatności zaliczkowych i 207,9 mln EUR w ramach dodatkowego wsparcia z Instrumentu Wsparcia Reform i Wzrostu Gospodarczego w Mołdawii, w tym drugiej transzy w marcu 2026 r. opiewającej łącznie na 189 mln EUR, w następstwie pełnego zrealizowania przez ten kraj 24 z łącznej liczby 26 etapów reform z terminem realizacji do grudnia 2025 r.; wzywa Mołdawię do dalszych prac na rzecz ukończenia dwóch pozostałych etapów reform z terminem realizacji do 2025 r. oraz wspiera ją w tych staraniach; wzywa Komisję do usprawnienia procedur wewnętrznych, aby zapewnić terminową ocenę i wypłatę środków po przyjęciu w Mołdawii przepisów, których projekty władze mołdawskie uprzednio przedłożyły i poddały konsultacjom;</w:t>
      </w:r>
    </w:p>
    <w:p w:rsidR="0010231B" w:rsidRPr="00584E50" w:rsidP="0010231B" w14:paraId="5E60DE04" w14:textId="77777777">
      <w:pPr>
        <w:pStyle w:val="NormalHanging12a"/>
      </w:pPr>
      <w:r w:rsidRPr="00584E50">
        <w:t>22.</w:t>
      </w:r>
      <w:r w:rsidRPr="00584E50">
        <w:tab/>
        <w:t>wzywa Komisję do udzielenia władzom Mołdawii pomocy administracyjnej i technicznej w celu zapewnienia terminowej i skutecznej absorpcji środków z Instrumentu Wsparcia Reform i Wzrostu Gospodarczego; wzywa rząd Mołdawii do zapewnienia skutecznej komunikacji, przejrzystości, widoczności i rozliczalności w odniesieniu do wykorzystania środków z tego instrumentu, w tym poprzez konstruktywne zaangażowanie społeczeństwa obywatelskiego;</w:t>
      </w:r>
    </w:p>
    <w:p w:rsidR="0010231B" w:rsidRPr="00584E50" w:rsidP="0010231B" w14:paraId="45322129" w14:textId="77777777">
      <w:pPr>
        <w:pStyle w:val="NormalHanging12a"/>
      </w:pPr>
      <w:r w:rsidRPr="00584E50">
        <w:t>23.</w:t>
      </w:r>
      <w:r w:rsidRPr="00584E50">
        <w:tab/>
        <w:t xml:space="preserve">apeluje, aby w budżecie UE na 2027 r. przewidziano ukierunkowaną pomoc administracyjną i techniczną na wsparcie Mołdawii w przygotowaniach do przejścia na nową strukturę przyszłych wieloletnich ram finansowych (WRF) i instrumentu „Globalny wymiar Europy”; podkreśla potrzebę wsparcia administracji mołdawskiej w dostosowaniu się do przyszłego modelu realizacji filaru „Europa”; podkreśla, że przydział funduszy i ich wypłaty muszą pozostać ściśle uzależnione od osiągnięcia uzgodnionych kamieni milowych w zakresie reform, stabilności </w:t>
      </w:r>
      <w:r w:rsidRPr="00584E50">
        <w:t>makrofinansowej</w:t>
      </w:r>
      <w:r w:rsidRPr="00584E50">
        <w:t>, należytego zarządzania finansami, przejrzystości w wykonywaniu budżetu oraz istnienia skutecznych zabezpieczeń przed oszustwami, korupcją i konfliktami interesów; ponownie apeluje do Komisji o uwzględnienie w następnych WRF UE odpowiedniej specjalnego przydziału środków dla Mołdawii w ramach przyszłego filaru „Europa” instrumentu „Globalny wymiar Europy” oraz o rozpoczęcie przygotowywania Mołdawii do sprawnego wykorzystywania przyszłych funduszy przedakcesyjnych; podkreśla, że wyraźne i przejrzyste przydziały środków przedakcesyjnych są niezbędne do skutecznego śledzenia wydatków i zapobiegania rozmyciu funduszy w ramach szeroko pojętych filarów geograficznych;</w:t>
      </w:r>
    </w:p>
    <w:p w:rsidR="0010231B" w:rsidRPr="00584E50" w:rsidP="0010231B" w14:paraId="2F2EF657" w14:textId="34CAA7E3">
      <w:pPr>
        <w:pStyle w:val="NormalHanging12a"/>
      </w:pPr>
      <w:r w:rsidRPr="00584E50">
        <w:t>24.</w:t>
      </w:r>
      <w:r w:rsidRPr="00584E50">
        <w:tab/>
        <w:t>pochwala porozumienie osiągnięte 24 lipca 2025 r. w sprawie przeglądu i aktualizacji warunków handlu w ramach DCFTA między UE a Mołdawią</w:t>
      </w:r>
      <w:r>
        <w:rPr>
          <w:rStyle w:val="FootnoteReference"/>
        </w:rPr>
        <w:footnoteReference w:id="3"/>
      </w:r>
      <w:r w:rsidRPr="00584E50">
        <w:t>, która gwarantuje stabilność i przewidywalność podmiotom gospodarczym z UE i Mołdawii oraz zwiększa atrakcyjność tego kraju dla inwestorów; zauważa, że porozumienie zbiegło się w czasie z wygaśnięciem autonomicznych środków handlowych przysługujących temu krajowi od lipca 2022 r., na mocy których zawieszono cła przywozowe i kontyngenty na mołdawski wywóz do UE, co pomogło Mołdawii przekierować handel do UE z obustronną korzyścią; podkreśla, że UE jest największym partnerem handlowym Mołdawii, z udziałem wynoszącym 67,5 % całkowitego wywozu i 54,1 % całkowitego przywozu w 2025 r. oraz 86 % w bezpośrednich inwestycjach zagranicznych (BIZ) w 2024 r., co umacnia jej pozycję jako głównego filaru BIZ w gospodarce Mołdawii; podkreśla, jak ważne są bezpośrednie inwestycje UE w gospodarce Mołdawii w celu ułatwienia integracji gospodarczej tego kraju z rynkiem wewnętrznym UE, tworzenia miejsc pracy i możliwości biznesowych oraz poprawy warunków życia obywateli;</w:t>
      </w:r>
    </w:p>
    <w:p w:rsidR="0010231B" w:rsidRPr="00584E50" w:rsidP="0010231B" w14:paraId="37AD3648" w14:textId="77777777">
      <w:pPr>
        <w:pStyle w:val="NormalHanging12a"/>
      </w:pPr>
      <w:r w:rsidRPr="00584E50">
        <w:t>25.</w:t>
      </w:r>
      <w:r w:rsidRPr="00584E50">
        <w:tab/>
        <w:t xml:space="preserve">z zadowoleniem przyjmuje pogłębienie integracji gospodarczej Mołdawii z jednolitym rynkiem UE i zachęca do dalszych kroków w kierunku stopniowej integracji sektorowej oraz ambitnej, stopniowej i zrównoważonej liberalizacji handlu, w tym poprzez rozszerzenie i złagodzenie kontyngentów taryfowych oraz, w stosownych przypadkach, ich stopniowe znoszenie, zgodnie ze zmienionymi ramami DCFTA, aby zapewnić wymierne korzyści gospodarcze, wzmocnić odporność Mołdawii i wesprzeć jej drogę integracji europejskiej; wzywa Komisję w szczególności do zbadania możliwości dalszej stopniowej liberalizacji handlu produktami rolno-spożywczymi, w tym usunięcia pozostałych barier pozataryfowych i zwiększenia wsparcia na rzecz dostosowania regulacyjnego, w szczególności w odniesieniu do norm sanitarnych i fitosanitarnych oraz barier technicznych w handlu, a także wprowadzenia półautomatycznych podwyżek kontyngentów taryfowych, powiązanych ze wskaźnikami </w:t>
      </w:r>
      <w:r w:rsidRPr="00584E50">
        <w:t>wykorzystania i zgodnością z normami UE, przy jednoczesnym zapewnieniu odpowiednich mechanizmów ochronnych dla producentów z UE;</w:t>
      </w:r>
    </w:p>
    <w:p w:rsidR="0010231B" w:rsidRPr="00584E50" w:rsidP="0010231B" w14:paraId="0B08375C" w14:textId="77777777">
      <w:pPr>
        <w:pStyle w:val="NormalHanging12a"/>
      </w:pPr>
      <w:r w:rsidRPr="00584E50">
        <w:t>26.</w:t>
      </w:r>
      <w:r w:rsidRPr="00584E50">
        <w:tab/>
        <w:t>zauważa, że znaczny wzrost wymiany handlowej regionu Naddniestrza z resztą Mołdawii i jego zależność eksportowa od UE mogłyby stworzyć warunki dla konwergencji gospodarczej regionu z ramami prawnymi Mołdawii, wspierając faktyczną reintegrację gospodarczą, co mogłoby służyć jako pragmatyczna podstawa pokojowego porozumienia politycznego i ostatecznego zjednoczenia kraju; popiera wysiłki Mołdawii na rzecz objęcia regionu Naddniestrza środkami konwergencji gospodarczej i regulacyjnej związanymi z rynkiem wewnętrznym UE; z zadowoleniem przyjmuje wysiłki władz w Kiszyniowie na rzecz rozszerzenia stosowania mołdawskich przepisów podatkowych na przedsiębiorstwa działające w regionie Naddniestrza, co stanowi krok w kierunku dostosowania regulacyjnego i integracji gospodarczej;</w:t>
      </w:r>
    </w:p>
    <w:p w:rsidR="0010231B" w:rsidRPr="00584E50" w:rsidP="0010231B" w14:paraId="554077AC" w14:textId="77777777">
      <w:pPr>
        <w:pStyle w:val="NormalHanging12a"/>
      </w:pPr>
      <w:r w:rsidRPr="00584E50">
        <w:t>27.</w:t>
      </w:r>
      <w:r w:rsidRPr="00584E50">
        <w:tab/>
        <w:t xml:space="preserve">ponownie podkreśla znaczenie organizacji społeczeństwa obywatelskiego (NGO) i niezależnych mediów w monitorowaniu zarządzania oraz postępów reform związanych z UE; nalega, aby wsparcie finansowe dla mołdawskich organizacji społeczeństwa obywatelskiego w ramach budżetu UE na 2027 r. i przyszłego instrumentu „Globalny wymiar Europy” pozostało niezależne od postępów poczynionych przez rząd w zakresie reform; apeluje o przewidywalne, specjalne, elastyczne i dostępne źródła finansowania dla lokalnych organizacji społeczeństwa </w:t>
      </w:r>
      <w:r w:rsidRPr="00584E50">
        <w:t>bywatelskiego</w:t>
      </w:r>
      <w:r w:rsidRPr="00584E50">
        <w:t xml:space="preserve"> i obrońców praw człowieka za pośrednictwem nowych mechanizmów finansowania zawartych w programie reform, aby zapewnić im możliwość skutecznego działania; wzywa rząd Mołdawii do zaangażowania się w rzeczywistą i skuteczną współpracę ze społeczeństwem obywatelskim, w tym za pośrednictwem stałych platform konsultacyjnych; wzywa rząd Mołdawii do poczynienia postępów we wdrażaniu krajowego programu rozwoju organizacji społeczeństwa obywatelskiego na lata 2024–2027; z zadowoleniem przyjmuje regularne konsultacje dotyczące procesu przystąpienia do UE i reform związanych z przystąpieniem;</w:t>
      </w:r>
    </w:p>
    <w:p w:rsidR="0010231B" w:rsidRPr="00584E50" w:rsidP="0010231B" w14:paraId="253BE49E" w14:textId="77777777">
      <w:pPr>
        <w:pStyle w:val="NormalHanging12a"/>
      </w:pPr>
      <w:r w:rsidRPr="00584E50">
        <w:t>28.</w:t>
      </w:r>
      <w:r w:rsidRPr="00584E50">
        <w:tab/>
        <w:t xml:space="preserve">ponawia apel o przyspieszenie stopniowej integracji Mołdawii z rynkiem wewnętrznym UE poprzez dalsze dostosowywanie jej ram prawnych i regulacyjnych do dorobku prawnego UE oraz włączenie tego kraju do większej liczby programów, agencji i inicjatyw UE, w tym związanych z gospodarką cyfrową, usługami finansowymi i innowacjami; gratuluje Mołdawii, że od 6 października 2025 r. stanie się ona członkiem operacyjnym jednolitego obszaru płatności w euro, co ułatwi transfery w euro i zmniejszy koszty dla mołdawskich obywateli i przedsiębiorstw; z zadowoleniem przyjmuje włączenie Mołdawii do unijnej strefy </w:t>
      </w:r>
      <w:r w:rsidRPr="00584E50">
        <w:t>roamingowej</w:t>
      </w:r>
      <w:r w:rsidRPr="00584E50">
        <w:t xml:space="preserve"> od 1 stycznia 2026 r., dzięki czemu obywatele Mołdawii będą mogli korzystać z mołdawskich numerów telefonów podczas podróży po UE bez ponoszenia opłat </w:t>
      </w:r>
      <w:r w:rsidRPr="00584E50">
        <w:t>roamingowych</w:t>
      </w:r>
      <w:r w:rsidRPr="00584E50">
        <w:t xml:space="preserve">; podkreśla, że takie wymierne korzyści odgrywają kluczową rolę we wzmacnianiu poparcia publicznego dla integracji z UE; zachęca do dalszego dostosowywania przepisów do dorobku prawnego UE w dziedzinie technologii cyfrowych oraz do dalszych wysiłków na rzecz wzmocnienia </w:t>
      </w:r>
      <w:r w:rsidRPr="00584E50">
        <w:t>konektywności</w:t>
      </w:r>
      <w:r w:rsidRPr="00584E50">
        <w:t>, infrastruktury cyfrowej i integracji rynku;</w:t>
      </w:r>
    </w:p>
    <w:p w:rsidR="0010231B" w:rsidRPr="00584E50" w:rsidP="0010231B" w14:paraId="05BE40CB" w14:textId="77777777">
      <w:pPr>
        <w:pStyle w:val="NormalHanging12a"/>
      </w:pPr>
      <w:r w:rsidRPr="00584E50">
        <w:t>29.</w:t>
      </w:r>
      <w:r w:rsidRPr="00584E50">
        <w:tab/>
        <w:t xml:space="preserve">podkreśla pilną potrzebę przyspieszenia kompleksowej reformy administracji publicznej; wzywa rząd Mołdawii do zapewnienia w pełni merytorycznej, profesjonalnej i przejrzystej służby cywilnej zarówno na szczeblu centralnym, jak i lokalnym, co ma zasadnicze znaczenie dla skutecznego wdrożenia dorobku prawnego UE; podkreśla, że znacząca reforma terytorialno-administracyjna ma kluczowe znaczenie dla wzmocnienia pozycji władz lokalnych, ponieważ obecna fragmentacja </w:t>
      </w:r>
      <w:r w:rsidRPr="00584E50">
        <w:t>gmin poważnie ogranicza ich niezależność finansową i zdolność administracyjną do skutecznego ubiegania się o fundusze rozwoju regionalnego UE, ich absorpcji i zarządzania nimi; podkreśla potrzebę zapewnienia władzom lokalnym i regionalnym ukierunkowanych programów edukacyjnych i programów wsparcia w zakresie budowania zdolności, aby umożliwić im skuteczne ubieganie się o dostępne możliwości finansowania unijnego, absorpcję tych możliwości i zarządzanie nimi;</w:t>
      </w:r>
    </w:p>
    <w:p w:rsidR="0010231B" w:rsidRPr="00584E50" w:rsidP="0010231B" w14:paraId="6EC8527B" w14:textId="77777777">
      <w:pPr>
        <w:pStyle w:val="NormalHanging12a"/>
      </w:pPr>
      <w:r w:rsidRPr="00584E50">
        <w:t>30.</w:t>
      </w:r>
      <w:r w:rsidRPr="00584E50">
        <w:tab/>
        <w:t>podkreśla, że pomyślny proces rozszerzenia UE wymaga silnej odpowiedzialności lokalnej; ubolewa nad brakiem formalnych mechanizmów dla władz lokalnych i regionalnych w proponowanej strukturze WRF; wzywa rząd Mołdawii i Komisję do systematycznego angażowania mołdawskich władz lokalnych i regionalnych oraz ich stowarzyszeń w opracowywanie wieloletnich programów indykatywnych i planów działania; apeluje o utworzenie specjalnych środków budowania zdolności i strumieni finansowania w przyszłych ramach programu „Globalny wymiar Europy”, aby wspierać mołdawskie gminy we wdrażaniu reform decentralizacyjnych i usług publicznych dostosowanych do UE;</w:t>
      </w:r>
    </w:p>
    <w:p w:rsidR="0010231B" w:rsidRPr="00584E50" w:rsidP="0010231B" w14:paraId="1611355E" w14:textId="77777777">
      <w:pPr>
        <w:pStyle w:val="NormalHanging12a"/>
      </w:pPr>
      <w:r w:rsidRPr="00584E50">
        <w:t>31.</w:t>
      </w:r>
      <w:r w:rsidRPr="00584E50">
        <w:tab/>
        <w:t xml:space="preserve">z zadowoleniem przyjmuje udział Mołdawii, od 1 stycznia 2026 r., w programie „Kreatywna Europa”, unijnym programie wspierającym sektor kultury i sektor kreatywny, a także w komponencie „Zatrudnienie i innowacje społeczne” Europejskiego Funduszu Społecznego Plus, który umożliwia Mołdawii dostęp do funduszy UE na finansowanie projektów w celu zmniejszenia bezrobocia, poprawy jakości miejsc pracy i propagowania innowacji społecznych; wzywa Komisję do wsparcia włączenia tego kraju do Organu Europejskich Regulatorów Łączności Elektronicznej, Europejskiej Agencji Środowiska, programu Erasmus+, programu </w:t>
      </w:r>
      <w:r w:rsidRPr="00584E50">
        <w:t>DiscoverEU</w:t>
      </w:r>
      <w:r w:rsidRPr="00584E50">
        <w:t xml:space="preserve"> oraz programu „Owoce, warzywa i mleko w szkole”;</w:t>
      </w:r>
    </w:p>
    <w:p w:rsidR="0010231B" w:rsidRPr="00584E50" w:rsidP="0010231B" w14:paraId="2D391437" w14:textId="77777777">
      <w:pPr>
        <w:pStyle w:val="Normal12a"/>
      </w:pPr>
      <w:r w:rsidRPr="00584E50">
        <w:rPr>
          <w:b/>
          <w:i/>
        </w:rPr>
        <w:t>Prawa człowieka</w:t>
      </w:r>
    </w:p>
    <w:p w:rsidR="0010231B" w:rsidRPr="00584E50" w:rsidP="0010231B" w14:paraId="01C95D3F" w14:textId="77777777">
      <w:pPr>
        <w:pStyle w:val="NormalHanging12a"/>
      </w:pPr>
      <w:r w:rsidRPr="00584E50">
        <w:t>32.</w:t>
      </w:r>
      <w:r w:rsidRPr="00584E50">
        <w:tab/>
        <w:t xml:space="preserve">z zadowoleniem przyjmuje wysiłki władz Republiki Mołdawii na rzecz poprawy ram prawnych dotyczących równouprawnienia płci, zwalczania przemocy domowej i ochrony ofiar oraz dostosowania ich do norm międzynarodowych i europejskich, w tym kryminalizacji przemocy cyfrowej i przymusowych małżeństw oraz wprowadzenia </w:t>
      </w:r>
      <w:r w:rsidRPr="00584E50">
        <w:t>kobietobójstwa</w:t>
      </w:r>
      <w:r w:rsidRPr="00584E50">
        <w:t xml:space="preserve"> do kodeksu karnego; wzywa władze Republiki Mołdawii do skuteczniejszego wdrażania obowiązujących przepisów dotyczących zwalczania przemocy wobec kobiet, w tym przemocy domowej, oraz ochrony ofiar;</w:t>
      </w:r>
    </w:p>
    <w:p w:rsidR="0010231B" w:rsidRPr="00584E50" w:rsidP="0010231B" w14:paraId="250AF681" w14:textId="77777777">
      <w:pPr>
        <w:pStyle w:val="NormalHanging12a"/>
      </w:pPr>
      <w:r w:rsidRPr="00584E50">
        <w:t>33.</w:t>
      </w:r>
      <w:r w:rsidRPr="00584E50">
        <w:tab/>
        <w:t>z zadowoleniem przyjmuje trwające wdrażanie krajowej strategii zwalczania handlu ludźmi przyjętej we wrześniu 2023 r.; wzywa Mołdawię do dalszego wzmacniania ram prawnych i instytucjonalnych, w tym przez wprowadzenie skuteczniejszych narzędzi dla organów publicznych w celu prowadzenia dochodzeń i ścigania pojawiających się form wyzysku;</w:t>
      </w:r>
    </w:p>
    <w:p w:rsidR="0010231B" w:rsidRPr="00584E50" w:rsidP="0010231B" w14:paraId="309F8AAF" w14:textId="7A47E439">
      <w:pPr>
        <w:pStyle w:val="NormalHanging12a"/>
      </w:pPr>
      <w:r w:rsidRPr="00584E50">
        <w:t>34.</w:t>
      </w:r>
      <w:r w:rsidRPr="00584E50">
        <w:tab/>
        <w:t xml:space="preserve">zauważa, że ramy prawne i instytucjonalne dotyczące praw osób z niepełnosprawnościami w Mołdawii wymagają dalszego dostosowania do dorobku </w:t>
      </w:r>
      <w:r w:rsidRPr="00584E50">
        <w:t>prawnego UE i odpowiednich norm międzynarodowych; apeluje w szczególności o dostosowanie ram dostępności do europejskiego aktu w sprawie dostępności</w:t>
      </w:r>
      <w:r>
        <w:rPr>
          <w:rStyle w:val="FootnoteReference"/>
        </w:rPr>
        <w:footnoteReference w:id="4"/>
      </w:r>
      <w:r w:rsidRPr="00584E50">
        <w:t>;</w:t>
      </w:r>
    </w:p>
    <w:p w:rsidR="0010231B" w:rsidRPr="00584E50" w:rsidP="0010231B" w14:paraId="7398218E" w14:textId="77777777">
      <w:pPr>
        <w:pStyle w:val="NormalHanging12a"/>
      </w:pPr>
      <w:r w:rsidRPr="00584E50">
        <w:t>35.</w:t>
      </w:r>
      <w:r w:rsidRPr="00584E50">
        <w:tab/>
        <w:t xml:space="preserve">jest zaniepokojony podejmowanymi przez władze Kiszyniowa próbami zakazania parady równości w Kiszyniowie oraz brutalnymi atakami </w:t>
      </w:r>
      <w:r w:rsidRPr="00584E50">
        <w:t>kontrmanifestantów</w:t>
      </w:r>
      <w:r w:rsidRPr="00584E50">
        <w:t xml:space="preserve"> na ten pokojowy marsz; potępia dezinformację i ukierunkowane internetowe kampanie dezinformacyjne rozpowszechniane w Mołdawii przez powiązane z Rosją media lokalne; wzywa Mołdawię do zapewnienia wszystkim prawa do wolności zgromadzeń;</w:t>
      </w:r>
    </w:p>
    <w:p w:rsidR="0010231B" w:rsidRPr="00584E50" w:rsidP="0010231B" w14:paraId="2E4C3774" w14:textId="77777777">
      <w:pPr>
        <w:pStyle w:val="NormalHanging12a"/>
      </w:pPr>
      <w:r w:rsidRPr="00584E50">
        <w:t>36.</w:t>
      </w:r>
      <w:r w:rsidRPr="00584E50">
        <w:tab/>
        <w:t>wzywa Mołdawię do wzmocnienia ram prawnych i instytucjonalnych w celu ochrony praw osób należących do mniejszości, w tym osób LGBTI;</w:t>
      </w:r>
    </w:p>
    <w:p w:rsidR="0010231B" w:rsidRPr="00584E50" w:rsidP="0010231B" w14:paraId="3CF82226" w14:textId="77777777">
      <w:pPr>
        <w:pStyle w:val="Normal12a"/>
      </w:pPr>
      <w:r w:rsidRPr="00584E50">
        <w:rPr>
          <w:b/>
          <w:i/>
        </w:rPr>
        <w:t xml:space="preserve">Współpraca akademicka i kontakty międzyludzkie </w:t>
      </w:r>
    </w:p>
    <w:p w:rsidR="0010231B" w:rsidRPr="00584E50" w:rsidP="0010231B" w14:paraId="1642F0D0" w14:textId="77777777">
      <w:pPr>
        <w:pStyle w:val="NormalHanging12a"/>
      </w:pPr>
      <w:r w:rsidRPr="00584E50">
        <w:t>37.</w:t>
      </w:r>
      <w:r w:rsidRPr="00584E50">
        <w:tab/>
        <w:t>z zadowoleniem przyjmuje znaczne postępy Mołdawii w dostosowywaniu jej systemu szkolnictwa wyższego do europejskiego obszaru szkolnictwa wyższego, w tym udział trzech mołdawskich instytucji w sojuszach europejskich szkół wyższych jako partnerów stowarzyszonych; pochwala ponadto zaangażowanie tego kraju w międzynarodowy wymiar programu Erasmus+ na lata 2021–2027 oraz jego udział w czterech grupach roboczych ds. europejskiego obszaru edukacji;</w:t>
      </w:r>
    </w:p>
    <w:p w:rsidR="0010231B" w:rsidRPr="00584E50" w:rsidP="0010231B" w14:paraId="211D0959" w14:textId="77777777">
      <w:pPr>
        <w:pStyle w:val="NormalHanging12a"/>
      </w:pPr>
      <w:r w:rsidRPr="00584E50">
        <w:t>38.</w:t>
      </w:r>
      <w:r w:rsidRPr="00584E50">
        <w:tab/>
        <w:t>z zadowoleniem przyjmuje rosnące zaangażowanie Mołdawii w europejskie sieci badań naukowych i innowacji oraz zachęca do jej dalszej integracji z programem „Horyzont Europa”, co zapewniłoby uczelniom i instytucjom badawczym dostęp do finansowania europejskiego, infrastruktury badawczej opartej na współpracy i partnerstw naukowych;</w:t>
      </w:r>
    </w:p>
    <w:p w:rsidR="0010231B" w:rsidRPr="00584E50" w:rsidP="0010231B" w14:paraId="71FC4E21" w14:textId="77777777">
      <w:pPr>
        <w:pStyle w:val="Normal12a"/>
      </w:pPr>
      <w:r w:rsidRPr="00584E50">
        <w:rPr>
          <w:b/>
          <w:i/>
        </w:rPr>
        <w:t>Energia, środowisko i łączność</w:t>
      </w:r>
    </w:p>
    <w:p w:rsidR="0010231B" w:rsidRPr="00584E50" w:rsidP="0010231B" w14:paraId="774E4E08" w14:textId="77777777">
      <w:pPr>
        <w:pStyle w:val="NormalHanging12a"/>
      </w:pPr>
      <w:r w:rsidRPr="00584E50">
        <w:t>39.</w:t>
      </w:r>
      <w:r w:rsidRPr="00584E50">
        <w:tab/>
        <w:t>pochwala stałe wysiłki Mołdawii na rzecz dostosowania sektora energetycznego do dorobku prawnego UE oraz przejścia w stronę jego pełnej integracji z unijnym rynkiem energii, co ma zapewnić temu krajowi bezpieczeństwo energetyczne i odporność energetyczną;</w:t>
      </w:r>
    </w:p>
    <w:p w:rsidR="0010231B" w:rsidRPr="00584E50" w:rsidP="0010231B" w14:paraId="12148777" w14:textId="77777777">
      <w:pPr>
        <w:pStyle w:val="NormalHanging12a"/>
      </w:pPr>
      <w:r w:rsidRPr="00584E50">
        <w:t>40.</w:t>
      </w:r>
      <w:r w:rsidRPr="00584E50">
        <w:tab/>
        <w:t>zauważa z zadowoleniem, że Mołdawia osiągnęła najwyższe wyniki w transpozycji prawodawstwa europejskiego wśród państw członkowskich Wspólnoty Energetycznej, a także była pionierem wśród umawiających się stron Wspólnoty w pełnej transpozycji pakietu dotyczącego integracji energii elektrycznej; wzywa Komisję, Sekretariat Wspólnoty Energetycznej i inne odpowiednie podmioty do zapewnienia pełnego powiązania Mołdawii z unijnym rynkiem energii elektrycznej najpóźniej do 2028 r.;</w:t>
      </w:r>
    </w:p>
    <w:p w:rsidR="0010231B" w:rsidRPr="00584E50" w:rsidP="0010231B" w14:paraId="389D8BC4" w14:textId="77777777">
      <w:pPr>
        <w:pStyle w:val="NormalHanging12a"/>
      </w:pPr>
      <w:r w:rsidRPr="00584E50">
        <w:t>41.</w:t>
      </w:r>
      <w:r w:rsidRPr="00584E50">
        <w:tab/>
        <w:t xml:space="preserve">podkreśla, że aby jeszcze bardziej wzmocnić odporność energetyczną Mołdawii, jej władze, przy wsparciu UE, powinny nadal dywersyfikować źródła dostaw energii, przyspieszyć jej integrację z europejskim rynkiem energii, zwiększyć inwestycje w efektywność energetyczną budynków publicznych i mieszkalnych, zwiększyć krajową produkcję energii i zachęcać do zmniejszenia zapotrzebowania; z zadowoleniem przyjmuje znaczny wzrost udziału energii ze źródeł odnawialnych w Mołdawii, który osiągnął około 25 % zużycia w 2025 r. i 1 GW całkowitej mocy zainstalowanej, co </w:t>
      </w:r>
      <w:r w:rsidRPr="00584E50">
        <w:t>stanowi istotny kamień milowy w rozwoju lokalnej produkcji energii w tym kraju i transformacji energetycznej;</w:t>
      </w:r>
    </w:p>
    <w:p w:rsidR="0010231B" w:rsidRPr="00584E50" w:rsidP="0010231B" w14:paraId="0F07A623" w14:textId="766A1654">
      <w:pPr>
        <w:pStyle w:val="NormalHanging12a"/>
      </w:pPr>
      <w:r w:rsidRPr="00584E50">
        <w:t>42.</w:t>
      </w:r>
      <w:r w:rsidRPr="00584E50">
        <w:tab/>
        <w:t xml:space="preserve">z zadowoleniem przyjmuje rządowy plan działania z marca 2025 r. służący wyeliminowaniu wszelkiej zależności od rosyjskich zasobów energetycznych w sektorach energii elektrycznej, gazu i ropy naftowej, przyjęty w ramach wdrażania kompleksowej strategii UE–Mołdawia na rzecz niezależności energetycznej i odporności z </w:t>
      </w:r>
      <w:r w:rsidRPr="00584E50" w:rsidR="00D71656">
        <w:t xml:space="preserve">dnia </w:t>
      </w:r>
      <w:r w:rsidRPr="00584E50">
        <w:t xml:space="preserve">4 lutego 2025 r.; przypomina, że w 2025 r. Rosja wstrzymała dostawy gazu do elektrowni na rzece </w:t>
      </w:r>
      <w:r w:rsidRPr="00584E50">
        <w:t>Kuczurgan</w:t>
      </w:r>
      <w:r w:rsidRPr="00584E50">
        <w:t xml:space="preserve"> w ramach prób wywarcia nacisku mających na celu wpłynięcie na międzynarodowe wybory Mołdawii, oraz że pierwszymi ofiarami wynikającego z tego kryzysu energetycznego byli mieszkańcy po obu stronach Dniestru;</w:t>
      </w:r>
    </w:p>
    <w:p w:rsidR="0010231B" w:rsidRPr="00584E50" w:rsidP="0010231B" w14:paraId="337D4E94" w14:textId="77777777">
      <w:pPr>
        <w:pStyle w:val="NormalHanging12a"/>
      </w:pPr>
      <w:r w:rsidRPr="00584E50">
        <w:t>43.</w:t>
      </w:r>
      <w:r w:rsidRPr="00584E50">
        <w:tab/>
        <w:t xml:space="preserve">z zadowoleniem przyjmuje zakończenie budowy napowietrznej linii elektroenergetycznej </w:t>
      </w:r>
      <w:r w:rsidRPr="00584E50">
        <w:t>Vulcănești</w:t>
      </w:r>
      <w:r w:rsidRPr="00584E50">
        <w:t>–Kiszyniów o napięciu 400 </w:t>
      </w:r>
      <w:r w:rsidRPr="00584E50">
        <w:t>kV</w:t>
      </w:r>
      <w:r w:rsidRPr="00584E50">
        <w:t xml:space="preserve"> w grudniu 2025 r., która ma rozpocząć </w:t>
      </w:r>
      <w:r w:rsidRPr="00584E50">
        <w:t>przesył</w:t>
      </w:r>
      <w:r w:rsidRPr="00584E50">
        <w:t xml:space="preserve"> energii elektrycznej w 2026 r.; zauważa, że ten praktyczny krok zmniejsza zależność Mołdawii od infrastruktury energetycznej w regionie Naddniestrza i jej podatność na wrogie wpływy Rosji, i umożliwia krajowi bezpieczne i niezawodne podłączenie się do europejskiej sieci elektroenergetycznej przez Rumunię;</w:t>
      </w:r>
    </w:p>
    <w:p w:rsidR="0010231B" w:rsidRPr="00584E50" w:rsidP="0010231B" w14:paraId="693C50A4" w14:textId="77777777">
      <w:pPr>
        <w:pStyle w:val="NormalHanging12a"/>
      </w:pPr>
      <w:r w:rsidRPr="00584E50">
        <w:t>44.</w:t>
      </w:r>
      <w:r w:rsidRPr="00584E50">
        <w:tab/>
        <w:t>wzywa Komisję do maksymalnego wykorzystania środków na współpracę transgraniczną dostępnych w ramach przyszłego instrumentu „Globalny wymiar Europy” oraz Funduszu Partnerstwa Krajowego i Regionalnego, aby jeszcze bardziej przyspieszyć integrację mołdawskiej infrastruktury transportowej, energetycznej i cyfrowej z jednolitym rynkiem europejskim; podkreśla, że takie finansowanie powinno priorytetowo traktować projekty o dużym wpływie, obejmujące infrastrukturę transportową, energetyczną i cyfrową, w tym połączenia transgraniczne, krajową produkcję energii ze źródeł odnawialnych, efektywność energetyczną, dostosowanie transeuropejskiej sieci transportowej, synchronizację sieci energetycznej i rozbudowę sieci szerokopasmowych; apeluje o szybkie opracowanie projektów dotyczących dodatkowych połączeń międzysystemowych z Mołdawią, takich jak napowietrzne linie elektroenergetyczne Suczawa–</w:t>
      </w:r>
      <w:r w:rsidRPr="00584E50">
        <w:t>Bielce</w:t>
      </w:r>
      <w:r w:rsidRPr="00584E50">
        <w:t xml:space="preserve"> i </w:t>
      </w:r>
      <w:r w:rsidRPr="00584E50">
        <w:t>Gutinaș</w:t>
      </w:r>
      <w:r w:rsidRPr="00584E50">
        <w:t>–</w:t>
      </w:r>
      <w:r w:rsidRPr="00584E50">
        <w:t>Straszany</w:t>
      </w:r>
      <w:r w:rsidRPr="00584E50">
        <w:t xml:space="preserve"> o napięciu 400 </w:t>
      </w:r>
      <w:r w:rsidRPr="00584E50">
        <w:t>kV</w:t>
      </w:r>
      <w:r w:rsidRPr="00584E50">
        <w:t>;</w:t>
      </w:r>
    </w:p>
    <w:p w:rsidR="0010231B" w:rsidRPr="00584E50" w:rsidP="0010231B" w14:paraId="49EE8B5B" w14:textId="77777777">
      <w:pPr>
        <w:pStyle w:val="NormalHanging12a"/>
      </w:pPr>
      <w:r w:rsidRPr="00584E50">
        <w:t>45.</w:t>
      </w:r>
      <w:r w:rsidRPr="00584E50">
        <w:tab/>
        <w:t>zdecydowanie potępia rosyjskie ataki z marca 2026 r. na ukraińską infrastrukturę energetyczną, które zagroziły bezpieczeństwu energetycznemu i wodnemu Mołdawii, miały bezpośredni wpływ na bezpieczeństwo zasobów wodnych i zdrowie publiczne 80 % obywateli tego kraju, dla których rzeka Dniestr jest głównym źródłem wody słodkiej i wody pitnej, oraz spowodowały 15-dniowy kryzys środowiskowy w Republice Mołdawii; z zadowoleniem przyjmuje szybką i skoordynowaną reakcję władz mołdawskich i ukraińskich oraz operatorów systemów przesyłowych, a także wzywa UE i jej państwa członkowskie do zapewnienia Mołdawii dodatkowych zasobów finansowych, pomocy technicznej i specjalistycznego sprzętu w celu zwiększenia jej zdolności do radzenia sobie z przyszłymi katastrofami ekologicznymi;</w:t>
      </w:r>
    </w:p>
    <w:p w:rsidR="0010231B" w:rsidRPr="00584E50" w:rsidP="0010231B" w14:paraId="5F64EB7D" w14:textId="77777777">
      <w:pPr>
        <w:pStyle w:val="NormalHanging12a"/>
      </w:pPr>
      <w:r w:rsidRPr="00584E50">
        <w:t>46.</w:t>
      </w:r>
      <w:r w:rsidRPr="00584E50">
        <w:tab/>
        <w:t>podkreśla, że Mołdawia nadal stoi w obliczu poważnych wyzwań środowiskowych, w tym zanieczyszczenia powietrza i wody, niewystarczającej infrastruktury gospodarowania odpadami i trwającej utraty różnorodności biologicznej; podkreśla potrzebę wzmocnienia zdolności administracyjnych, poprawy egzekwowania przepisów dotyczących ochrony środowiska i zapewnienia odpowiednich inwestycji w infrastrukturę środowiskową;</w:t>
      </w:r>
    </w:p>
    <w:p w:rsidR="0010231B" w:rsidRPr="00584E50" w:rsidP="0010231B" w14:paraId="3DAAF48D" w14:textId="77777777">
      <w:pPr>
        <w:pStyle w:val="NormalHanging12a"/>
      </w:pPr>
      <w:r w:rsidRPr="00584E50">
        <w:t>47.</w:t>
      </w:r>
      <w:r w:rsidRPr="00584E50">
        <w:tab/>
        <w:t xml:space="preserve">przypomina, że Mołdawia już dotkliwie odczuła poważne skutki dla bezpieczeństwa, gospodarki i społeczeństwa, które przyniosła </w:t>
      </w:r>
      <w:r w:rsidRPr="00584E50">
        <w:t>pełnoskalowa</w:t>
      </w:r>
      <w:r w:rsidRPr="00584E50">
        <w:t xml:space="preserve"> wojna napastnicza Rosji przeciwko Ukrainie; wyraża głębokie zaniepokojenie faktem, że kraj ten znajduje się obecnie wśród państw najbardziej dotkniętych pogłębiającym się światowym kryzysem gospodarczym i energetycznym wynikającym z trwającej wojny na Bliskim Wschodzie; wzywa UE i jej państwa członkowskie do okazywania ciągłej i niezachwianej solidarności z Mołdawią oraz do zapewnienia niezbędnego wsparcia, aby pomóc złagodzić wpływ tych nakładających się wstrząsów zewnętrznych na jej obywateli i gospodarkę;</w:t>
      </w:r>
    </w:p>
    <w:p w:rsidR="0010231B" w:rsidRPr="00584E50" w:rsidP="0010231B" w14:paraId="62748C67" w14:textId="77777777">
      <w:pPr>
        <w:pStyle w:val="Normal12a"/>
      </w:pPr>
      <w:r w:rsidRPr="00584E50">
        <w:rPr>
          <w:b/>
          <w:i/>
        </w:rPr>
        <w:t>Współpraca w dziedzinie wspólnej polityki zagranicznej i bezpieczeństwa oraz postępy w rozwiązaniu kwestii Naddniestrza</w:t>
      </w:r>
    </w:p>
    <w:p w:rsidR="0010231B" w:rsidRPr="00584E50" w:rsidP="0010231B" w14:paraId="2C3B3AB0" w14:textId="77777777">
      <w:pPr>
        <w:pStyle w:val="NormalHanging12a"/>
      </w:pPr>
      <w:r w:rsidRPr="00584E50">
        <w:t>48.</w:t>
      </w:r>
      <w:r w:rsidRPr="00584E50">
        <w:tab/>
        <w:t xml:space="preserve">wyraża uznanie dla Mołdawii za stałą współpracę w dziedzinie polityki zagranicznej i za jej starania, by w pełni dostosować się do unijnych stanowisk w ramach wspólnej polityki zagranicznej i bezpieczeństwa; zauważa, że wskaźnik dostosowania Mołdawii do polityki zagranicznej, bezpieczeństwa i obrony UE, włącznie z odzwierciedleniem sankcji UE wobec Rosji, wyniósł 88 %; zachęca ten kraj do zapewnienia jeszcze większej zbieżności z unijną </w:t>
      </w:r>
      <w:r w:rsidRPr="00584E50">
        <w:t>WPZiB</w:t>
      </w:r>
      <w:r w:rsidRPr="00584E50">
        <w:t>, w tym w odniesieniu do środków ograniczających wobec Rosji, oraz do kontynuowania współpracy na rzecz zapobiegania obchodzeniu sankcji nałożonych na Rosję i Białoruś w związku z rosyjską wojną napastniczą przeciwko Ukrainie; wyraża uznanie dla Mołdawii za przyjęcie największej liczby przesiedlonych Ukraińców na mieszkańca oraz za radzenie sobie ze znaczną presją społeczną, gospodarczą i administracyjną wynikającą z dużego napływu uchodźców; z zadowoleniem przyjmuje większy udział Mołdawii w misjach i operacjach UE w ramach wspólnej polityki bezpieczeństwa i obrony UE, takich jak operacja ALTHEA w Bośni i Hercegowinie oraz misja szkoleniowa UE w Somalii;</w:t>
      </w:r>
    </w:p>
    <w:p w:rsidR="0010231B" w:rsidRPr="00584E50" w:rsidP="0010231B" w14:paraId="774741A8" w14:textId="77777777">
      <w:pPr>
        <w:pStyle w:val="NormalHanging12a"/>
      </w:pPr>
      <w:r w:rsidRPr="00584E50">
        <w:t>49.</w:t>
      </w:r>
      <w:r w:rsidRPr="00584E50">
        <w:tab/>
        <w:t xml:space="preserve">uznaje rolę współpracy trójstronnej między Mołdawią, Rumunią i Ukrainą (Trójkąt Odeski) we wzmacnianiu bezpieczeństwa regionalnego, przyspieszeniu procesu integracji Mołdawii i Ukrainy z UE, poprawie </w:t>
      </w:r>
      <w:r w:rsidRPr="00584E50">
        <w:t>konektywności</w:t>
      </w:r>
      <w:r w:rsidRPr="00584E50">
        <w:t xml:space="preserve"> tych krajów z UE oraz przeciwdziałaniu zagrożeniom hybrydowym ze strony Federacji Rosyjskiej, w tym dezinformacji i obcym manipulacjom informacjami, cyberatakom oraz zagrożeniom w dziedzinie energii;</w:t>
      </w:r>
    </w:p>
    <w:p w:rsidR="0010231B" w:rsidRPr="00584E50" w:rsidP="0010231B" w14:paraId="03AED46E" w14:textId="77777777">
      <w:pPr>
        <w:pStyle w:val="NormalHanging12a"/>
      </w:pPr>
      <w:r w:rsidRPr="00584E50">
        <w:t>50.</w:t>
      </w:r>
      <w:r w:rsidRPr="00584E50">
        <w:tab/>
        <w:t xml:space="preserve">z zadowoleniem przyjmuje przedłużenie mandatu partnerskiej misji UE w Republice Mołdawii do 31 maja 2027 r. i wzywa państwa członkowskie, by zaangażowały niezbędnych ekspertów i zapewniły zasoby finansowe; zachęca UE do dalszego wspierania odporności i gotowości Mołdawii, na przykład na bezprecedensową ingerencję Rosji, za pośrednictwem EUPM, zespołów szybkiego reagowania na zagrożenia hybrydowe, zespołów szybkiego reagowania na </w:t>
      </w:r>
      <w:r w:rsidRPr="00584E50">
        <w:t>cyberincydenty</w:t>
      </w:r>
      <w:r w:rsidRPr="00584E50">
        <w:t xml:space="preserve"> i rezerwy </w:t>
      </w:r>
      <w:r w:rsidRPr="00584E50">
        <w:t>cyberbezpieczeństwa</w:t>
      </w:r>
      <w:r w:rsidRPr="00584E50">
        <w:t xml:space="preserve"> UE;</w:t>
      </w:r>
    </w:p>
    <w:p w:rsidR="0010231B" w:rsidRPr="00584E50" w:rsidP="0010231B" w14:paraId="65181FF4" w14:textId="77777777">
      <w:pPr>
        <w:pStyle w:val="NormalHanging12a"/>
      </w:pPr>
      <w:r w:rsidRPr="00584E50">
        <w:t>51.</w:t>
      </w:r>
      <w:r w:rsidRPr="00584E50">
        <w:tab/>
        <w:t xml:space="preserve">podkreśla, że fizycznym atakom na infrastrukturę krytyczną i prowokacjom w zakresie bezpieczeństwa systematycznie towarzyszą obce manipulacje informacjami i ingerencje, których celem jest sianie paniki wśród ludności i podważanie zaufania społecznego do władz mołdawskich; podkreśla w związku z tym kluczowe znaczenie wyposażenia instytucji mołdawskich w solidne narzędzia szybkiej komunikacji kryzysowej w celu skutecznego zwalczania dezinformacji i zapewnienia szybkiego rozpowszechniania informacji faktycznych; odnotowuje w szczególności kroki poczynione w 2025 r. w celu zwiększenia zdolności operacyjnej Centrum Komunikacji </w:t>
      </w:r>
      <w:r w:rsidRPr="00584E50">
        <w:t xml:space="preserve">Strategicznej i Przeciwdziałania Dezinformacji oraz Krajowej Agencji ds. </w:t>
      </w:r>
      <w:r w:rsidRPr="00584E50">
        <w:t>Cyberbezpieczeństwa</w:t>
      </w:r>
      <w:r w:rsidRPr="00584E50">
        <w:t xml:space="preserve">; apeluje o strategiczne wykorzystanie dostępnych środków finansowych w 2027 r. i w kolejnych latach w celu wzmocnienia zdolności Mołdawii w dziedzinie komunikacji strategicznej, </w:t>
      </w:r>
      <w:r w:rsidRPr="00584E50">
        <w:t>cyberbezpieczeństwa</w:t>
      </w:r>
      <w:r w:rsidRPr="00584E50">
        <w:t xml:space="preserve"> i przeciwdziałania obcym manipulacjom informacjami i ingerencjom przed docelową datą przystąpienia; wzywa UE, aby zastosowała wnioski wyciągnięte z doświadczeń zdobytych w Mołdawii w zakresie ochrony procesu wyborczego i instytucji demokratycznych, a także obcych manipulacji informacjami i ingerencji, do samej UE oraz innych państw kandydujących; w związku z tym z zadowoleniem przyjmuje wysiłki podejmowane przez nadawców publicznych w państwach członkowskich w celu dostarczania mołdawskim odbiorcom treści opartych na faktach;</w:t>
      </w:r>
    </w:p>
    <w:p w:rsidR="0010231B" w:rsidRPr="00584E50" w:rsidP="0010231B" w14:paraId="698EC2FB" w14:textId="77777777">
      <w:pPr>
        <w:pStyle w:val="NormalHanging12a"/>
      </w:pPr>
      <w:r w:rsidRPr="00584E50">
        <w:t>52.</w:t>
      </w:r>
      <w:r w:rsidRPr="00584E50">
        <w:tab/>
        <w:t>wyraża zaniepokojenie instrumentalizacją struktur religijnych do celów politycznych, zgodnie z rosyjską doktryną wojskową i krajową strategią bezpieczeństwa, w tym próbami wpływania na opinię publiczną i procesy wyborcze w sposób, który może osłabić europejską drogę Mołdawii; wzywa władze Mołdawii do zapewnienia pełnego poszanowania wolności religii, a jednocześnie zapobiegania wszelkim nieuzasadnionym ingerencjom lub manipulacjom zewnętrznym, które mogłyby wpłynąć na procesy demokratyczne i kierunek strategiczny kraju; zdecydowanie potępia wykorzystywanie powiązanej z Moskwą Metropolii Kiszyniowa i Całej Mołdawii, podlegającej jurysdykcji Rosyjskiego Kościoła Prawosławnego, jako narzędzia kierowanej przez Kreml dezinformacji, ingerencji wyborczej i wpływów hybrydowych w Republice Mołdawii;</w:t>
      </w:r>
    </w:p>
    <w:p w:rsidR="0010231B" w:rsidRPr="00584E50" w:rsidP="0010231B" w14:paraId="24DB143E" w14:textId="77777777">
      <w:pPr>
        <w:pStyle w:val="NormalHanging12a"/>
      </w:pPr>
      <w:r w:rsidRPr="00584E50">
        <w:t>53.</w:t>
      </w:r>
      <w:r w:rsidRPr="00584E50">
        <w:tab/>
        <w:t>ponownie podkreśla swoje pełne zaangażowanie w kwestię integralności terytorialnej Mołdawii i pokojowego rozwiązania konfliktu, którego podstawą powinna być suwerenność i integralność terytorialna Mołdawii w jej granicach uznanych przez społeczność międzynarodową; zachęca Mołdawię, by kontynuowała działania na rzecz reintegracji, i wzywa Federację Rosyjską do wypełnienia jej zobowiązań międzynarodowych, a mianowicie do natychmiastowego i bezwarunkowego wycofania całego personelu wojskowego, sprzętu i amunicji z regionu Naddniestrza, którego obecność stanowi poważne naruszenie prawa międzynarodowego i bezpośrednie zagrożenie dla bezpieczeństwa Mołdawii i szerszego sąsiedztwa europejskiego;</w:t>
      </w:r>
    </w:p>
    <w:p w:rsidR="0010231B" w:rsidRPr="00584E50" w:rsidP="0010231B" w14:paraId="03A44813" w14:textId="77777777">
      <w:pPr>
        <w:pStyle w:val="NormalHanging12a"/>
      </w:pPr>
      <w:r w:rsidRPr="00584E50">
        <w:t>54.</w:t>
      </w:r>
      <w:r w:rsidRPr="00584E50">
        <w:tab/>
        <w:t>popiera stopniowe podejście władz mołdawskich do reintegracji kraju, ze szczególnym naciskiem na wymierne korzyści społeczno-gospodarcze dla obywateli po obu brzegach rzeki; wzywa UE do aktywnego udziału w pokojowym procesie reintegracji, w tym poprzez wniesienie znaczących wkładów do funduszu konwergencji, który będzie wspierał stopniowe dostosowanie regionu Naddniestrza do mołdawskich ram prawnych, gospodarczych i społecznych oraz zapewni obywatelom konkretną poprawę usług publicznych i lokalnej infrastruktury;</w:t>
      </w:r>
    </w:p>
    <w:p w:rsidR="0010231B" w:rsidRPr="00584E50" w:rsidP="0010231B" w14:paraId="506DA132" w14:textId="77777777">
      <w:pPr>
        <w:pStyle w:val="NormalHanging12a"/>
      </w:pPr>
      <w:r w:rsidRPr="00584E50">
        <w:t>55.</w:t>
      </w:r>
      <w:r w:rsidRPr="00584E50">
        <w:tab/>
        <w:t xml:space="preserve">odnotowuje z niepokojem podejmowane przez Rosję próby wykorzystania i podsycania napięć między Terytorium Autonomicznym Gagauzja a władzami mołdawskimi; popiera stałe działania rządu mołdawskiego na rzecz sprostania tym wyzwaniom za pomocą konstruktywnego dialogu i pluralistycznych reform oraz zachęca do podejmowania takich wysiłków; wzywa władze regionalne do zaangażowania się w ten dialog w dobrej wierze oraz do zapewnienia właściwej organizacji wolnych, uczciwych, przejrzystych i legalnych wyborów w regionie, w pełnej zgodności z mołdawskim prawem; przypomina, że stabilne, oparte na współpracy stosunki między stolicą a </w:t>
      </w:r>
      <w:r w:rsidRPr="00584E50">
        <w:t>regionami mają zasadnicze znaczenie dla wewnętrznej stabilności Mołdawii i dla jej stałych postępów na drodze do przystąpienia do UE;</w:t>
      </w:r>
    </w:p>
    <w:p w:rsidR="0010231B" w:rsidRPr="00584E50" w:rsidP="0010231B" w14:paraId="18CDE005" w14:textId="77777777">
      <w:pPr>
        <w:pStyle w:val="NormalHanging12a"/>
      </w:pPr>
      <w:r w:rsidRPr="00584E50">
        <w:t>56.</w:t>
      </w:r>
      <w:r w:rsidRPr="00584E50">
        <w:tab/>
        <w:t>z zadowoleniem przyjmuje decyzję Mołdawii o wystąpieniu ze zdominowanej przez Rosję Wspólnoty Niepodległych Państw jako suwerenny i strategiczny wybór odzwierciedlający drogę integracji z Europą wybraną przez ten kraj; wzywa do zajęcia się spuścizną okresu sowieckiego, na przykład poprzez odtajnienie archiwów byłych radzieckich służb bezpieczeństwa, i zachęca do dyskusji na temat obecności symboli sowieckiej propagandy w przestrzeni publicznej;</w:t>
      </w:r>
    </w:p>
    <w:p w:rsidR="0010231B" w:rsidRPr="00584E50" w:rsidP="0010231B" w14:paraId="2D17E607" w14:textId="77777777">
      <w:pPr>
        <w:pStyle w:val="NormalHanging12a"/>
      </w:pPr>
      <w:r w:rsidRPr="00584E50">
        <w:t>57.</w:t>
      </w:r>
      <w:r w:rsidRPr="00584E50">
        <w:tab/>
        <w:t>zdecydowanie potępia powtarzające się, nieuprawnione wtargnięcia rosyjskich dronów do mołdawskiej przestrzeni powietrznej i na mołdawskie terytorium od 2022 r., co stanowi poważne naruszenie suwerenności i integralności terytorialnej Mołdawii; podkreśla, że takie działania stanowią bezpośrednie zagrożenie dla bezpieczeństwa ludności cywilnej i stabilności regionalnej, oraz ponownie zwraca uwagę na potrzebę ścisłego przestrzegania prawa międzynarodowego; podkreśla w tym kontekście kluczowe znaczenie inwestycji w infrastrukturę nadzoru i ochrony przestrzeni powietrznej;</w:t>
      </w:r>
    </w:p>
    <w:p w:rsidR="0010231B" w:rsidRPr="00584E50" w:rsidP="0010231B" w14:paraId="08E05597" w14:textId="77777777">
      <w:pPr>
        <w:pStyle w:val="NormalHanging12a"/>
      </w:pPr>
      <w:r w:rsidRPr="00584E50">
        <w:t>58.</w:t>
      </w:r>
      <w:r w:rsidRPr="00584E50">
        <w:tab/>
        <w:t>z zadowoleniem przyjmuje stałe wsparcie dla sił zbrojnych Mołdawii w ramach Europejskiego Instrumentu na rzecz Pokoju; ponawia swój apel do państw członkowskich o dalsze zwiększenie finansowania dla Mołdawii z Europejskiego Instrumentu na rzecz Pokoju, tak aby zwiększyć zdolności obronne tego kraju w świetle obecnych zagrożeń dla bezpieczeństwa; wzywa Komisję, aby we współpracy z ESDZ zapewniła bardziej ustrukturyzowane, przewidywalne i zwiększone wsparcie na rzecz wzmocnienia zdolności Republiki Mołdawii w zakresie bezpieczeństwa i obrony oraz jej dostosowania do norm bezpieczeństwa UE w ramach procesu akcesyjnego; wzywa do dalszego wspierania modernizacji mołdawskiego sektora obronnego, w tym jego zdolności w zakresie obrony powietrznej; podkreśla, że Mołdawia jest nie tylko konsumentem w dziedzinie bezpieczeństwa, lecz także gwarantem bezpieczeństwa UE z uwagi na swoje strategiczne położenie i cenne rzeczywiste doświadczenie; z zadowoleniem przyjmuje uznanie Mołdawii za kraj, w odniesieniu do którego można wspólnie zamawiać dodatkowe ilości produktów związanych z obronnością w ramach programu na rzecz europejskiego przemysłu obronnego, przy czym stawka wkładu finansowego UE wzrosła z 15 % do 25 %, i wzywa do włączenia tego preferencyjnego traktowania do struktury na okres po 2027 r.;</w:t>
      </w:r>
    </w:p>
    <w:p w:rsidR="0010231B" w:rsidRPr="00584E50" w:rsidP="0010231B" w14:paraId="21403A6E" w14:textId="77777777">
      <w:pPr>
        <w:pStyle w:val="NormalCenter12a"/>
      </w:pPr>
      <w:r w:rsidRPr="00584E50">
        <w:t>°</w:t>
      </w:r>
    </w:p>
    <w:p w:rsidR="0010231B" w:rsidRPr="00584E50" w:rsidP="0010231B" w14:paraId="380E46C2" w14:textId="77777777">
      <w:pPr>
        <w:pStyle w:val="NormalCenter12a"/>
      </w:pPr>
      <w:r w:rsidRPr="00584E50">
        <w:t>°</w:t>
      </w:r>
      <w:r w:rsidRPr="00584E50">
        <w:tab/>
        <w:t>°</w:t>
      </w:r>
    </w:p>
    <w:p w:rsidR="00584E50" w:rsidRPr="00584E50" w:rsidP="00584E50" w14:paraId="16BD4E2E" w14:textId="7C7B7AFD">
      <w:pPr>
        <w:pStyle w:val="NormalHanging12a"/>
      </w:pPr>
      <w:r w:rsidRPr="00584E50">
        <w:t>59.</w:t>
      </w:r>
      <w:r w:rsidRPr="00584E50">
        <w:tab/>
        <w:t>zobowiązuje swoją przewodniczącą do przekazania niniejszej rezolucji Radzie, Komisji, wiceprzewodniczącej Komisji / wysokiej przedstawicielce Unii do spraw zagranicznych i polityki bezpieczeństwa, a także prezydentce, rządowi i parlamentowi Republiki Mołdawii.</w:t>
      </w:r>
    </w:p>
    <w:p w:rsidR="00E365E1" w:rsidRPr="00584E50" w:rsidP="00155924" w14:paraId="6A41DFFE" w14:textId="16578B23"/>
    <w:sectPr w:rsidSect="00584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4E50" w14:paraId="697A470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4E50" w14:paraId="1789744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4E50" w14:paraId="76AD0B9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55924" w:rsidRPr="00584E50" w14:paraId="7AB31910" w14:textId="77777777">
      <w:r w:rsidRPr="00584E50">
        <w:separator/>
      </w:r>
    </w:p>
  </w:footnote>
  <w:footnote w:type="continuationSeparator" w:id="1">
    <w:p w:rsidR="00155924" w:rsidRPr="00584E50" w14:paraId="6F47A0EC" w14:textId="77777777">
      <w:r w:rsidRPr="00584E50">
        <w:continuationSeparator/>
      </w:r>
    </w:p>
  </w:footnote>
  <w:footnote w:id="2">
    <w:p w:rsidR="00D71656" w:rsidRPr="00D71656" w:rsidP="00584E50" w14:paraId="31B9EBAB" w14:textId="0C5A6DFF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D71656">
        <w:rPr>
          <w:sz w:val="24"/>
          <w:lang w:val="fi-FI"/>
        </w:rPr>
        <w:t xml:space="preserve"> </w:t>
      </w:r>
      <w:r w:rsidRPr="00D71656">
        <w:rPr>
          <w:sz w:val="24"/>
          <w:lang w:val="fi-FI"/>
        </w:rPr>
        <w:tab/>
      </w:r>
      <w:r w:rsidRPr="00D71656">
        <w:rPr>
          <w:sz w:val="24"/>
          <w:lang w:val="fi-FI"/>
        </w:rPr>
        <w:t>Dz.U</w:t>
      </w:r>
      <w:r w:rsidRPr="00D71656">
        <w:rPr>
          <w:sz w:val="24"/>
          <w:lang w:val="fi-FI"/>
        </w:rPr>
        <w:t xml:space="preserve">. L, 2025/535, 21.3.2025, ELI: </w:t>
      </w:r>
      <w:hyperlink r:id="rId1" w:tgtFrame="http://data.europa.eu/eli/reg/2025/535/oj" w:history="1">
        <w:r w:rsidRPr="00D71656">
          <w:rPr>
            <w:rStyle w:val="Hyperlink"/>
            <w:sz w:val="24"/>
            <w:lang w:val="fi-FI"/>
          </w:rPr>
          <w:t>http://data.europa.eu/eli/reg/2025/535/oj</w:t>
        </w:r>
      </w:hyperlink>
      <w:r w:rsidRPr="00D71656">
        <w:rPr>
          <w:sz w:val="24"/>
          <w:lang w:val="fi-FI"/>
        </w:rPr>
        <w:t>.</w:t>
      </w:r>
    </w:p>
  </w:footnote>
  <w:footnote w:id="3">
    <w:p w:rsidR="00D71656" w:rsidRPr="00584E50" w:rsidP="00584E50" w14:paraId="40952574" w14:textId="6E799E87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584E50">
        <w:rPr>
          <w:sz w:val="24"/>
          <w:lang w:val="pl-PL"/>
        </w:rPr>
        <w:t xml:space="preserve"> </w:t>
      </w:r>
      <w:r w:rsidRPr="00584E50">
        <w:rPr>
          <w:sz w:val="24"/>
          <w:lang w:val="pl-PL"/>
        </w:rPr>
        <w:tab/>
        <w:t xml:space="preserve">Układ o stowarzyszeniu między Unią Europejską i Europejską Wspólnotą Energii Atomowej oraz ich państwami członkowskimi, z jednej strony, a Republiką Mołdawii, z drugiej strony (Dz.U. L 260 z 30.8.2014, s. 4, ELI: </w:t>
      </w:r>
      <w:hyperlink r:id="rId2" w:history="1">
        <w:r w:rsidRPr="0097772B">
          <w:rPr>
            <w:rStyle w:val="Hyperlink"/>
            <w:sz w:val="24"/>
            <w:lang w:val="pl-PL"/>
          </w:rPr>
          <w:t>http://data.europa.eu/eli/agree_internation/2014/492/oj</w:t>
        </w:r>
      </w:hyperlink>
      <w:r w:rsidRPr="00584E50">
        <w:rPr>
          <w:sz w:val="24"/>
          <w:lang w:val="pl-PL"/>
        </w:rPr>
        <w:t>).</w:t>
      </w:r>
    </w:p>
  </w:footnote>
  <w:footnote w:id="4">
    <w:p w:rsidR="00D71656" w:rsidRPr="00584E50" w:rsidP="00584E50" w14:paraId="310DD241" w14:textId="537082FB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584E50">
        <w:rPr>
          <w:sz w:val="24"/>
          <w:lang w:val="pl-PL"/>
        </w:rPr>
        <w:t xml:space="preserve"> </w:t>
      </w:r>
      <w:r w:rsidRPr="00584E50">
        <w:rPr>
          <w:sz w:val="24"/>
          <w:lang w:val="pl-PL"/>
        </w:rPr>
        <w:tab/>
        <w:t xml:space="preserve">Dyrektywa Parlamentu Europejskiego i Rady (UE) 2019/882 z dnia 17 kwietnia 2019 r. w sprawie wymogów dostępności produktów i usług (Dz.U. L 151 z 7.6.2019, s. 70, ELI: </w:t>
      </w:r>
      <w:hyperlink r:id="rId3" w:tgtFrame="http://data.europa.eu/eli/dir/2019/882/oj" w:history="1">
        <w:r w:rsidRPr="00584E50">
          <w:rPr>
            <w:rStyle w:val="Hyperlink"/>
            <w:sz w:val="24"/>
            <w:lang w:val="pl-PL"/>
          </w:rPr>
          <w:t>http://data.europa.eu/eli/dir/2019/882/oj</w:t>
        </w:r>
      </w:hyperlink>
      <w:r w:rsidRPr="00584E50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4E50" w14:paraId="3A90CFA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4E50" w14:paraId="4472A30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4E50" w14:paraId="5B144FA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3164071">
    <w:abstractNumId w:val="9"/>
  </w:num>
  <w:num w:numId="2" w16cid:durableId="306085204">
    <w:abstractNumId w:val="9"/>
  </w:num>
  <w:num w:numId="3" w16cid:durableId="371460965">
    <w:abstractNumId w:val="7"/>
  </w:num>
  <w:num w:numId="4" w16cid:durableId="256788861">
    <w:abstractNumId w:val="7"/>
  </w:num>
  <w:num w:numId="5" w16cid:durableId="703140450">
    <w:abstractNumId w:val="6"/>
  </w:num>
  <w:num w:numId="6" w16cid:durableId="1813593190">
    <w:abstractNumId w:val="6"/>
  </w:num>
  <w:num w:numId="7" w16cid:durableId="1823698677">
    <w:abstractNumId w:val="5"/>
  </w:num>
  <w:num w:numId="8" w16cid:durableId="740295968">
    <w:abstractNumId w:val="5"/>
  </w:num>
  <w:num w:numId="9" w16cid:durableId="1898588399">
    <w:abstractNumId w:val="4"/>
  </w:num>
  <w:num w:numId="10" w16cid:durableId="902832843">
    <w:abstractNumId w:val="4"/>
  </w:num>
  <w:num w:numId="11" w16cid:durableId="199711145">
    <w:abstractNumId w:val="8"/>
  </w:num>
  <w:num w:numId="12" w16cid:durableId="1396470841">
    <w:abstractNumId w:val="8"/>
  </w:num>
  <w:num w:numId="13" w16cid:durableId="1379210329">
    <w:abstractNumId w:val="3"/>
  </w:num>
  <w:num w:numId="14" w16cid:durableId="1769302137">
    <w:abstractNumId w:val="3"/>
  </w:num>
  <w:num w:numId="15" w16cid:durableId="1868983525">
    <w:abstractNumId w:val="2"/>
  </w:num>
  <w:num w:numId="16" w16cid:durableId="777257489">
    <w:abstractNumId w:val="2"/>
  </w:num>
  <w:num w:numId="17" w16cid:durableId="1225414804">
    <w:abstractNumId w:val="1"/>
  </w:num>
  <w:num w:numId="18" w16cid:durableId="497040234">
    <w:abstractNumId w:val="1"/>
  </w:num>
  <w:num w:numId="19" w16cid:durableId="2099867776">
    <w:abstractNumId w:val="0"/>
  </w:num>
  <w:num w:numId="20" w16cid:durableId="1234924607">
    <w:abstractNumId w:val="0"/>
  </w:num>
  <w:num w:numId="21" w16cid:durableId="1272318824">
    <w:abstractNumId w:val="9"/>
  </w:num>
  <w:num w:numId="22" w16cid:durableId="138691341">
    <w:abstractNumId w:val="7"/>
  </w:num>
  <w:num w:numId="23" w16cid:durableId="797920596">
    <w:abstractNumId w:val="6"/>
  </w:num>
  <w:num w:numId="24" w16cid:durableId="841549516">
    <w:abstractNumId w:val="5"/>
  </w:num>
  <w:num w:numId="25" w16cid:durableId="519198902">
    <w:abstractNumId w:val="4"/>
  </w:num>
  <w:num w:numId="26" w16cid:durableId="697773573">
    <w:abstractNumId w:val="8"/>
  </w:num>
  <w:num w:numId="27" w16cid:durableId="1362512421">
    <w:abstractNumId w:val="3"/>
  </w:num>
  <w:num w:numId="28" w16cid:durableId="407924304">
    <w:abstractNumId w:val="2"/>
  </w:num>
  <w:num w:numId="29" w16cid:durableId="1096638191">
    <w:abstractNumId w:val="1"/>
  </w:num>
  <w:num w:numId="30" w16cid:durableId="30420788">
    <w:abstractNumId w:val="0"/>
  </w:num>
  <w:num w:numId="31" w16cid:durableId="990908877">
    <w:abstractNumId w:val="9"/>
  </w:num>
  <w:num w:numId="32" w16cid:durableId="1342970232">
    <w:abstractNumId w:val="7"/>
  </w:num>
  <w:num w:numId="33" w16cid:durableId="1722245159">
    <w:abstractNumId w:val="6"/>
  </w:num>
  <w:num w:numId="34" w16cid:durableId="1331323617">
    <w:abstractNumId w:val="5"/>
  </w:num>
  <w:num w:numId="35" w16cid:durableId="183447629">
    <w:abstractNumId w:val="4"/>
  </w:num>
  <w:num w:numId="36" w16cid:durableId="1289125192">
    <w:abstractNumId w:val="8"/>
  </w:num>
  <w:num w:numId="37" w16cid:durableId="1898936708">
    <w:abstractNumId w:val="3"/>
  </w:num>
  <w:num w:numId="38" w16cid:durableId="1864125145">
    <w:abstractNumId w:val="2"/>
  </w:num>
  <w:num w:numId="39" w16cid:durableId="610820309">
    <w:abstractNumId w:val="1"/>
  </w:num>
  <w:num w:numId="40" w16cid:durableId="1502038326">
    <w:abstractNumId w:val="0"/>
  </w:num>
  <w:num w:numId="41" w16cid:durableId="1134061182">
    <w:abstractNumId w:val="10"/>
  </w:num>
  <w:num w:numId="42" w16cid:durableId="1356268018">
    <w:abstractNumId w:val="10"/>
  </w:num>
  <w:num w:numId="43" w16cid:durableId="996420002">
    <w:abstractNumId w:val="10"/>
  </w:num>
  <w:num w:numId="44" w16cid:durableId="16488999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924"/>
    <w:rsid w:val="00002272"/>
    <w:rsid w:val="00064002"/>
    <w:rsid w:val="000677B9"/>
    <w:rsid w:val="000831BA"/>
    <w:rsid w:val="000A42CC"/>
    <w:rsid w:val="000E7DD9"/>
    <w:rsid w:val="0010095E"/>
    <w:rsid w:val="0010231B"/>
    <w:rsid w:val="00125B37"/>
    <w:rsid w:val="001279C5"/>
    <w:rsid w:val="00155924"/>
    <w:rsid w:val="00187494"/>
    <w:rsid w:val="001F32AE"/>
    <w:rsid w:val="002767FF"/>
    <w:rsid w:val="002B18FE"/>
    <w:rsid w:val="002B5493"/>
    <w:rsid w:val="00343214"/>
    <w:rsid w:val="00361C00"/>
    <w:rsid w:val="00395FA1"/>
    <w:rsid w:val="003A335C"/>
    <w:rsid w:val="003E15D4"/>
    <w:rsid w:val="00411CCE"/>
    <w:rsid w:val="0041666E"/>
    <w:rsid w:val="00421060"/>
    <w:rsid w:val="00444DB4"/>
    <w:rsid w:val="00471C19"/>
    <w:rsid w:val="0047565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E5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72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C8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65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4/2026"/>
    <w:docVar w:name="dvlangue" w:val="PL"/>
    <w:docVar w:name="dvnumam" w:val="0"/>
    <w:docVar w:name="dvpe" w:val="782.290"/>
    <w:docVar w:name="dvrapporteur" w:val="Sprawozdawca: "/>
    <w:docVar w:name="dvstar" w:val="??"/>
    <w:docVar w:name="dvtitre" w:val="Rezolucja Parlamentu Europejskiego z dnia  2026 r. w sprawie sprawozdania Komisji dotyczącego Mołdawii – 2025 r.(2025/2258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19D7584"/>
  <w15:chartTrackingRefBased/>
  <w15:docId w15:val="{A20E06D2-7AC7-4B22-B560-92C73BE0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10231B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10231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10231B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10231B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10231B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10231B"/>
    <w:rPr>
      <w:color w:val="0000FF"/>
      <w:u w:val="single"/>
    </w:rPr>
  </w:style>
  <w:style w:type="paragraph" w:styleId="Revision">
    <w:name w:val="Revision"/>
    <w:hidden/>
    <w:uiPriority w:val="99"/>
    <w:semiHidden/>
    <w:rsid w:val="00D71656"/>
    <w:rPr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D716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535/oj" TargetMode="External" /><Relationship Id="rId2" Type="http://schemas.openxmlformats.org/officeDocument/2006/relationships/hyperlink" Target="http://data.europa.eu/eli/agree_internation/2014/492/oj" TargetMode="External" /><Relationship Id="rId3" Type="http://schemas.openxmlformats.org/officeDocument/2006/relationships/hyperlink" Target="http://data.europa.eu/eli/dir/2019/88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5565</Words>
  <Characters>38349</Characters>
  <Application>Microsoft Office Word</Application>
  <DocSecurity>0</DocSecurity>
  <Lines>319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2026-07-08T14:00:00Z</dcterms:created>
  <dcterms:modified xsi:type="dcterms:W3CDTF">2026-07-08T14:00:00Z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A10-0164/2026</vt:lpwstr>
  </property>
  <property fmtid="{D5CDD505-2E9C-101B-9397-08002B2CF9AE}" pid="4" name="&lt;Type&gt;">
    <vt:lpwstr>RR</vt:lpwstr>
  </property>
</Properties>
</file>