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06EB5B0" w14:textId="77777777" w:rsidTr="0010095E">
        <w:tblPrEx>
          <w:tblW w:w="9072" w:type="dxa"/>
          <w:tblLook w:val="01E0"/>
        </w:tblPrEx>
        <w:trPr>
          <w:trHeight w:hRule="exact" w:val="1418"/>
        </w:trPr>
        <w:tc>
          <w:tcPr>
            <w:tcW w:w="6804" w:type="dxa"/>
            <w:shd w:val="clear" w:color="auto" w:fill="auto"/>
            <w:vAlign w:val="center"/>
          </w:tcPr>
          <w:p w:rsidR="00751A4A" w:rsidRPr="000763A2" w:rsidP="0010095E" w14:paraId="1215B6BA" w14:textId="77777777">
            <w:pPr>
              <w:pStyle w:val="EPName"/>
            </w:pPr>
            <w:r w:rsidRPr="000763A2">
              <w:t>Parlamentul European</w:t>
            </w:r>
          </w:p>
          <w:p w:rsidR="00751A4A" w:rsidRPr="000763A2" w:rsidP="005F1B17" w14:paraId="660FCAD2" w14:textId="77777777">
            <w:pPr>
              <w:pStyle w:val="EPTerm"/>
              <w:rPr>
                <w:rStyle w:val="HideTWBExt"/>
                <w:noProof w:val="0"/>
                <w:vanish w:val="0"/>
                <w:color w:val="auto"/>
              </w:rPr>
            </w:pPr>
            <w:r w:rsidRPr="000763A2">
              <w:t>2024</w:t>
            </w:r>
            <w:r w:rsidRPr="000763A2" w:rsidR="00817416">
              <w:t>-202</w:t>
            </w:r>
            <w:r w:rsidRPr="000763A2">
              <w:t>9</w:t>
            </w:r>
          </w:p>
        </w:tc>
        <w:tc>
          <w:tcPr>
            <w:tcW w:w="2268" w:type="dxa"/>
            <w:shd w:val="clear" w:color="auto" w:fill="auto"/>
          </w:tcPr>
          <w:p w:rsidR="00751A4A" w:rsidRPr="000763A2" w:rsidP="0010095E" w14:paraId="06E4BE8C" w14:textId="77777777">
            <w:pPr>
              <w:pStyle w:val="EPLogo"/>
            </w:pPr>
            <w:r w:rsidRPr="000763A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763A2" w:rsidP="004C5D52" w14:paraId="023CD697" w14:textId="77777777">
      <w:pPr>
        <w:pStyle w:val="LineTop"/>
      </w:pPr>
    </w:p>
    <w:p w:rsidR="00680577" w:rsidRPr="000763A2" w:rsidP="00680577" w14:paraId="7301146D" w14:textId="77777777">
      <w:pPr>
        <w:pStyle w:val="EPBodyTA1"/>
      </w:pPr>
      <w:r w:rsidRPr="000763A2">
        <w:t>TEXTE ADOPTATE</w:t>
      </w:r>
    </w:p>
    <w:p w:rsidR="00D058B8" w:rsidRPr="000763A2" w:rsidP="00D058B8" w14:paraId="0B7994EF" w14:textId="77777777">
      <w:pPr>
        <w:pStyle w:val="LineBottom"/>
      </w:pPr>
    </w:p>
    <w:p w:rsidR="004C314C" w:rsidRPr="000763A2" w:rsidP="004C314C" w14:paraId="52535EA1" w14:textId="6DD1B141">
      <w:pPr>
        <w:pStyle w:val="ATHeading1"/>
      </w:pPr>
      <w:bookmarkStart w:id="0" w:name="TANumber"/>
      <w:r w:rsidRPr="000763A2">
        <w:t>P10_TA(2026)0</w:t>
      </w:r>
      <w:bookmarkEnd w:id="0"/>
      <w:r w:rsidRPr="000763A2" w:rsidR="000763A2">
        <w:t>260</w:t>
      </w:r>
    </w:p>
    <w:p w:rsidR="004C314C" w:rsidRPr="000763A2" w:rsidP="004C314C" w14:paraId="63621D1B" w14:textId="1D38CB46">
      <w:pPr>
        <w:pStyle w:val="ATHeading2"/>
      </w:pPr>
      <w:bookmarkStart w:id="1" w:name="title"/>
      <w:r w:rsidRPr="000763A2">
        <w:t xml:space="preserve">Raportul Comisiei </w:t>
      </w:r>
      <w:r w:rsidR="00340BBA">
        <w:t>pe</w:t>
      </w:r>
      <w:r w:rsidRPr="000763A2">
        <w:t xml:space="preserve"> 2025 privind Republica Moldova</w:t>
      </w:r>
      <w:bookmarkEnd w:id="1"/>
    </w:p>
    <w:p w:rsidR="004C314C" w:rsidRPr="000763A2" w:rsidP="004C314C" w14:paraId="46036DC0" w14:textId="77777777">
      <w:pPr>
        <w:rPr>
          <w:i/>
          <w:vanish/>
        </w:rPr>
      </w:pPr>
      <w:r>
        <w:rPr>
          <w:i/>
        </w:rPr>
        <w:fldChar w:fldCharType="begin"/>
      </w:r>
      <w:r w:rsidRPr="000763A2">
        <w:rPr>
          <w:i/>
        </w:rPr>
        <w:instrText xml:space="preserve"> TC"(</w:instrText>
      </w:r>
      <w:bookmarkStart w:id="2" w:name="DocNumber"/>
      <w:r w:rsidRPr="000763A2">
        <w:rPr>
          <w:i/>
        </w:rPr>
        <w:instrText>A10-0164/2026</w:instrText>
      </w:r>
      <w:bookmarkEnd w:id="2"/>
      <w:r w:rsidRPr="000763A2">
        <w:rPr>
          <w:i/>
        </w:rPr>
        <w:instrText xml:space="preserve"> - Raportor: Sven Mikser)"\l3 \n&gt; \* MERGEFORMAT </w:instrText>
      </w:r>
      <w:r>
        <w:rPr>
          <w:i/>
        </w:rPr>
        <w:fldChar w:fldCharType="end"/>
      </w:r>
    </w:p>
    <w:p w:rsidR="004C314C" w:rsidRPr="000763A2" w:rsidP="004C314C" w14:paraId="0C962988" w14:textId="77777777">
      <w:pPr>
        <w:rPr>
          <w:vanish/>
        </w:rPr>
      </w:pPr>
      <w:bookmarkStart w:id="3" w:name="Commission"/>
      <w:r w:rsidRPr="000763A2">
        <w:rPr>
          <w:vanish/>
        </w:rPr>
        <w:t>Comisia pentru afaceri externe</w:t>
      </w:r>
      <w:bookmarkEnd w:id="3"/>
    </w:p>
    <w:p w:rsidR="004C314C" w:rsidRPr="000763A2" w:rsidP="004C314C" w14:paraId="77C40485" w14:textId="77777777">
      <w:pPr>
        <w:rPr>
          <w:vanish/>
        </w:rPr>
      </w:pPr>
      <w:bookmarkStart w:id="4" w:name="PE"/>
      <w:r w:rsidRPr="000763A2">
        <w:rPr>
          <w:vanish/>
        </w:rPr>
        <w:t>PE782.290</w:t>
      </w:r>
      <w:bookmarkEnd w:id="4"/>
    </w:p>
    <w:p w:rsidR="004C314C" w:rsidRPr="000763A2" w:rsidP="004C314C" w14:paraId="35EE5269" w14:textId="77777777">
      <w:pPr>
        <w:pStyle w:val="ATHeading3"/>
      </w:pPr>
      <w:bookmarkStart w:id="5" w:name="Sujet"/>
      <w:r w:rsidRPr="000763A2">
        <w:t>Rezoluția Parlamentului European din 8 iulie 2026 referitoare la raportul Comisiei pe 2025 privind Republica Moldova</w:t>
      </w:r>
      <w:bookmarkEnd w:id="5"/>
      <w:r w:rsidRPr="000763A2">
        <w:t xml:space="preserve"> </w:t>
      </w:r>
      <w:bookmarkStart w:id="6" w:name="References"/>
      <w:r w:rsidRPr="000763A2">
        <w:t>(2025/2258(INI))</w:t>
      </w:r>
      <w:bookmarkEnd w:id="6"/>
    </w:p>
    <w:p w:rsidR="00B4617F" w:rsidRPr="000763A2" w:rsidP="00B4617F" w14:paraId="49E6DB0D" w14:textId="77777777">
      <w:pPr>
        <w:pStyle w:val="Normal12"/>
        <w:rPr>
          <w:i/>
          <w:iCs/>
        </w:rPr>
      </w:pPr>
      <w:r w:rsidRPr="000763A2">
        <w:rPr>
          <w:i/>
          <w:iCs/>
        </w:rPr>
        <w:t>Parlamentul European,</w:t>
      </w:r>
    </w:p>
    <w:p w:rsidR="00B4617F" w:rsidRPr="000763A2" w:rsidP="00B4617F" w14:paraId="386E50EC" w14:textId="17B3E9B8">
      <w:pPr>
        <w:pStyle w:val="NormalHanging"/>
      </w:pPr>
      <w:r w:rsidRPr="000763A2">
        <w:t>–</w:t>
      </w:r>
      <w:r w:rsidRPr="000763A2">
        <w:tab/>
        <w:t>având în vedere comunicarea Comisiei din 4 noiembrie 2025 intitulată „Comunicarea din 2025 privind politica de extindere a UE” (</w:t>
      </w:r>
      <w:r w:rsidRPr="000763A2" w:rsidR="00FF7CE9">
        <w:t>COM(2025)0690</w:t>
      </w:r>
      <w:r w:rsidRPr="000763A2">
        <w:t>), însoțită de documentul de lucru al serviciilor Comisiei din 4 noiembrie 2025 intitulat „Raportul pe 2025 privind Republica Moldova” (SWD(2025)0758),</w:t>
      </w:r>
    </w:p>
    <w:p w:rsidR="00B4617F" w:rsidRPr="000763A2" w:rsidP="00B4617F" w14:paraId="7B234758" w14:textId="557F8AA2">
      <w:pPr>
        <w:pStyle w:val="NormalHanging"/>
      </w:pPr>
      <w:r w:rsidRPr="000763A2">
        <w:t>–</w:t>
      </w:r>
      <w:r w:rsidRPr="000763A2">
        <w:tab/>
        <w:t>având în vedere Regulamentul (UE) 2025/535 al Parlamentului European și al Consiliului din 18 martie 2025 de instituire a Mecanismului de reformă și creștere pentru Republica Moldova</w:t>
      </w:r>
      <w:r>
        <w:rPr>
          <w:rStyle w:val="FootnoteReference"/>
        </w:rPr>
        <w:footnoteReference w:id="2"/>
      </w:r>
      <w:r w:rsidRPr="000763A2">
        <w:t>,</w:t>
      </w:r>
    </w:p>
    <w:p w:rsidR="00B4617F" w:rsidRPr="000763A2" w:rsidP="00B4617F" w14:paraId="13750477" w14:textId="77777777">
      <w:pPr>
        <w:pStyle w:val="NormalHanging"/>
      </w:pPr>
      <w:r w:rsidRPr="000763A2">
        <w:t>–</w:t>
      </w:r>
      <w:r w:rsidRPr="000763A2">
        <w:tab/>
        <w:t>având în vedere Agenda de reforme din cadrul Planului de creștere al Republicii Moldova (denumită în continuare „Moldova”) pentru perioada 2025-2027,</w:t>
      </w:r>
    </w:p>
    <w:p w:rsidR="00B4617F" w:rsidRPr="000763A2" w:rsidP="00B4617F" w14:paraId="0B3908B3" w14:textId="77777777">
      <w:pPr>
        <w:pStyle w:val="NormalHanging"/>
      </w:pPr>
      <w:r w:rsidRPr="000763A2">
        <w:t>–</w:t>
      </w:r>
      <w:r w:rsidRPr="000763A2">
        <w:tab/>
        <w:t>având în vedere rezoluțiile sale anterioare referitoare la Moldova,</w:t>
      </w:r>
    </w:p>
    <w:p w:rsidR="00B4617F" w:rsidRPr="000763A2" w:rsidP="00B4617F" w14:paraId="260F68BC" w14:textId="77777777">
      <w:pPr>
        <w:pStyle w:val="NormalHanging"/>
      </w:pPr>
      <w:r w:rsidRPr="000763A2">
        <w:t>–</w:t>
      </w:r>
      <w:r w:rsidRPr="000763A2">
        <w:tab/>
        <w:t>având în vedere concluziile Consiliului European din 26 iunie 2025 privind Moldova,</w:t>
      </w:r>
    </w:p>
    <w:p w:rsidR="00B4617F" w:rsidRPr="000763A2" w:rsidP="00B4617F" w14:paraId="3831C67E" w14:textId="77777777">
      <w:pPr>
        <w:pStyle w:val="NormalHanging"/>
      </w:pPr>
      <w:r w:rsidRPr="000763A2">
        <w:t>–</w:t>
      </w:r>
      <w:r w:rsidRPr="000763A2">
        <w:tab/>
        <w:t>având în vedere concluziile Președinției din 16 decembrie 2025 referitoare la extindere,</w:t>
      </w:r>
    </w:p>
    <w:p w:rsidR="00B4617F" w:rsidRPr="000763A2" w:rsidP="00B4617F" w14:paraId="6898B393" w14:textId="20CAB891">
      <w:pPr>
        <w:pStyle w:val="NormalHanging"/>
      </w:pPr>
      <w:r w:rsidRPr="000763A2">
        <w:t>–</w:t>
      </w:r>
      <w:r w:rsidRPr="000763A2">
        <w:tab/>
        <w:t xml:space="preserve">având în vedere declarația comună de la finalul </w:t>
      </w:r>
      <w:r w:rsidRPr="000763A2" w:rsidR="000E3218">
        <w:t xml:space="preserve">celui de al doilea </w:t>
      </w:r>
      <w:r w:rsidRPr="000763A2">
        <w:t xml:space="preserve">summit Republica Moldova-UE, din </w:t>
      </w:r>
      <w:r w:rsidRPr="000763A2" w:rsidR="000E3218">
        <w:t>22 iunie 2026</w:t>
      </w:r>
      <w:r w:rsidRPr="000763A2">
        <w:t>,</w:t>
      </w:r>
    </w:p>
    <w:p w:rsidR="00B4617F" w:rsidRPr="000763A2" w:rsidP="00B4617F" w14:paraId="452E0C82" w14:textId="77777777">
      <w:pPr>
        <w:pStyle w:val="NormalHanging"/>
      </w:pPr>
      <w:r w:rsidRPr="000763A2">
        <w:t>–</w:t>
      </w:r>
      <w:r w:rsidRPr="000763A2">
        <w:tab/>
        <w:t>având în vedere rezultatele celei de a noua reuniuni a Consiliului de asociere UE-Republica Moldova, din 4 iunie 2025,</w:t>
      </w:r>
    </w:p>
    <w:p w:rsidR="00B4617F" w:rsidRPr="000763A2" w:rsidP="00B4617F" w14:paraId="12A2A59B" w14:textId="77777777">
      <w:pPr>
        <w:pStyle w:val="NormalHanging"/>
      </w:pPr>
      <w:r w:rsidRPr="000763A2">
        <w:t>–</w:t>
      </w:r>
      <w:r w:rsidRPr="000763A2">
        <w:tab/>
        <w:t>având în vedere Memorandumul de înțelegere dintre Parlamentul European și Parlamentul Republicii Moldova, semnat la 18 martie 2026,</w:t>
      </w:r>
    </w:p>
    <w:p w:rsidR="00B4617F" w:rsidRPr="000763A2" w:rsidP="00B4617F" w14:paraId="04B7DEA3" w14:textId="77777777">
      <w:pPr>
        <w:pStyle w:val="NormalHanging"/>
      </w:pPr>
      <w:r w:rsidRPr="000763A2">
        <w:t>–</w:t>
      </w:r>
      <w:r w:rsidRPr="000763A2">
        <w:tab/>
        <w:t>având în vedere articolul 55 din Regulamentul său de procedură,</w:t>
      </w:r>
    </w:p>
    <w:p w:rsidR="00B4617F" w:rsidRPr="000763A2" w:rsidP="00B4617F" w14:paraId="1CE4D6F4" w14:textId="77777777">
      <w:pPr>
        <w:pStyle w:val="NormalHanging"/>
      </w:pPr>
      <w:r w:rsidRPr="000763A2">
        <w:t>–</w:t>
      </w:r>
      <w:r w:rsidRPr="000763A2">
        <w:tab/>
        <w:t>având în vedere raportul Comisiei pentru afaceri externe (A10-0164/2026),</w:t>
      </w:r>
    </w:p>
    <w:p w:rsidR="00D62841" w:rsidRPr="000763A2" w:rsidP="00D62841" w14:paraId="64B675C1" w14:textId="77777777">
      <w:pPr>
        <w:pStyle w:val="NormalHanging"/>
      </w:pPr>
      <w:r w:rsidRPr="000763A2">
        <w:t>A.</w:t>
      </w:r>
      <w:r w:rsidRPr="000763A2">
        <w:tab/>
        <w:t xml:space="preserve">întrucât, la 22 septembrie 2025, Moldova a încheiat examinarea bilaterală care a început la 10 iulie 2024; întrucât Moldova este pregătită să deschidă oficial negocierile privind </w:t>
      </w:r>
      <w:r w:rsidRPr="000763A2">
        <w:t>toate cele șase grupuri tematice pentru negocierile de aderare la UE;</w:t>
      </w:r>
      <w:r>
        <w:t xml:space="preserve"> </w:t>
      </w:r>
      <w:r w:rsidRPr="000763A2">
        <w:t>întrucât negocierile privind grupul tematic 1 (Elemente fundamentale) au fost deschise oficial la 15 iunie 2026;</w:t>
      </w:r>
    </w:p>
    <w:p w:rsidR="00D62841" w:rsidP="00B4617F" w14:paraId="28BDD87C" w14:textId="77777777">
      <w:pPr>
        <w:pStyle w:val="NormalHanging"/>
      </w:pPr>
      <w:r w:rsidRPr="000763A2">
        <w:t>B.</w:t>
      </w:r>
      <w:r w:rsidRPr="000763A2">
        <w:tab/>
        <w:t>întrucât guvernul Moldovei și-a anunțat obiectivul ambițios, dar realizabil de a încheia provizoriu negocierile de aderare până la începutul anului 2028 și de a adera la Uniunea Europeană până în 2030;</w:t>
      </w:r>
      <w:r w:rsidRPr="000763A2" w:rsidR="000E3218">
        <w:t xml:space="preserve"> </w:t>
      </w:r>
    </w:p>
    <w:p w:rsidR="00B4617F" w:rsidRPr="000763A2" w:rsidP="00B4617F" w14:paraId="7D72610E" w14:textId="3F728DFC">
      <w:pPr>
        <w:pStyle w:val="NormalHanging"/>
      </w:pPr>
      <w:r w:rsidRPr="000763A2">
        <w:t>C.</w:t>
      </w:r>
      <w:r w:rsidRPr="000763A2">
        <w:tab/>
        <w:t>întrucât Moldova a organizat alegeri parlamentare la 28 septembrie 2025, care au avut ca rezultat alegerea unei majorități proeuropene și au reafirmat aspirațiile populației din Moldova la un viitor european pentru țara lor, în pofida ingerințelor străine fără precedent din partea Rusiei și a interpușilor săi, care, potrivit autorităților din Moldova, au cheltuit pentru ingerinț</w:t>
      </w:r>
      <w:r w:rsidRPr="000763A2" w:rsidR="00FF7CE9">
        <w:t>ele</w:t>
      </w:r>
      <w:r w:rsidRPr="000763A2">
        <w:t xml:space="preserve"> respectiv</w:t>
      </w:r>
      <w:r w:rsidRPr="000763A2" w:rsidR="00FF7CE9">
        <w:t>e</w:t>
      </w:r>
      <w:r w:rsidRPr="000763A2">
        <w:t xml:space="preserve"> echivalentul a 2 % din produsul intern brut al Moldovei, reprezentând 350 de milioane EUR;</w:t>
      </w:r>
    </w:p>
    <w:p w:rsidR="00B4617F" w:rsidRPr="000763A2" w:rsidP="00B4617F" w14:paraId="28024B47" w14:textId="77777777">
      <w:pPr>
        <w:pStyle w:val="NormalHanging"/>
      </w:pPr>
      <w:r w:rsidRPr="000763A2">
        <w:t>D.</w:t>
      </w:r>
      <w:r w:rsidRPr="000763A2">
        <w:tab/>
        <w:t>întrucât Moldova poartă negocieri tehnice cu Comisia cu privire la toate cele șase grupuri tematice pentru negocierile de aderare la UE,</w:t>
      </w:r>
    </w:p>
    <w:p w:rsidR="00B4617F" w:rsidRPr="000763A2" w:rsidP="00B4617F" w14:paraId="7B0E9990" w14:textId="77777777">
      <w:pPr>
        <w:pStyle w:val="NormalHanging"/>
      </w:pPr>
      <w:r w:rsidRPr="000763A2">
        <w:t>E.</w:t>
      </w:r>
      <w:r w:rsidRPr="000763A2">
        <w:tab/>
        <w:t>întrucât acordul de asociere, care include o zonă de liber schimb aprofundată și cuprinzătoare (DCFTA), constituie în continuare temeiul asocierii politice și al integrării economice dintre UE și Moldova, iar cele două părți poartă periodic un dialog politic și economic;</w:t>
      </w:r>
    </w:p>
    <w:p w:rsidR="00B4617F" w:rsidRPr="000763A2" w:rsidP="00B4617F" w14:paraId="7A26210B" w14:textId="77777777">
      <w:pPr>
        <w:pStyle w:val="NormalHanging"/>
      </w:pPr>
      <w:r w:rsidRPr="000763A2">
        <w:t>F.</w:t>
      </w:r>
      <w:r w:rsidRPr="000763A2">
        <w:tab/>
        <w:t>întrucât, la 19 ianuarie 2026, Guvernul Republicii Moldova și-a anunțat intenția de a se retrage oficial din Comunitatea Statelor Independente, la 2 aprilie 2026, Parlamentul Republicii Moldova a adoptat oficial, în lectura sa finală, o lege de denunțare a actelor fondatoare ale organizației, iar la 6 aprilie 2026, președinta Maia Sandu a semnat decretul de promulgare a legii,</w:t>
      </w:r>
    </w:p>
    <w:p w:rsidR="00B4617F" w:rsidRPr="000763A2" w:rsidP="00B4617F" w14:paraId="23CEAD64" w14:textId="77777777">
      <w:pPr>
        <w:pStyle w:val="Normal12a"/>
      </w:pPr>
      <w:r w:rsidRPr="000763A2">
        <w:rPr>
          <w:b/>
          <w:i/>
        </w:rPr>
        <w:t>Progresele înregistrate în ceea ce privește reformele legate de aderarea la UE, în special cu privire la statul de drept și la guvernanță</w:t>
      </w:r>
    </w:p>
    <w:p w:rsidR="00B4617F" w:rsidRPr="000763A2" w:rsidP="00B4617F" w14:paraId="4ADE9BAF" w14:textId="77777777">
      <w:pPr>
        <w:pStyle w:val="NormalHanging12a"/>
      </w:pPr>
      <w:r w:rsidRPr="000763A2">
        <w:t>1.</w:t>
      </w:r>
      <w:r w:rsidRPr="000763A2">
        <w:tab/>
        <w:t>felicită Moldova pentru angajamentul său exemplar continuu față de aderarea la UE și pentru progresele sale constante privind reformele conexe, în pofida unor provocări interne și externe semnificative, cum ar fi ingerința ostilă persistentă a Rusiei; salută evaluarea Comisiei potrivit căreia Moldova a înregistrat progrese în toate capitolele și a realizat cele mai mari progrese anuale în rândul țărilor candidate; consideră că progresele respective sunt cu atât mai remarcabile cu cât țara funcționează în continuare sub o presiune geopolitică extraordinară; încurajează Moldova să mențină ritmul reformelor, astfel încât progresele să ducă la beneficii concrete pentru cetățeni și întreprinderi, consolidând dezvoltarea economică, reziliența și convergența cu Uniunea Europeană, în conformitate cu ambiția sa declarată de a încheia provizoriu negocierile de aderare până la începutul anului 2028;</w:t>
      </w:r>
    </w:p>
    <w:p w:rsidR="00B4617F" w:rsidRPr="000763A2" w:rsidP="00B4617F" w14:paraId="590777EB" w14:textId="1C1762DA">
      <w:pPr>
        <w:pStyle w:val="NormalHanging12a"/>
      </w:pPr>
      <w:r w:rsidRPr="000763A2">
        <w:t>2.</w:t>
      </w:r>
      <w:r w:rsidRPr="000763A2">
        <w:tab/>
        <w:t xml:space="preserve">salută </w:t>
      </w:r>
      <w:r w:rsidRPr="000763A2" w:rsidR="00327BAD">
        <w:t xml:space="preserve">deschiderea, la 15 iunie 2026, a negocierilor de aderare privind grupul tematic 1 (Elemente fundamentale), după </w:t>
      </w:r>
      <w:r w:rsidRPr="000763A2">
        <w:t>finalizarea cu succes a procesului bilateral de examinare analitică</w:t>
      </w:r>
      <w:r w:rsidRPr="000763A2" w:rsidR="00327BAD">
        <w:t>, în septembrie 2025,</w:t>
      </w:r>
      <w:r w:rsidRPr="000763A2">
        <w:t xml:space="preserve"> și începerea </w:t>
      </w:r>
      <w:r w:rsidRPr="000763A2" w:rsidR="00327BAD">
        <w:t xml:space="preserve">ulterioară a </w:t>
      </w:r>
      <w:r w:rsidRPr="000763A2">
        <w:t xml:space="preserve">discuțiilor tehnice privind grupurile tematice de negociere; salută evaluarea Comisiei potrivit căreia toate cele șase grupuri tematice de negociere sunt gata să fie deschise; îndeamnă Consiliul să adopte o abordare bazată pe merit și să deschidă oficial </w:t>
      </w:r>
      <w:r w:rsidRPr="000763A2" w:rsidR="00327BAD">
        <w:t xml:space="preserve">toate </w:t>
      </w:r>
      <w:r w:rsidRPr="000763A2">
        <w:t xml:space="preserve">grupurile tematice fără alte întârzieri; reamintește statelor membre principiul cooperării loiale, prevăzut la </w:t>
      </w:r>
      <w:r w:rsidRPr="000763A2">
        <w:t>articolul 4 alineatul (3) din Tratatul privind Uniunea Europeană, care le impune să se abțină de la orice măsură care ar putea pune în pericol realizarea obiectivelor Uniunii și, prin urmare, le îndeamnă să evite blocarea sau întârzierea negocierilor de aderare pe baza unor neînțelegeri bilaterale; subliniază că deschiderea negocierilor de aderare ar semnala că UE recunoaște și recompensează realizările concrete ale Moldovei, consolidând credibilitatea și integritatea procesului de extindere; salută adoptarea foilor de parcurs privind statul de drept, administrația publică și instituțiile democratice și a Programului Național actualizat de Aderare la Uniunea Europeană pentru perioada 2025-2029; salută progresele realizate deja de Moldova la nivel tehnic în transpunerea acquis-ului UE;</w:t>
      </w:r>
    </w:p>
    <w:p w:rsidR="00B4617F" w:rsidRPr="000763A2" w:rsidP="00B4617F" w14:paraId="0E904911" w14:textId="77777777">
      <w:pPr>
        <w:pStyle w:val="NormalHanging12a"/>
      </w:pPr>
      <w:r w:rsidRPr="000763A2">
        <w:t>3.</w:t>
      </w:r>
      <w:r w:rsidRPr="000763A2">
        <w:tab/>
        <w:t>evidențiază că ritmul procesului de aderare a Moldovei ar trebui să reflecte progresele semnificative pe care le-a înregistrat din perspectiva reformelor; îndeamnă Comisia să se implice activ în acordarea și facilitarea sprijinului pregătitor, inclusiv sub formă de asistență tehnică, verificări de urmărire subsecventă și capacitare administrativă, astfel încât Moldova să poată înregistra progrese efective în cadrul negocierilor și simultan în toate grupurile tematice;</w:t>
      </w:r>
    </w:p>
    <w:p w:rsidR="00B4617F" w:rsidRPr="000763A2" w:rsidP="00B4617F" w14:paraId="504FCAB8" w14:textId="77777777">
      <w:pPr>
        <w:pStyle w:val="NormalHanging12a"/>
      </w:pPr>
      <w:r w:rsidRPr="000763A2">
        <w:t>4.</w:t>
      </w:r>
      <w:r w:rsidRPr="000763A2">
        <w:tab/>
        <w:t>recunoaște că integrarea europeană a Moldovei contribuie pozitiv la stabilitatea și securitatea Europei și reprezintă, pentru țară, un catalizator de bază al rezilienței democratice, al reformei instituționale, al statului de drept și al dezvoltării economice durabile;</w:t>
      </w:r>
    </w:p>
    <w:p w:rsidR="00B4617F" w:rsidRPr="000763A2" w:rsidP="00B4617F" w14:paraId="2020E1DE" w14:textId="77777777">
      <w:pPr>
        <w:pStyle w:val="NormalHanging12a"/>
      </w:pPr>
      <w:r w:rsidRPr="000763A2">
        <w:t>5.</w:t>
      </w:r>
      <w:r w:rsidRPr="000763A2">
        <w:tab/>
        <w:t>ia act de evaluarea Comisiei potrivit căreia Moldova a înregistrat progrese semnificative în reforma sectorului justiției; reamintește că Moldova s-a angajat să urmeze recomandările Comisiei de la Veneția; subliniază că sustenabilitatea reformelor necesită o amplă asumare politică și un dialog incluziv la nivelul întregului spectru politic, precum și consultarea temeinică a societății civile și a părților interesate profesionale; recunoaște voința politică statornică a Moldovei și eforturile sale susținute de a construi un sistem judiciar independent, imparțial, responsabil și profesionist;</w:t>
      </w:r>
    </w:p>
    <w:p w:rsidR="00B4617F" w:rsidRPr="000763A2" w:rsidP="00B4617F" w14:paraId="2885C024" w14:textId="77777777">
      <w:pPr>
        <w:pStyle w:val="NormalHanging12a"/>
      </w:pPr>
      <w:r w:rsidRPr="000763A2">
        <w:t>6.</w:t>
      </w:r>
      <w:r w:rsidRPr="000763A2">
        <w:tab/>
        <w:t>invită autoritățile din Moldova să garanteze soliditatea juridică, caracterul incluziv și previzibilitatea procesului de verificare a judecătorilor și a procurorilor și încurajează țara să încheie efectiv și fără întârziere procesul, deoarece finalizarea verificărilor este esențială pentru a garanta încrederea publicului în sistemul judiciar, a îndepărta judecătorii compromiși și a consolida statul de drept ca piatră de temelie pentru integrarea în UE; îndeamnă Moldova să asigure suficiente resurse umane și bugetare pentru organismele judiciare și să ia în continuare măsuri pentru a le consolida capacitățile, astfel încât, între altele, să abordeze deficitul de judecători și procurori, să reducă durata procedurilor, în special în cazurile de corupție și de criminalitate economică, și să îmbunătățească digitalizarea, accesibilitatea, eficiența și transparența justiției pentru toți cetățenii;</w:t>
      </w:r>
    </w:p>
    <w:p w:rsidR="00B4617F" w:rsidRPr="000763A2" w:rsidP="00B4617F" w14:paraId="2E28EB4A" w14:textId="77777777">
      <w:pPr>
        <w:pStyle w:val="NormalHanging12a"/>
      </w:pPr>
      <w:r w:rsidRPr="000763A2">
        <w:t>7.</w:t>
      </w:r>
      <w:r w:rsidRPr="000763A2">
        <w:tab/>
        <w:t>ia act de progresele consecvente înregistrate de Moldova în prevenirea și combaterea corupției, reflectate de un bilanț mai bun al cazurilor la nivel înalt și nu numai; accentuează că trebuie să se consolideze în continuare capacitățile operaționale, independența instituțională, profesionalismul și responsabilitatea și să se îmbunătățească mecanismele de coordonare între toate principalele instituții judiciare și de combatere a corupției, pentru a garanta succesul pe termen lung al reformelor cuprinzătoare;</w:t>
      </w:r>
    </w:p>
    <w:p w:rsidR="00B4617F" w:rsidRPr="000763A2" w:rsidP="00B4617F" w14:paraId="72D730EC" w14:textId="77777777">
      <w:pPr>
        <w:pStyle w:val="NormalHanging12a"/>
      </w:pPr>
      <w:r w:rsidRPr="000763A2">
        <w:t>8.</w:t>
      </w:r>
      <w:r w:rsidRPr="000763A2">
        <w:tab/>
        <w:t>reliefează că demersurile de combatere a corupției trebuie puse în practică în mod consecvent, depolitizat și transparent, evitând inițiativele legislative ad-hoc sau accelerate care pot submina securitatea juridică și încrederea în instituții; subliniază că este important, din perspectiva reformelor, să se pună accentul pe calitate, sustenabilitate și respectarea garanțiilor procedurale, și nu pe viteză, pentru a asigura credibilitatea și reziliența pe termen lung a cadrului anticorupție;</w:t>
      </w:r>
    </w:p>
    <w:p w:rsidR="00B4617F" w:rsidRPr="000763A2" w:rsidP="00B4617F" w14:paraId="447CD308" w14:textId="77777777">
      <w:pPr>
        <w:pStyle w:val="NormalHanging12a"/>
      </w:pPr>
      <w:r w:rsidRPr="000763A2">
        <w:t>9.</w:t>
      </w:r>
      <w:r w:rsidRPr="000763A2">
        <w:tab/>
        <w:t>evidențiază că, pentru a promova integrarea europeană a Moldovei, rămâne o prioritate majoră să se abordeze în continuare influența structurilor oligarhice în sfera politică, economică și mediatică;</w:t>
      </w:r>
    </w:p>
    <w:p w:rsidR="00B4617F" w:rsidRPr="000763A2" w:rsidP="00B4617F" w14:paraId="03B8B925" w14:textId="77777777">
      <w:pPr>
        <w:pStyle w:val="NormalHanging12a"/>
      </w:pPr>
      <w:r w:rsidRPr="000763A2">
        <w:t>10.</w:t>
      </w:r>
      <w:r w:rsidRPr="000763A2">
        <w:tab/>
        <w:t xml:space="preserve">relevă că alegerile parlamentare din 28 septembrie 2025 au fost al cincilea vot consecutiv prin care s-a confirmat sprijinul populației din Moldova pentru aderarea țării la UE și pentru reformele aferente; condamnă ferm încercările repetate ale Federației Ruse, ale oligarhilor </w:t>
      </w:r>
      <w:r w:rsidRPr="000763A2">
        <w:t>proruși</w:t>
      </w:r>
      <w:r w:rsidRPr="000763A2">
        <w:t xml:space="preserve"> și ale interpușilor ruși de a crea și difuza dezinformări, de a destabiliza țara, de a-i diviza societatea, de a-i submina instituțiile democratice și de a-i inversa direcția europeană;</w:t>
      </w:r>
    </w:p>
    <w:p w:rsidR="00B4617F" w:rsidRPr="000763A2" w:rsidP="00B4617F" w14:paraId="60A36EBF" w14:textId="77777777">
      <w:pPr>
        <w:pStyle w:val="NormalHanging12a"/>
      </w:pPr>
      <w:r w:rsidRPr="000763A2">
        <w:t>11.</w:t>
      </w:r>
      <w:r w:rsidRPr="000763A2">
        <w:tab/>
        <w:t>salută evaluarea Biroului pentru Instituții Democratice și Drepturile Omului (ODIHR) al Organizației pentru Securitate și Cooperare în Europa (OSCE) potrivit căreia alegerile parlamentare au fost bine organizate și competitive și au oferit alegătorilor posibilitatea clară de a alege dintre opțiuni politice diferite; invită Moldova să își alinieze în continuare legislația legată de alegeri și de procesele sale electorale la standardele europene și internaționale și să pună în aplicare toate recomandările neabordate formulate de Comisia de la Veneția și de OSCE/ODIHR;</w:t>
      </w:r>
    </w:p>
    <w:p w:rsidR="00B4617F" w:rsidRPr="000763A2" w:rsidP="00B4617F" w14:paraId="78DC78F7" w14:textId="77777777">
      <w:pPr>
        <w:pStyle w:val="NormalHanging12a"/>
      </w:pPr>
      <w:r w:rsidRPr="000763A2">
        <w:t>12.</w:t>
      </w:r>
      <w:r w:rsidRPr="000763A2">
        <w:tab/>
        <w:t>salută reziliența de care au dat dovadă instituțiile și societatea din Moldova în a proteja integritatea procesului electoral, în pofida unei campanii hibride masive desfășurate de Rusia și de interpușii săi; observă că factorii-cheie ai reușitei au fost măsurile prompte și coordonate ale autorităților din Moldova, implicarea activă a societății civile și a mass-mediei independente și sprijinul UE și al statelor sale membre, inclusiv prin misiunea de parteneriat a UE în Republica Moldova (EUPM);</w:t>
      </w:r>
    </w:p>
    <w:p w:rsidR="00B4617F" w:rsidRPr="000763A2" w:rsidP="00B4617F" w14:paraId="3D1984EE" w14:textId="77777777">
      <w:pPr>
        <w:pStyle w:val="NormalHanging12a"/>
      </w:pPr>
      <w:r w:rsidRPr="000763A2">
        <w:t>13.</w:t>
      </w:r>
      <w:r w:rsidRPr="000763A2">
        <w:tab/>
        <w:t xml:space="preserve">avertizează că ingerințele răuvoitoare ale Rusiei constituie un proces continuu și în permanentă schimbare, care necesită monitorizare constantă și un răspuns întemeiat pe o abordare la nivelul întregii societăți, cu resurse și capacități instituționale adecvate; îndeamnă UE și statele sale membre să își consolideze sprijinul pentru reziliența instituțională, capacitățile de comunicare strategică, securitatea cibernetică, mass-media independentă și garanțiile democratice ale Moldovei; accentuează că demersurile sale de a combate răspândirea dezinformării și informarea greșită de către Rusia ar trebui să respecte cerințele în materie de legalitate, necesitate și proporționalitate; constată că experiența dobândită în Moldova poate fi utilizată pentru a apăra alte democrații care se confruntă cu amenințări hibride similare; se declară profund îngrijorat de activitățile rețelelor </w:t>
      </w:r>
      <w:r w:rsidRPr="000763A2">
        <w:t>proruse</w:t>
      </w:r>
      <w:r w:rsidRPr="000763A2">
        <w:t xml:space="preserve">, identificate a avea legături cu eludarea pe scară largă a sancțiunilor, ingerințele electorale și campaniile de dezinformare prin utilizarea unor infrastructuri de </w:t>
      </w:r>
      <w:r w:rsidRPr="000763A2">
        <w:t>criptomonede</w:t>
      </w:r>
      <w:r w:rsidRPr="000763A2">
        <w:t xml:space="preserve"> asociate unor actori financiari ruși, cum ar fi </w:t>
      </w:r>
      <w:r w:rsidRPr="000763A2">
        <w:t>Promsviazbank</w:t>
      </w:r>
      <w:r w:rsidRPr="000763A2">
        <w:t>; invită Comisia și statele membre să consolideze cooperarea în materie de informații financiare, să îmbunătățească aplicarea sancțiunilor și să sprijine autoritățile din Moldova în combaterea fluxurilor financiare ilicite și a ingerințelor străine prin intermediul unor țări din afara UE, inclusiv prin sancțiuni specifice și măsuri de monitorizare cibernetică;</w:t>
      </w:r>
    </w:p>
    <w:p w:rsidR="00B4617F" w:rsidRPr="000763A2" w:rsidP="00B4617F" w14:paraId="170D7934" w14:textId="77777777">
      <w:pPr>
        <w:pStyle w:val="NormalHanging12a"/>
      </w:pPr>
      <w:r w:rsidRPr="000763A2">
        <w:t>14.</w:t>
      </w:r>
      <w:r w:rsidRPr="000763A2">
        <w:tab/>
        <w:t>evidențiază rolul vital jucat de diaspora Moldovei în a menține țara pe calea sa europeană, după cum o demonstrează participarea sa activă la procesele democratice, inclusiv la alegerile parlamentare din 28 septembrie 2025, și contribuțiile sale semnificative la dezvoltarea socioeconomică a Moldovei; îndeamnă autoritățile din Moldova să consolideze în continuare legăturile cu diaspora și să îi faciliteze implicarea activă în procesul de integrare europeană a țării;</w:t>
      </w:r>
    </w:p>
    <w:p w:rsidR="00B4617F" w:rsidRPr="000763A2" w:rsidP="00B4617F" w14:paraId="7AEF7217" w14:textId="77777777">
      <w:pPr>
        <w:pStyle w:val="NormalHanging12a"/>
      </w:pPr>
      <w:r w:rsidRPr="000763A2">
        <w:t>15.</w:t>
      </w:r>
      <w:r w:rsidRPr="000763A2">
        <w:tab/>
        <w:t>invită autoritățile din Moldova să își valorifice puternicul mandat proeuropean pentru a accelera ritmul tuturor reformelor esențiale necesare în calea către apartenența la UE și pentru a concretiza ambiția de a încheia negocierile de aderare până la începutul anului 2028; recunoaște angajamentul ferm al Moldovei, în calitate de țară candidată, de a întreprinde reforme exigente, dar necesare; îndeamnă elita politică din Moldova să mențină consensul politic cu privire la aderarea la UE; subliniază că este esențial să se mențină încrederea cetățenilor din Moldova în procesul de aderare la UE, inclusiv prin deschiderea oficială promptă a negocierilor de aderare; salută înființarea unei comisii speciale pentru integrare europeană în cadrul Parlamentului Republicii Moldova și evidențiază importanța cooperării între partide pentru succesul durabil al reformelor legate de aderarea la UE și pentru progresul pe calea aderării la UE;</w:t>
      </w:r>
    </w:p>
    <w:p w:rsidR="00B4617F" w:rsidRPr="000763A2" w:rsidP="00B4617F" w14:paraId="4EF8D105" w14:textId="77777777">
      <w:pPr>
        <w:pStyle w:val="NormalHanging12a"/>
      </w:pPr>
      <w:r w:rsidRPr="000763A2">
        <w:t>16.</w:t>
      </w:r>
      <w:r w:rsidRPr="000763A2">
        <w:tab/>
        <w:t xml:space="preserve">se declară pregătit să susțină în continuare Parlamentul Republicii Moldova prin activități convenite de comun acord în sprijinul democrației, care să răspundă nevoilor instituției, ale membrilor săi aleși și ale personalului său; evidențiază că, la 7 noiembrie 2025, a fost deschis oficial la Chișinău biroul Parteneriatului estic al Parlamentului European, demonstrând angajamentul Parlamentului de a-și aprofunda colaborarea cu Moldova și cu întreaga regiune a Parteneriatului estic; salută, în acest context, memorandumul de înțelegere reînnoit semnat de Președinta </w:t>
      </w:r>
      <w:r w:rsidRPr="000763A2">
        <w:t>Metsola</w:t>
      </w:r>
      <w:r w:rsidRPr="000763A2">
        <w:t xml:space="preserve"> și de președintele Parlamentului Republicii Moldova, Igor Grosu, în martie 2026;</w:t>
      </w:r>
    </w:p>
    <w:p w:rsidR="00B4617F" w:rsidRPr="000763A2" w:rsidP="00B4617F" w14:paraId="3A777F9D" w14:textId="0312B3E3">
      <w:pPr>
        <w:pStyle w:val="NormalHanging12a"/>
      </w:pPr>
      <w:r w:rsidRPr="000763A2">
        <w:t>17.</w:t>
      </w:r>
      <w:r w:rsidRPr="000763A2">
        <w:tab/>
        <w:t>salută organizarea, în iulie 2025, a primului summit UE-Moldova, marcând o etapă politică importantă în relațiile dintre UE și Moldova și un semnal politic puternic de sprijin pentru calea europeană, stabilitatea democratică și suveranitatea Moldovei;</w:t>
      </w:r>
      <w:r w:rsidRPr="000763A2" w:rsidR="00327BAD">
        <w:t xml:space="preserve"> ia act de declarația comună formulată în urma celui de al doilea summit UE-Moldova, din 22 iunie 2026, care subliniază atât angajamentul Moldovei de a consolida în continuare statul de drept, cât și încurajările transmise de UE în vederea unor eforturi și mai mari privind reforma sistemului judiciar și lupta împotriva corupției;</w:t>
      </w:r>
    </w:p>
    <w:p w:rsidR="00B4617F" w:rsidRPr="000763A2" w:rsidP="00B4617F" w14:paraId="156778DD" w14:textId="77777777">
      <w:pPr>
        <w:pStyle w:val="NormalHanging12a"/>
      </w:pPr>
      <w:r w:rsidRPr="000763A2">
        <w:t>18.</w:t>
      </w:r>
      <w:r w:rsidRPr="000763A2">
        <w:tab/>
        <w:t>subliniază că este important să se combată dezinformarea cu privire la procesul de integrare europeană; îndeamnă Comisia, Serviciul European de Acțiune Externă (SEAE) și Guvernul Republicii Moldova să își intensifice demersurile comune de comunicare strategică pentru a îmbunătăți vizibilitatea UE în Moldova; accentuează că sunt necesare campanii specifice pentru a le explica cetățenilor din Moldova, în special celor din zonele și regiunile rurale, avantajele zilnice concrete ale pregătirilor pentru aderarea la UE și ale proiectelor finanțate de UE;</w:t>
      </w:r>
    </w:p>
    <w:p w:rsidR="00B4617F" w:rsidRPr="000763A2" w:rsidP="00B4617F" w14:paraId="3D946D0F" w14:textId="77777777">
      <w:pPr>
        <w:pStyle w:val="NormalHanging12a"/>
      </w:pPr>
      <w:r w:rsidRPr="000763A2">
        <w:t>19.</w:t>
      </w:r>
      <w:r w:rsidRPr="000763A2">
        <w:tab/>
        <w:t xml:space="preserve">reliefează importanța acțiunilor de sprijinire a democrației în Moldova, care îmbunătățesc calitatea dezbaterii democratice și reziliența în fața dezinformării; se declară satisfăcut că autoritățile și actorii societății civile din Moldova cooperează, printre altele, cu Fondul european pentru democrație (FED), ca instrument care poate acoperi vidul lăsat în regiune de desființarea Agenției Statelor Unite pentru Dezvoltare Internațională (USAID); felicită FED, în acest context, pentru că a acordat cu 62 % mai multe granturi în 2025 decât în 2024, în pofida unui buget cu doar 34 % mai mare; se </w:t>
      </w:r>
      <w:r w:rsidRPr="000763A2">
        <w:t>bucură că, în 2025, FED și-a triplat sprijinul acordat entităților din Moldova în comparație cu 2024;</w:t>
      </w:r>
    </w:p>
    <w:p w:rsidR="00B4617F" w:rsidRPr="000763A2" w:rsidP="00B4617F" w14:paraId="0228A9D3" w14:textId="77777777">
      <w:pPr>
        <w:pStyle w:val="NormalHanging12a"/>
      </w:pPr>
      <w:r w:rsidRPr="000763A2">
        <w:t>20.</w:t>
      </w:r>
      <w:r w:rsidRPr="000763A2">
        <w:tab/>
        <w:t>reiterează că sprijinul populației din Moldova pentru integrarea europeană poate fi consolidat prin realizarea unei îmbunătățiri concrete a mijloacelor sale de subzistență, întărirea instituțiilor de stat, asigurarea unui sistem mai solid de protecție socială, combaterea sărăciei, creșterea nivelului de trai în întreaga țară și contracararea corupției și a influenței oligarhilor;</w:t>
      </w:r>
    </w:p>
    <w:p w:rsidR="00B4617F" w:rsidRPr="000763A2" w:rsidP="00B4617F" w14:paraId="6D07C12B" w14:textId="77777777">
      <w:pPr>
        <w:pStyle w:val="Normal12a"/>
      </w:pPr>
      <w:r w:rsidRPr="000763A2">
        <w:rPr>
          <w:b/>
          <w:i/>
        </w:rPr>
        <w:t>Reformele socioeconomice</w:t>
      </w:r>
    </w:p>
    <w:p w:rsidR="00B4617F" w:rsidRPr="000763A2" w:rsidP="00B4617F" w14:paraId="5D8A6D55" w14:textId="77777777">
      <w:pPr>
        <w:pStyle w:val="NormalHanging12a"/>
      </w:pPr>
      <w:r w:rsidRPr="000763A2">
        <w:t>21.</w:t>
      </w:r>
      <w:r w:rsidRPr="000763A2">
        <w:tab/>
        <w:t xml:space="preserve">salută progresele mulțumitoare înregistrate până în prezent în realizarea Planului de creștere pentru Moldova și a agendei de reforme subiacente, cu scopul de a susține reformele socioeconomice și fundamentale ale Moldovei și îmbunătățirea accesului său la piața unică a UE; se bucură că au fost plătite 270 de milioane EUR sub formă de </w:t>
      </w:r>
      <w:r w:rsidRPr="000763A2">
        <w:t>prefinanțare</w:t>
      </w:r>
      <w:r w:rsidRPr="000763A2">
        <w:t xml:space="preserve"> și 207,9 milioane EUR sub formă de sprijin suplimentar din Mecanismul de reformă și creștere pentru Republica Moldova, inclusiv a doua tranșă, în martie 2026, în valoare totală de 189 de milioane EUR, întrucât țara a realizat pe deplin 24 din cele 26 de etape de reformă, termenul-limită fiind decembrie 2025; invită Moldova să depună în continuare eforturi pentru a finaliza cele două etape de reformă cu termen în 2025 și o sprijină în demersul respectiv; îndeamnă Comisia să raționalizeze procedurile interne pentru a garanta că evaluarea și plata fondurilor au loc în timp util după adoptarea în Moldova a actelor legislative, prezentate anterior de autoritățile din țară sub formă de proiecte, care au făcut și obiectul unor consultări;</w:t>
      </w:r>
    </w:p>
    <w:p w:rsidR="00B4617F" w:rsidRPr="000763A2" w:rsidP="00B4617F" w14:paraId="22913736" w14:textId="77777777">
      <w:pPr>
        <w:pStyle w:val="NormalHanging12a"/>
      </w:pPr>
      <w:r w:rsidRPr="000763A2">
        <w:t>22.</w:t>
      </w:r>
      <w:r w:rsidRPr="000763A2">
        <w:tab/>
        <w:t>invită Comisia să ofere asistență administrativă și tehnică autorităților din Moldova pentru a asigura absorbția eficace și promptă a fondurilor din cadrul Mecanismului de reformă și creștere; îndeamnă Guvernul Republicii Moldova să asigure o comunicare eficace, transparență, vizibilitate și responsabilitate în ceea ce privește utilizarea fondurilor din cadrul mecanismului, inclusiv prin implicarea constructivă a societății civile;</w:t>
      </w:r>
    </w:p>
    <w:p w:rsidR="00B4617F" w:rsidRPr="000763A2" w:rsidP="00B4617F" w14:paraId="37FFEA95" w14:textId="77777777">
      <w:pPr>
        <w:pStyle w:val="NormalHanging12a"/>
      </w:pPr>
      <w:r w:rsidRPr="000763A2">
        <w:t>23.</w:t>
      </w:r>
      <w:r w:rsidRPr="000763A2">
        <w:tab/>
        <w:t>solicită ca bugetul UE pe 2027 să ofere asistență administrativă și tehnică specifică pentru a pregăti Moldova pentru tranziția către noua structură a viitorului cadru financiar multianual (CFM) și a instrumentului „Europa globală”; subliniază necesitatea de a ajuta administrația Republicii Moldova să se adapteze la viitorul model de realizare a pilonului „Europa”; subliniază că alocarea și deblocarea fondurilor trebuie să rămână strict condiționate de îndeplinirea etapelor de reformă convenite, de stabilitatea macrofinanciară, de buna gestiune financiară, de transparența execuției bugetare și de existența unor garanții eficiente împotriva fraudei, a corupției și a conflictelor de interese; își reiterează apelul adresat Comisiei de a include în următorul CFM al UE o alocare specifică adecvată pentru Moldova în cadrul viitorului pilon „Europa” al instrumentului „Europa globală” și de a începe pregătirea Moldovei pentru utilizarea eficientă a viitoarelor fonduri de preaderare; insistă că sunt necesare alocări explicite și transparente pentru preaderare, cu scopul de a urmări cheltuielile în mod eficace și a preveni diluarea fondurilor în cadrul unor piloni geografici mai ampli;</w:t>
      </w:r>
    </w:p>
    <w:p w:rsidR="00B4617F" w:rsidRPr="000763A2" w:rsidP="00B4617F" w14:paraId="6FD73968" w14:textId="5FD9B7CB">
      <w:pPr>
        <w:pStyle w:val="NormalHanging12a"/>
      </w:pPr>
      <w:r w:rsidRPr="000763A2">
        <w:t>24.</w:t>
      </w:r>
      <w:r w:rsidRPr="000763A2">
        <w:tab/>
        <w:t>salută acordul la care s-a ajuns la 24 iulie 2025 cu privire la revizuirea și actualizarea condițiilor comerciale ale zonei de liber schimb aprofundate și cuprinzătoare UE-</w:t>
      </w:r>
      <w:r w:rsidRPr="000763A2">
        <w:t>Moldova</w:t>
      </w:r>
      <w:r>
        <w:rPr>
          <w:rStyle w:val="FootnoteReference"/>
        </w:rPr>
        <w:footnoteReference w:id="3"/>
      </w:r>
      <w:r w:rsidRPr="000763A2">
        <w:t>, care oferă stabilitate și previzibilitate operatorilor din UE și din Moldova și crește atractivitatea țării pentru investitori; observă că acordul a coincis cu expirarea măsurilor comerciale autonome acordate țării începând din iulie 2022, prin care au fost suspendate taxele la import și contingente de import pentru exporturile Moldovei către UE și care, prin urmare, au ajutat Moldova să își reorienteze comerțul către UE, în beneficiul lor reciproc; accentuează că UE este cel mai mare partener comercial al Moldovei, reprezentând 67,5 % din totalul exporturilor și 54,1 % din totalul importurilor din 2025, precum și 86 % din investițiile străine directe (ISD) din 2024, consolidându-și poziția de pilon central al ISD în economia Moldovei; reliefează că investițiile directe ale UE în economia Moldovei sunt importante pentru a facilita integrarea economică a țării pe piața unică a UE, a crea perspective de angajare și de afaceri și a îmbunătăți mijloacele de subzistență ale cetățenilor;</w:t>
      </w:r>
    </w:p>
    <w:p w:rsidR="00B4617F" w:rsidRPr="000763A2" w:rsidP="00B4617F" w14:paraId="2EC23E79" w14:textId="77777777">
      <w:pPr>
        <w:pStyle w:val="NormalHanging12a"/>
      </w:pPr>
      <w:r w:rsidRPr="000763A2">
        <w:t>25.</w:t>
      </w:r>
      <w:r w:rsidRPr="000763A2">
        <w:tab/>
        <w:t>salută aprofundarea integrării economice a Moldovei pe piața unică a UE și încurajează realizarea unor progrese suplimentare în favoarea unei integrări sectoriale etapizate și a unei liberalizări ambițioase, treptate și sustenabile a comerțului, inclusiv prin extinderea și relaxarea contingentelor tarifare și, după caz, eliminarea lor progresivă, în conformitate cu cadrul revizuit privind zona de liber schimb aprofundată și cuprinzătoare, pentru a oferi beneficii economice concrete și pentru a consolida reziliența Moldovei și a-i susține traiectoria de integrare europeană; invită Comisia, în special, să evalueze continuarea liberalizării treptate a comerțului cu produse agroalimentare, inclusiv eliminarea barierelor netarifare rămase și intensificarea sprijinului pentru alinierea reglementărilor, în special în ceea ce privește standardele sanitare și fitosanitare și barierele tehnice în calea comerțului, precum și introducerea unor creșteri semiautomate ale contingentelor tarifare, legate de ratele de utilizare și de respectarea standardelor UE, asigurând, în același timp, mecanisme de salvgardare adecvate pentru producătorii din UE;</w:t>
      </w:r>
    </w:p>
    <w:p w:rsidR="00B4617F" w:rsidRPr="000763A2" w:rsidP="00B4617F" w14:paraId="6CE36CD0" w14:textId="77777777">
      <w:pPr>
        <w:pStyle w:val="NormalHanging12a"/>
      </w:pPr>
      <w:r w:rsidRPr="000763A2">
        <w:t>26.</w:t>
      </w:r>
      <w:r w:rsidRPr="000763A2">
        <w:tab/>
        <w:t>observă că intensificarea semnificativă a schimburilor comerciale ale regiunii Transnistria cu restul Moldovei și dependența sa față de exporturile către UE ar putea crea condițiile pentru convergența economică a regiunii cu cadrul juridic al Moldovei, favorizând o reintegrare economică de facto, care ar putea servi drept o bază pragmatică pentru o soluționare politică pașnică și, în cele din urmă, pentru reunificarea țării; susține demersurile Moldovei de a include regiunea Transnistria în măsurile de convergență economică și de reglementare legate de piața unică a UE; salută eforturile autorităților de la Chișinău de a extinde aplicarea legislației fiscale din Moldova la întreprinderile care își desfășoară activitatea în regiunea Transnistria, ca un pas către alinierea reglementărilor și integrarea economică;</w:t>
      </w:r>
    </w:p>
    <w:p w:rsidR="00B4617F" w:rsidRPr="000763A2" w:rsidP="00B4617F" w14:paraId="6BD264FD" w14:textId="77777777">
      <w:pPr>
        <w:pStyle w:val="NormalHanging12a"/>
      </w:pPr>
      <w:r w:rsidRPr="000763A2">
        <w:t>27.</w:t>
      </w:r>
      <w:r w:rsidRPr="000763A2">
        <w:tab/>
        <w:t xml:space="preserve">reiterează rolul important jucat de organizațiile societății civile și de mass-media independentă în a monitoriza guvernanța și stadiul reformelor legate de UE; insistă ca sprijinul financiar acordat organizațiilor societății civile din Moldova în cadrul bugetului UE pe 2027 și al viitorului instrument „Europa globală” să rămână independent de progresele guvernului în materie de reforme; solicită, prin intermediul noilor mecanisme de finanțare incluse în agenda de reformă, fluxuri de finanțare previzibile, specifice, flexibile și accesibile pentru organizațiile societății civile și </w:t>
      </w:r>
      <w:r w:rsidRPr="000763A2">
        <w:t>apărătorii drepturilor omului de la nivel local, pentru a garanta că își pot desfășura activitatea cu eficacitate; îndeamnă guvernul Moldovei să desfășoare o cooperare sinceră și efectivă cu societatea civilă, inclusiv prin platforme consultative permanente; invită guvernul Moldovei să realizeze progrese în punerea în aplicare a programului național de dezvoltare a organizațiilor societății civile pentru perioada 2024-2027; salută consultările periodice care au avut loc cu privire la procesul de aderare la UE și la reformele legate de aderare;</w:t>
      </w:r>
    </w:p>
    <w:p w:rsidR="00B4617F" w:rsidRPr="000763A2" w:rsidP="00B4617F" w14:paraId="017940D0" w14:textId="77777777">
      <w:pPr>
        <w:pStyle w:val="NormalHanging12a"/>
      </w:pPr>
      <w:r w:rsidRPr="000763A2">
        <w:t>28.</w:t>
      </w:r>
      <w:r w:rsidRPr="000763A2">
        <w:tab/>
        <w:t>își reiterează apelul pentru accelerarea integrării treptate a Moldovei pe piața unică a UE prin continuarea procesului de aliniere a cadrului său juridic și de reglementare la acquis-</w:t>
      </w:r>
      <w:r w:rsidRPr="000763A2">
        <w:t>ul</w:t>
      </w:r>
      <w:r w:rsidRPr="000763A2">
        <w:t xml:space="preserve"> UE și prin asocierea țării la mai multe programe, agenții și inițiative ale UE, inclusiv în domeniul economiei digitale, al serviciilor financiare și al inovării; felicită Moldova pentru că a devenit o parte operațională a zonei unice de plăți în euro la 6 octombrie 2025, facilitând transferurile în euro și reducând costurile pentru cetățenii și întreprinderile din Moldova; salută includerea Moldovei în zona UE de roaming la prețurile de pe piața națională începând cu 1 ianuarie 2026, oferindu-le cetățenilor din Moldova posibilitatea de a-și utiliza numerele de telefon din Moldova atunci când călătoresc în UE, fără a suporta taxe de roaming; subliniază că astfel de beneficii concrete joacă un rol esențial în consolidarea sprijinului public pentru integrarea în UE; încurajează continuarea procesului de aliniere la acquis-</w:t>
      </w:r>
      <w:r w:rsidRPr="000763A2">
        <w:t>ul</w:t>
      </w:r>
      <w:r w:rsidRPr="000763A2">
        <w:t xml:space="preserve"> digital al UE și a demersurilor de consolidare a conectivității, a infrastructurii digitale și a integrării pieței;</w:t>
      </w:r>
    </w:p>
    <w:p w:rsidR="00B4617F" w:rsidRPr="000763A2" w:rsidP="00B4617F" w14:paraId="23B82BA1" w14:textId="77777777">
      <w:pPr>
        <w:pStyle w:val="NormalHanging12a"/>
      </w:pPr>
      <w:r w:rsidRPr="000763A2">
        <w:t>29.</w:t>
      </w:r>
      <w:r w:rsidRPr="000763A2">
        <w:tab/>
        <w:t>evidențiază necesitatea critică de a accelera reforma cuprinzătoare a administrației publice; invită Guvernul Republicii Moldova să asigure un serviciu public întru totul bazat pe merite, profesionist și transparent, atât la nivel central, cât și la nivel local, un factor esențial pentru punerea în aplicare eficace a acquis-ului UE; accentuează că o reformă administrativ-teritorială temeinică este esențială pentru capacitarea autorităților locale, dat fiind că fragmentarea actuală a localităților le afectează grav independența financiară și capacitatea administrativă de a solicita, a absorbi și a gestiona cu succes fondurile de dezvoltare regională ale UE; reliefează necesitatea de a oferi autorităților locale și regionale programe educaționale specifice și sprijin pentru consolidarea capacităților, astfel încât să poată solicita, absorbi și gestiona cu succes finanțarea din partea UE la care ar putea avea acces;</w:t>
      </w:r>
    </w:p>
    <w:p w:rsidR="00B4617F" w:rsidRPr="000763A2" w:rsidP="00B4617F" w14:paraId="6B6E7E94" w14:textId="77777777">
      <w:pPr>
        <w:pStyle w:val="NormalHanging12a"/>
      </w:pPr>
      <w:r w:rsidRPr="000763A2">
        <w:t>30.</w:t>
      </w:r>
      <w:r w:rsidRPr="000763A2">
        <w:tab/>
        <w:t>subliniază că reușita procesului de extindere a UE necesită o asumare puternică a responsabilității la nivel local; regretă lipsa unor mecanisme formale pentru autoritățile locale și regionale în arhitectura propusă a CFM; invită Guvernul Republicii Moldova și Comisia să implice sistematic autoritățile locale și regionale din Moldova și asociațiile aferente în elaborarea programelor indicative multianuale și a planurilor de acțiune; solicită să se elaboreze măsuri de consolidare a capacităților și fluxuri de finanțare specifice în cadrul viitorului instrument „Europa globală”, pentru a sprijini localitățile din Moldova în a pune în aplicare reformele de descentralizare și a introduce servicii publice aliniate la UE;</w:t>
      </w:r>
    </w:p>
    <w:p w:rsidR="00B4617F" w:rsidRPr="000763A2" w:rsidP="00B4617F" w14:paraId="08FAD6DD" w14:textId="77777777">
      <w:pPr>
        <w:pStyle w:val="NormalHanging12a"/>
      </w:pPr>
      <w:r w:rsidRPr="000763A2">
        <w:t>31.</w:t>
      </w:r>
      <w:r w:rsidRPr="000763A2">
        <w:tab/>
        <w:t>salută participarea Moldovei, începând cu 1 ianuarie 2026, la „Europa creativă”, programul UE de sprijinire a sectoarelor culturale și creative, și la componenta privind ocuparea forței de muncă și inovarea socială (</w:t>
      </w:r>
      <w:r w:rsidRPr="000763A2">
        <w:t>EaSI</w:t>
      </w:r>
      <w:r w:rsidRPr="000763A2">
        <w:t xml:space="preserve">) a Fondului social european Plus, care oferă Moldovei posibilitatea de a accesa fonduri ale UE pentru proiecte menite să reducă șomajul, să asigure locuri de muncă mai bune și să promoveze inovarea socială; invită Comisia să sprijine includerea țării în Organismul Autorităților Europene de </w:t>
      </w:r>
      <w:r w:rsidRPr="000763A2">
        <w:t xml:space="preserve">Reglementare în Domeniul Comunicațiilor Electronice, în Agenția Europeană de Mediu, în Erasmus+, în programul </w:t>
      </w:r>
      <w:r w:rsidRPr="000763A2">
        <w:t>DiscoverEU</w:t>
      </w:r>
      <w:r w:rsidRPr="000763A2">
        <w:t xml:space="preserve"> și în programul de încurajare a consumului de fructe, legume și lapte în școli;</w:t>
      </w:r>
    </w:p>
    <w:p w:rsidR="00B4617F" w:rsidRPr="000763A2" w:rsidP="00B4617F" w14:paraId="1A118520" w14:textId="77777777">
      <w:pPr>
        <w:pStyle w:val="Normal12a"/>
      </w:pPr>
      <w:r w:rsidRPr="000763A2">
        <w:rPr>
          <w:b/>
          <w:i/>
        </w:rPr>
        <w:t>Drepturile omului</w:t>
      </w:r>
    </w:p>
    <w:p w:rsidR="00B4617F" w:rsidRPr="000763A2" w:rsidP="00B4617F" w14:paraId="2D2CCFE1" w14:textId="77777777">
      <w:pPr>
        <w:pStyle w:val="NormalHanging12a"/>
      </w:pPr>
      <w:r w:rsidRPr="000763A2">
        <w:t>32.</w:t>
      </w:r>
      <w:r w:rsidRPr="000763A2">
        <w:tab/>
        <w:t xml:space="preserve">salută demersurile autorităților din Republica Moldova de a îmbunătăți cadrul legislativ pentru egalitatea de gen, combaterea violenței domestice și protejarea victimelor și de a-l alinia la standardele internaționale și europene, inclusiv prin incriminarea violenței digitale și a căsătoriilor forțate și prin introducerea </w:t>
      </w:r>
      <w:r w:rsidRPr="000763A2">
        <w:t>feminicidului</w:t>
      </w:r>
      <w:r w:rsidRPr="000763A2">
        <w:t xml:space="preserve"> în Codul penal; invită autoritățile din Republica Moldova să consolideze punerea efectivă în aplicare a legislației actuale privind combaterea violenței împotriva femeilor, inclusiv a violenței domestice, și privind protejarea victimelor;</w:t>
      </w:r>
    </w:p>
    <w:p w:rsidR="00B4617F" w:rsidRPr="000763A2" w:rsidP="00B4617F" w14:paraId="2B2FA782" w14:textId="77777777">
      <w:pPr>
        <w:pStyle w:val="NormalHanging12a"/>
      </w:pPr>
      <w:r w:rsidRPr="000763A2">
        <w:t>33.</w:t>
      </w:r>
      <w:r w:rsidRPr="000763A2">
        <w:tab/>
        <w:t>se bucură că strategia națională privind traficul de persoane, adoptată în septembrie 2023, este în curs de punere în aplicare; invită Republica Moldova să își consolideze în continuare cadrul juridic și instituțional, inclusiv prin introducerea unor instrumente mai eficace pentru ca autoritățile publice să investigheze și să urmărească penal formele emergente de exploatare;</w:t>
      </w:r>
    </w:p>
    <w:p w:rsidR="00B4617F" w:rsidRPr="000763A2" w:rsidP="00B4617F" w14:paraId="5E39E59D" w14:textId="32235724">
      <w:pPr>
        <w:pStyle w:val="NormalHanging12a"/>
      </w:pPr>
      <w:r w:rsidRPr="000763A2">
        <w:t>34.</w:t>
      </w:r>
      <w:r w:rsidRPr="000763A2">
        <w:tab/>
        <w:t>observă că cadrul juridic și instituțional pentru drepturile persoanelor cu dizabilități din Moldova trebuie aliniat în continuare la acquis-</w:t>
      </w:r>
      <w:r w:rsidRPr="000763A2">
        <w:t>ul</w:t>
      </w:r>
      <w:r w:rsidRPr="000763A2">
        <w:t xml:space="preserve"> UE și la standardele internaționale pertinente; solicită, în special, alinierea cadrului privind accesibilitatea la Actul european privind accesibilitatea</w:t>
      </w:r>
      <w:r>
        <w:rPr>
          <w:rStyle w:val="FootnoteReference"/>
        </w:rPr>
        <w:footnoteReference w:id="4"/>
      </w:r>
      <w:r w:rsidRPr="000763A2">
        <w:t>;</w:t>
      </w:r>
    </w:p>
    <w:p w:rsidR="00B4617F" w:rsidRPr="000763A2" w:rsidP="00B4617F" w14:paraId="6E2AAB7F" w14:textId="77777777">
      <w:pPr>
        <w:pStyle w:val="NormalHanging12a"/>
      </w:pPr>
      <w:r w:rsidRPr="000763A2">
        <w:t>35.</w:t>
      </w:r>
      <w:r w:rsidRPr="000763A2">
        <w:tab/>
        <w:t xml:space="preserve">își exprimă îngrijorarea față de încercările autorităților locale din Chișinău de a interzice Chișinău </w:t>
      </w:r>
      <w:r w:rsidRPr="000763A2">
        <w:t>Pride</w:t>
      </w:r>
      <w:r w:rsidRPr="000763A2">
        <w:t xml:space="preserve"> și față de atacurile violente ale </w:t>
      </w:r>
      <w:r w:rsidRPr="000763A2">
        <w:t>contraprotestatarilor</w:t>
      </w:r>
      <w:r w:rsidRPr="000763A2">
        <w:t xml:space="preserve"> împotriva acestui marș pașnic; condamnă informarea greșită și campaniile online specifice de dezinformare propagate de mass-media locală afiliată Rusiei în Moldova; invită Moldova să asigure dreptul la libertatea de întrunire pentru toți;</w:t>
      </w:r>
    </w:p>
    <w:p w:rsidR="00B4617F" w:rsidRPr="000763A2" w:rsidP="00B4617F" w14:paraId="760223D0" w14:textId="77777777">
      <w:pPr>
        <w:pStyle w:val="NormalHanging12a"/>
      </w:pPr>
      <w:r w:rsidRPr="000763A2">
        <w:t>36.</w:t>
      </w:r>
      <w:r w:rsidRPr="000763A2">
        <w:tab/>
        <w:t>îndeamnă Moldova să consolideze cadrul juridic și instituțional pentru protecția drepturilor persoanelor care aparțin minorităților, inclusiv a persoanelor LGBTI;</w:t>
      </w:r>
    </w:p>
    <w:p w:rsidR="00B4617F" w:rsidRPr="000763A2" w:rsidP="00B4617F" w14:paraId="4B24EC5B" w14:textId="77777777">
      <w:pPr>
        <w:pStyle w:val="Normal12a"/>
      </w:pPr>
      <w:r w:rsidRPr="000763A2">
        <w:rPr>
          <w:b/>
          <w:i/>
        </w:rPr>
        <w:t xml:space="preserve">Cooperarea universitară și contactele interpersonale </w:t>
      </w:r>
    </w:p>
    <w:p w:rsidR="00B4617F" w:rsidRPr="000763A2" w:rsidP="00B4617F" w14:paraId="628C3A65" w14:textId="77777777">
      <w:pPr>
        <w:pStyle w:val="NormalHanging12a"/>
      </w:pPr>
      <w:r w:rsidRPr="000763A2">
        <w:t>37.</w:t>
      </w:r>
      <w:r w:rsidRPr="000763A2">
        <w:tab/>
        <w:t>salută progresele semnificative înregistrate de Moldova în a-și alinia sistemul de învățământ superior la Spațiul european al învățământului superior (SEIS) și se bucură că trei instituții din Moldova au participat la alianțe ale universităților europene în calitate de parteneri asociați; salută, de asemenea, implicarea țării în dimensiunea internațională a programului Erasmus+ 2021-2027 și participarea sa la patru grupuri de lucru ale Spațiului european al educației;</w:t>
      </w:r>
    </w:p>
    <w:p w:rsidR="00B4617F" w:rsidRPr="000763A2" w:rsidP="00B4617F" w14:paraId="38A91EA4" w14:textId="77777777">
      <w:pPr>
        <w:pStyle w:val="NormalHanging12a"/>
      </w:pPr>
      <w:r w:rsidRPr="000763A2">
        <w:t>38.</w:t>
      </w:r>
      <w:r w:rsidRPr="000763A2">
        <w:tab/>
        <w:t>salută colaborarea tot mai strânsă a Moldovei cu rețelele europene de cercetare și inovare și o încurajează să își continue integrarea cu Orizont Europa, care ar oferi universităților și institutelor de cercetare acces la finanțare europeană, la infrastructuri de cercetare în colaborare și la parteneriate științifice;</w:t>
      </w:r>
    </w:p>
    <w:p w:rsidR="00B4617F" w:rsidRPr="000763A2" w:rsidP="00B4617F" w14:paraId="4B094D46" w14:textId="77777777">
      <w:pPr>
        <w:pStyle w:val="Normal12a"/>
      </w:pPr>
      <w:r w:rsidRPr="000763A2">
        <w:rPr>
          <w:b/>
          <w:i/>
        </w:rPr>
        <w:t>Energia, mediul și conectivitatea</w:t>
      </w:r>
    </w:p>
    <w:p w:rsidR="00B4617F" w:rsidRPr="000763A2" w:rsidP="00B4617F" w14:paraId="3EE64C26" w14:textId="77777777">
      <w:pPr>
        <w:pStyle w:val="NormalHanging12a"/>
      </w:pPr>
      <w:r w:rsidRPr="000763A2">
        <w:t>39.</w:t>
      </w:r>
      <w:r w:rsidRPr="000763A2">
        <w:tab/>
        <w:t>salută eforturile constante depuse de Moldova în a-și alinia sectorul energetic la acquis-</w:t>
      </w:r>
      <w:r w:rsidRPr="000763A2">
        <w:t>ul</w:t>
      </w:r>
      <w:r w:rsidRPr="000763A2">
        <w:t xml:space="preserve"> UE și a continua pe calea integrării depline pe piața energiei din UE pentru a-și garanta securitatea și reziliența energetică;</w:t>
      </w:r>
    </w:p>
    <w:p w:rsidR="00B4617F" w:rsidRPr="000763A2" w:rsidP="00B4617F" w14:paraId="24041FDA" w14:textId="77777777">
      <w:pPr>
        <w:pStyle w:val="NormalHanging12a"/>
      </w:pPr>
      <w:r w:rsidRPr="000763A2">
        <w:t>40.</w:t>
      </w:r>
      <w:r w:rsidRPr="000763A2">
        <w:tab/>
        <w:t>observă cu satisfacție că, dintre țările membre ale Comunității Energiei, Moldova a obținut cele mai bune rezultate la transpunerea legislației europene, fiind și un pionier în rândul părților contractante ale Comunității în ceea ce privește transpunerea integrală a pachetului privind integrarea energiei electrice; invită Comisia, secretariatul Comunității Energiei și alți actori pertinenți să asigure cuplarea deplină a Moldovei cu piața energiei electrice din UE până cel târziu în 2028;</w:t>
      </w:r>
    </w:p>
    <w:p w:rsidR="00B4617F" w:rsidRPr="000763A2" w:rsidP="00B4617F" w14:paraId="4D46C410" w14:textId="5921D324">
      <w:pPr>
        <w:pStyle w:val="NormalHanging12a"/>
      </w:pPr>
      <w:r w:rsidRPr="000763A2">
        <w:t>41.</w:t>
      </w:r>
      <w:r w:rsidRPr="000763A2">
        <w:tab/>
        <w:t>reliefează că, pentru a consolida și mai mult reziliența energetică a Moldovei, autoritățile sale ar trebui, cu sprijinul UE, să diversifice în continuare sursele de aprovizionare cu energie ale țării, să îi accelereze integrarea pe piața europeană a energiei, să intensifice investițiile în eficiența energetică a clădirilor publice și rezidențiale, să crească producția internă de energie și să promoveze reducerea cererii; se bucură că ponderea energiei din surse regenerabile a crescut semnificativ în Moldova, dat fiind că a ajuns la aproximativ 25 % din consum în 2025 și la 1 GW din puterea instalată totală, o etapă importantă în dezvoltarea producției locale de energie și în tranziția energetică a țării;</w:t>
      </w:r>
    </w:p>
    <w:p w:rsidR="00B4617F" w:rsidRPr="000763A2" w:rsidP="00B4617F" w14:paraId="2EDC79CC" w14:textId="77777777">
      <w:pPr>
        <w:pStyle w:val="NormalHanging12a"/>
      </w:pPr>
      <w:r w:rsidRPr="000763A2">
        <w:t>42.</w:t>
      </w:r>
      <w:r w:rsidRPr="000763A2">
        <w:tab/>
        <w:t xml:space="preserve">salută planul de acțiune al guvernului din martie 2025 de a elimina orice dependență față de resursele energetice rusești în sectorul energiei electrice, al gazelor și al petrolului, adoptat odată cu punerea în aplicare a Strategiei cuprinzătoare pentru asigurarea independenței și rezilienței energetice UE-Moldova din 4 februarie 2025; reamintește că, în 2025, Rusia a încetat să mai aprovizioneze cu gaze centrala electrică </w:t>
      </w:r>
      <w:r w:rsidRPr="000763A2">
        <w:t>Cuciurgan</w:t>
      </w:r>
      <w:r w:rsidRPr="000763A2">
        <w:t>, în încercarea de a influența prin constrângere alegerile internaționale ale Moldovei, iar primele victime ale crizei energetice care a urmat au fost populațiile de ambele părți ale fluviului Nistru;</w:t>
      </w:r>
    </w:p>
    <w:p w:rsidR="00B4617F" w:rsidRPr="000763A2" w:rsidP="00B4617F" w14:paraId="5B3954BC" w14:textId="77777777">
      <w:pPr>
        <w:pStyle w:val="NormalHanging12a"/>
      </w:pPr>
      <w:r w:rsidRPr="000763A2">
        <w:t>43.</w:t>
      </w:r>
      <w:r w:rsidRPr="000763A2">
        <w:tab/>
        <w:t>salută finalizarea, în decembrie 2025, a lucrărilor de construcție la linia electrică aeriană de 400 kV Vulcănești-Chișinău, care urmează să asigure transportul de energie electrică începând din 2026; observă că acest pas practic reduce dependența Moldovei față de infrastructura energetică din regiunea Transnistria și vulnerabilitatea sa în fața influenței ostile a Rusiei și face posibil racordul sigur și fiabil al țării la rețeaua europeană de energie electrică prin România;</w:t>
      </w:r>
    </w:p>
    <w:p w:rsidR="00B4617F" w:rsidRPr="000763A2" w:rsidP="00B4617F" w14:paraId="41749108" w14:textId="77777777">
      <w:pPr>
        <w:pStyle w:val="NormalHanging12a"/>
      </w:pPr>
      <w:r w:rsidRPr="000763A2">
        <w:t>44.</w:t>
      </w:r>
      <w:r w:rsidRPr="000763A2">
        <w:tab/>
        <w:t>invită Comisia să maximizeze utilizarea alocărilor pentru cooperarea transfrontalieră (CTF) disponibile în cadrul viitorului instrument „Europa globală” și al Fondului pentru parteneriate naționale și regionale pentru a accelera și mai mult integrarea infrastructurii energetice, digitale și de transport a Moldovei cu piața unică europeană; accentuează că finanțarea respectivă ar trebui să acorde prioritate proiectelor cu impact ridicat legate de infrastructura energetică, digitală și de transport, cum ar fi interconectările transfrontaliere, producția internă de energie din surse regenerabile, eficiența energetică, alinierea la rețeaua transeuropeană de transport, sincronizarea rețelelor energetice și extinderea benzii largi; încurajează elaborarea rapidă a unor proiecte suplimentare de interconectare energetică cu Moldova, cum ar fi liniile electrice aeriene de 400 kV Suceava-Bălți și Gutinaș-Strășeni;</w:t>
      </w:r>
    </w:p>
    <w:p w:rsidR="00B4617F" w:rsidRPr="000763A2" w:rsidP="00B4617F" w14:paraId="2FECA67D" w14:textId="77777777">
      <w:pPr>
        <w:pStyle w:val="NormalHanging12a"/>
      </w:pPr>
      <w:r w:rsidRPr="000763A2">
        <w:t>45.</w:t>
      </w:r>
      <w:r w:rsidRPr="000763A2">
        <w:tab/>
        <w:t>condamnă ferm atacurile lansate de Rusia împotriva infrastructurii energetice ucrainene în martie 2026, care au amenințat securitatea Moldovei din perspectiva energiei și a apei, au avut un impact direct asupra securității resurselor de apă și a sănătății publice, fiind vizați 80 % dintre cetățenii țării, pentru care fluviul Nistru constituie principala sursă de apă dulce și apă potabilă, și au condus la o stare de urgență de mediu de 15 zile în Republica Moldova; salută răspunsul rapid și coordonat al autorităților din Moldova și Ucraina și al operatorilor de sistem de transport și invită UE și statele sale membre să ofere Moldovei mai multe resurse financiare și echipamente specializate și asistență tehnică suplimentară, astfel încât să poată face față mai bine catastrofelor ecologice în viitor;</w:t>
      </w:r>
    </w:p>
    <w:p w:rsidR="00B4617F" w:rsidRPr="000763A2" w:rsidP="00B4617F" w14:paraId="24BBE74C" w14:textId="77777777">
      <w:pPr>
        <w:pStyle w:val="NormalHanging12a"/>
      </w:pPr>
      <w:r w:rsidRPr="000763A2">
        <w:t>46.</w:t>
      </w:r>
      <w:r w:rsidRPr="000763A2">
        <w:tab/>
        <w:t>subliniază că Moldova se confruntă în continuare cu provocări semnificative în materie de mediu, inclusiv poluarea aerului și a apei, o infrastructură insuficientă de gestionare a deșeurilor și pierderea continuă a biodiversității; evidențiază că trebuie să se consolideze capacitatea administrativă, să se asigure mai bine respectarea legislației de mediu și să se garanteze investiții adecvate în infrastructura de mediu;</w:t>
      </w:r>
    </w:p>
    <w:p w:rsidR="00B4617F" w:rsidRPr="000763A2" w:rsidP="00B4617F" w14:paraId="57A518F0" w14:textId="77777777">
      <w:pPr>
        <w:pStyle w:val="NormalHanging12a"/>
      </w:pPr>
      <w:r w:rsidRPr="000763A2">
        <w:t>47.</w:t>
      </w:r>
      <w:r w:rsidRPr="000763A2">
        <w:tab/>
        <w:t>reamintește că Moldova a suferit deja profund de pe urma gravelor consecințe economice, sociale și în materie de securitate ale războiului de agresiune pe scară largă al Rusiei împotriva Ucrainei; se declară profund îngrijorat că țara este în prezent pe punctul de a se număra printre cele mai grav afectate de intensificarea crizelor economice și energetice mondiale ca urmare a războiului în curs din Orientul Mijlociu; invită UE și statele sale membre să dea dovadă de o solidaritate neîntreruptă și de neclintit cu Moldova și să ofere sprijinul necesar pentru a contribui la a atenua impactul acestor șocuri externe suprapuse asupra cetățenilor săi și a economiei sale;</w:t>
      </w:r>
    </w:p>
    <w:p w:rsidR="00B4617F" w:rsidRPr="000763A2" w:rsidP="00B4617F" w14:paraId="73BA9038" w14:textId="77777777">
      <w:pPr>
        <w:pStyle w:val="Normal12a"/>
      </w:pPr>
      <w:r w:rsidRPr="000763A2">
        <w:rPr>
          <w:b/>
          <w:i/>
        </w:rPr>
        <w:t>Cooperarea în domeniul politicii externe și de securitate comune și progresele înregistrate în soluționarea conflictului transnistrean</w:t>
      </w:r>
    </w:p>
    <w:p w:rsidR="00B4617F" w:rsidRPr="000763A2" w:rsidP="00B4617F" w14:paraId="573B96CC" w14:textId="77777777">
      <w:pPr>
        <w:pStyle w:val="NormalHanging12a"/>
      </w:pPr>
      <w:r w:rsidRPr="000763A2">
        <w:t>48.</w:t>
      </w:r>
      <w:r w:rsidRPr="000763A2">
        <w:tab/>
        <w:t xml:space="preserve">felicită Moldova pentru cooperarea sa consecventă privind aspecte de politică externă și pentru eforturile sale de a se alinia pe deplin la pozițiile politicii externe și de securitate comune a UE; observă că rata de aliniere a Moldovei la politica externă, de securitate și de apărare a UE, inclusiv reflectarea sancțiunilor UE împotriva Rusiei, este de 88 %; îndeamnă Moldova să îmbunătățească în continuare alinierea respectivă, inclusiv în ceea ce privește măsurile restrictive aplicate Rusiei, și să mențină cooperarea pentru a preveni eludarea sancțiunilor împotriva Rusiei și a Belarusului în legătură cu războiul de agresiune al Rusiei împotriva Ucrainei; felicită Moldova pentru că găzduiește cel mai mare număr de ucraineni strămutați pe cap de locuitor și pentru că se confruntă cu presiuni sociale, economice și administrative semnificative ca urmare a afluxului mare de refugiați; salută participarea mai intensă a Moldovei la misiunile și operațiunile UE din cadrul politicii sale de securitate și apărare comune, cum ar fi operațiunea </w:t>
      </w:r>
      <w:r w:rsidRPr="000763A2">
        <w:t>Althea</w:t>
      </w:r>
      <w:r w:rsidRPr="000763A2">
        <w:t>, desfășurată în Bosnia și Herțegovina, și misiunea de instruire a UE în Somalia;</w:t>
      </w:r>
    </w:p>
    <w:p w:rsidR="00B4617F" w:rsidRPr="000763A2" w:rsidP="00B4617F" w14:paraId="24150407" w14:textId="77777777">
      <w:pPr>
        <w:pStyle w:val="NormalHanging12a"/>
      </w:pPr>
      <w:r w:rsidRPr="000763A2">
        <w:t>49.</w:t>
      </w:r>
      <w:r w:rsidRPr="000763A2">
        <w:tab/>
        <w:t xml:space="preserve">recunoaște rolul jucat de cooperarea trilaterală dintre Moldova, România și Ucraina („triunghiul </w:t>
      </w:r>
      <w:r w:rsidRPr="000763A2">
        <w:t>Odesa</w:t>
      </w:r>
      <w:r w:rsidRPr="000763A2">
        <w:t>”) în a consolida securitatea regională, a promova procesul de integrare a Moldovei și a Ucrainei în UE, a îmbunătăți conectivitatea țărilor respective cu UE și a contracara amenințările hibride din partea Federației Ruse, inclusiv dezinformarea și acțiunile străine de manipulare a informațiilor, atacurile cibernetice și amenințările energetice;</w:t>
      </w:r>
    </w:p>
    <w:p w:rsidR="00B4617F" w:rsidRPr="000763A2" w:rsidP="00B4617F" w14:paraId="554833F1" w14:textId="77777777">
      <w:pPr>
        <w:pStyle w:val="NormalHanging12a"/>
      </w:pPr>
      <w:r w:rsidRPr="000763A2">
        <w:t>50.</w:t>
      </w:r>
      <w:r w:rsidRPr="000763A2">
        <w:tab/>
        <w:t>salută prelungirea mandatului EUPM în Republica Moldova până la 31 mai 2027 și invită statele membre să contribuie cu necesarul de experți și resurse financiare; încurajează UE să sprijine în continuare reziliența Moldovei și nivelul său de pregătire, de exemplu în fața unor ingerințe rusești fără precedent, prin EUPM, echipele de răspuns rapid în caz de amenințări hibride, echipele de răspuns rapid în domeniul cibernetic și rezerva UE pentru securitate cibernetică;</w:t>
      </w:r>
    </w:p>
    <w:p w:rsidR="00B4617F" w:rsidRPr="000763A2" w:rsidP="00B4617F" w14:paraId="4DFD959E" w14:textId="77777777">
      <w:pPr>
        <w:pStyle w:val="NormalHanging12a"/>
      </w:pPr>
      <w:r w:rsidRPr="000763A2">
        <w:t>51.</w:t>
      </w:r>
      <w:r w:rsidRPr="000763A2">
        <w:tab/>
        <w:t>accentuează că atacurile fizice împotriva infrastructurii critice și provocările în materie de securitate sunt însoțite sistematic de campanii care constau în acțiuni străine de manipulare a informațiilor și ingerințe străine (FIMI) menite să provoace panică în rândul populației și să submineze încrederea publicului în autoritățile din Moldova; evidențiază, prin urmare, importanța crucială de a dota instituțiile din Moldova cu instrumente solide de comunicare rapidă în situații de criză pentru a combate în mod eficace dezinformarea și a asigura diseminarea rapidă a informațiilor adevărate; remarcă, în special, măsurile luate în 2025 pentru a consolida capacitatea operațională a Centrului pentru Comunicare Strategică și Contracarare a Dezinformării și a Agenției Naționale pentru Securitate Cibernetică; solicită utilizarea strategică a fondurilor disponibile în 2027 și ulterior pentru a consolida capacitățile Moldovei în materie de comunicare strategică, securitate cibernetică și combatere a FIMI înainte de data-țintă a aderării; îndeamnă UE să aplice, atât în cazul său, cât și al celorlalte țări candidate, lecțiile învățate din experiența dobândită în Moldova în ceea ce privește protejarea procesului electoral și a instituțiilor democratice și combaterea FIMI; salută, în acest sens, eforturile depuse de radiodifuzorii publici din statele membre pentru a furniza publicului din Moldova conținuturi întemeiate pe adevăruri;</w:t>
      </w:r>
    </w:p>
    <w:p w:rsidR="00B4617F" w:rsidRPr="000763A2" w:rsidP="00B4617F" w14:paraId="1461ABE9" w14:textId="77777777">
      <w:pPr>
        <w:pStyle w:val="NormalHanging12a"/>
      </w:pPr>
      <w:r w:rsidRPr="000763A2">
        <w:t>52.</w:t>
      </w:r>
      <w:r w:rsidRPr="000763A2">
        <w:tab/>
        <w:t>își exprimă îngrijorarea cu privire la instrumentalizarea structurilor religioase în scopuri politice, în concordanță cu doctrina militară rusă și cu strategia de securitate națională, și, între altele, cu privire la încercările de a influența opinia publică și procesele electorale în moduri care ar putea submina calea europeană a Moldovei; invită autoritățile din Moldova să asigure respectarea deplină a libertății religioase și să prevină, în același timp, orice ingerință sau manipulare externă nejustificată care ar putea afecta procesele democratice și direcția strategică a țării; condamnă ferm utilizarea Mitropoliei Chișinăului și a Întregii Moldove, afiliată Moscovei și aflată sub jurisdicția Bisericii Ortodoxe Ruse, ca vehicul pentru dezinformările, ingerințele electorale și influențele hibride coordonate de Kremlin în Republica Moldova;</w:t>
      </w:r>
    </w:p>
    <w:p w:rsidR="00B4617F" w:rsidRPr="000763A2" w:rsidP="00B4617F" w14:paraId="020CD780" w14:textId="77777777">
      <w:pPr>
        <w:pStyle w:val="NormalHanging12a"/>
      </w:pPr>
      <w:r w:rsidRPr="000763A2">
        <w:t>53.</w:t>
      </w:r>
      <w:r w:rsidRPr="000763A2">
        <w:tab/>
        <w:t>își reiterează angajamentul deplin față de integritatea teritorială a Moldovei și față de soluționarea pașnică a conflictului, pe baza suveranității Moldovei și a integrității sale teritoriale în limita frontierelor sale recunoscute la nivel internațional; încurajează Moldova să își continue eforturile de reintegrare și invită Federația Rusă să își îndeplinească obligațiile internaționale prin a asigura retragerea imediată și necondiționată a întregului său personal militar și a tuturor echipamentelor militare și munițiilor din regiunea Transnistria, a căror prezență constituie o încălcare gravă a dreptului internațional și o amenințare directă la adresa securității Moldovei și a vecinătății europene în sens larg;</w:t>
      </w:r>
    </w:p>
    <w:p w:rsidR="00B4617F" w:rsidRPr="000763A2" w:rsidP="00B4617F" w14:paraId="41B3F269" w14:textId="77777777">
      <w:pPr>
        <w:pStyle w:val="NormalHanging12a"/>
      </w:pPr>
      <w:r w:rsidRPr="000763A2">
        <w:t>54.</w:t>
      </w:r>
      <w:r w:rsidRPr="000763A2">
        <w:tab/>
        <w:t xml:space="preserve">susține abordarea progresivă adoptată de autoritățile din Moldova cu privire la reintegrarea țării, cu un accent puternic pe asigurarea unor beneficii socioeconomice concrete pentru cetățenii de pe ambele maluri ale fluviului; invită UE să contribuie activ la procesul de reintegrare pașnică, inclusiv prin contribuții semnificative la Fondul de convergență, care va sprijini alinierea treptată a regiunii Transnistria la cadrul juridic, </w:t>
      </w:r>
      <w:r w:rsidRPr="000763A2">
        <w:t>economic și social al Moldovei și va aduce îmbunătățiri concrete serviciilor publice și infrastructurii locale pentru cetățeni;</w:t>
      </w:r>
    </w:p>
    <w:p w:rsidR="00B4617F" w:rsidRPr="000763A2" w:rsidP="00B4617F" w14:paraId="2F6786BB" w14:textId="77777777">
      <w:pPr>
        <w:pStyle w:val="NormalHanging12a"/>
      </w:pPr>
      <w:r w:rsidRPr="000763A2">
        <w:t>55.</w:t>
      </w:r>
      <w:r w:rsidRPr="000763A2">
        <w:tab/>
        <w:t>ia act cu îngrijorare de încercările continue ale Rusiei de a exploata și de a alimenta tensiunile dintre Unitatea teritorială autonomă Găgăuzia și autoritățile din Moldova; sprijină și încurajează demersurile continue efectuate de Guvernul Republicii Moldova pentru a aborda provocările respective prin intermediul unui dialog constructiv și al unor reforme incluzive; îndeamnă autoritățile regionale să se implice cu bună-credință în acest dialog și să asigure buna organizare a unor alegeri libere, corecte, transparente și legale în regiune, în deplină conformitate cu dreptul Republicii Moldova; reiterează că o relație de cooperare stabilă între capitală și regiuni este esențială pentru stabilitatea internă a Moldovei și pentru continuarea progresului său pe calea aderării la UE;</w:t>
      </w:r>
    </w:p>
    <w:p w:rsidR="00B4617F" w:rsidRPr="000763A2" w:rsidP="00B4617F" w14:paraId="31A88395" w14:textId="77777777">
      <w:pPr>
        <w:pStyle w:val="NormalHanging12a"/>
      </w:pPr>
      <w:r w:rsidRPr="000763A2">
        <w:t>56.</w:t>
      </w:r>
      <w:r w:rsidRPr="000763A2">
        <w:tab/>
        <w:t>salută decizia Moldovei de a se retrage din Comunitatea Statelor Independente, dominată de Rusia, în calitate de opțiune strategică și suverană care reflectă calea europeană aleasă de țară; solicită să se abordeze moștenirea perioadei sovietice, de exemplu prin a desecretiza arhivele fostelor servicii de securitate sovietice, și încurajează discuțiile privind prezența simbolurilor de propagandă sovietică în spațiile publice;</w:t>
      </w:r>
    </w:p>
    <w:p w:rsidR="00B4617F" w:rsidRPr="000763A2" w:rsidP="00B4617F" w14:paraId="28CCC831" w14:textId="77777777">
      <w:pPr>
        <w:pStyle w:val="NormalHanging12a"/>
      </w:pPr>
      <w:r w:rsidRPr="000763A2">
        <w:t>57.</w:t>
      </w:r>
      <w:r w:rsidRPr="000763A2">
        <w:tab/>
        <w:t>condamnă ferm incursiunile repetate și neautorizate ale dronelor rusești în spațiul aerian și pe teritoriul Moldovei începând din 2022, care constituie o încălcare gravă a suveranității Moldovei și a integrității sale teritoriale; evidențiază că astfel de acțiuni constituie o amenințare directă la adresa siguranței civile, a securității și a stabilității regionale și reiterează că este necesar să se respecte cu strictețe dreptul internațional; accentuează, în acest context, importanța crucială a investițiilor în infrastructura de supraveghere și protecție aeriană;</w:t>
      </w:r>
    </w:p>
    <w:p w:rsidR="00B4617F" w:rsidRPr="000763A2" w:rsidP="00B4617F" w14:paraId="5328CA34" w14:textId="77777777">
      <w:pPr>
        <w:pStyle w:val="NormalHanging12a"/>
      </w:pPr>
      <w:r w:rsidRPr="000763A2">
        <w:t>58.</w:t>
      </w:r>
      <w:r w:rsidRPr="000763A2">
        <w:tab/>
        <w:t>salută sprijinul neîncetat acordat Forțelor Armate ale Republicii Moldova în cadrul Instrumentului european pentru pace; își reiterează apelul adresat statelor membre de a majora și mai mult finanțarea destinată Moldovei în cadrul Instrumentului european pentru pace, pentru a consolida capacitățile de apărare ale țării, având în vedere amenințările actuale în domeniul securității; invită Comisia, în coordonare cu SEAE, să garanteze un sprijin îmbunătățit și mai structurat și previzibil pentru consolidarea capacităților de securitate și apărare ale Republicii Moldova și alinierea sa la standardele de securitate ale UE, ca parte integrantă a procesului de aderare; solicită să se sprijine în continuare modernizarea sectorului apărării din Republica Moldova, inclusiv a capabilităților sale de apărare antiaeriană; evidențiază că Moldova nu este doar un consumator de securitate, ci și un furnizor de securitate pentru UE, având în vedere poziția sa strategică și experiența sa valoroasă în timp real; salută recunoașterea Republicii Moldova ca țară pentru care pot fi achiziționate în comun cantități suplimentare de produse din domeniul apărării în cadrul Programului privind industria europeană de apărare, rata contribuției financiare a UE crescând de la 15 % la 25 %, și solicită ca acest tratament preferențial să fie integrat în arhitectura post-2027;</w:t>
      </w:r>
    </w:p>
    <w:p w:rsidR="00B4617F" w:rsidRPr="000763A2" w:rsidP="00B4617F" w14:paraId="5EE214E4" w14:textId="77777777">
      <w:pPr>
        <w:pStyle w:val="NormalCenter12a"/>
      </w:pPr>
      <w:r w:rsidRPr="000763A2">
        <w:t>°</w:t>
      </w:r>
    </w:p>
    <w:p w:rsidR="00B4617F" w:rsidRPr="000763A2" w:rsidP="00B4617F" w14:paraId="22484D2A" w14:textId="77777777">
      <w:pPr>
        <w:pStyle w:val="NormalCenter12a"/>
      </w:pPr>
      <w:r w:rsidRPr="000763A2">
        <w:t>°</w:t>
      </w:r>
      <w:r w:rsidRPr="000763A2">
        <w:tab/>
        <w:t>°</w:t>
      </w:r>
    </w:p>
    <w:p w:rsidR="00713CDF" w:rsidRPr="000763A2" w:rsidP="00713CDF" w14:paraId="4AC51208" w14:textId="734C534B">
      <w:pPr>
        <w:pStyle w:val="NormalHanging12a"/>
      </w:pPr>
      <w:r w:rsidRPr="000763A2">
        <w:t>59.</w:t>
      </w:r>
      <w:r w:rsidRPr="000763A2">
        <w:tab/>
        <w:t xml:space="preserve">încredințează Președintei sarcina de a transmite prezenta rezoluție Consiliului, Comisiei, Vicepreședintei Comisiei/Înaltei Reprezentante a Uniunii pentru afaceri externe și </w:t>
      </w:r>
      <w:r w:rsidRPr="000763A2">
        <w:t>politica de securitate, precum și Președintei, Guvernului și Parlamentului Republicii Moldova.</w:t>
      </w:r>
    </w:p>
    <w:p w:rsidR="00E365E1" w:rsidRPr="000763A2" w:rsidP="004C314C" w14:paraId="4B54B49A" w14:textId="56084B1C"/>
    <w:sectPr w:rsidSect="00713CD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73700FE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1F309DE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70DC5AD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314C" w:rsidRPr="00713CDF" w14:paraId="7750617D" w14:textId="77777777">
      <w:r w:rsidRPr="00713CDF">
        <w:separator/>
      </w:r>
    </w:p>
  </w:footnote>
  <w:footnote w:type="continuationSeparator" w:id="1">
    <w:p w:rsidR="004C314C" w:rsidRPr="00713CDF" w14:paraId="0CDC36C1" w14:textId="77777777">
      <w:r w:rsidRPr="00713CDF">
        <w:continuationSeparator/>
      </w:r>
    </w:p>
  </w:footnote>
  <w:footnote w:id="2">
    <w:p w:rsidR="00FF7CE9" w:rsidRPr="00713CDF" w:rsidP="00713CDF" w14:paraId="41A441DD" w14:textId="3C775A4E">
      <w:pPr>
        <w:pStyle w:val="FootnoteText"/>
        <w:ind w:left="567" w:hanging="567"/>
        <w:rPr>
          <w:sz w:val="24"/>
          <w:lang w:val="ro-RO"/>
        </w:rPr>
      </w:pPr>
      <w:r>
        <w:rPr>
          <w:rStyle w:val="FootnoteReference"/>
        </w:rPr>
        <w:footnoteRef/>
      </w:r>
      <w:r w:rsidRPr="00713CDF">
        <w:rPr>
          <w:sz w:val="24"/>
          <w:lang w:val="ro-RO"/>
        </w:rPr>
        <w:t xml:space="preserve"> </w:t>
      </w:r>
      <w:r w:rsidRPr="00713CDF">
        <w:rPr>
          <w:sz w:val="24"/>
          <w:lang w:val="ro-RO"/>
        </w:rPr>
        <w:tab/>
        <w:t xml:space="preserve">JO L, 2025/535, 21.3.2025, ELI: </w:t>
      </w:r>
      <w:hyperlink r:id="rId1" w:tgtFrame="http://data.europa.eu/eli/reg/2025/535/oj" w:history="1">
        <w:r w:rsidRPr="00713CDF">
          <w:rPr>
            <w:rStyle w:val="Hyperlink"/>
            <w:sz w:val="24"/>
            <w:lang w:val="ro-RO"/>
          </w:rPr>
          <w:t>http://data.europa.eu/eli/reg/2025/535/oj</w:t>
        </w:r>
      </w:hyperlink>
      <w:r w:rsidRPr="00713CDF">
        <w:rPr>
          <w:sz w:val="24"/>
          <w:lang w:val="ro-RO"/>
        </w:rPr>
        <w:t>.</w:t>
      </w:r>
    </w:p>
  </w:footnote>
  <w:footnote w:id="3">
    <w:p w:rsidR="00FF7CE9" w:rsidRPr="00713CDF" w:rsidP="00713CDF" w14:paraId="58B982BF" w14:textId="01ADF0F0">
      <w:pPr>
        <w:pStyle w:val="FootnoteText"/>
        <w:ind w:left="567" w:hanging="567"/>
        <w:rPr>
          <w:sz w:val="24"/>
          <w:lang w:val="ro-RO"/>
        </w:rPr>
      </w:pPr>
      <w:r>
        <w:rPr>
          <w:rStyle w:val="FootnoteReference"/>
        </w:rPr>
        <w:footnoteRef/>
      </w:r>
      <w:r w:rsidRPr="00713CDF">
        <w:rPr>
          <w:sz w:val="24"/>
          <w:lang w:val="ro-RO"/>
        </w:rPr>
        <w:t xml:space="preserve"> </w:t>
      </w:r>
      <w:r w:rsidRPr="00713CDF">
        <w:rPr>
          <w:sz w:val="24"/>
          <w:lang w:val="ro-RO"/>
        </w:rPr>
        <w:tab/>
        <w:t>Acord de asociere între Uniunea Europeană și Comunitatea Europeană a Energiei Atomice și statele membre ale acestora, pe de o parte, și Republica Moldova, pe de altă parte, (JO L 260, 30.8.2014, p. </w:t>
      </w:r>
      <w:r w:rsidRPr="00713CDF">
        <w:rPr>
          <w:sz w:val="24"/>
          <w:lang w:val="ro-RO"/>
        </w:rPr>
        <w:t>4, ELI:</w:t>
      </w:r>
      <w:r w:rsidR="00344419">
        <w:rPr>
          <w:sz w:val="24"/>
          <w:lang w:val="ro-RO"/>
        </w:rPr>
        <w:t> </w:t>
      </w:r>
      <w:hyperlink r:id="rId2" w:history="1">
        <w:r w:rsidRPr="00EE02E3" w:rsidR="00344419">
          <w:rPr>
            <w:rStyle w:val="Hyperlink"/>
            <w:sz w:val="24"/>
            <w:lang w:val="ro-RO"/>
          </w:rPr>
          <w:t>http://data.europa.eu/eli/agree_internation/2014/492/oj</w:t>
        </w:r>
      </w:hyperlink>
      <w:r w:rsidRPr="00713CDF">
        <w:rPr>
          <w:sz w:val="24"/>
          <w:lang w:val="ro-RO"/>
        </w:rPr>
        <w:t>).</w:t>
      </w:r>
      <w:r w:rsidR="00344419">
        <w:rPr>
          <w:sz w:val="24"/>
          <w:lang w:val="ro-RO"/>
        </w:rPr>
        <w:t xml:space="preserve"> </w:t>
      </w:r>
    </w:p>
  </w:footnote>
  <w:footnote w:id="4">
    <w:p w:rsidR="00FF7CE9" w:rsidRPr="00713CDF" w:rsidP="00713CDF" w14:paraId="010EDC3A" w14:textId="02AE98AE">
      <w:pPr>
        <w:pStyle w:val="FootnoteText"/>
        <w:ind w:left="567" w:hanging="567"/>
        <w:rPr>
          <w:sz w:val="24"/>
          <w:lang w:val="ro-RO"/>
        </w:rPr>
      </w:pPr>
      <w:r>
        <w:rPr>
          <w:rStyle w:val="FootnoteReference"/>
        </w:rPr>
        <w:footnoteRef/>
      </w:r>
      <w:r w:rsidRPr="00713CDF">
        <w:rPr>
          <w:sz w:val="24"/>
          <w:lang w:val="ro-RO"/>
        </w:rPr>
        <w:t xml:space="preserve"> </w:t>
      </w:r>
      <w:r w:rsidRPr="00713CDF">
        <w:rPr>
          <w:sz w:val="24"/>
          <w:lang w:val="ro-RO"/>
        </w:rPr>
        <w:tab/>
        <w:t>Directiva (UE) 2019/882 a Parlamentului European și a Consiliului din 17 aprilie 2019 privind cerințele de accesibilitate aplicabile produselor și serviciilor (JO L 151, 7.6.2019, p. </w:t>
      </w:r>
      <w:r w:rsidRPr="00713CDF">
        <w:rPr>
          <w:sz w:val="24"/>
          <w:lang w:val="ro-RO"/>
        </w:rPr>
        <w:t xml:space="preserve">70, ELI: </w:t>
      </w:r>
      <w:hyperlink r:id="rId3" w:tgtFrame="http://data.europa.eu/eli/dir/2019/882/oj" w:history="1">
        <w:r w:rsidRPr="00713CDF">
          <w:rPr>
            <w:rStyle w:val="Hyperlink"/>
            <w:sz w:val="24"/>
            <w:lang w:val="ro-RO"/>
          </w:rPr>
          <w:t>http://data.europa.eu/eli/dir/2019/882/oj</w:t>
        </w:r>
      </w:hyperlink>
      <w:r w:rsidRPr="00713CDF">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76D9EB5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411AF8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13CDF" w14:paraId="373308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592807">
    <w:abstractNumId w:val="9"/>
  </w:num>
  <w:num w:numId="2" w16cid:durableId="596134467">
    <w:abstractNumId w:val="9"/>
  </w:num>
  <w:num w:numId="3" w16cid:durableId="417286197">
    <w:abstractNumId w:val="7"/>
  </w:num>
  <w:num w:numId="4" w16cid:durableId="1888881246">
    <w:abstractNumId w:val="7"/>
  </w:num>
  <w:num w:numId="5" w16cid:durableId="1281761407">
    <w:abstractNumId w:val="6"/>
  </w:num>
  <w:num w:numId="6" w16cid:durableId="38819322">
    <w:abstractNumId w:val="6"/>
  </w:num>
  <w:num w:numId="7" w16cid:durableId="1534072324">
    <w:abstractNumId w:val="5"/>
  </w:num>
  <w:num w:numId="8" w16cid:durableId="1324235069">
    <w:abstractNumId w:val="5"/>
  </w:num>
  <w:num w:numId="9" w16cid:durableId="1600063246">
    <w:abstractNumId w:val="4"/>
  </w:num>
  <w:num w:numId="10" w16cid:durableId="1406102709">
    <w:abstractNumId w:val="4"/>
  </w:num>
  <w:num w:numId="11" w16cid:durableId="542520909">
    <w:abstractNumId w:val="8"/>
  </w:num>
  <w:num w:numId="12" w16cid:durableId="862596583">
    <w:abstractNumId w:val="8"/>
  </w:num>
  <w:num w:numId="13" w16cid:durableId="1934587092">
    <w:abstractNumId w:val="3"/>
  </w:num>
  <w:num w:numId="14" w16cid:durableId="1972051579">
    <w:abstractNumId w:val="3"/>
  </w:num>
  <w:num w:numId="15" w16cid:durableId="1533298732">
    <w:abstractNumId w:val="2"/>
  </w:num>
  <w:num w:numId="16" w16cid:durableId="1320185092">
    <w:abstractNumId w:val="2"/>
  </w:num>
  <w:num w:numId="17" w16cid:durableId="368839023">
    <w:abstractNumId w:val="1"/>
  </w:num>
  <w:num w:numId="18" w16cid:durableId="636180029">
    <w:abstractNumId w:val="1"/>
  </w:num>
  <w:num w:numId="19" w16cid:durableId="382675536">
    <w:abstractNumId w:val="0"/>
  </w:num>
  <w:num w:numId="20" w16cid:durableId="1769344838">
    <w:abstractNumId w:val="0"/>
  </w:num>
  <w:num w:numId="21" w16cid:durableId="1822429037">
    <w:abstractNumId w:val="9"/>
  </w:num>
  <w:num w:numId="22" w16cid:durableId="74208698">
    <w:abstractNumId w:val="7"/>
  </w:num>
  <w:num w:numId="23" w16cid:durableId="138688782">
    <w:abstractNumId w:val="6"/>
  </w:num>
  <w:num w:numId="24" w16cid:durableId="156965378">
    <w:abstractNumId w:val="5"/>
  </w:num>
  <w:num w:numId="25" w16cid:durableId="2111703910">
    <w:abstractNumId w:val="4"/>
  </w:num>
  <w:num w:numId="26" w16cid:durableId="1033261509">
    <w:abstractNumId w:val="8"/>
  </w:num>
  <w:num w:numId="27" w16cid:durableId="657929232">
    <w:abstractNumId w:val="3"/>
  </w:num>
  <w:num w:numId="28" w16cid:durableId="142816655">
    <w:abstractNumId w:val="2"/>
  </w:num>
  <w:num w:numId="29" w16cid:durableId="1232546244">
    <w:abstractNumId w:val="1"/>
  </w:num>
  <w:num w:numId="30" w16cid:durableId="927469581">
    <w:abstractNumId w:val="0"/>
  </w:num>
  <w:num w:numId="31" w16cid:durableId="1070229356">
    <w:abstractNumId w:val="9"/>
  </w:num>
  <w:num w:numId="32" w16cid:durableId="455218654">
    <w:abstractNumId w:val="7"/>
  </w:num>
  <w:num w:numId="33" w16cid:durableId="1682509809">
    <w:abstractNumId w:val="6"/>
  </w:num>
  <w:num w:numId="34" w16cid:durableId="2096854887">
    <w:abstractNumId w:val="5"/>
  </w:num>
  <w:num w:numId="35" w16cid:durableId="2123263198">
    <w:abstractNumId w:val="4"/>
  </w:num>
  <w:num w:numId="36" w16cid:durableId="1610552728">
    <w:abstractNumId w:val="8"/>
  </w:num>
  <w:num w:numId="37" w16cid:durableId="1989164503">
    <w:abstractNumId w:val="3"/>
  </w:num>
  <w:num w:numId="38" w16cid:durableId="1635719582">
    <w:abstractNumId w:val="2"/>
  </w:num>
  <w:num w:numId="39" w16cid:durableId="611548063">
    <w:abstractNumId w:val="1"/>
  </w:num>
  <w:num w:numId="40" w16cid:durableId="1508978822">
    <w:abstractNumId w:val="0"/>
  </w:num>
  <w:num w:numId="41" w16cid:durableId="600072181">
    <w:abstractNumId w:val="10"/>
  </w:num>
  <w:num w:numId="42" w16cid:durableId="2101832893">
    <w:abstractNumId w:val="10"/>
  </w:num>
  <w:num w:numId="43" w16cid:durableId="7608286">
    <w:abstractNumId w:val="10"/>
  </w:num>
  <w:num w:numId="44" w16cid:durableId="7983743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4C"/>
    <w:rsid w:val="00002272"/>
    <w:rsid w:val="00064002"/>
    <w:rsid w:val="000677B9"/>
    <w:rsid w:val="000763A2"/>
    <w:rsid w:val="000831BA"/>
    <w:rsid w:val="000A42CC"/>
    <w:rsid w:val="000E3218"/>
    <w:rsid w:val="000E7DD9"/>
    <w:rsid w:val="0010095E"/>
    <w:rsid w:val="00104CAB"/>
    <w:rsid w:val="00125B37"/>
    <w:rsid w:val="00187494"/>
    <w:rsid w:val="001F32AE"/>
    <w:rsid w:val="002767FF"/>
    <w:rsid w:val="002B18FE"/>
    <w:rsid w:val="002B5493"/>
    <w:rsid w:val="00327BAD"/>
    <w:rsid w:val="00340BBA"/>
    <w:rsid w:val="00343214"/>
    <w:rsid w:val="00344419"/>
    <w:rsid w:val="00361C00"/>
    <w:rsid w:val="00395FA1"/>
    <w:rsid w:val="003E15D4"/>
    <w:rsid w:val="00411CCE"/>
    <w:rsid w:val="0041666E"/>
    <w:rsid w:val="00421060"/>
    <w:rsid w:val="00471C19"/>
    <w:rsid w:val="004867E3"/>
    <w:rsid w:val="00494A28"/>
    <w:rsid w:val="004C0004"/>
    <w:rsid w:val="004C314C"/>
    <w:rsid w:val="004C5D52"/>
    <w:rsid w:val="0050519A"/>
    <w:rsid w:val="005072A1"/>
    <w:rsid w:val="00514517"/>
    <w:rsid w:val="00545827"/>
    <w:rsid w:val="00560270"/>
    <w:rsid w:val="005C2568"/>
    <w:rsid w:val="005F1B17"/>
    <w:rsid w:val="006037C0"/>
    <w:rsid w:val="006631B6"/>
    <w:rsid w:val="00680577"/>
    <w:rsid w:val="006F74FA"/>
    <w:rsid w:val="00713CDF"/>
    <w:rsid w:val="007229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16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A92"/>
    <w:rsid w:val="00B33C1A"/>
    <w:rsid w:val="00B4617F"/>
    <w:rsid w:val="00B558F0"/>
    <w:rsid w:val="00BB25EA"/>
    <w:rsid w:val="00BD48FE"/>
    <w:rsid w:val="00BD7BD8"/>
    <w:rsid w:val="00BE6ADC"/>
    <w:rsid w:val="00C05BFE"/>
    <w:rsid w:val="00C23CD4"/>
    <w:rsid w:val="00C519D5"/>
    <w:rsid w:val="00C61C0C"/>
    <w:rsid w:val="00C941CB"/>
    <w:rsid w:val="00CC2357"/>
    <w:rsid w:val="00CF071A"/>
    <w:rsid w:val="00D058B8"/>
    <w:rsid w:val="00D56C11"/>
    <w:rsid w:val="00D62841"/>
    <w:rsid w:val="00D834A0"/>
    <w:rsid w:val="00D872DF"/>
    <w:rsid w:val="00D91E21"/>
    <w:rsid w:val="00DA7FCD"/>
    <w:rsid w:val="00E365E1"/>
    <w:rsid w:val="00E820A4"/>
    <w:rsid w:val="00EB006A"/>
    <w:rsid w:val="00EB4772"/>
    <w:rsid w:val="00ED169E"/>
    <w:rsid w:val="00ED4235"/>
    <w:rsid w:val="00EE02E3"/>
    <w:rsid w:val="00F04346"/>
    <w:rsid w:val="00F075DC"/>
    <w:rsid w:val="00F149E9"/>
    <w:rsid w:val="00F5134D"/>
    <w:rsid w:val="00F74202"/>
    <w:rsid w:val="00F87713"/>
    <w:rsid w:val="00FB4360"/>
    <w:rsid w:val="00FD0C70"/>
    <w:rsid w:val="00FF7CE9"/>
  </w:rsids>
  <w:docVars>
    <w:docVar w:name="dvdocse" w:val="A10-0164/2026"/>
    <w:docVar w:name="dvlangue" w:val="RO"/>
    <w:docVar w:name="dvnumam" w:val="0"/>
    <w:docVar w:name="dvpe" w:val="782.290"/>
    <w:docVar w:name="dvrapporteur" w:val="Raportor: "/>
    <w:docVar w:name="dvtitre" w:val="Rezoluția Parlamentului European din 8 iulie 2026 referitoare la raportul Comisiei pe 2025 privind Republica Moldova(2025/2258(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8587B9"/>
  <w15:chartTrackingRefBased/>
  <w15:docId w15:val="{A82EDDF5-25B1-41B1-A170-96FF71E63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4617F"/>
    <w:pPr>
      <w:widowControl/>
      <w:spacing w:after="240"/>
    </w:pPr>
    <w:rPr>
      <w:szCs w:val="24"/>
      <w:lang w:eastAsia="en-US"/>
    </w:rPr>
  </w:style>
  <w:style w:type="paragraph" w:customStyle="1" w:styleId="NormalHanging12a">
    <w:name w:val="NormalHanging12a"/>
    <w:basedOn w:val="Normal"/>
    <w:rsid w:val="00B4617F"/>
    <w:pPr>
      <w:widowControl/>
      <w:spacing w:after="240"/>
      <w:ind w:left="566" w:hanging="566"/>
    </w:pPr>
    <w:rPr>
      <w:szCs w:val="24"/>
      <w:lang w:eastAsia="en-US"/>
    </w:rPr>
  </w:style>
  <w:style w:type="paragraph" w:customStyle="1" w:styleId="Normal12">
    <w:name w:val="Normal12"/>
    <w:basedOn w:val="Normal"/>
    <w:rsid w:val="00B4617F"/>
    <w:pPr>
      <w:spacing w:after="240"/>
    </w:pPr>
    <w:rPr>
      <w:szCs w:val="24"/>
      <w:lang w:eastAsia="en-US"/>
    </w:rPr>
  </w:style>
  <w:style w:type="paragraph" w:customStyle="1" w:styleId="NormalHanging">
    <w:name w:val="NormalHanging"/>
    <w:basedOn w:val="Normal"/>
    <w:rsid w:val="00B4617F"/>
    <w:pPr>
      <w:spacing w:after="240"/>
      <w:ind w:left="566" w:hanging="566"/>
    </w:pPr>
    <w:rPr>
      <w:szCs w:val="24"/>
      <w:lang w:eastAsia="en-US"/>
    </w:rPr>
  </w:style>
  <w:style w:type="paragraph" w:customStyle="1" w:styleId="NormalCenter12a">
    <w:name w:val="NormalCenter12a"/>
    <w:basedOn w:val="Normal"/>
    <w:rsid w:val="00B4617F"/>
    <w:pPr>
      <w:widowControl/>
      <w:spacing w:after="240"/>
      <w:jc w:val="center"/>
    </w:pPr>
    <w:rPr>
      <w:szCs w:val="24"/>
      <w:lang w:eastAsia="en-US"/>
    </w:rPr>
  </w:style>
  <w:style w:type="character" w:styleId="Hyperlink">
    <w:name w:val="Hyperlink"/>
    <w:basedOn w:val="DefaultParagraphFont"/>
    <w:rsid w:val="00B4617F"/>
    <w:rPr>
      <w:color w:val="0000FF"/>
      <w:u w:val="single"/>
    </w:rPr>
  </w:style>
  <w:style w:type="paragraph" w:styleId="Revision">
    <w:name w:val="Revision"/>
    <w:hidden/>
    <w:uiPriority w:val="99"/>
    <w:semiHidden/>
    <w:rsid w:val="00FF7CE9"/>
    <w:rPr>
      <w:sz w:val="24"/>
      <w:lang w:val="ro-RO"/>
    </w:rPr>
  </w:style>
  <w:style w:type="character" w:styleId="UnresolvedMention">
    <w:name w:val="Unresolved Mention"/>
    <w:basedOn w:val="DefaultParagraphFont"/>
    <w:uiPriority w:val="99"/>
    <w:semiHidden/>
    <w:unhideWhenUsed/>
    <w:rsid w:val="00344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535/oj" TargetMode="External" /><Relationship Id="rId2" Type="http://schemas.openxmlformats.org/officeDocument/2006/relationships/hyperlink" Target="http://data.europa.eu/eli/agree_internation/2014/492/oj" TargetMode="External" /><Relationship Id="rId3" Type="http://schemas.openxmlformats.org/officeDocument/2006/relationships/hyperlink" Target="http://data.europa.eu/eli/dir/2019/8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6335</Words>
  <Characters>38611</Characters>
  <Application>Microsoft Office Word</Application>
  <DocSecurity>0</DocSecurity>
  <Lines>321</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2026-08-06T08:49:00Z</dcterms:created>
  <dcterms:modified xsi:type="dcterms:W3CDTF">2026-08-06T08:49:00Z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P10_TA(2026)0260_</vt:lpwstr>
  </property>
  <property fmtid="{D5CDD505-2E9C-101B-9397-08002B2CF9AE}" pid="4" name="&lt;Type&gt;">
    <vt:lpwstr>RR</vt:lpwstr>
  </property>
</Properties>
</file>