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7AC72E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00A0" w:rsidP="0010095E" w14:paraId="5350F11B" w14:textId="77777777">
            <w:pPr>
              <w:pStyle w:val="EPName"/>
            </w:pPr>
            <w:r w:rsidRPr="001400A0">
              <w:t>Európsky parlament</w:t>
            </w:r>
          </w:p>
          <w:p w:rsidR="00751A4A" w:rsidRPr="001400A0" w:rsidP="005F1B17" w14:paraId="633E8B8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00A0">
              <w:t>2024</w:t>
            </w:r>
            <w:r w:rsidRPr="001400A0" w:rsidR="00817416">
              <w:t>-202</w:t>
            </w:r>
            <w:r w:rsidRPr="001400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00A0" w:rsidP="0010095E" w14:paraId="717B710A" w14:textId="77777777">
            <w:pPr>
              <w:pStyle w:val="EPLogo"/>
            </w:pPr>
            <w:r w:rsidRPr="001400A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00A0" w:rsidP="004C5D52" w14:paraId="1DC12C3D" w14:textId="77777777">
      <w:pPr>
        <w:pStyle w:val="LineTop"/>
      </w:pPr>
    </w:p>
    <w:p w:rsidR="00680577" w:rsidRPr="001400A0" w:rsidP="00680577" w14:paraId="16CAE09A" w14:textId="77777777">
      <w:pPr>
        <w:pStyle w:val="EPBodyTA1"/>
      </w:pPr>
      <w:r w:rsidRPr="001400A0">
        <w:t>PRIJATÉ TEXTY</w:t>
      </w:r>
    </w:p>
    <w:p w:rsidR="00D058B8" w:rsidRPr="001400A0" w:rsidP="00D058B8" w14:paraId="00172F84" w14:textId="77777777">
      <w:pPr>
        <w:pStyle w:val="LineBottom"/>
      </w:pPr>
    </w:p>
    <w:p w:rsidR="009E14BD" w:rsidRPr="001400A0" w:rsidP="009E14BD" w14:paraId="14869DF1" w14:textId="1687B727">
      <w:pPr>
        <w:pStyle w:val="ATHeading1"/>
      </w:pPr>
      <w:bookmarkStart w:id="0" w:name="TANumber"/>
      <w:r w:rsidRPr="001400A0">
        <w:t>P10_TA(2026)0</w:t>
      </w:r>
      <w:r w:rsidRPr="001400A0" w:rsidR="00AA2F75">
        <w:t>26</w:t>
      </w:r>
      <w:bookmarkEnd w:id="0"/>
      <w:r w:rsidRPr="001400A0" w:rsidR="008F0691">
        <w:t>0</w:t>
      </w:r>
    </w:p>
    <w:p w:rsidR="009E14BD" w:rsidRPr="001400A0" w:rsidP="009E14BD" w14:paraId="0B65E8DE" w14:textId="77777777">
      <w:pPr>
        <w:pStyle w:val="ATHeading2"/>
      </w:pPr>
      <w:bookmarkStart w:id="1" w:name="title"/>
      <w:r w:rsidRPr="001400A0">
        <w:t>Správa Komisie o Moldavsku za rok 2025</w:t>
      </w:r>
      <w:bookmarkEnd w:id="1"/>
    </w:p>
    <w:p w:rsidR="009E14BD" w:rsidRPr="001400A0" w:rsidP="009E14BD" w14:paraId="5FA34443" w14:textId="77777777">
      <w:pPr>
        <w:rPr>
          <w:i/>
          <w:vanish/>
        </w:rPr>
      </w:pPr>
      <w:r>
        <w:rPr>
          <w:i/>
        </w:rPr>
        <w:fldChar w:fldCharType="begin"/>
      </w:r>
      <w:r w:rsidRPr="001400A0">
        <w:rPr>
          <w:i/>
        </w:rPr>
        <w:instrText xml:space="preserve"> TC"(</w:instrText>
      </w:r>
      <w:bookmarkStart w:id="2" w:name="DocNumber"/>
      <w:r w:rsidRPr="001400A0">
        <w:rPr>
          <w:i/>
        </w:rPr>
        <w:instrText>A10-0164/2026</w:instrText>
      </w:r>
      <w:bookmarkEnd w:id="2"/>
      <w:r w:rsidRPr="001400A0">
        <w:rPr>
          <w:i/>
        </w:rPr>
        <w:instrText xml:space="preserve"> - Spravodajca: Sven </w:instrText>
      </w:r>
      <w:r w:rsidRPr="001400A0">
        <w:rPr>
          <w:i/>
        </w:rPr>
        <w:instrText>Mikser</w:instrText>
      </w:r>
      <w:r w:rsidRPr="001400A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E14BD" w:rsidRPr="001400A0" w:rsidP="009E14BD" w14:paraId="157EAE28" w14:textId="77777777">
      <w:pPr>
        <w:rPr>
          <w:vanish/>
        </w:rPr>
      </w:pPr>
      <w:bookmarkStart w:id="3" w:name="Commission"/>
      <w:r w:rsidRPr="001400A0">
        <w:rPr>
          <w:vanish/>
        </w:rPr>
        <w:t>Výbor pre zahraničné veci</w:t>
      </w:r>
      <w:bookmarkEnd w:id="3"/>
    </w:p>
    <w:p w:rsidR="009E14BD" w:rsidRPr="001400A0" w:rsidP="009E14BD" w14:paraId="37EBE071" w14:textId="77777777">
      <w:pPr>
        <w:rPr>
          <w:vanish/>
        </w:rPr>
      </w:pPr>
      <w:bookmarkStart w:id="4" w:name="PE"/>
      <w:r w:rsidRPr="001400A0">
        <w:rPr>
          <w:vanish/>
        </w:rPr>
        <w:t>PE782.290</w:t>
      </w:r>
      <w:bookmarkEnd w:id="4"/>
    </w:p>
    <w:p w:rsidR="009E14BD" w:rsidRPr="001400A0" w:rsidP="009E14BD" w14:paraId="6F0E1375" w14:textId="18E6E010">
      <w:pPr>
        <w:pStyle w:val="ATHeading3"/>
      </w:pPr>
      <w:bookmarkStart w:id="5" w:name="Sujet"/>
      <w:r w:rsidRPr="001400A0">
        <w:t>Uznesenie Európskeho parlamentu z</w:t>
      </w:r>
      <w:r w:rsidRPr="001400A0" w:rsidR="00735550">
        <w:t xml:space="preserve"> 8. júla </w:t>
      </w:r>
      <w:r w:rsidRPr="001400A0">
        <w:t>2026 o správe Komisie o Moldavsku za rok 2025</w:t>
      </w:r>
      <w:bookmarkEnd w:id="5"/>
      <w:r w:rsidRPr="001400A0">
        <w:t xml:space="preserve"> </w:t>
      </w:r>
      <w:bookmarkStart w:id="6" w:name="References"/>
      <w:r w:rsidRPr="001400A0">
        <w:t>(2025/2258(INI))</w:t>
      </w:r>
      <w:bookmarkEnd w:id="6"/>
    </w:p>
    <w:p w:rsidR="00CA6CEF" w:rsidRPr="001400A0" w:rsidP="00CA6CEF" w14:paraId="26021867" w14:textId="77777777">
      <w:pPr>
        <w:pStyle w:val="Normal12"/>
        <w:rPr>
          <w:i/>
          <w:iCs/>
        </w:rPr>
      </w:pPr>
      <w:r w:rsidRPr="001400A0">
        <w:rPr>
          <w:i/>
          <w:iCs/>
        </w:rPr>
        <w:t>Európsky parlament,</w:t>
      </w:r>
    </w:p>
    <w:p w:rsidR="00CA6CEF" w:rsidRPr="001400A0" w:rsidP="00CA6CEF" w14:paraId="396EFFC2" w14:textId="54E828EC">
      <w:pPr>
        <w:pStyle w:val="NormalHanging"/>
      </w:pPr>
      <w:r w:rsidRPr="001400A0">
        <w:t>–</w:t>
      </w:r>
      <w:r w:rsidRPr="001400A0">
        <w:tab/>
        <w:t>so zreteľom na oznámenie Komisie zo 4. novembra 2025 s názvom Oznámenie o politike rozširovania EÚ za rok 2025 (</w:t>
      </w:r>
      <w:r w:rsidRPr="001400A0" w:rsidR="00735550">
        <w:t>COM(2025)0690</w:t>
      </w:r>
      <w:r w:rsidRPr="001400A0">
        <w:t>) a na sprievodný pracovný dokument útvarov Komisie zo 4. novembra 2025 s názvom Správa o Moldavsku za rok 2025 (SWD(2025)0758),</w:t>
      </w:r>
    </w:p>
    <w:p w:rsidR="00CA6CEF" w:rsidRPr="001400A0" w:rsidP="00CA6CEF" w14:paraId="7256953B" w14:textId="3DA20C1C">
      <w:pPr>
        <w:pStyle w:val="NormalHanging"/>
      </w:pPr>
      <w:r w:rsidRPr="001400A0">
        <w:t>–</w:t>
      </w:r>
      <w:r w:rsidRPr="001400A0">
        <w:tab/>
        <w:t>so zreteľom na nariadenie Európskeho parlamentu a Rady (EÚ) 2025/535 z 18. marca 2025, ktorým sa zriaďuje Nástroj na podporu reforiem a rastu pre Moldavskú republiku</w:t>
      </w:r>
      <w:r>
        <w:rPr>
          <w:rStyle w:val="FootnoteReference"/>
        </w:rPr>
        <w:footnoteReference w:id="2"/>
      </w:r>
      <w:r w:rsidRPr="001400A0">
        <w:t>,</w:t>
      </w:r>
    </w:p>
    <w:p w:rsidR="00CA6CEF" w:rsidRPr="001400A0" w:rsidP="00CA6CEF" w14:paraId="7EA7FDE1" w14:textId="77777777">
      <w:pPr>
        <w:pStyle w:val="NormalHanging"/>
      </w:pPr>
      <w:r w:rsidRPr="001400A0">
        <w:t>–</w:t>
      </w:r>
      <w:r w:rsidRPr="001400A0">
        <w:tab/>
        <w:t>so zreteľom na program reforiem v rámci plánu rastu pre Moldavskú republiku (ďalej len „Moldavsko“) na roky 2025 – 2027,</w:t>
      </w:r>
    </w:p>
    <w:p w:rsidR="00CA6CEF" w:rsidRPr="001400A0" w:rsidP="00CA6CEF" w14:paraId="0DC38DEA" w14:textId="77777777">
      <w:pPr>
        <w:pStyle w:val="NormalHanging"/>
      </w:pPr>
      <w:r w:rsidRPr="001400A0">
        <w:t>–</w:t>
      </w:r>
      <w:r w:rsidRPr="001400A0">
        <w:tab/>
        <w:t>so zreteľom na svoje predchádzajúce uznesenia o Moldavsku,</w:t>
      </w:r>
    </w:p>
    <w:p w:rsidR="00CA6CEF" w:rsidRPr="001400A0" w:rsidP="00CA6CEF" w14:paraId="2227F026" w14:textId="77777777">
      <w:pPr>
        <w:pStyle w:val="NormalHanging"/>
      </w:pPr>
      <w:r w:rsidRPr="001400A0">
        <w:t>–</w:t>
      </w:r>
      <w:r w:rsidRPr="001400A0">
        <w:tab/>
        <w:t>so zreteľom na závery Európskej rady o Moldavsku z 26. júna 2025,</w:t>
      </w:r>
    </w:p>
    <w:p w:rsidR="00CA6CEF" w:rsidRPr="001400A0" w:rsidP="00CA6CEF" w14:paraId="7134A6BC" w14:textId="77777777">
      <w:pPr>
        <w:pStyle w:val="NormalHanging"/>
      </w:pPr>
      <w:r w:rsidRPr="001400A0">
        <w:t>–</w:t>
      </w:r>
      <w:r w:rsidRPr="001400A0">
        <w:tab/>
        <w:t>so zreteľom na závery predsedníctva Rady o rozšírení zo 16. decembra 2025,</w:t>
      </w:r>
    </w:p>
    <w:p w:rsidR="00CA6CEF" w:rsidRPr="001400A0" w:rsidP="00CA6CEF" w14:paraId="0BED7EB3" w14:textId="4B369579">
      <w:pPr>
        <w:pStyle w:val="NormalHanging"/>
      </w:pPr>
      <w:r w:rsidRPr="001400A0">
        <w:t>–</w:t>
      </w:r>
      <w:r w:rsidRPr="001400A0">
        <w:tab/>
        <w:t xml:space="preserve">so zreteľom na spoločné vyhlásenie po </w:t>
      </w:r>
      <w:r w:rsidRPr="001400A0" w:rsidR="00AF2947">
        <w:t xml:space="preserve">druhom </w:t>
      </w:r>
      <w:r w:rsidRPr="001400A0">
        <w:t xml:space="preserve">samite EÚ a Moldavska, ktorý sa konal </w:t>
      </w:r>
      <w:r w:rsidRPr="001400A0" w:rsidR="00AF2947">
        <w:t>22. júna 2026</w:t>
      </w:r>
      <w:r w:rsidRPr="001400A0">
        <w:t>,</w:t>
      </w:r>
    </w:p>
    <w:p w:rsidR="00CA6CEF" w:rsidRPr="001400A0" w:rsidP="00CA6CEF" w14:paraId="31224B01" w14:textId="77777777">
      <w:pPr>
        <w:pStyle w:val="NormalHanging"/>
      </w:pPr>
      <w:r w:rsidRPr="001400A0">
        <w:t>–</w:t>
      </w:r>
      <w:r w:rsidRPr="001400A0">
        <w:tab/>
        <w:t>so zreteľom na výsledky deviateho zasadnutia Rady pre pridruženie EÚ – Moldavská republika zo 4. júna 2025,</w:t>
      </w:r>
    </w:p>
    <w:p w:rsidR="00CA6CEF" w:rsidRPr="001400A0" w:rsidP="00CA6CEF" w14:paraId="0BA44520" w14:textId="77777777">
      <w:pPr>
        <w:pStyle w:val="NormalHanging"/>
      </w:pPr>
      <w:r w:rsidRPr="001400A0">
        <w:t>–</w:t>
      </w:r>
      <w:r w:rsidRPr="001400A0">
        <w:tab/>
        <w:t>so zreteľom na obnovené memorandum o porozumení medzi Európskym parlamentom a parlamentom Moldavskej republiky podpísané 18. marca 2026,</w:t>
      </w:r>
    </w:p>
    <w:p w:rsidR="00CA6CEF" w:rsidRPr="001400A0" w:rsidP="00CA6CEF" w14:paraId="37FC9559" w14:textId="77777777">
      <w:pPr>
        <w:pStyle w:val="NormalHanging"/>
      </w:pPr>
      <w:r w:rsidRPr="001400A0">
        <w:t>–</w:t>
      </w:r>
      <w:r w:rsidRPr="001400A0">
        <w:tab/>
        <w:t>so zreteľom na článok 55 rokovacieho poriadku,</w:t>
      </w:r>
    </w:p>
    <w:p w:rsidR="00CA6CEF" w:rsidRPr="001400A0" w:rsidP="00CA6CEF" w14:paraId="6FFA3E10" w14:textId="77777777">
      <w:pPr>
        <w:pStyle w:val="NormalHanging"/>
      </w:pPr>
      <w:r w:rsidRPr="001400A0">
        <w:t>–</w:t>
      </w:r>
      <w:r w:rsidRPr="001400A0">
        <w:tab/>
        <w:t>so zreteľom na správu Výboru pre zahraničné veci (A10-0164/2026),</w:t>
      </w:r>
    </w:p>
    <w:p w:rsidR="00CA6CEF" w:rsidRPr="001400A0" w:rsidP="00CA6CEF" w14:paraId="6E2BD7A2" w14:textId="36200418">
      <w:pPr>
        <w:pStyle w:val="NormalHanging"/>
      </w:pPr>
      <w:r w:rsidRPr="001400A0">
        <w:t>A.</w:t>
      </w:r>
      <w:r w:rsidRPr="001400A0">
        <w:tab/>
        <w:t>keďže 22. septembra 2025 Moldavsko ukončilo dvojstranné preverovanie, ktoré sa začalo 10. júla 2024; keďže Moldavsko je pripravené začať oficiálne rokovania o všetkých šiestich tematických blokoch prístupových rokovaní s EÚ;</w:t>
      </w:r>
      <w:r w:rsidRPr="001400A0" w:rsidR="00AF2947">
        <w:t xml:space="preserve"> </w:t>
      </w:r>
      <w:r w:rsidRPr="001400A0" w:rsidR="00AF2947">
        <w:rPr>
          <w:bCs/>
          <w:iCs/>
        </w:rPr>
        <w:t>keďže rokovania o tematickom bloku 1 (Základné hodnoty) sa formálne začali 15. júna 2026;</w:t>
      </w:r>
    </w:p>
    <w:p w:rsidR="00CA6CEF" w:rsidRPr="001400A0" w:rsidP="00CA6CEF" w14:paraId="22FC4A61" w14:textId="77777777">
      <w:pPr>
        <w:pStyle w:val="NormalHanging"/>
      </w:pPr>
      <w:r w:rsidRPr="001400A0">
        <w:t>B.</w:t>
      </w:r>
      <w:r w:rsidRPr="001400A0">
        <w:tab/>
        <w:t>keďže moldavská vláda oznámila svoj ambiciózny, ale dosiahnuteľný cieľ predbežne uzavrieť prístupové rokovania do začiatku roka 2028 a vstúpiť do Európskej únie do roku 2030;</w:t>
      </w:r>
    </w:p>
    <w:p w:rsidR="00CA6CEF" w:rsidRPr="001400A0" w:rsidP="00CA6CEF" w14:paraId="43BE2DB3" w14:textId="77777777">
      <w:pPr>
        <w:pStyle w:val="NormalHanging"/>
      </w:pPr>
      <w:r w:rsidRPr="001400A0">
        <w:t>C.</w:t>
      </w:r>
      <w:r w:rsidRPr="001400A0">
        <w:tab/>
        <w:t xml:space="preserve">keďže v Moldavsku sa 28. septembra 2025 konali parlamentné voľby, z ktorých vzišla </w:t>
      </w:r>
      <w:r w:rsidRPr="001400A0">
        <w:t>proeurópska</w:t>
      </w:r>
      <w:r w:rsidRPr="001400A0">
        <w:t xml:space="preserve"> väčšina a opätovne sa potvrdilo, že obyvatelia Moldavska túžia po európskej budúcnosti svojej krajiny napriek bezprecedentnému zahraničnému zasahovaniu Ruska a ruských zástupcov, ktorí podľa moldavských predstaviteľov na toto zasahovanie vynaložili prostriedky vo výške 2 % hrubého domáceho produktu Moldavska, čo zodpovedá 350 miliónom EUR;</w:t>
      </w:r>
    </w:p>
    <w:p w:rsidR="00CA6CEF" w:rsidRPr="001400A0" w:rsidP="00CA6CEF" w14:paraId="71EC0A49" w14:textId="77777777">
      <w:pPr>
        <w:pStyle w:val="NormalHanging"/>
      </w:pPr>
      <w:r w:rsidRPr="001400A0">
        <w:t>D.</w:t>
      </w:r>
      <w:r w:rsidRPr="001400A0">
        <w:tab/>
        <w:t>keďže Moldavsko vedie technické diskusie s Komisiou o všetkých šiestich tematických blokoch prístupových rokovaní s EÚ;</w:t>
      </w:r>
    </w:p>
    <w:p w:rsidR="00CA6CEF" w:rsidRPr="001400A0" w:rsidP="00CA6CEF" w14:paraId="07537FB2" w14:textId="77777777">
      <w:pPr>
        <w:pStyle w:val="NormalHanging"/>
      </w:pPr>
      <w:r w:rsidRPr="001400A0">
        <w:t>E.</w:t>
      </w:r>
      <w:r w:rsidRPr="001400A0">
        <w:tab/>
        <w:t>keďže dohoda o pridružení, ktorá zahŕňa prehĺbenú a komplexnú zónu voľného obchodu (DCFTA), je aj naďalej základom politického pridruženia a hospodárskej integrácie medzi EÚ a Moldavskom a medzi oboma stranami prebieha pravidelný politický a hospodársky dialóg;</w:t>
      </w:r>
    </w:p>
    <w:p w:rsidR="00CA6CEF" w:rsidRPr="001400A0" w:rsidP="00CA6CEF" w14:paraId="295675CE" w14:textId="77777777">
      <w:pPr>
        <w:pStyle w:val="NormalHanging"/>
      </w:pPr>
      <w:r w:rsidRPr="001400A0">
        <w:t>F.</w:t>
      </w:r>
      <w:r w:rsidRPr="001400A0">
        <w:tab/>
        <w:t xml:space="preserve">keďže vláda Moldavska oznámila 19. januára 2026 úmysel oficiálne vystúpiť zo Spoločenstva nezávislých štátov, 2. apríla 2026 moldavský parlament oficiálne prijal v záverečnom čítaní zákon o vypovedaní zakladajúcich listín tejto organizácie a prezidentka </w:t>
      </w:r>
      <w:r w:rsidRPr="001400A0">
        <w:t>Maia</w:t>
      </w:r>
      <w:r w:rsidRPr="001400A0">
        <w:t xml:space="preserve"> </w:t>
      </w:r>
      <w:r w:rsidRPr="001400A0">
        <w:t>Sandu</w:t>
      </w:r>
      <w:r w:rsidRPr="001400A0">
        <w:t xml:space="preserve"> podpísala 6. apríla 2026 dekrét, ktorým tento zákon vyhlásila;</w:t>
      </w:r>
    </w:p>
    <w:p w:rsidR="00CA6CEF" w:rsidRPr="001400A0" w:rsidP="00CA6CEF" w14:paraId="74F224C4" w14:textId="77777777">
      <w:pPr>
        <w:pStyle w:val="Normal12a"/>
      </w:pPr>
      <w:r w:rsidRPr="001400A0">
        <w:rPr>
          <w:b/>
          <w:i/>
        </w:rPr>
        <w:t>Pokrok v reformách súvisiacich s pristúpením k EÚ, najmä v oblasti právneho štátu a správy vecí verejných</w:t>
      </w:r>
    </w:p>
    <w:p w:rsidR="00CA6CEF" w:rsidRPr="001400A0" w:rsidP="00CA6CEF" w14:paraId="0879779B" w14:textId="77777777">
      <w:pPr>
        <w:pStyle w:val="NormalHanging12a"/>
      </w:pPr>
      <w:r w:rsidRPr="001400A0">
        <w:t>1.</w:t>
      </w:r>
      <w:r w:rsidRPr="001400A0">
        <w:tab/>
        <w:t>chváli Moldavsko za jeho príkladný neustály záväzok voči pristúpeniu k EÚ a sústavný pokrok pri realizácii súvisiacich reforiem napriek závažným vnútorným a vonkajším výzvam, napríklad vytrvalému nepriateľskému zasahovaniu z Ruska; víta hodnotenie Komisie, že Moldavsko postúpilo vo všetkých kapitolách a dosiahlo spomedzi kandidátskych krajín za rok najväčší pokrok; považuje tento pokrok za obzvlášť pozoruhodný vzhľadom na mimoriadny geopolitický tlak, pod ktorým krajina naďalej funguje; nabáda Moldavsko, aby pokračovalo v zrýchlenom tempe reforiem, aby sa pokrok premietol do hmatateľných prínosov pre občanov a podniky, a aby posilnilo hospodársky rozvoj, odolnosť a konvergenciu s Európskou úniou v súlade s deklarovanou ambíciou krajiny predbežne uzavrieť prístupové rokovania do začiatku roka 2028;</w:t>
      </w:r>
    </w:p>
    <w:p w:rsidR="00CA6CEF" w:rsidRPr="001400A0" w:rsidP="00CA6CEF" w14:paraId="36EE2749" w14:textId="0BEC5902">
      <w:pPr>
        <w:pStyle w:val="NormalHanging12a"/>
      </w:pPr>
      <w:r w:rsidRPr="001400A0">
        <w:t>2.</w:t>
      </w:r>
      <w:r w:rsidRPr="001400A0">
        <w:tab/>
        <w:t>víta</w:t>
      </w:r>
      <w:r w:rsidRPr="001400A0" w:rsidR="00F964D9">
        <w:rPr>
          <w:bCs/>
          <w:iCs/>
        </w:rPr>
        <w:t>, že 15. júna 2026 sa začali prístupové rokovania o bloku 1 (Základné hodnoty), a to po úspešnom ukončení</w:t>
      </w:r>
      <w:r w:rsidRPr="001400A0" w:rsidR="00F964D9">
        <w:t xml:space="preserve"> </w:t>
      </w:r>
      <w:r w:rsidRPr="001400A0">
        <w:t xml:space="preserve">dvojstranného procesu preverovania </w:t>
      </w:r>
      <w:r w:rsidRPr="001400A0" w:rsidR="00F964D9">
        <w:rPr>
          <w:bCs/>
          <w:iCs/>
        </w:rPr>
        <w:t>v septembri 2025 a následnom začatí</w:t>
      </w:r>
      <w:r w:rsidRPr="001400A0" w:rsidR="00F964D9">
        <w:t xml:space="preserve"> </w:t>
      </w:r>
      <w:r w:rsidRPr="001400A0">
        <w:t xml:space="preserve">technických rozhovorov o rokovacích blokoch; víta posudok Komisie, že všetkých šesť rokovacích blokov sa môže otvoriť; naliehavo vyzýva Radu, aby zaujala prístup založený na zásluhách a formálne otvorila </w:t>
      </w:r>
      <w:r w:rsidRPr="001400A0" w:rsidR="00F964D9">
        <w:t xml:space="preserve">všetky </w:t>
      </w:r>
      <w:r w:rsidRPr="001400A0">
        <w:t xml:space="preserve">bloky bez </w:t>
      </w:r>
      <w:r w:rsidRPr="001400A0">
        <w:t xml:space="preserve">akéhokoľvek ďalšieho odkladu; pripomína členským štátom zásadu lojálnej spolupráce podľa článku 4 ods. 3 Zmluvy o Európskej únii, ktorá vyžaduje, aby neprijali žiadne opatrenia, ktoré by mohli ohroziť dosiahnutie cieľov Únie, a preto ich naliehavo vyzýva, aby neblokovali a nezdržiavali prístupové rokovania z bilaterálnych dôvodov; zdôrazňuje, že začatie prístupových rokovaní by bolo signálom, že EÚ uznáva a oceňuje konkrétne úspechy Moldavska, čím by sa posilnila dôveryhodnosť a integrita procesu rozširovania; víta prijatie plánov v oblasti právneho štátu, verejnej správy a demokratických inštitúcií a aktualizovaný národný program pristúpenia k Európskej únii na obdobie 2025 – 2029; oceňuje pokrok, ktorý Moldavsko už dosiahlo na technickej úrovni pri transpozícii </w:t>
      </w:r>
      <w:r w:rsidRPr="001400A0">
        <w:t>acquis</w:t>
      </w:r>
      <w:r w:rsidRPr="001400A0">
        <w:t xml:space="preserve"> EÚ;</w:t>
      </w:r>
    </w:p>
    <w:p w:rsidR="00CA6CEF" w:rsidRPr="001400A0" w:rsidP="00CA6CEF" w14:paraId="6965FB47" w14:textId="77777777">
      <w:pPr>
        <w:pStyle w:val="NormalHanging12a"/>
      </w:pPr>
      <w:r w:rsidRPr="001400A0">
        <w:t>3.</w:t>
      </w:r>
      <w:r w:rsidRPr="001400A0">
        <w:tab/>
        <w:t>zdôrazňuje, že rýchlosť prístupového procesu Moldavska by mala odrážať významný pokrok, ktorý krajina dosiahla v reformách; vyzýva Komisiu, aby aktívne uľahčovala a poskytovala prípravnú podporu vrátane technickej pomoci, následných overovaní a budovania administratívnych kapacít s cieľom umožniť Moldavsku postupovať v rokovaniach účinne a súčasne vo všetkých blokoch;</w:t>
      </w:r>
    </w:p>
    <w:p w:rsidR="00CA6CEF" w:rsidRPr="001400A0" w:rsidP="00CA6CEF" w14:paraId="0865B1E1" w14:textId="77777777">
      <w:pPr>
        <w:pStyle w:val="NormalHanging12a"/>
      </w:pPr>
      <w:r w:rsidRPr="001400A0">
        <w:t>4.</w:t>
      </w:r>
      <w:r w:rsidRPr="001400A0">
        <w:tab/>
        <w:t>uznáva, že európska integrácia Moldavska pozitívne prispieva k stabilite a bezpečnosti v Európe a je dôležitým katalyzátorom demokratickej odolnosti krajiny, inštitucionálnych reforiem, právneho štátu a udržateľného hospodárskeho rozvoja;</w:t>
      </w:r>
    </w:p>
    <w:p w:rsidR="00CA6CEF" w:rsidRPr="001400A0" w:rsidP="00CA6CEF" w14:paraId="4065CB79" w14:textId="77777777">
      <w:pPr>
        <w:pStyle w:val="NormalHanging12a"/>
      </w:pPr>
      <w:r w:rsidRPr="001400A0">
        <w:t>5.</w:t>
      </w:r>
      <w:r w:rsidRPr="001400A0">
        <w:tab/>
        <w:t>berie na vedomie hodnotenie Komisie, že Moldavsko značne pokročilo v reforme súdnictva; pripomína Moldavsku jeho záväzok dodržiavať odporúčania Benátskej komisie; zdôrazňuje, že udržateľnosť reforiem si vyžaduje širokú politickú zodpovednosť a inkluzívny dialóg naprieč politickým spektrom, ako aj zmysluplné konzultácie s občianskou spoločnosťou a odbornými zainteresovanými stranami; uznáva konzistentnú politickú vôľu a trvalé úsilie Moldavska o vybudovanie nezávislého, nestranného, zodpovedného a profesionálneho súdnictva;</w:t>
      </w:r>
    </w:p>
    <w:p w:rsidR="00CA6CEF" w:rsidRPr="001400A0" w:rsidP="00CA6CEF" w14:paraId="1C3BA66B" w14:textId="77777777">
      <w:pPr>
        <w:pStyle w:val="NormalHanging12a"/>
      </w:pPr>
      <w:r w:rsidRPr="001400A0">
        <w:t>6.</w:t>
      </w:r>
      <w:r w:rsidRPr="001400A0">
        <w:tab/>
        <w:t>vyzýva moldavské orgány, aby zaistili, aby sa proces preverovania sudcov a prokurátorov vykonával inkluzívne, predvídateľne a z právneho hľadiska spoľahlivo, a nabáda krajinu, aby tento proces ukončila efektívne a bezodkladne, keďže dokončenie preverovania má mimoriadny význam pre zaistenie dôvery verejnosti v súdnictvo, odvolanie skompromitovaných sudcov a posilnenie právneho štátu ako základného kameňa integrácie do EÚ; vyzýva Moldavsko, aby zabezpečilo súdnym orgánom dostatočné rozpočtové a ľudské zdroje a aby aj naďalej prijímalo opatrenia na posilnenie ich kapacít s cieľom zamerať sa okrem iného na problém chýbajúcich sudcov a prokurátorov, skrátiť dĺžku konaní, najmä v prípadoch korupcie a hospodárskej trestnej činnosti, a zlepšiť digitalizáciu, prístupnosť, efektívnosť a transparentnosť spravodlivosti pre všetkých občanov;</w:t>
      </w:r>
    </w:p>
    <w:p w:rsidR="00CA6CEF" w:rsidRPr="001400A0" w:rsidP="00CA6CEF" w14:paraId="376C18F5" w14:textId="77777777">
      <w:pPr>
        <w:pStyle w:val="NormalHanging12a"/>
      </w:pPr>
      <w:r w:rsidRPr="001400A0">
        <w:t>7.</w:t>
      </w:r>
      <w:r w:rsidRPr="001400A0">
        <w:tab/>
        <w:t>berie na vedomie stabilný pokrok, ktorý Moldavsko dosiahlo v oblasti predchádzania korupcii a boja proti nej, a lepšie výsledky dosiahnuté v prípadoch na vysokej i nižšej úrovni; zdôrazňuje, že treba ďalej posilňovať operačné kapacity, inštitucionálnu nezávislosť, profesionalitu a zodpovednosť a zlepšovať mechanizmy koordinácie medzi všetkými kľúčovými protikorupčnými a justičnými inštitúciami, aby sa zaručil dlhodobý úspech komplexných reforiem;</w:t>
      </w:r>
    </w:p>
    <w:p w:rsidR="00CA6CEF" w:rsidRPr="001400A0" w:rsidP="00CA6CEF" w14:paraId="490650C9" w14:textId="77777777">
      <w:pPr>
        <w:pStyle w:val="NormalHanging12a"/>
      </w:pPr>
      <w:r w:rsidRPr="001400A0">
        <w:t>8.</w:t>
      </w:r>
      <w:r w:rsidRPr="001400A0">
        <w:tab/>
        <w:t xml:space="preserve">zdôrazňuje, že protikorupčné úsilie musí byť dôsledné, odpolitizované a transparentné, pričom sa treba vyhnúť ad hoc alebo urýchleným legislatívnym iniciatívam, ktoré môžu narušiť právnu istotu a inštitucionálnu dôveru; zdôrazňuje, že ak sa má dosiahnuť </w:t>
      </w:r>
      <w:r w:rsidRPr="001400A0">
        <w:t>dlhodobá dôveryhodnosť a odolnosť protikorupčného rámca, treba dať namiesto rýchlosti reforiem prednosť kvalite, udržateľnosti a riadnemu procesu;</w:t>
      </w:r>
    </w:p>
    <w:p w:rsidR="00CA6CEF" w:rsidRPr="001400A0" w:rsidP="00CA6CEF" w14:paraId="12560A6F" w14:textId="77777777">
      <w:pPr>
        <w:pStyle w:val="NormalHanging12a"/>
      </w:pPr>
      <w:r w:rsidRPr="001400A0">
        <w:t>9.</w:t>
      </w:r>
      <w:r w:rsidRPr="001400A0">
        <w:tab/>
        <w:t>zdôrazňuje, že pre dosiahnutie pokroku v európskej integrácii Moldavska je aj naďalej kľúčovou prioritou vyriešenie vplyvu oligarchických štruktúr v politickej, hospodárskej a mediálnej sfére;</w:t>
      </w:r>
    </w:p>
    <w:p w:rsidR="00CA6CEF" w:rsidRPr="001400A0" w:rsidP="00CA6CEF" w14:paraId="09DB0EE2" w14:textId="77777777">
      <w:pPr>
        <w:pStyle w:val="NormalHanging12a"/>
      </w:pPr>
      <w:r w:rsidRPr="001400A0">
        <w:t>10.</w:t>
      </w:r>
      <w:r w:rsidRPr="001400A0">
        <w:tab/>
        <w:t xml:space="preserve">zdôrazňuje, že parlamentné voľby 28. septembra 2025 boli piatym po sebe nasledujúcim hlasovaním potvrdzujúcim podporu obyvateľov Moldavska pristúpeniu krajiny k EÚ a súvisiacim reformám; dôrazne odsudzuje opakované pokusy Ruskej federácie a </w:t>
      </w:r>
      <w:r w:rsidRPr="001400A0">
        <w:t>proruských</w:t>
      </w:r>
      <w:r w:rsidRPr="001400A0">
        <w:t xml:space="preserve"> oligarchov a zástupcov o destabilizáciu krajiny, vytváranie a šírenie dezinformácií, rozoštvávanie moldavskej spoločnosti, oslabovanie demokratických inštitúcií krajiny a zvrátenie jej európskeho smerovania;</w:t>
      </w:r>
    </w:p>
    <w:p w:rsidR="00CA6CEF" w:rsidRPr="001400A0" w:rsidP="00CA6CEF" w14:paraId="33D69D50" w14:textId="77777777">
      <w:pPr>
        <w:pStyle w:val="NormalHanging12a"/>
      </w:pPr>
      <w:r w:rsidRPr="001400A0">
        <w:t>11.</w:t>
      </w:r>
      <w:r w:rsidRPr="001400A0">
        <w:tab/>
        <w:t>víta hodnotenie Organizácie pre bezpečnosť a spoluprácu v Európe (OBSE)/Úradu pre demokratické inštitúcie a ľudské práva (ODIHR), že parlamentné voľby boli dobre zorganizované a pluralitné a voličom ponúkali jasný výber z politických alternatív; vyzýva Moldavsko, aby ďalej zosúlaďovalo svoje právne predpisy týkajúce sa volieb a volebných procesov s európskymi a medzinárodnými normami a vykonalo všetky odporúčania Benátskej komisie a OBSE/ODIHR, ktoré neboli doposiaľ vykonané;</w:t>
      </w:r>
    </w:p>
    <w:p w:rsidR="00CA6CEF" w:rsidRPr="001400A0" w:rsidP="00CA6CEF" w14:paraId="4B5DDC28" w14:textId="77777777">
      <w:pPr>
        <w:pStyle w:val="NormalHanging12a"/>
      </w:pPr>
      <w:r w:rsidRPr="001400A0">
        <w:t>12.</w:t>
      </w:r>
      <w:r w:rsidRPr="001400A0">
        <w:tab/>
        <w:t>vyjadruje uznanie moldavským inštitúciám a spoločnosti za ich odolnosť pri ochrane integrity volebného procesu napriek masívnej hybridnej kampani zo strany Ruska a jeho zástupcov; konštatuje, že kľúčovými faktormi tohto úspechu bolo včasné a koordinované úsilie moldavských orgánov, aktívne zapojenie občianskej spoločnosti a nezávislých médií a podpora EÚ a jej členských štátov, a to aj prostredníctvom partnerskej misie EÚ v Moldavsku (EUPM);</w:t>
      </w:r>
    </w:p>
    <w:p w:rsidR="00CA6CEF" w:rsidRPr="001400A0" w:rsidP="00CA6CEF" w14:paraId="6AD3B90E" w14:textId="77777777">
      <w:pPr>
        <w:pStyle w:val="NormalHanging12a"/>
      </w:pPr>
      <w:r w:rsidRPr="001400A0">
        <w:t>13.</w:t>
      </w:r>
      <w:r w:rsidRPr="001400A0">
        <w:tab/>
        <w:t xml:space="preserve">varuje, že škodlivé zasahovanie Ruska je nepretržitý a premenlivý proces, ktorý si vyžaduje neustále sledovanie a reakciu založenú na „celospoločenskom“ prístupe, primeraných inštitucionálnych kapacitách a zdrojoch; vyzýva EÚ a jej členské štáty, aby posilnili podporu inštitucionálnej odolnosti Moldavska, kapacít strategickej komunikácie, kybernetickej bezpečnosti, nezávislých médií a demokratických záruk; zdôrazňuje, že úsilie Moldavska v boji proti šíreniu dezinformácií a mylných informácií z Ruska by malo byť v súlade s požiadavkami zákonnosti, nevyhnutnosti a proporcionality; konštatuje, že skúsenosti získané v Moldavsku možno využiť pri obrane iných demokracií, ktoré čelia podobným hybridným hrozbám; vyjadruje vážne znepokojenie nad pôsobením </w:t>
      </w:r>
      <w:r w:rsidRPr="001400A0">
        <w:t>proruských</w:t>
      </w:r>
      <w:r w:rsidRPr="001400A0">
        <w:t xml:space="preserve"> sietí spájaných s rozsiahlym obchádzaním sankcií, zasahovaním do volieb a dezinformačnými kampaňami na základe využívania </w:t>
      </w:r>
      <w:r w:rsidRPr="001400A0">
        <w:t>kryptomenových</w:t>
      </w:r>
      <w:r w:rsidRPr="001400A0">
        <w:t xml:space="preserve"> infraštruktúr napojených na ruských finančných aktérov, ako je napríklad </w:t>
      </w:r>
      <w:r w:rsidRPr="001400A0">
        <w:t>Promsvyazbank</w:t>
      </w:r>
      <w:r w:rsidRPr="001400A0">
        <w:t>; vyzýva Komisiu a členské štáty, aby posilnili spoluprácu v oblasti finančných spravodajských informácií, zlepšili presadzovanie sankcií a podporili moldavské orgány v boji proti nezákonným finančným tokom a zahraničnému zasahovaniu prostredníctvom tretích krajín mimo EÚ, a to aj cielenými sankciami a opatreniami na monitorovanie kybernetického priestoru;</w:t>
      </w:r>
    </w:p>
    <w:p w:rsidR="00CA6CEF" w:rsidRPr="001400A0" w:rsidP="00CA6CEF" w14:paraId="576F35B6" w14:textId="77777777">
      <w:pPr>
        <w:pStyle w:val="NormalHanging12a"/>
      </w:pPr>
      <w:r w:rsidRPr="001400A0">
        <w:t>14.</w:t>
      </w:r>
      <w:r w:rsidRPr="001400A0">
        <w:tab/>
        <w:t xml:space="preserve">podčiarkuje kľúčovú úlohu moldavskej diaspóry pri udržiavaní krajiny na jej európskej ceste, o čom svedčí jej aktívna účasť na demokratických procesoch vrátane parlamentných volieb z 28. septembra 2025 a jej významný prínos k sociálno-ekonomickému rozvoju Moldavska; vyzýva moldavské orgány, aby naďalej posilňovali </w:t>
      </w:r>
      <w:r w:rsidRPr="001400A0">
        <w:t>vzťahy s diaspórou a podporovali jej aktívne zapájanie do procesu európskej integrácie krajiny;</w:t>
      </w:r>
    </w:p>
    <w:p w:rsidR="00CA6CEF" w:rsidRPr="001400A0" w:rsidP="00CA6CEF" w14:paraId="606C690C" w14:textId="77777777">
      <w:pPr>
        <w:pStyle w:val="NormalHanging12a"/>
      </w:pPr>
      <w:r w:rsidRPr="001400A0">
        <w:t>15.</w:t>
      </w:r>
      <w:r w:rsidRPr="001400A0">
        <w:tab/>
        <w:t xml:space="preserve">vyzýva moldavské orgány, aby využili svoj silný </w:t>
      </w:r>
      <w:r w:rsidRPr="001400A0">
        <w:t>proeurópsky</w:t>
      </w:r>
      <w:r w:rsidRPr="001400A0">
        <w:t xml:space="preserve"> mandát na urýchlenie tempa kľúčových reforiem potrebných v súvislosti s procesom integrácie do EU a aby splnili ambíciu uzavrieť prístupové rokovania do začiatku roka 2028; uznáva pevné odhodlanie Moldavska ako kandidátskej krajiny realizovať náročné, ale potrebné reformy; naliehavo vyzýva moldavskú politickú elitu, aby podporovala politický konsenzus v otázke pristúpenia k EÚ; zdôrazňuje, že sa treba nevyhnutne zamerať na udržanie dôvery moldavských občanov v prístupový proces k EÚ, a to aj včasným otvorením oficiálnych prístupových rokovaní; víta zriadenie osobitného výboru moldavského parlamentu pre európsku integráciu a podčiarkuje význam medzistraníckej spolupráce pre trvalý úspech reforiem súvisiacich s pristúpením k EÚ a pokrok na ceste k členstvu v EÚ;</w:t>
      </w:r>
    </w:p>
    <w:p w:rsidR="00CA6CEF" w:rsidRPr="001400A0" w:rsidP="00CA6CEF" w14:paraId="3A06DAB6" w14:textId="1FA813F1">
      <w:pPr>
        <w:pStyle w:val="NormalHanging12a"/>
      </w:pPr>
      <w:r w:rsidRPr="001400A0">
        <w:t>16.</w:t>
      </w:r>
      <w:r w:rsidRPr="001400A0">
        <w:tab/>
        <w:t xml:space="preserve">vyjadruje pripravenosť naďalej podporovať moldavský parlament činnosťami na podporu demokracie na základe vzájomnej dohody s cieľom plniť potreby inštitúcie, jej volených poslancov a zamestnancov; upozorňuje na slávnostné otvorenie kancelárie Východného partnerstva Európskeho parlamentu 7. novembra 2025 v Kišiňove ako prejav záväzku </w:t>
      </w:r>
      <w:r w:rsidRPr="001400A0" w:rsidR="00735550">
        <w:t>Európskeho p</w:t>
      </w:r>
      <w:r w:rsidRPr="001400A0">
        <w:t xml:space="preserve">arlamentu prehĺbiť svoju angažovanosť v Moldavsku a celom regióne Východného partnerstva; v tejto súvislosti víta obnovené memorandum o porozumení, ktoré v marci 2026 podpísali predsedníčka </w:t>
      </w:r>
      <w:r w:rsidRPr="001400A0">
        <w:t>Metsola</w:t>
      </w:r>
      <w:r w:rsidRPr="001400A0">
        <w:t xml:space="preserve"> a predseda moldavského parlamentu Igor </w:t>
      </w:r>
      <w:r w:rsidRPr="001400A0">
        <w:t>Grosu</w:t>
      </w:r>
      <w:r w:rsidRPr="001400A0">
        <w:t>;</w:t>
      </w:r>
    </w:p>
    <w:p w:rsidR="00CA6CEF" w:rsidRPr="001400A0" w:rsidP="00CA6CEF" w14:paraId="34013A6E" w14:textId="1D2A6D62">
      <w:pPr>
        <w:pStyle w:val="NormalHanging12a"/>
        <w:rPr>
          <w:bCs/>
          <w:iCs/>
        </w:rPr>
      </w:pPr>
      <w:r w:rsidRPr="001400A0">
        <w:t>17.</w:t>
      </w:r>
      <w:r w:rsidRPr="001400A0">
        <w:tab/>
        <w:t>víta usporiadanie vôbec prvého samitu EÚ – Moldavsko v júli 2025 ako významný politický míľnik vo vzťahoch medzi EÚ a Moldavskom a silný politický signál podpory zvrchovanosti, demokratickej stability a európskej cesty Moldavska;</w:t>
      </w:r>
      <w:r w:rsidRPr="001400A0" w:rsidR="00F964D9">
        <w:t xml:space="preserve"> </w:t>
      </w:r>
      <w:r w:rsidRPr="001400A0" w:rsidR="00F964D9">
        <w:rPr>
          <w:bCs/>
          <w:iCs/>
        </w:rPr>
        <w:t>berie na vedomie spoločné vyhlásenie vydané po druhom samite EÚ – Moldavsko 22. júna 2026, v ktorom sa zdôrazňuje záväzok Moldavska pokračovať v posilňovaní právneho štátu, ako aj výzva EÚ na ďalšie zintenzívnenie úsilia v oblasti reformy súdnictva a boja proti korupcii;</w:t>
      </w:r>
    </w:p>
    <w:p w:rsidR="00CA6CEF" w:rsidRPr="001400A0" w:rsidP="00CA6CEF" w14:paraId="2E2B5E49" w14:textId="77777777">
      <w:pPr>
        <w:pStyle w:val="NormalHanging12a"/>
      </w:pPr>
      <w:r w:rsidRPr="001400A0">
        <w:t>18.</w:t>
      </w:r>
      <w:r w:rsidRPr="001400A0">
        <w:tab/>
        <w:t>zdôrazňuje význam boja proti dezinformáciám o procese európskej integrácie; naliehavo vyzýva Komisiu, Európsku službu pre vonkajšiu činnosť (ESVČ) a moldavskú vládu, aby zintenzívnili spoločné úsilie v oblasti strategickej komunikácie s cieľom zlepšiť viditeľnosť EÚ v Moldavsku; zdôrazňuje potrebu cielených kampaní, ktoré by moldavskej verejnosti, najmä vo vidieckych a oblastiach a regiónoch, vysvetľovali hmatateľné, každodenné výhody príprav na vstup do EÚ a projektov financovaných EÚ;</w:t>
      </w:r>
    </w:p>
    <w:p w:rsidR="00CA6CEF" w:rsidRPr="001400A0" w:rsidP="00CA6CEF" w14:paraId="50CCE591" w14:textId="77777777">
      <w:pPr>
        <w:pStyle w:val="NormalHanging12a"/>
      </w:pPr>
      <w:r w:rsidRPr="001400A0">
        <w:t>19.</w:t>
      </w:r>
      <w:r w:rsidRPr="001400A0">
        <w:tab/>
        <w:t>zdôrazňuje význam opatrení na podporu demokracie v Moldavsku, ktoré zvyšujú kvalitu demokratickej diskusie a odolnosť voči dezinformáciám; víta spoluprácu moldavských orgánov a aktérov občianskej spoločnosti okrem iného s Európskou nadáciou na podporu demokracie (EED) ako nástrojom na vyplnenie vákua, ktoré vzniklo zrušením Agentúry USA pre medzinárodný rozvoj (USAID) v regióne; v tejto súvislosti blahoželá EED k tomu, že v roku 2025 poskytla o 62 % viac grantov ako v roku 2024, a to s rozpočtom vyšším len o 34 %; víta, že v roku 2025 EED strojnásobila svoju podporu moldavským subjektom v porovnaní s rokom 2024;</w:t>
      </w:r>
    </w:p>
    <w:p w:rsidR="00CA6CEF" w:rsidRPr="001400A0" w:rsidP="00CA6CEF" w14:paraId="5F8FDDB7" w14:textId="77777777">
      <w:pPr>
        <w:pStyle w:val="NormalHanging12a"/>
      </w:pPr>
      <w:r w:rsidRPr="001400A0">
        <w:t>20.</w:t>
      </w:r>
      <w:r w:rsidRPr="001400A0">
        <w:tab/>
        <w:t xml:space="preserve">opakuje, že podporu Moldavčanov európskej integrácii možno posilniť konkrétnym zlepšením ich životných podmienok, posilnením štátnych inštitúcií, upevnením </w:t>
      </w:r>
      <w:r w:rsidRPr="001400A0">
        <w:t>robustného systému sociálneho zabezpečenia, bojom proti chudobe, zvyšovaním životnej úrovne v celej krajine a bojom proti korupcii a vplyvu oligarchov;</w:t>
      </w:r>
    </w:p>
    <w:p w:rsidR="00CA6CEF" w:rsidRPr="001400A0" w:rsidP="00CA6CEF" w14:paraId="2D39A0DB" w14:textId="77777777">
      <w:pPr>
        <w:pStyle w:val="Normal12a"/>
      </w:pPr>
      <w:r w:rsidRPr="001400A0">
        <w:rPr>
          <w:b/>
          <w:i/>
        </w:rPr>
        <w:t>Sociálno-ekonomické reformy</w:t>
      </w:r>
    </w:p>
    <w:p w:rsidR="00CA6CEF" w:rsidRPr="001400A0" w:rsidP="00CA6CEF" w14:paraId="16DCB034" w14:textId="77777777">
      <w:pPr>
        <w:pStyle w:val="NormalHanging12a"/>
      </w:pPr>
      <w:r w:rsidRPr="001400A0">
        <w:t>21.</w:t>
      </w:r>
      <w:r w:rsidRPr="001400A0">
        <w:tab/>
        <w:t xml:space="preserve">víta slušný pokrok, ktorý sa doposiaľ podarilo dosiahnuť pri plnení plánu rastu pre Moldavsko a jeho podporného programu reforiem, ktorého cieľom je podporovať sociálno-ekonomické a základné reformy v Moldavsku a zlepšiť prístup krajiny na jednotný trh EÚ; víta vyplatenie 270 miliónov EUR v rámci predbežného financovania a 207,9 milióna EUR dodatočnej podpory z Nástroja na podporu reforiem a rastu pre Moldavsko vrátane druhej </w:t>
      </w:r>
      <w:r w:rsidRPr="001400A0">
        <w:t>tranže</w:t>
      </w:r>
      <w:r w:rsidRPr="001400A0">
        <w:t xml:space="preserve"> v marci 2026 v celkovej výške 189 miliónov EUR v dôsledku toho, že krajina v plnej miere realizovala 24 z celkového počtu 26 reformných krokov, ktoré mali byť dokončené do decembra 2025; vyzýva Moldavsko, aby pokračovalo v úsilí uzavrieť zostávajúce dva reformné kroky s termínom do roku 2025, a podporuje ho v tomto úsilí; vyzýva Komisiu, aby zefektívnila vnútorné postupy s cieľom zabezpečiť včasné posúdenie a vyplatenie finančných prostriedkov po prijatí právnych predpisov v Moldavsku, ktorých návrhy už moldavské orgány predložili a prekonzultovali;</w:t>
      </w:r>
    </w:p>
    <w:p w:rsidR="00CA6CEF" w:rsidRPr="001400A0" w:rsidP="00CA6CEF" w14:paraId="2B6068AC" w14:textId="77777777">
      <w:pPr>
        <w:pStyle w:val="NormalHanging12a"/>
      </w:pPr>
      <w:r w:rsidRPr="001400A0">
        <w:t>22.</w:t>
      </w:r>
      <w:r w:rsidRPr="001400A0">
        <w:tab/>
        <w:t>vyzýva Komisiu, aby poskytla moldavským orgánom administratívnu a technickú pomoc s cieľom zabezpečiť včasné a účinné čerpanie finančných prostriedkov z Nástroja na podporu reforiem a rastu; vyzýva moldavskú vládu, aby zabezpečila účinnú komunikáciu, transparentnosť, viditeľnosť a zodpovednosť, pokiaľ ide o využívanie finančných prostriedkov z tohto nástroja, a to aj konštruktívnym zapojením občianskej spoločnosti;</w:t>
      </w:r>
    </w:p>
    <w:p w:rsidR="00CA6CEF" w:rsidRPr="001400A0" w:rsidP="00CA6CEF" w14:paraId="2C9C67A7" w14:textId="77777777">
      <w:pPr>
        <w:pStyle w:val="NormalHanging12a"/>
      </w:pPr>
      <w:r w:rsidRPr="001400A0">
        <w:t>23.</w:t>
      </w:r>
      <w:r w:rsidRPr="001400A0">
        <w:tab/>
        <w:t xml:space="preserve">vyzýva, aby sa v rozpočte na rok 2027 poskytla cielená administratívna a technická pomoc na prípravu Moldavska na prechod na novú štruktúru nadchádzajúceho viacročného finančného rámca (VFR) a nástroja Globálna Európa; zdôrazňuje, že treba pomôcť moldavskej administratíve pri prechode na budúci model vykonávania piliera „Európa“; zdôrazňuje, že prideľovanie a uvoľňovanie finančných prostriedkov musí byť aj naďalej prísne podmienené splnením dohodnutých reformných míľnikov, </w:t>
      </w:r>
      <w:r w:rsidRPr="001400A0">
        <w:t>makrofinančnou</w:t>
      </w:r>
      <w:r w:rsidRPr="001400A0">
        <w:t xml:space="preserve"> stabilitou, správnym finančným riadením, transparentnosťou plnenia rozpočtu a existenciou účinných záruk proti podvodom, korupcii a konfliktom záujmov; opakuje svoju výzvu Komisii, aby do budúceho VFR EÚ zahrnula primeranú sumu osobitne pridelených prostriedkov pre Moldavsko v rámci budúceho piliera „Európa“ nástroja Globálna Európa a aby začala pripravovať Moldavsko na efektívne využívanie budúcich predvstupových fondov; trvá na tom, že ak sa má zaistiť účinné sledovanie výdavkov a zabrániť rozrieďovaniu financií v rámci širokých geografických pilierov, treba explicitne a transparentne vyčleniť predvstupové prostriedky;</w:t>
      </w:r>
    </w:p>
    <w:p w:rsidR="00CA6CEF" w:rsidRPr="001400A0" w:rsidP="00CA6CEF" w14:paraId="07412AFE" w14:textId="7C13DBBB">
      <w:pPr>
        <w:pStyle w:val="NormalHanging12a"/>
      </w:pPr>
      <w:r w:rsidRPr="001400A0">
        <w:t>24.</w:t>
      </w:r>
      <w:r w:rsidRPr="001400A0">
        <w:tab/>
        <w:t>oceňuje dohodu dosiahnutú 24. júla 2025 o preskúmaní a aktualizácii obchodných podmienok prehĺbenej a komplexnej dohody o voľnom obchode medzi EÚ a Moldavskom</w:t>
      </w:r>
      <w:r>
        <w:rPr>
          <w:rStyle w:val="FootnoteReference"/>
        </w:rPr>
        <w:footnoteReference w:id="3"/>
      </w:r>
      <w:r w:rsidRPr="001400A0">
        <w:t xml:space="preserve">, ktorá poskytuje hospodárskym subjektom z EÚ a Moldavska stabilitu a predvídateľnosť a zvyšuje atraktívnosť krajiny pre investorov; konštatuje, že dohoda sa časovo zhodovala s uplynutím platnosti autonómnych obchodných opatrení udelených </w:t>
      </w:r>
      <w:r w:rsidRPr="001400A0">
        <w:t>krajine od júla 2022, ktorými sa pozastavili dovozné clá a kvóty na vývoz z Moldavska do EÚ, čo krajine pomohlo presmerovať svoj obchod do EÚ k prospechu oboch strán; zdôrazňuje, že EÚ je najväčším obchodným partnerom Moldavska – v roku 2025 plynulo z Moldavska do EÚ 67,5 % celkového vývozu krajiny a z EÚ prichádzalo do Moldavska 54,1 % jeho celkového dovozu, pričom podiel EÚ na priamych zahraničných investíciách (PZI) v Moldavsku dosahoval v roku 2024 86 %, čím sa posilnilo postavenie EÚ ako ústredného piliera PZI v moldavskom hospodárstve; podčiarkuje význam priamych investícií EÚ v moldavskom hospodárstve z hľadiska podpory hospodárskej integrácie krajiny do jednotného trhu EÚ, vytvárania pracovných a podnikateľských príležitostí a zlepšovania živobytia občanov;</w:t>
      </w:r>
    </w:p>
    <w:p w:rsidR="00CA6CEF" w:rsidRPr="001400A0" w:rsidP="00CA6CEF" w14:paraId="6A1B0406" w14:textId="77777777">
      <w:pPr>
        <w:pStyle w:val="NormalHanging12a"/>
      </w:pPr>
      <w:r w:rsidRPr="001400A0">
        <w:t>25.</w:t>
      </w:r>
      <w:r w:rsidRPr="001400A0">
        <w:tab/>
        <w:t xml:space="preserve">víta prehĺbenie hospodárskej integrácie Moldavska do jednotného trhu EÚ a nabáda na ďalšie kroky smerom k postupnému prepojeniu sektorov a ambicióznej, postupnej a udržateľnej liberalizácii obchodu, a to aj rozšírením a uvoľnením colných kvót a v prípade potreby ich postupným zrušením v súlade s revidovaným rámcom DCFTA v záujme dosiahnutia hmatateľných hospodárskych výhod, posilnenia odolnosti Moldavska a podpory jeho európskej integračnej cesty; vyzýva Komisiu, aby najmä preskúmala možnosti ďalšej postupnej liberalizácie obchodu s </w:t>
      </w:r>
      <w:r w:rsidRPr="001400A0">
        <w:t>agropotravinovými</w:t>
      </w:r>
      <w:r w:rsidRPr="001400A0">
        <w:t xml:space="preserve"> výrobkami vrátane odstránenia zostávajúcich necolných prekážok a zvýšenej podpory zosúladeniu právnych predpisov, najmä pokiaľ ide o sanitárne a </w:t>
      </w:r>
      <w:r w:rsidRPr="001400A0">
        <w:t>fytosanitárne</w:t>
      </w:r>
      <w:r w:rsidRPr="001400A0">
        <w:t xml:space="preserve"> normy a technické prekážky obchodu a zavedenie poloautomatického zvyšovania colných kvót v závislosti od mier využívania a dodržiavania noriem EÚ, a aby zároveň zaistila primerané ochranné mechanizmy pre výrobcov z EÚ;</w:t>
      </w:r>
    </w:p>
    <w:p w:rsidR="00CA6CEF" w:rsidRPr="001400A0" w:rsidP="00CA6CEF" w14:paraId="29764B66" w14:textId="77777777">
      <w:pPr>
        <w:pStyle w:val="NormalHanging12a"/>
      </w:pPr>
      <w:r w:rsidRPr="001400A0">
        <w:t>26.</w:t>
      </w:r>
      <w:r w:rsidRPr="001400A0">
        <w:tab/>
        <w:t xml:space="preserve">konštatuje, že výrazný nárast obchodu </w:t>
      </w:r>
      <w:r w:rsidRPr="001400A0">
        <w:t>podnesterského</w:t>
      </w:r>
      <w:r w:rsidRPr="001400A0">
        <w:t xml:space="preserve"> regiónu so zvyškom Moldavska a jeho závislosť od vývozu z EÚ by mohli vytvoriť podmienky pre hospodárske zbližovanie regiónu s právnym rámcom Moldavska, čím by sa podporila de </w:t>
      </w:r>
      <w:r w:rsidRPr="001400A0">
        <w:t>facto</w:t>
      </w:r>
      <w:r w:rsidRPr="001400A0">
        <w:t xml:space="preserve"> hospodárska reintegrácia, ktorá by mohla byť pragmatickým základom pre mierové politické urovnanie a prípadné </w:t>
      </w:r>
      <w:r w:rsidRPr="001400A0">
        <w:t>znovuzjednotenie</w:t>
      </w:r>
      <w:r w:rsidRPr="001400A0">
        <w:t xml:space="preserve"> krajiny; podporuje úsilie Moldavska o začlenenie </w:t>
      </w:r>
      <w:r w:rsidRPr="001400A0">
        <w:t>podnesterského</w:t>
      </w:r>
      <w:r w:rsidRPr="001400A0">
        <w:t xml:space="preserve"> regiónu do opatrení hospodárskej a regulačnej konvergencie týkajúcich sa jednotného trhu EÚ; víta úsilie úradov v Kišiňove rozšíriť uplatňovanie moldavských daňových právnych predpisov na spoločnosti pôsobiace v </w:t>
      </w:r>
      <w:r w:rsidRPr="001400A0">
        <w:t>podnesterskom</w:t>
      </w:r>
      <w:r w:rsidRPr="001400A0">
        <w:t xml:space="preserve"> regióne ako krok k zosúladeniu právnych predpisov a hospodárskej integrácii;</w:t>
      </w:r>
    </w:p>
    <w:p w:rsidR="00CA6CEF" w:rsidRPr="001400A0" w:rsidP="00CA6CEF" w14:paraId="3A374D24" w14:textId="77777777">
      <w:pPr>
        <w:pStyle w:val="NormalHanging12a"/>
      </w:pPr>
      <w:r w:rsidRPr="001400A0">
        <w:t>27.</w:t>
      </w:r>
      <w:r w:rsidRPr="001400A0">
        <w:tab/>
        <w:t>opätovne zdôrazňuje význam organizácií občianskej spoločnosti a nezávislých médií pri monitorovaní riadenia a pokroku reforiem súvisiacich s EÚ; trvá na tom, že finančná podpora moldavských organizácií občianskej spoločnosti v rámci rozpočtu EÚ na rok 2027 a budúceho nástroja Globálna Európa je aj naďalej nezávislá od pokroku, ktorý vláda dosiahla v reformách; požaduje predvídateľné, špecializované, flexibilné a dostupné toky financovania pre miestne organizácie občianskej spoločnosti a obhajcov ľudských práv prostredníctvom nových mechanizmov financovania zahrnutých do programu reforiem s cieľom zabezpečiť ich účinné fungovanie; vyzýva moldavskú vládu, aby nadviazala skutočnú a účinnú spoluprácu s občianskou spoločnosťou, a to aj využitím stálych konzultačných platforiem; vyzýva moldavskú vládu, aby pokročila vo vykonávaní národného programu rozvoja organizácií občianskej spoločnosti na roky 2024 – 2027; víta pravidelné konzultácie o procese pristúpenia k EÚ a reformách súvisiacich s pristúpením;</w:t>
      </w:r>
    </w:p>
    <w:p w:rsidR="00CA6CEF" w:rsidRPr="001400A0" w:rsidP="00CA6CEF" w14:paraId="769723AF" w14:textId="77777777">
      <w:pPr>
        <w:pStyle w:val="NormalHanging12a"/>
      </w:pPr>
      <w:r w:rsidRPr="001400A0">
        <w:t>28.</w:t>
      </w:r>
      <w:r w:rsidRPr="001400A0">
        <w:tab/>
        <w:t xml:space="preserve">opakuje výzvu na urýchlenie postupnej integrácie Moldavska do jednotného trhu EÚ pokračovaním v zosúlaďovaní jeho právneho a regulačného rámca s </w:t>
      </w:r>
      <w:r w:rsidRPr="001400A0">
        <w:t>acquis</w:t>
      </w:r>
      <w:r w:rsidRPr="001400A0">
        <w:t xml:space="preserve"> EÚ a pridružením krajiny k viacerým programom, agentúram a iniciatívam EÚ vrátane tých, </w:t>
      </w:r>
      <w:r w:rsidRPr="001400A0">
        <w:t xml:space="preserve">ktoré sa týkajú digitálneho hospodárstva, finančných služieb a inovácií; blahoželá Moldavsku k tomu, že od 6. októbra 2025 je operačnou súčasťou jednotnej oblasti platieb v eurách, čo uľahčilo prevody v eurách a znížilo náklady moldavských občanov a podnikov; víta, že Moldavsko je od 1. januára 2026 začlenené do oblasti roamingu za vnútroštátne ceny v EÚ, takže moldavskí občania môžu pri cestovaní v EÚ používať svoje moldavské telefónne čísla bez toho, aby im boli účtované </w:t>
      </w:r>
      <w:r w:rsidRPr="001400A0">
        <w:t>roamingové</w:t>
      </w:r>
      <w:r w:rsidRPr="001400A0">
        <w:t xml:space="preserve"> poplatky; zdôrazňuje, že takéto hmatateľné výhody majú kľúčový význam pri posilňovaní podpory verejnosti pre integráciu do EÚ; nabáda na ďalšie zosúlaďovanie s digitálnym </w:t>
      </w:r>
      <w:r w:rsidRPr="001400A0">
        <w:t>acquis</w:t>
      </w:r>
      <w:r w:rsidRPr="001400A0">
        <w:t xml:space="preserve"> EÚ a pokračovanie v úsilí o posilňovanie prepojenosti, digitálnej infraštruktúry a integrácie trhu;</w:t>
      </w:r>
    </w:p>
    <w:p w:rsidR="00CA6CEF" w:rsidRPr="001400A0" w:rsidP="00CA6CEF" w14:paraId="1F40E6F7" w14:textId="77777777">
      <w:pPr>
        <w:pStyle w:val="NormalHanging12a"/>
      </w:pPr>
      <w:r w:rsidRPr="001400A0">
        <w:t>29.</w:t>
      </w:r>
      <w:r w:rsidRPr="001400A0">
        <w:tab/>
        <w:t xml:space="preserve">zdôrazňuje, že je mimoriadne dôležité urýchliť komplexnú reformu verejnej správy; vyzýva moldavskú vládu, aby zabezpečila plne zásluhovú, profesionálnu a transparentnú štátnu službu na centrálnej aj miestnej úrovni, ktorá je nevyhnutná pre účinné vykonávanie </w:t>
      </w:r>
      <w:r w:rsidRPr="001400A0">
        <w:t>acquis</w:t>
      </w:r>
      <w:r w:rsidRPr="001400A0">
        <w:t xml:space="preserve"> EÚ; zdôrazňuje, že na posilnenie postavenia miestnych orgánov je nevyhnutné vykonať zmysluplnú územnosprávnu reformu, keďže súčasná roztrieštenosť obcí výrazne obmedzuje ich finančnú nezávislosť a administratívnu schopnosť úspešne žiadať o prostriedky EÚ na regionálny rozvoj, čerpať ich a spravovať; zdôrazňuje, že miestnym a regionálnym samosprávam treba na ich posilnenie poskytovať cielené vzdelávacie programy a podporu pri budovaní kapacít, aby sa mohli úspešne uchádzať o dostupné možnosti financovania z prostriedkov EÚ, čerpať ich a spravovať;</w:t>
      </w:r>
    </w:p>
    <w:p w:rsidR="00CA6CEF" w:rsidRPr="001400A0" w:rsidP="00CA6CEF" w14:paraId="17E944E9" w14:textId="77777777">
      <w:pPr>
        <w:pStyle w:val="NormalHanging12a"/>
      </w:pPr>
      <w:r w:rsidRPr="001400A0">
        <w:t>30.</w:t>
      </w:r>
      <w:r w:rsidRPr="001400A0">
        <w:tab/>
        <w:t>zdôrazňuje, že podmienkou úspešného prístupového procesu k EÚ je silná zodpovednosť na miestnej úrovni; vyjadruje poľutovanie nad tým, že v navrhovanej štruktúre VFR chýbajú formálne mechanizmy pre miestne a regionálne samosprávy; vyzýva moldavskú vládu a Komisiu, aby systematicky zapájali moldavské miestne a regionálne samosprávy a ich združenia do prípravy viacročných orientačných programov a akčných plánov; nalieha na vytvorenie osobitných opatrení na budovanie kapacít a finančných tokov v rámci budúceho rámca nástroja Globálna Európa na podporu moldavských obcí pri vykonávaní decentralizačných reforiem a zavádzaní verejných služieb zosúladených s EÚ;</w:t>
      </w:r>
    </w:p>
    <w:p w:rsidR="00CA6CEF" w:rsidRPr="001400A0" w:rsidP="00CA6CEF" w14:paraId="6B055471" w14:textId="77777777">
      <w:pPr>
        <w:pStyle w:val="NormalHanging12a"/>
      </w:pPr>
      <w:r w:rsidRPr="001400A0">
        <w:t>31.</w:t>
      </w:r>
      <w:r w:rsidRPr="001400A0">
        <w:tab/>
        <w:t xml:space="preserve">víta zapojenie Moldavska od 1. januára 2026 do programu EÚ „Kreatívna Európa“ na podporu kultúrnych a kreatívnych odvetví, ako aj do zložky „zamestnanosť a sociálna inovácia“ Európskeho sociálneho fondu plus, čo poskytuje Moldavsku prístup k projektom EÚ zameraným na znižovanie nezamestnanosti, zlepšovanie kvality pracovných miest a podporu sociálnych inovácií; vyzýva Komisiu, aby podporila začlenenie krajiny do Orgánu európskych regulátorov pre elektronické komunikácie, Európskej environmentálnej agentúry, programu Erasmus+, programu </w:t>
      </w:r>
      <w:r w:rsidRPr="001400A0">
        <w:t>DiscoverEU</w:t>
      </w:r>
      <w:r w:rsidRPr="001400A0">
        <w:t xml:space="preserve"> a programu na podporu konzumácie ovocia, zeleniny a mlieka v školách;</w:t>
      </w:r>
    </w:p>
    <w:p w:rsidR="00CA6CEF" w:rsidRPr="001400A0" w:rsidP="00CA6CEF" w14:paraId="46855CED" w14:textId="77777777">
      <w:pPr>
        <w:pStyle w:val="Normal12a"/>
      </w:pPr>
      <w:r w:rsidRPr="001400A0">
        <w:rPr>
          <w:b/>
          <w:i/>
        </w:rPr>
        <w:t>Ľudské práva</w:t>
      </w:r>
    </w:p>
    <w:p w:rsidR="00CA6CEF" w:rsidRPr="001400A0" w:rsidP="00CA6CEF" w14:paraId="054ABCE7" w14:textId="77777777">
      <w:pPr>
        <w:pStyle w:val="NormalHanging12a"/>
      </w:pPr>
      <w:r w:rsidRPr="001400A0">
        <w:t>32.</w:t>
      </w:r>
      <w:r w:rsidRPr="001400A0">
        <w:tab/>
        <w:t xml:space="preserve">víta úsilie orgánov Moldavskej republiky o zlepšenie legislatívneho rámca pre rodovú rovnosť, boj proti domácemu násiliu a ochranu obetí a jeho zosúladenie s medzinárodnými a európskymi normami vrátane </w:t>
      </w:r>
      <w:r w:rsidRPr="001400A0">
        <w:t>kriminalizácie</w:t>
      </w:r>
      <w:r w:rsidRPr="001400A0">
        <w:t xml:space="preserve"> digitálneho násilia a nútených manželstiev a zavedenie </w:t>
      </w:r>
      <w:r w:rsidRPr="001400A0">
        <w:t>femicídy</w:t>
      </w:r>
      <w:r w:rsidRPr="001400A0">
        <w:t xml:space="preserve"> do trestného zákonníka; vyzýva orgány Moldavskej republiky, aby posilnili účinné vykonávanie súčasných právnych predpisov v oblasti boja proti násiliu páchanému na ženách vrátane domáceho násilia a ochrany obetí;</w:t>
      </w:r>
    </w:p>
    <w:p w:rsidR="00CA6CEF" w:rsidRPr="001400A0" w:rsidP="00CA6CEF" w14:paraId="1F3DA45D" w14:textId="77777777">
      <w:pPr>
        <w:pStyle w:val="NormalHanging12a"/>
      </w:pPr>
      <w:r w:rsidRPr="001400A0">
        <w:t>33.</w:t>
      </w:r>
      <w:r w:rsidRPr="001400A0">
        <w:tab/>
        <w:t>víta prebiehajúcu implementáciu národnej stratégie boja proti obchodovaniu s ľuďmi prijatej v septembri 2023; vyzýva Moldavsko, aby ďalej posilňovalo svoj právny a inštitucionálny rámec, a to aj zavedením účinnejších nástrojov pre verejné orgány na vyšetrovanie a stíhanie nových foriem vykorisťovania;</w:t>
      </w:r>
    </w:p>
    <w:p w:rsidR="00CA6CEF" w:rsidRPr="001400A0" w:rsidP="00CA6CEF" w14:paraId="1AD75157" w14:textId="70939A72">
      <w:pPr>
        <w:pStyle w:val="NormalHanging12a"/>
      </w:pPr>
      <w:r w:rsidRPr="001400A0">
        <w:t>34.</w:t>
      </w:r>
      <w:r w:rsidRPr="001400A0">
        <w:tab/>
        <w:t xml:space="preserve">konštatuje, že právny a inštitucionálny rámec pre práva osôb so zdravotným postihnutím v Moldavsku je potrebné ďalej zosúlaďovať s </w:t>
      </w:r>
      <w:r w:rsidRPr="001400A0">
        <w:t>acquis</w:t>
      </w:r>
      <w:r w:rsidRPr="001400A0">
        <w:t xml:space="preserve"> EÚ a príslušnými medzinárodnými normami; vyzýva najmä na zosúladenie rámca pre prístupnosť s Európskym aktom o prístupnosti</w:t>
      </w:r>
      <w:r>
        <w:rPr>
          <w:rStyle w:val="FootnoteReference"/>
        </w:rPr>
        <w:footnoteReference w:id="4"/>
      </w:r>
      <w:r w:rsidRPr="001400A0">
        <w:t>;</w:t>
      </w:r>
    </w:p>
    <w:p w:rsidR="00CA6CEF" w:rsidRPr="001400A0" w:rsidP="00CA6CEF" w14:paraId="51582A01" w14:textId="77777777">
      <w:pPr>
        <w:pStyle w:val="NormalHanging12a"/>
      </w:pPr>
      <w:r w:rsidRPr="001400A0">
        <w:t>35.</w:t>
      </w:r>
      <w:r w:rsidRPr="001400A0">
        <w:tab/>
        <w:t xml:space="preserve">je znepokojený pokusmi orgánov mesta Kišiňov zakázať Kišiňov </w:t>
      </w:r>
      <w:r w:rsidRPr="001400A0">
        <w:t>Pride</w:t>
      </w:r>
      <w:r w:rsidRPr="001400A0">
        <w:t xml:space="preserve"> a násilnými útokmi účastníkov </w:t>
      </w:r>
      <w:r w:rsidRPr="001400A0">
        <w:t>protiprotestu</w:t>
      </w:r>
      <w:r w:rsidRPr="001400A0">
        <w:t xml:space="preserve"> na pokojný pochod; odsudzuje dezinformácie a cielené kampane digitálnych dezinformácií, ktoré v Moldavsku šíria miestne médiá napojené na Rusko; vyzýva Moldavsko, aby zabezpečilo právo na slobodu zhromažďovania pre všetkých;</w:t>
      </w:r>
    </w:p>
    <w:p w:rsidR="00CA6CEF" w:rsidRPr="001400A0" w:rsidP="00CA6CEF" w14:paraId="3E50596E" w14:textId="77777777">
      <w:pPr>
        <w:pStyle w:val="NormalHanging12a"/>
      </w:pPr>
      <w:r w:rsidRPr="001400A0">
        <w:t>36.</w:t>
      </w:r>
      <w:r w:rsidRPr="001400A0">
        <w:tab/>
        <w:t>vyzýva Moldavsko, aby posilnilo právny a inštitucionálny rámec na ochranu práv osôb patriacich k menšinám vrátane LGBTI osôb;</w:t>
      </w:r>
    </w:p>
    <w:p w:rsidR="00CA6CEF" w:rsidRPr="001400A0" w:rsidP="00CA6CEF" w14:paraId="2B83AE79" w14:textId="77777777">
      <w:pPr>
        <w:pStyle w:val="Normal12a"/>
      </w:pPr>
      <w:r w:rsidRPr="001400A0">
        <w:rPr>
          <w:b/>
          <w:i/>
        </w:rPr>
        <w:t xml:space="preserve">Akademická spolupráca a medziľudské kontakty </w:t>
      </w:r>
    </w:p>
    <w:p w:rsidR="00CA6CEF" w:rsidRPr="001400A0" w:rsidP="00CA6CEF" w14:paraId="75C925CE" w14:textId="77777777">
      <w:pPr>
        <w:pStyle w:val="NormalHanging12a"/>
      </w:pPr>
      <w:r w:rsidRPr="001400A0">
        <w:t>37.</w:t>
      </w:r>
      <w:r w:rsidRPr="001400A0">
        <w:tab/>
        <w:t>víta významný pokrok Moldavska pri zosúlaďovaní svojho systému vysokoškolského vzdelávania s európskym priestorom vysokoškolského vzdelávania, okrem iného aj účasť troch moldavských inštitúcií ako pridružených partnerov v alianciách európskych univerzít; ďalej oceňuje zapojenie krajiny do medzinárodného rozmeru programu Erasmus+ na roky 2021 – 2027 a jej účasť v štyroch pracovných skupinách európskeho vzdelávacieho priestoru;</w:t>
      </w:r>
    </w:p>
    <w:p w:rsidR="00CA6CEF" w:rsidRPr="001400A0" w:rsidP="00CA6CEF" w14:paraId="40BC4579" w14:textId="77777777">
      <w:pPr>
        <w:pStyle w:val="NormalHanging12a"/>
      </w:pPr>
      <w:r w:rsidRPr="001400A0">
        <w:t>38.</w:t>
      </w:r>
      <w:r w:rsidRPr="001400A0">
        <w:tab/>
        <w:t>víta čoraz väčšiu angažovanosť Moldavska v európskych výskumných a inovačných sieťach a nabáda na prehĺbenie integrácie krajiny do programu Horizont Európa, čím by sa univerzitám a výskumným inštitúciám poskytol prístup k európskemu financovaniu, spoločným výskumným infraštruktúram a vedeckým partnerstvám;</w:t>
      </w:r>
    </w:p>
    <w:p w:rsidR="00CA6CEF" w:rsidRPr="001400A0" w:rsidP="00CA6CEF" w14:paraId="11C213B1" w14:textId="77777777">
      <w:pPr>
        <w:pStyle w:val="Normal12a"/>
      </w:pPr>
      <w:r w:rsidRPr="001400A0">
        <w:rPr>
          <w:b/>
          <w:i/>
        </w:rPr>
        <w:t xml:space="preserve">Energetika, životné prostredie a </w:t>
      </w:r>
      <w:r w:rsidRPr="001400A0">
        <w:rPr>
          <w:b/>
          <w:i/>
        </w:rPr>
        <w:t>pripojiteľnosť</w:t>
      </w:r>
    </w:p>
    <w:p w:rsidR="00CA6CEF" w:rsidRPr="001400A0" w:rsidP="00CA6CEF" w14:paraId="5D7A33E2" w14:textId="77777777">
      <w:pPr>
        <w:pStyle w:val="NormalHanging12a"/>
      </w:pPr>
      <w:r w:rsidRPr="001400A0">
        <w:t>39.</w:t>
      </w:r>
      <w:r w:rsidRPr="001400A0">
        <w:tab/>
        <w:t xml:space="preserve">oceňuje vytrvalé úsilie Moldavska o zosúladenie svojho odvetvia energetiky s </w:t>
      </w:r>
      <w:r w:rsidRPr="001400A0">
        <w:t>acquis</w:t>
      </w:r>
      <w:r w:rsidRPr="001400A0">
        <w:t xml:space="preserve"> EÚ a o prechod k plnej integrácii s trhom EÚ s energiou v záujme zaistenia energetickej bezpečnosti a odolnosti krajiny;</w:t>
      </w:r>
    </w:p>
    <w:p w:rsidR="00CA6CEF" w:rsidRPr="001400A0" w:rsidP="00CA6CEF" w14:paraId="342542FD" w14:textId="77777777">
      <w:pPr>
        <w:pStyle w:val="NormalHanging12a"/>
      </w:pPr>
      <w:r w:rsidRPr="001400A0">
        <w:t>40.</w:t>
      </w:r>
      <w:r w:rsidRPr="001400A0">
        <w:tab/>
        <w:t>konštatuje s uspokojením, že Moldavsko dosiahlo spomedzi členských štátov Energetického spoločenstva najlepšie výsledky pri transpozícii európskych právnych predpisov, a tým, že plne transponovalo balík opatrení na integráciu sektora elektrickej energie sa zároveň zaradilo medzi najiniciatívnejšie krajiny tohto spoločenstva; vyzýva Komisiu, sekretariát Energetického spoločenstva a ďalších príslušných aktérov, aby zabezpečili plné prepojenie Moldavska s trhom EÚ s elektrinou najneskôr do roku 2028;</w:t>
      </w:r>
    </w:p>
    <w:p w:rsidR="00CA6CEF" w:rsidRPr="001400A0" w:rsidP="00CA6CEF" w14:paraId="1487AE3E" w14:textId="77777777">
      <w:pPr>
        <w:pStyle w:val="NormalHanging12a"/>
      </w:pPr>
      <w:r w:rsidRPr="001400A0">
        <w:t>41.</w:t>
      </w:r>
      <w:r w:rsidRPr="001400A0">
        <w:tab/>
        <w:t>zdôrazňuje, že v záujme ďalšieho posilnenia energetickej odolnosti Moldavska by jeho orgány mali s podporou EÚ pokračovať v diverzifikácii zdrojov dodávok energie, urýchliť integráciu krajiny do európskeho trhu s energiou, zvýšiť investície do energetickej hospodárnosti verejných a obytných budov, zvýšiť domácu výrobu energie a nabádať na znižovanie dopytu; víta, že Moldavsko výrazne zvýšilo podiel energii z obnoviteľných zdrojov, ktorý v roku 2025 dosiahol približne 25 % spotreby a 1 GW celkového inštalovaného výkonu, čo je významný míľnik v rozvoji miestnej výroby energie a energetickej transformácie krajiny;</w:t>
      </w:r>
    </w:p>
    <w:p w:rsidR="00CA6CEF" w:rsidRPr="001400A0" w:rsidP="00CA6CEF" w14:paraId="34343B31" w14:textId="77777777">
      <w:pPr>
        <w:pStyle w:val="NormalHanging12a"/>
      </w:pPr>
      <w:r w:rsidRPr="001400A0">
        <w:t>42.</w:t>
      </w:r>
      <w:r w:rsidRPr="001400A0">
        <w:tab/>
        <w:t xml:space="preserve">víta vládny akčný plán z marca 2025 na odstránenie akejkoľvek závislosti od ruských energetických zdrojov v odvetviach elektrickej energie, plynu a ropy, ktorý bol prijatý v rámci vykonávania komplexnej stratégie EÚ a Moldavska pre energetickú nezávislosť a odolnosť zo 4. februára 2025; pripomína, že v roku 2025 Rusko prestalo dodávať plyn elektrárni v </w:t>
      </w:r>
      <w:r w:rsidRPr="001400A0">
        <w:t>Cuciurgane</w:t>
      </w:r>
      <w:r w:rsidRPr="001400A0">
        <w:t xml:space="preserve"> v snahe nátlakom ovplyvniť rozhodovanie Moldavska v medzinárodných otázkach a že prvými obeťami následnej energetickej krízy boli ľudia na oboch stranách rieky </w:t>
      </w:r>
      <w:r w:rsidRPr="001400A0">
        <w:t>Dnester</w:t>
      </w:r>
      <w:r w:rsidRPr="001400A0">
        <w:t>;</w:t>
      </w:r>
    </w:p>
    <w:p w:rsidR="00CA6CEF" w:rsidRPr="001400A0" w:rsidP="00CA6CEF" w14:paraId="52CFA941" w14:textId="77777777">
      <w:pPr>
        <w:pStyle w:val="NormalHanging12a"/>
      </w:pPr>
      <w:r w:rsidRPr="001400A0">
        <w:t>43.</w:t>
      </w:r>
      <w:r w:rsidRPr="001400A0">
        <w:tab/>
        <w:t xml:space="preserve">víta dokončenie výstavby 400 kV nadzemného elektrického vedenia medzi mestami </w:t>
      </w:r>
      <w:r w:rsidRPr="001400A0">
        <w:t>Vulcanesti</w:t>
      </w:r>
      <w:r w:rsidRPr="001400A0">
        <w:t xml:space="preserve"> a Kišiňov v decembri 2025, pričom prenos elektrickej energie týmto vedením by sa mal začať v roku 2026; konštatuje, že tento praktický krok znižuje závislosť Moldavska od energetickej infraštruktúry v </w:t>
      </w:r>
      <w:r w:rsidRPr="001400A0">
        <w:t>podnesterskom</w:t>
      </w:r>
      <w:r w:rsidRPr="001400A0">
        <w:t xml:space="preserve"> regióne a jeho zraniteľnosť voči nepriateľskému zasahovaniu Ruska a krajine umožňuje bezpečne a spoľahlivo sa pripojiť k európskej elektrizačnej sústave cez Rumunsko;</w:t>
      </w:r>
    </w:p>
    <w:p w:rsidR="00CA6CEF" w:rsidRPr="001400A0" w:rsidP="00CA6CEF" w14:paraId="039D1662" w14:textId="77777777">
      <w:pPr>
        <w:pStyle w:val="NormalHanging12a"/>
      </w:pPr>
      <w:r w:rsidRPr="001400A0">
        <w:t>44.</w:t>
      </w:r>
      <w:r w:rsidRPr="001400A0">
        <w:tab/>
        <w:t xml:space="preserve">vyzýva Komisiu, aby čo najviac využila prostriedky na cezhraničnú spoluprácu, ktoré sú k dispozícii v rámci budúceho nástroja Globálna Európa a Fondu pre národné a regionálne partnerstvá, s cieľom ďalej urýchliť integráciu moldavskej dopravnej, energetickej a digitálnej infraštruktúry do európskeho jednotného trhu; zdôrazňuje, že toto financovanie by sa malo prednostne používať v súvislosti s projektmi s veľkým vplyvom, ktoré zahŕňajú dopravnú, energetickú a digitálnu infraštruktúru vrátane cezhraničných prepojení, domácej výroby energie z obnoviteľných zdrojov, energetickej efektívnosti, zosúladenia </w:t>
      </w:r>
      <w:r w:rsidRPr="001400A0">
        <w:t>transeurópskej</w:t>
      </w:r>
      <w:r w:rsidRPr="001400A0">
        <w:t xml:space="preserve"> dopravnej siete, synchronizácie energetickej siete a rozširovania širokopásmového pripojenia; podporuje rýchly rozvoj ďalších projektov energetických prepojení s Moldavskom, ako sú 400 kV nadzemné elektrické vedenia </w:t>
      </w:r>
      <w:r w:rsidRPr="001400A0">
        <w:t>Suceava-Bălți</w:t>
      </w:r>
      <w:r w:rsidRPr="001400A0">
        <w:t xml:space="preserve"> a </w:t>
      </w:r>
      <w:r w:rsidRPr="001400A0">
        <w:t>Gutinaș-Strășeni</w:t>
      </w:r>
      <w:r w:rsidRPr="001400A0">
        <w:t>;</w:t>
      </w:r>
    </w:p>
    <w:p w:rsidR="00CA6CEF" w:rsidRPr="001400A0" w:rsidP="00CA6CEF" w14:paraId="3C705311" w14:textId="77777777">
      <w:pPr>
        <w:pStyle w:val="NormalHanging12a"/>
      </w:pPr>
      <w:r w:rsidRPr="001400A0">
        <w:t>45.</w:t>
      </w:r>
      <w:r w:rsidRPr="001400A0">
        <w:tab/>
        <w:t xml:space="preserve">dôrazne odsudzuje ruské útoky z marca 2026 na ukrajinskú energetickú infraštruktúru, ktoré ohrozili energetickú bezpečnosť a dostupnosť vody v Moldavsku, mali priamy vplyv na bezpečnosť vodných zdrojov a na verejné zdravie 80 % občanov krajiny, pre ktorých je rieka </w:t>
      </w:r>
      <w:r w:rsidRPr="001400A0">
        <w:t>Dnester</w:t>
      </w:r>
      <w:r w:rsidRPr="001400A0">
        <w:t xml:space="preserve"> hlavným zdrojom sladkej a pitnej vody, a v Moldavskej republike spôsobili 15-dňovú núdzovú situáciu v oblasti životného prostredia; víta rýchlu a koordinovanú reakciu moldavských a ukrajinských orgánov a prevádzkovateľov prenosových sústav a vyzýva EÚ a jej členské štáty, aby Moldavsku poskytli dodatočné finančné zdroje, technickú pomoc a špecializované vybavenie na posilnenie jeho schopnosti zvládať budúce ekologické katastrofy;</w:t>
      </w:r>
    </w:p>
    <w:p w:rsidR="00CA6CEF" w:rsidRPr="001400A0" w:rsidP="00CA6CEF" w14:paraId="3C2F861F" w14:textId="77777777">
      <w:pPr>
        <w:pStyle w:val="NormalHanging12a"/>
      </w:pPr>
      <w:r w:rsidRPr="001400A0">
        <w:t>46.</w:t>
      </w:r>
      <w:r w:rsidRPr="001400A0">
        <w:tab/>
        <w:t>zdôrazňuje, že Moldavsko naďalej čelí významným environmentálnym výzvam vrátane znečistenia ovzdušia a vody, nedostatočnej infraštruktúry odpadového hospodárstva a neustálej straty biodiverzity; zdôrazňuje potrebu posilniť administratívne kapacity, zlepšiť presadzovanie právnych predpisov v oblasti životného prostredia a zabezpečiť primerané investície do environmentálnej infraštruktúry;</w:t>
      </w:r>
    </w:p>
    <w:p w:rsidR="00CA6CEF" w:rsidRPr="001400A0" w:rsidP="00CA6CEF" w14:paraId="06393007" w14:textId="77777777">
      <w:pPr>
        <w:pStyle w:val="NormalHanging12a"/>
      </w:pPr>
      <w:r w:rsidRPr="001400A0">
        <w:t>47.</w:t>
      </w:r>
      <w:r w:rsidRPr="001400A0">
        <w:tab/>
        <w:t>pripomína, že Moldavsko už dlho trpí vážnymi bezpečnostnými, hospodárskymi a sociálnymi dôsledkami rozsiahlej ruskej agresívnej vojny proti Ukrajine; vyjadruje hlboké znepokojenie nad tým, že Moldavsko v súčasnosti patrí medzi krajiny najviac postihnuté zhoršujúcou sa globálnou hospodárskou a energetickou krízou vyplývajúcou z prebiehajúcej vojny na Blízkom východe; vyzýva EÚ a jej členské štáty, aby naďalej preukazovali neochvejnú solidaritu s Moldavskom a poskytovali potrebnú podporu s cieľom zmierňovať vplyvy týchto prekrývajúcich sa vonkajších otrasov na občanov a hospodárstvo krajiny;</w:t>
      </w:r>
    </w:p>
    <w:p w:rsidR="00CA6CEF" w:rsidRPr="001400A0" w:rsidP="00CA6CEF" w14:paraId="5AF42B12" w14:textId="77777777">
      <w:pPr>
        <w:pStyle w:val="Normal12a"/>
      </w:pPr>
      <w:r w:rsidRPr="001400A0">
        <w:rPr>
          <w:b/>
          <w:i/>
        </w:rPr>
        <w:t xml:space="preserve">Spolupráca v spoločnej zahraničnej a bezpečnostnej politike a pokrok pri riešení </w:t>
      </w:r>
      <w:r w:rsidRPr="001400A0">
        <w:rPr>
          <w:b/>
          <w:i/>
        </w:rPr>
        <w:t>podnesterského</w:t>
      </w:r>
      <w:r w:rsidRPr="001400A0">
        <w:rPr>
          <w:b/>
          <w:i/>
        </w:rPr>
        <w:t xml:space="preserve"> konfliktu</w:t>
      </w:r>
    </w:p>
    <w:p w:rsidR="00CA6CEF" w:rsidRPr="001400A0" w:rsidP="00CA6CEF" w14:paraId="64254A06" w14:textId="77777777">
      <w:pPr>
        <w:pStyle w:val="NormalHanging12a"/>
      </w:pPr>
      <w:r w:rsidRPr="001400A0">
        <w:t>48.</w:t>
      </w:r>
      <w:r w:rsidRPr="001400A0">
        <w:tab/>
        <w:t xml:space="preserve">vyjadruje Moldavsku uznanie za konzistentnú spoluprácu v otázkach zahraničnej politiky a jeho úsilie o úplné zosúladenie s pozíciami EÚ v oblasti spoločnej zahraničnej a bezpečnostnej politiky; konštatuje, že Moldavsko je na 88 % zosúladené so zahraničnou, bezpečnostnou a obrannou politikou EÚ, a to aj pokiaľ ide o zohľadnenie sankcií EÚ voči Rusku; vyzýva Moldavsko, aby pokračovalo vo zvyšovaní súladu v tejto oblasti, a to aj pokiaľ ide o reštriktívne opatrenia voči Rusku, a aby pokračovalo v spolupráci s cieľom brániť obchádzaniu sankcií voči Rusku a Bielorusku v súvislosti s útočnou vojnou Ruska proti Ukrajine; vyjadruje Moldavsku uznanie za prijatie najvyššieho počtu vysídlených Ukrajincov na obyvateľa a za to, ako sa vyrovnáva so značným sociálnym, hospodárskym a administratívnym tlakom v dôsledku veľkého prílevu utečencov; víta zvýšenú účasť Moldavska na misiách a operáciách EÚ v rámci spoločnej bezpečnostnej a obrannej politiky EÚ, napríklad na operácii </w:t>
      </w:r>
      <w:r w:rsidRPr="001400A0">
        <w:t>Althea</w:t>
      </w:r>
      <w:r w:rsidRPr="001400A0">
        <w:t xml:space="preserve"> v Bosne a Hercegovine a výcvikovej misii EÚ v Somálsku;</w:t>
      </w:r>
    </w:p>
    <w:p w:rsidR="00CA6CEF" w:rsidRPr="001400A0" w:rsidP="00CA6CEF" w14:paraId="0595A505" w14:textId="77777777">
      <w:pPr>
        <w:pStyle w:val="NormalHanging12a"/>
      </w:pPr>
      <w:r w:rsidRPr="001400A0">
        <w:t>49.</w:t>
      </w:r>
      <w:r w:rsidRPr="001400A0">
        <w:tab/>
        <w:t>uznáva význam trojstrannej spolupráce medzi Moldavskom, Rumunskom a Ukrajinou (tzv. odeského trojuholníka) pre posilňovanie regionálnej bezpečnosti, napredovanie procesu integrácie Moldavska a Ukrajiny do EÚ, posilňovanie prepojenosti týchto krajín s EÚ a boj proti hybridným hrozbám zo strany Ruskej federácie vrátane dezinformácií a zahraničnej manipulácie s informáciami, kybernetických útokov a energetických hrozieb;</w:t>
      </w:r>
    </w:p>
    <w:p w:rsidR="00CA6CEF" w:rsidRPr="001400A0" w:rsidP="00CA6CEF" w14:paraId="58E86650" w14:textId="77777777">
      <w:pPr>
        <w:pStyle w:val="NormalHanging12a"/>
      </w:pPr>
      <w:r w:rsidRPr="001400A0">
        <w:t>50.</w:t>
      </w:r>
      <w:r w:rsidRPr="001400A0">
        <w:tab/>
        <w:t xml:space="preserve">víta predĺženie mandátu partnerskej misie Európskej únie v Moldavskej republike (EUPM </w:t>
      </w:r>
      <w:r w:rsidRPr="001400A0">
        <w:t>Moldova</w:t>
      </w:r>
      <w:r w:rsidRPr="001400A0">
        <w:t xml:space="preserve">) do 31. mája 2027 a vyzýva členské štáty, aby vyslali potrebných expertov a poskytli finančné zdroje; nabáda EÚ, aby aj naďalej podporovala odolnosť a pripravenosť Moldavska, napríklad proti bezprecedentnému zasahovaniu Ruska, a to prostredníctvom EUPM </w:t>
      </w:r>
      <w:r w:rsidRPr="001400A0">
        <w:t>Moldova</w:t>
      </w:r>
      <w:r w:rsidRPr="001400A0">
        <w:t>, tímov rýchlej reakcie na hybridné hrozby, tímov rýchlej kybernetickej reakcie a rezervy EÚ na účely kybernetickej bezpečnosti;</w:t>
      </w:r>
    </w:p>
    <w:p w:rsidR="00CA6CEF" w:rsidRPr="001400A0" w:rsidP="00CA6CEF" w14:paraId="66A9FF6D" w14:textId="77777777">
      <w:pPr>
        <w:pStyle w:val="NormalHanging12a"/>
      </w:pPr>
      <w:r w:rsidRPr="001400A0">
        <w:t>51.</w:t>
      </w:r>
      <w:r w:rsidRPr="001400A0">
        <w:tab/>
        <w:t xml:space="preserve">zdôrazňuje, že fyzické útoky na kritickú infraštruktúru a bezpečnostné provokácie sú systematicky sprevádzané kampaňami zahraničnej manipulácie s informáciami a zahraničného zasahovania, ktorých cieľom je zasiať paniku medzi obyvateľstvom a podkopať dôveru verejnosti v moldavské orgány; zdôrazňuje preto, že je mimoriadne dôležité vybaviť moldavské inštitúcie spoľahlivými nástrojmi na rýchlu krízovú komunikáciu, aby mohli účinne bojovať proti dezinformáciám a zabezpečiť rýchle šírenie pravdivých informácií; berie na vedomie najmä kroky prijaté v roku 2025 na posilnenie operačnej kapacity Centra pre strategickú komunikáciu a boj proti dezinformáciám a Národnej agentúry pre kybernetickú bezpečnosť; vyzýva na strategické využívanie dostupných finančných prostriedkov v roku 2027, ako aj neskôr s cieľom posilniť kapacitu Moldavska v oblasti strategickej komunikácie, kybernetickej </w:t>
      </w:r>
      <w:r w:rsidRPr="001400A0">
        <w:t>bezpečnosti a boja proti zahraničnej manipulácii s informáciami a zahraničnému zasahovaniu pred cieľovým dátumom pristúpenia; vyzýva EÚ, aby skúsenosti získané v Moldavsku pri ochrane volebného procesu a demokratických inštitúcií a v boji proti zahraničnej manipulácii s informáciami a zahraničnému zasahovaniu uplatnila na seba a na ďalšie kandidátske krajiny; v tejto súvislosti víta úsilie verejnoprávnych vysielateľov členských štátov poskytovať moldavskej verejnosti obsah založený na faktoch;</w:t>
      </w:r>
    </w:p>
    <w:p w:rsidR="00CA6CEF" w:rsidRPr="001400A0" w:rsidP="00CA6CEF" w14:paraId="22B8D5D0" w14:textId="77777777">
      <w:pPr>
        <w:pStyle w:val="NormalHanging12a"/>
      </w:pPr>
      <w:r w:rsidRPr="001400A0">
        <w:t>52.</w:t>
      </w:r>
      <w:r w:rsidRPr="001400A0">
        <w:tab/>
        <w:t xml:space="preserve">vyjadruje znepokojenie nad zneužívaním náboženských štruktúr na politické účely v súlade s ruskou vojenskou doktrínou a národnou bezpečnostnou stratégiou, ako aj nad pokusmi o ovplyvňovanie verejnej mienky a volebných procesov spôsobmi, ktoré môžu oslabiť európsku cestu Moldavska; vyzýva moldavské orgány, aby zabezpečili plné rešpektovanie slobody náboženského vyznania a zároveň zabránili akémukoľvek neprimeranému vonkajšiemu zasahovaniu alebo manipulácii, ktoré by mohli ovplyvniť demokratické procesy a strategické smerovanie krajiny; dôrazne odsudzuje využívanie </w:t>
      </w:r>
      <w:r w:rsidRPr="001400A0">
        <w:t>metropolie</w:t>
      </w:r>
      <w:r w:rsidRPr="001400A0">
        <w:t xml:space="preserve"> Kišiňova a celého Moldavska, ktorá je pridružená k Moskve a je pod jurisdikciou ruskej pravoslávnej cirkvi, na šírenie dezinformácií pod vedením Kremľa, zasahovanie do volieb a hybridné operácie v Moldavskej republike;</w:t>
      </w:r>
    </w:p>
    <w:p w:rsidR="00CA6CEF" w:rsidRPr="001400A0" w:rsidP="00CA6CEF" w14:paraId="27EF3E8B" w14:textId="77777777">
      <w:pPr>
        <w:pStyle w:val="NormalHanging12a"/>
      </w:pPr>
      <w:r w:rsidRPr="001400A0">
        <w:t>53.</w:t>
      </w:r>
      <w:r w:rsidRPr="001400A0">
        <w:tab/>
        <w:t xml:space="preserve">opakuje, že je plne odhodlaný presadzovať územnú celistvosť Moldavska a mierové riešenie konfliktu na základe zvrchovanosti a územnej celistvosti Moldavska v rámci jeho medzinárodne uznaných hraníc; nabáda Moldavsko, aby pokračovalo v úsilí o reintegráciu, a vyzýva Ruskú federáciu, aby si splnila svoje medzinárodné záväzky tým, že zaistí okamžité a bezpodmienečné stiahnutie všetkého svojho vojenského personálu, vybavenia a munície z </w:t>
      </w:r>
      <w:r w:rsidRPr="001400A0">
        <w:t>podnesterskej</w:t>
      </w:r>
      <w:r w:rsidRPr="001400A0">
        <w:t xml:space="preserve"> oblasti, keďže ich prítomnosť je závažným porušením medzinárodného práva a priamou bezpečnostnou hrozbou pre Moldavsko a širšie európske susedstvo;</w:t>
      </w:r>
    </w:p>
    <w:p w:rsidR="00CA6CEF" w:rsidRPr="001400A0" w:rsidP="00CA6CEF" w14:paraId="203F13E5" w14:textId="77777777">
      <w:pPr>
        <w:pStyle w:val="NormalHanging12a"/>
      </w:pPr>
      <w:r w:rsidRPr="001400A0">
        <w:t>54.</w:t>
      </w:r>
      <w:r w:rsidRPr="001400A0">
        <w:tab/>
        <w:t xml:space="preserve">podporuje stratégiu postupnej reintegrácie krajiny, ktorú uplatňujú moldavské orgány, so silným dôrazom na hmatateľné sociálno-ekonomické prínosy pre občanov na oboch brehoch rieky; vyzýva EÚ, aby sa aktívne zapojila do pokojného procesu reintegrácie, a to aj zmysluplnými príspevkami do konvergenčného fondu, ktorým sa podporí postupné zosúladenie </w:t>
      </w:r>
      <w:r w:rsidRPr="001400A0">
        <w:t>podnesterského</w:t>
      </w:r>
      <w:r w:rsidRPr="001400A0">
        <w:t xml:space="preserve"> regiónu s právnym, hospodárskym a sociálnym rámcom Moldavska a dosiahnu sa konkrétne zlepšenia v oblasti verejných služieb a miestnej infraštruktúry pre občanov;</w:t>
      </w:r>
    </w:p>
    <w:p w:rsidR="00CA6CEF" w:rsidRPr="001400A0" w:rsidP="00CA6CEF" w14:paraId="2EEAF0EA" w14:textId="77777777">
      <w:pPr>
        <w:pStyle w:val="NormalHanging12a"/>
      </w:pPr>
      <w:r w:rsidRPr="001400A0">
        <w:t>55.</w:t>
      </w:r>
      <w:r w:rsidRPr="001400A0">
        <w:tab/>
        <w:t xml:space="preserve">berie so znepokojením na vedomie pretrvávajúce pokusy Ruska o využívanie a podnecovanie napätia medzi autonómnou územnou jednotkou </w:t>
      </w:r>
      <w:r w:rsidRPr="001400A0">
        <w:t>Gagauzsko</w:t>
      </w:r>
      <w:r w:rsidRPr="001400A0">
        <w:t xml:space="preserve"> a moldavskými orgánmi; podporuje a povzbudzuje moldavskú vládu, aby pokračovala v úsilí o riešenie týchto problémov prostredníctvom konštruktívneho dialógu a inkluzívnych reforiem; naliehavo vyzýva regionálne orgány, aby sa v dobrej viere zapojili do tohto dialógu a zabezpečili riadnu organizáciu slobodných, spravodlivých, transparentných a zákonných volieb v regióne v plnom súlade s moldavskými právnymi predpismi; opakuje, že pre vnútornú stabilitu Moldavska a jeho ďalší pokrok na ceste k pristúpeniu do EÚ je nevyhnutný stabilný vzťah založený na spolupráci medzi hlavným mestom a regiónmi;</w:t>
      </w:r>
    </w:p>
    <w:p w:rsidR="00CA6CEF" w:rsidRPr="001400A0" w:rsidP="00CA6CEF" w14:paraId="062907BE" w14:textId="77777777">
      <w:pPr>
        <w:pStyle w:val="NormalHanging12a"/>
      </w:pPr>
      <w:r w:rsidRPr="001400A0">
        <w:t>56.</w:t>
      </w:r>
      <w:r w:rsidRPr="001400A0">
        <w:tab/>
        <w:t xml:space="preserve">víta rozhodnutie Moldavska vystúpiť zo Spoločenstva nezávislých štátov pod dominanciou Ruska ako suverénne a strategické rozhodnutie odrážajúce nezvratnú európsku cestu krajiny; vyzýva na zameranie pozornosti na historický odkaz sovietskeho obdobia, napríklad odtajnením archívov bývalých sovietskych </w:t>
      </w:r>
      <w:r w:rsidRPr="001400A0">
        <w:t>bezpečnostných služieb, a nabáda na diskusiu o prítomnosti sovietskych propagandistických symbolov na verejných priestranstvách;</w:t>
      </w:r>
    </w:p>
    <w:p w:rsidR="00CA6CEF" w:rsidRPr="001400A0" w:rsidP="00CA6CEF" w14:paraId="6F1AC97B" w14:textId="77777777">
      <w:pPr>
        <w:pStyle w:val="NormalHanging12a"/>
      </w:pPr>
      <w:r w:rsidRPr="001400A0">
        <w:t>57.</w:t>
      </w:r>
      <w:r w:rsidRPr="001400A0">
        <w:tab/>
        <w:t>dôrazne odsudzuje opakované neoprávnené prenikanie ruských bezpilotných lietadiel do moldavského vzdušného priestoru a na moldavské územie od roku 2022 ako vážne porušovanie zvrchovanosti a územnej celistvosti Moldavska; zdôrazňuje, že takéto akcie priamo ohrozujú bezpečnosť civilného obyvateľstva, ochranu a regionálnu stabilitu, a pripomína potrebu prísneho dodržiavania medzinárodného práva; v tejto súvislosti upozorňuje na mimoriadny význam investícií do infraštruktúry na sledovanie a ochranu vzdušného priestoru;</w:t>
      </w:r>
    </w:p>
    <w:p w:rsidR="00CA6CEF" w:rsidRPr="001400A0" w:rsidP="00CA6CEF" w14:paraId="71B05C22" w14:textId="77777777">
      <w:pPr>
        <w:pStyle w:val="NormalHanging12a"/>
      </w:pPr>
      <w:r w:rsidRPr="001400A0">
        <w:t>58.</w:t>
      </w:r>
      <w:r w:rsidRPr="001400A0">
        <w:tab/>
        <w:t>víta pokračovanie podpory ozbrojených síl Moldavska v rámci Európskeho mierového nástroja; opakuje svoju výzvu členským štátom, aby ešte zvýšili finančné prostriedky z Európskeho mierového nástroja pre Moldavsko na posilnenie obranných spôsobilostí krajiny vzhľadom na súčasné bezpečnostné hrozby; vyzýva Komisiu, aby v koordinácii s ESVČ zabezpečila štruktúrovanejšiu, predvídateľnejšiu a širšiu podporu posilňovaniu bezpečnostných a obranných kapacít Moldavskej republiky a jej zosúladenie s bezpečnostnými normami EÚ ako súčasť prístupového procesu; vyzýva na pokračovanie podpory modernizácie moldavského obranného sektora vrátane jeho spôsobilostí v oblasti protivzdušnej obrany; zdôrazňuje, že vzhľadom na strategickú polohu a cenné skúsenosti Moldavska v reálnom čase je Moldavsko nielen beneficientom bezpečnosti, ale vo vzťahu k EÚ aj jej poskytovateľom; víta uznanie Moldavska ako krajiny, pre ktorú možno v rámci Programu pre európsky obranný priemysel spoločne obstarať dodatočné množstvá výrobkov obranného priemyslu, pričom výška finančného príspevku EÚ sa zvýšila z 15 % na 25 %, a žiada, aby sa toto preferenčné zaobchádzanie začlenilo do štruktúry na obdobie po roku 2027;</w:t>
      </w:r>
    </w:p>
    <w:p w:rsidR="00CA6CEF" w:rsidRPr="001400A0" w:rsidP="00CA6CEF" w14:paraId="15CB6649" w14:textId="77777777">
      <w:pPr>
        <w:pStyle w:val="NormalCenter12a"/>
      </w:pPr>
      <w:r w:rsidRPr="001400A0">
        <w:t>°</w:t>
      </w:r>
    </w:p>
    <w:p w:rsidR="00CA6CEF" w:rsidRPr="001400A0" w:rsidP="00CA6CEF" w14:paraId="371FC195" w14:textId="77777777">
      <w:pPr>
        <w:pStyle w:val="NormalCenter12a"/>
      </w:pPr>
      <w:r w:rsidRPr="001400A0">
        <w:t>°</w:t>
      </w:r>
      <w:r w:rsidRPr="001400A0">
        <w:tab/>
        <w:t>°</w:t>
      </w:r>
    </w:p>
    <w:p w:rsidR="00693A23" w:rsidRPr="001400A0" w:rsidP="00693A23" w14:paraId="58523A68" w14:textId="1701A0E2">
      <w:pPr>
        <w:pStyle w:val="NormalHanging12a"/>
      </w:pPr>
      <w:r w:rsidRPr="001400A0">
        <w:t>59.</w:t>
      </w:r>
      <w:r w:rsidRPr="001400A0">
        <w:tab/>
        <w:t>poveruje svoju predsedníčku, aby postúpila toto uznesenie Rade, Komisii, podpredsedníčke Komisie/vysokej predstaviteľke Únie pre zahraničné veci a bezpečnostnú politiku a prezidentke, vláde a parlamentu Moldavskej republiky.</w:t>
      </w:r>
    </w:p>
    <w:p w:rsidR="00E365E1" w:rsidRPr="001400A0" w:rsidP="009E14BD" w14:paraId="46108E10" w14:textId="4CF4D5CF"/>
    <w:sectPr w:rsidSect="00693A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3A23" w14:paraId="245CC52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3A23" w14:paraId="3208EE7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3A23" w14:paraId="37FAD56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E14BD" w:rsidRPr="00693A23" w14:paraId="6A365826" w14:textId="77777777">
      <w:r w:rsidRPr="00693A23">
        <w:separator/>
      </w:r>
    </w:p>
  </w:footnote>
  <w:footnote w:type="continuationSeparator" w:id="1">
    <w:p w:rsidR="009E14BD" w:rsidRPr="00693A23" w14:paraId="5D945DB3" w14:textId="77777777">
      <w:r w:rsidRPr="00693A23">
        <w:continuationSeparator/>
      </w:r>
    </w:p>
  </w:footnote>
  <w:footnote w:id="2">
    <w:p w:rsidR="00735550" w:rsidRPr="00693A23" w:rsidP="00693A23" w14:paraId="771361F6" w14:textId="71971E5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693A23">
        <w:rPr>
          <w:sz w:val="24"/>
          <w:lang w:val="sk-SK"/>
        </w:rPr>
        <w:t xml:space="preserve"> </w:t>
      </w:r>
      <w:r w:rsidRPr="00693A23">
        <w:rPr>
          <w:sz w:val="24"/>
          <w:lang w:val="sk-SK"/>
        </w:rPr>
        <w:tab/>
        <w:t xml:space="preserve">Ú. v. EÚ L, 2025/535, 21.3.2025, ELI: </w:t>
      </w:r>
      <w:hyperlink r:id="rId1" w:tgtFrame="http://data.europa.eu/eli/reg/2025/535/oj." w:history="1">
        <w:r w:rsidRPr="00693A23">
          <w:rPr>
            <w:rStyle w:val="Hyperlink"/>
            <w:sz w:val="24"/>
            <w:lang w:val="sk-SK"/>
          </w:rPr>
          <w:t>http://data.europa.eu/eli/reg/2025/535/oj</w:t>
        </w:r>
      </w:hyperlink>
      <w:r w:rsidRPr="00693A23">
        <w:rPr>
          <w:sz w:val="24"/>
          <w:lang w:val="sk-SK"/>
        </w:rPr>
        <w:t>.</w:t>
      </w:r>
    </w:p>
  </w:footnote>
  <w:footnote w:id="3">
    <w:p w:rsidR="00735550" w:rsidRPr="00693A23" w:rsidP="00693A23" w14:paraId="40865266" w14:textId="36972A0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693A23">
        <w:rPr>
          <w:sz w:val="24"/>
          <w:lang w:val="sk-SK"/>
        </w:rPr>
        <w:t xml:space="preserve"> </w:t>
      </w:r>
      <w:r w:rsidRPr="00693A23">
        <w:rPr>
          <w:sz w:val="24"/>
          <w:lang w:val="sk-SK"/>
        </w:rPr>
        <w:tab/>
        <w:t>Dohoda o pridružení medzi Európskou úniou a Európskym spoločenstvom pre atómovú energiu a ich členskými štátmi na jednej strane a Moldavskou republikou na strane druhej (Ú. v. EÚ L 260, 30.8.2014, s. </w:t>
      </w:r>
      <w:r w:rsidRPr="00693A23">
        <w:rPr>
          <w:sz w:val="24"/>
          <w:lang w:val="sk-SK"/>
        </w:rPr>
        <w:t xml:space="preserve">4, ELI: </w:t>
      </w:r>
      <w:hyperlink r:id="rId2" w:history="1">
        <w:r w:rsidRPr="00735550">
          <w:rPr>
            <w:rStyle w:val="Hyperlink"/>
            <w:sz w:val="24"/>
            <w:lang w:val="sk-SK"/>
          </w:rPr>
          <w:t>http://data.europa.eu/eli/agree_internation/2014/492/oj</w:t>
        </w:r>
      </w:hyperlink>
      <w:r w:rsidRPr="00693A23">
        <w:rPr>
          <w:sz w:val="24"/>
          <w:lang w:val="sk-SK"/>
        </w:rPr>
        <w:t>).</w:t>
      </w:r>
    </w:p>
  </w:footnote>
  <w:footnote w:id="4">
    <w:p w:rsidR="00735550" w:rsidRPr="00693A23" w:rsidP="00693A23" w14:paraId="76492EC1" w14:textId="2D281CC5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693A23">
        <w:rPr>
          <w:sz w:val="24"/>
          <w:lang w:val="sk-SK"/>
        </w:rPr>
        <w:t xml:space="preserve"> </w:t>
      </w:r>
      <w:r w:rsidRPr="00693A23">
        <w:rPr>
          <w:sz w:val="24"/>
          <w:lang w:val="sk-SK"/>
        </w:rPr>
        <w:tab/>
        <w:t>Smernica Európskeho parlamentu a Rady (EÚ) 2019/882 zo 17. apríla 2019 o požiadavkách na prístupnosť výrobkov a služieb (Ú. v. EÚ L 151, 7.6.2019, s. </w:t>
      </w:r>
      <w:r w:rsidRPr="00693A23">
        <w:rPr>
          <w:sz w:val="24"/>
          <w:lang w:val="sk-SK"/>
        </w:rPr>
        <w:t xml:space="preserve">70, ELI: </w:t>
      </w:r>
      <w:hyperlink r:id="rId3" w:tgtFrame="http://data.europa.eu/eli/dir/2019/882/oj" w:history="1">
        <w:r w:rsidRPr="00693A23">
          <w:rPr>
            <w:rStyle w:val="Hyperlink"/>
            <w:sz w:val="24"/>
            <w:lang w:val="sk-SK"/>
          </w:rPr>
          <w:t>https://eur-lex.europa.eu/eli/dir/2019/882/oj?locale=sk</w:t>
        </w:r>
      </w:hyperlink>
      <w:r w:rsidRPr="00693A23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3A23" w14:paraId="6DCE900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3A23" w14:paraId="1A5FEE6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3A23" w14:paraId="5C3CDCD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3559519">
    <w:abstractNumId w:val="9"/>
  </w:num>
  <w:num w:numId="2" w16cid:durableId="1007247349">
    <w:abstractNumId w:val="9"/>
  </w:num>
  <w:num w:numId="3" w16cid:durableId="1627009785">
    <w:abstractNumId w:val="7"/>
  </w:num>
  <w:num w:numId="4" w16cid:durableId="685864606">
    <w:abstractNumId w:val="7"/>
  </w:num>
  <w:num w:numId="5" w16cid:durableId="926380125">
    <w:abstractNumId w:val="6"/>
  </w:num>
  <w:num w:numId="6" w16cid:durableId="1604067283">
    <w:abstractNumId w:val="6"/>
  </w:num>
  <w:num w:numId="7" w16cid:durableId="221258444">
    <w:abstractNumId w:val="5"/>
  </w:num>
  <w:num w:numId="8" w16cid:durableId="640885909">
    <w:abstractNumId w:val="5"/>
  </w:num>
  <w:num w:numId="9" w16cid:durableId="1572353915">
    <w:abstractNumId w:val="4"/>
  </w:num>
  <w:num w:numId="10" w16cid:durableId="1220094553">
    <w:abstractNumId w:val="4"/>
  </w:num>
  <w:num w:numId="11" w16cid:durableId="1684362289">
    <w:abstractNumId w:val="8"/>
  </w:num>
  <w:num w:numId="12" w16cid:durableId="672755898">
    <w:abstractNumId w:val="8"/>
  </w:num>
  <w:num w:numId="13" w16cid:durableId="946934623">
    <w:abstractNumId w:val="3"/>
  </w:num>
  <w:num w:numId="14" w16cid:durableId="124205328">
    <w:abstractNumId w:val="3"/>
  </w:num>
  <w:num w:numId="15" w16cid:durableId="430275167">
    <w:abstractNumId w:val="2"/>
  </w:num>
  <w:num w:numId="16" w16cid:durableId="284695589">
    <w:abstractNumId w:val="2"/>
  </w:num>
  <w:num w:numId="17" w16cid:durableId="1501042679">
    <w:abstractNumId w:val="1"/>
  </w:num>
  <w:num w:numId="18" w16cid:durableId="685638517">
    <w:abstractNumId w:val="1"/>
  </w:num>
  <w:num w:numId="19" w16cid:durableId="685639954">
    <w:abstractNumId w:val="0"/>
  </w:num>
  <w:num w:numId="20" w16cid:durableId="8216405">
    <w:abstractNumId w:val="0"/>
  </w:num>
  <w:num w:numId="21" w16cid:durableId="769935588">
    <w:abstractNumId w:val="9"/>
  </w:num>
  <w:num w:numId="22" w16cid:durableId="1885559341">
    <w:abstractNumId w:val="7"/>
  </w:num>
  <w:num w:numId="23" w16cid:durableId="1663581032">
    <w:abstractNumId w:val="6"/>
  </w:num>
  <w:num w:numId="24" w16cid:durableId="2124036070">
    <w:abstractNumId w:val="5"/>
  </w:num>
  <w:num w:numId="25" w16cid:durableId="855770137">
    <w:abstractNumId w:val="4"/>
  </w:num>
  <w:num w:numId="26" w16cid:durableId="606498852">
    <w:abstractNumId w:val="8"/>
  </w:num>
  <w:num w:numId="27" w16cid:durableId="1681005949">
    <w:abstractNumId w:val="3"/>
  </w:num>
  <w:num w:numId="28" w16cid:durableId="826166469">
    <w:abstractNumId w:val="2"/>
  </w:num>
  <w:num w:numId="29" w16cid:durableId="1541820181">
    <w:abstractNumId w:val="1"/>
  </w:num>
  <w:num w:numId="30" w16cid:durableId="1410345471">
    <w:abstractNumId w:val="0"/>
  </w:num>
  <w:num w:numId="31" w16cid:durableId="684553617">
    <w:abstractNumId w:val="9"/>
  </w:num>
  <w:num w:numId="32" w16cid:durableId="2061787918">
    <w:abstractNumId w:val="7"/>
  </w:num>
  <w:num w:numId="33" w16cid:durableId="1189565915">
    <w:abstractNumId w:val="6"/>
  </w:num>
  <w:num w:numId="34" w16cid:durableId="1625119486">
    <w:abstractNumId w:val="5"/>
  </w:num>
  <w:num w:numId="35" w16cid:durableId="1291593321">
    <w:abstractNumId w:val="4"/>
  </w:num>
  <w:num w:numId="36" w16cid:durableId="196165086">
    <w:abstractNumId w:val="8"/>
  </w:num>
  <w:num w:numId="37" w16cid:durableId="1176650578">
    <w:abstractNumId w:val="3"/>
  </w:num>
  <w:num w:numId="38" w16cid:durableId="73286589">
    <w:abstractNumId w:val="2"/>
  </w:num>
  <w:num w:numId="39" w16cid:durableId="440034533">
    <w:abstractNumId w:val="1"/>
  </w:num>
  <w:num w:numId="40" w16cid:durableId="899904812">
    <w:abstractNumId w:val="0"/>
  </w:num>
  <w:num w:numId="41" w16cid:durableId="1354308825">
    <w:abstractNumId w:val="10"/>
  </w:num>
  <w:num w:numId="42" w16cid:durableId="51201401">
    <w:abstractNumId w:val="10"/>
  </w:num>
  <w:num w:numId="43" w16cid:durableId="1313564832">
    <w:abstractNumId w:val="10"/>
  </w:num>
  <w:num w:numId="44" w16cid:durableId="17335039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BD"/>
    <w:rsid w:val="00002272"/>
    <w:rsid w:val="00064002"/>
    <w:rsid w:val="000677B9"/>
    <w:rsid w:val="000831BA"/>
    <w:rsid w:val="000A42CC"/>
    <w:rsid w:val="000E7DD9"/>
    <w:rsid w:val="0010095E"/>
    <w:rsid w:val="00125B37"/>
    <w:rsid w:val="001400A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3A23"/>
    <w:rsid w:val="006F74FA"/>
    <w:rsid w:val="00731ADD"/>
    <w:rsid w:val="00734777"/>
    <w:rsid w:val="00735550"/>
    <w:rsid w:val="00747932"/>
    <w:rsid w:val="00751A4A"/>
    <w:rsid w:val="00756632"/>
    <w:rsid w:val="00762C74"/>
    <w:rsid w:val="00786EC0"/>
    <w:rsid w:val="00792F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691"/>
    <w:rsid w:val="00923B65"/>
    <w:rsid w:val="00930C23"/>
    <w:rsid w:val="0093193B"/>
    <w:rsid w:val="009509D8"/>
    <w:rsid w:val="00950B64"/>
    <w:rsid w:val="00981893"/>
    <w:rsid w:val="009E14BD"/>
    <w:rsid w:val="00A1687D"/>
    <w:rsid w:val="00A43E52"/>
    <w:rsid w:val="00A4678D"/>
    <w:rsid w:val="00A778C7"/>
    <w:rsid w:val="00AA2F75"/>
    <w:rsid w:val="00AB441E"/>
    <w:rsid w:val="00AB6293"/>
    <w:rsid w:val="00AE0928"/>
    <w:rsid w:val="00AF2947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CEF"/>
    <w:rsid w:val="00CC2357"/>
    <w:rsid w:val="00CF071A"/>
    <w:rsid w:val="00D058B8"/>
    <w:rsid w:val="00D56C11"/>
    <w:rsid w:val="00D6386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4D9"/>
    <w:rsid w:val="00FB4360"/>
    <w:rsid w:val="00FD0C70"/>
  </w:rsids>
  <w:docVars>
    <w:docVar w:name="dvdocse" w:val="A10-0164/2026"/>
    <w:docVar w:name="dvlangue" w:val="SK"/>
    <w:docVar w:name="dvnumam" w:val="0"/>
    <w:docVar w:name="dvpe" w:val="782.290"/>
    <w:docVar w:name="dvrapporteur" w:val="Spravodajca: "/>
    <w:docVar w:name="dvtitre" w:val="Uznesenie Európskeho parlamentu z/zo xx. xxx 2026 o správe Komisie o Moldavsku za rok 2025(2025/2258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3703EE8"/>
  <w15:chartTrackingRefBased/>
  <w15:docId w15:val="{2ADAC094-CB13-43E0-BEC7-D07E6F7C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A6CE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CA6CE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A6CEF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A6CEF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A6CE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A6CEF"/>
    <w:rPr>
      <w:color w:val="0000FF"/>
      <w:u w:val="single"/>
    </w:rPr>
  </w:style>
  <w:style w:type="paragraph" w:styleId="Revision">
    <w:name w:val="Revision"/>
    <w:hidden/>
    <w:uiPriority w:val="99"/>
    <w:semiHidden/>
    <w:rsid w:val="00735550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735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535/oj." TargetMode="External" /><Relationship Id="rId2" Type="http://schemas.openxmlformats.org/officeDocument/2006/relationships/hyperlink" Target="http://data.europa.eu/eli/agree_internation/2014/492/oj" TargetMode="External" /><Relationship Id="rId3" Type="http://schemas.openxmlformats.org/officeDocument/2006/relationships/hyperlink" Target="http://data.europa.eu/eli/dir/2019/88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5373</Words>
  <Characters>34956</Characters>
  <Application>Microsoft Office Word</Application>
  <DocSecurity>0</DocSecurity>
  <Lines>1028</Lines>
  <Paragraphs>683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2026-07-08T13:09:00Z</dcterms:created>
  <dcterms:modified xsi:type="dcterms:W3CDTF">2026-07-08T13:09:00Z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A10-0164/2026</vt:lpwstr>
  </property>
  <property fmtid="{D5CDD505-2E9C-101B-9397-08002B2CF9AE}" pid="4" name="&lt;Type&gt;">
    <vt:lpwstr>RR</vt:lpwstr>
  </property>
</Properties>
</file>