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C5D9B92" w14:textId="77777777" w:rsidTr="0010095E">
        <w:tblPrEx>
          <w:tblW w:w="9072" w:type="dxa"/>
          <w:tblLook w:val="01E0"/>
        </w:tblPrEx>
        <w:trPr>
          <w:trHeight w:hRule="exact" w:val="1418"/>
        </w:trPr>
        <w:tc>
          <w:tcPr>
            <w:tcW w:w="6804" w:type="dxa"/>
            <w:shd w:val="clear" w:color="auto" w:fill="auto"/>
            <w:vAlign w:val="center"/>
          </w:tcPr>
          <w:p w:rsidR="00751A4A" w:rsidRPr="00A84070" w:rsidP="0010095E" w14:paraId="3C2F4849" w14:textId="2ED2C6C6">
            <w:pPr>
              <w:pStyle w:val="EPName"/>
            </w:pPr>
            <w:r w:rsidRPr="00A84070">
              <w:t>Europaparlamentet</w:t>
            </w:r>
          </w:p>
          <w:p w:rsidR="00751A4A" w:rsidRPr="00A84070" w:rsidP="005F1B17" w14:paraId="7CF4E9D0" w14:textId="77777777">
            <w:pPr>
              <w:pStyle w:val="EPTerm"/>
              <w:rPr>
                <w:rStyle w:val="HideTWBExt"/>
                <w:noProof w:val="0"/>
                <w:vanish w:val="0"/>
                <w:color w:val="auto"/>
              </w:rPr>
            </w:pPr>
            <w:r w:rsidRPr="00A84070">
              <w:t>2024</w:t>
            </w:r>
            <w:r w:rsidRPr="00A84070" w:rsidR="00817416">
              <w:t>-202</w:t>
            </w:r>
            <w:r w:rsidRPr="00A84070">
              <w:t>9</w:t>
            </w:r>
          </w:p>
        </w:tc>
        <w:tc>
          <w:tcPr>
            <w:tcW w:w="2268" w:type="dxa"/>
            <w:shd w:val="clear" w:color="auto" w:fill="auto"/>
          </w:tcPr>
          <w:p w:rsidR="00751A4A" w:rsidRPr="00A84070" w:rsidP="0010095E" w14:paraId="5ABAD3D6" w14:textId="77777777">
            <w:pPr>
              <w:pStyle w:val="EPLogo"/>
            </w:pPr>
            <w:r w:rsidRPr="00A84070">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A84070" w:rsidP="004C5D52" w14:paraId="3E262048" w14:textId="77777777">
      <w:pPr>
        <w:pStyle w:val="LineTop"/>
      </w:pPr>
    </w:p>
    <w:p w:rsidR="00680577" w:rsidRPr="00A84070" w:rsidP="00680577" w14:paraId="57B147BE" w14:textId="6298E327">
      <w:pPr>
        <w:pStyle w:val="EPBodyTA1"/>
      </w:pPr>
      <w:r w:rsidRPr="00A84070">
        <w:t>ANTAGNA TEXTER</w:t>
      </w:r>
    </w:p>
    <w:p w:rsidR="00D058B8" w:rsidRPr="00A84070" w:rsidP="00D058B8" w14:paraId="471A18D8" w14:textId="77777777">
      <w:pPr>
        <w:pStyle w:val="LineBottom"/>
      </w:pPr>
    </w:p>
    <w:p w:rsidR="000346F5" w:rsidRPr="00A84070" w:rsidP="000346F5" w14:paraId="3EA42BFC" w14:textId="36654E1A">
      <w:pPr>
        <w:pStyle w:val="ATHeading1"/>
      </w:pPr>
      <w:bookmarkStart w:id="0" w:name="TANumber"/>
      <w:r w:rsidRPr="00A84070">
        <w:t>P10_TA(2026)</w:t>
      </w:r>
      <w:bookmarkEnd w:id="0"/>
      <w:r w:rsidRPr="00A84070" w:rsidR="00972E8B">
        <w:t>0</w:t>
      </w:r>
      <w:r w:rsidR="00972E8B">
        <w:t>260</w:t>
      </w:r>
    </w:p>
    <w:p w:rsidR="000346F5" w:rsidRPr="00A84070" w:rsidP="000346F5" w14:paraId="6215A033" w14:textId="77777777">
      <w:pPr>
        <w:pStyle w:val="ATHeading2"/>
      </w:pPr>
      <w:bookmarkStart w:id="1" w:name="title"/>
      <w:r w:rsidRPr="00A84070">
        <w:t>Kommissionens rapport för 2025 om Moldavien</w:t>
      </w:r>
      <w:bookmarkEnd w:id="1"/>
    </w:p>
    <w:p w:rsidR="000346F5" w:rsidRPr="00A84070" w:rsidP="000346F5" w14:paraId="19011C5B" w14:textId="77777777">
      <w:pPr>
        <w:rPr>
          <w:i/>
          <w:vanish/>
        </w:rPr>
      </w:pPr>
      <w:r>
        <w:rPr>
          <w:i/>
        </w:rPr>
        <w:fldChar w:fldCharType="begin"/>
      </w:r>
      <w:r w:rsidRPr="00A84070">
        <w:rPr>
          <w:i/>
        </w:rPr>
        <w:instrText xml:space="preserve"> TC"(</w:instrText>
      </w:r>
      <w:bookmarkStart w:id="2" w:name="DocNumber"/>
      <w:r w:rsidRPr="00A84070">
        <w:rPr>
          <w:i/>
        </w:rPr>
        <w:instrText>A10-0164/2026</w:instrText>
      </w:r>
      <w:bookmarkEnd w:id="2"/>
      <w:r w:rsidRPr="00A84070">
        <w:rPr>
          <w:i/>
        </w:rPr>
        <w:instrText xml:space="preserve"> - Föredragande: Sven Mikser)"\l3 \n&gt; \* MERGEFORMAT </w:instrText>
      </w:r>
      <w:r>
        <w:rPr>
          <w:i/>
        </w:rPr>
        <w:fldChar w:fldCharType="end"/>
      </w:r>
    </w:p>
    <w:p w:rsidR="000346F5" w:rsidRPr="00A84070" w:rsidP="000346F5" w14:paraId="745D9CC9" w14:textId="77777777">
      <w:pPr>
        <w:rPr>
          <w:vanish/>
        </w:rPr>
      </w:pPr>
      <w:bookmarkStart w:id="3" w:name="Commission"/>
      <w:r w:rsidRPr="00A84070">
        <w:rPr>
          <w:vanish/>
        </w:rPr>
        <w:t>Utskottet för utrikesfrågor</w:t>
      </w:r>
      <w:bookmarkEnd w:id="3"/>
    </w:p>
    <w:p w:rsidR="000346F5" w:rsidRPr="00A84070" w:rsidP="000346F5" w14:paraId="2FD12F0B" w14:textId="77777777">
      <w:pPr>
        <w:rPr>
          <w:vanish/>
        </w:rPr>
      </w:pPr>
      <w:bookmarkStart w:id="4" w:name="PE"/>
      <w:r w:rsidRPr="00A84070">
        <w:rPr>
          <w:vanish/>
        </w:rPr>
        <w:t>PE782.290</w:t>
      </w:r>
      <w:bookmarkEnd w:id="4"/>
    </w:p>
    <w:p w:rsidR="000346F5" w:rsidRPr="00A84070" w:rsidP="000346F5" w14:paraId="5E73F729" w14:textId="4500984E">
      <w:pPr>
        <w:pStyle w:val="ATHeading3"/>
      </w:pPr>
      <w:bookmarkStart w:id="5" w:name="Sujet"/>
      <w:r w:rsidRPr="00A84070">
        <w:t xml:space="preserve">Europaparlamentets resolution av den </w:t>
      </w:r>
      <w:r w:rsidR="0050537D">
        <w:t>8</w:t>
      </w:r>
      <w:r w:rsidRPr="00A84070" w:rsidR="0050537D">
        <w:t xml:space="preserve"> </w:t>
      </w:r>
      <w:r w:rsidR="0050537D">
        <w:t>juli</w:t>
      </w:r>
      <w:r w:rsidRPr="00A84070" w:rsidR="0050537D">
        <w:t xml:space="preserve"> </w:t>
      </w:r>
      <w:r w:rsidRPr="00A84070">
        <w:t>2026 om kommissionens rapport för 2025 om Moldavien</w:t>
      </w:r>
      <w:bookmarkEnd w:id="5"/>
      <w:r w:rsidRPr="00A84070">
        <w:t xml:space="preserve"> </w:t>
      </w:r>
      <w:bookmarkStart w:id="6" w:name="References"/>
      <w:r w:rsidRPr="00A84070">
        <w:t>(2025/2258(INI))</w:t>
      </w:r>
      <w:bookmarkEnd w:id="6"/>
    </w:p>
    <w:p w:rsidR="00AD7514" w:rsidRPr="00124E91" w:rsidP="00AD7514" w14:paraId="78C12FDB" w14:textId="77777777">
      <w:pPr>
        <w:pStyle w:val="Normal12"/>
        <w:rPr>
          <w:i/>
          <w:iCs/>
        </w:rPr>
      </w:pPr>
      <w:r w:rsidRPr="00124E91">
        <w:rPr>
          <w:i/>
          <w:iCs/>
        </w:rPr>
        <w:t>Europaparlamentet utfärdar denna resolution</w:t>
      </w:r>
    </w:p>
    <w:p w:rsidR="00AD7514" w:rsidRPr="00A84070" w:rsidP="00AD7514" w14:paraId="2655DED8" w14:textId="3827C6CC">
      <w:pPr>
        <w:pStyle w:val="NormalHanging"/>
      </w:pPr>
      <w:r w:rsidRPr="00A84070">
        <w:t>–</w:t>
      </w:r>
      <w:r w:rsidRPr="00A84070">
        <w:tab/>
        <w:t>med beaktande av kommissionens meddelande av den 4 november 2025 med titeln ”2025 års meddelande om EU:s utvidgningspolitik” (</w:t>
      </w:r>
      <w:r w:rsidRPr="00124E91" w:rsidR="0050537D">
        <w:t>COM(</w:t>
      </w:r>
      <w:r w:rsidRPr="00124E91" w:rsidR="0050537D">
        <w:t>2025)0690</w:t>
      </w:r>
      <w:r w:rsidRPr="00A84070">
        <w:t xml:space="preserve">), åtföljt av arbetsdokumentet från kommissionens avdelningar av den 4 november </w:t>
      </w:r>
      <w:r w:rsidR="00E558C4">
        <w:t xml:space="preserve">2025 </w:t>
      </w:r>
      <w:r w:rsidRPr="00A84070">
        <w:t xml:space="preserve">med titeln ”2025 </w:t>
      </w:r>
      <w:r w:rsidRPr="00A84070">
        <w:t>Republic</w:t>
      </w:r>
      <w:r w:rsidRPr="00A84070">
        <w:t xml:space="preserve"> </w:t>
      </w:r>
      <w:r w:rsidRPr="00A84070">
        <w:t>of</w:t>
      </w:r>
      <w:r w:rsidRPr="00A84070">
        <w:t xml:space="preserve"> Moldova 2025 </w:t>
      </w:r>
      <w:r w:rsidRPr="00A84070">
        <w:t>Report</w:t>
      </w:r>
      <w:r w:rsidRPr="00A84070">
        <w:t>” (SWD(2025)0758),</w:t>
      </w:r>
    </w:p>
    <w:p w:rsidR="00AD7514" w:rsidRPr="00A84070" w:rsidP="00AD7514" w14:paraId="4752C8BA" w14:textId="2BFFA30E">
      <w:pPr>
        <w:pStyle w:val="NormalHanging"/>
      </w:pPr>
      <w:r w:rsidRPr="00A84070">
        <w:t>–</w:t>
      </w:r>
      <w:r w:rsidRPr="00A84070">
        <w:tab/>
        <w:t>med beaktande av Europaparlamentets och rådets förordning (EU) 2025/535 av den 18 mars 2025 om inrättande av faciliteten för reformer och tillväxt för Moldavien</w:t>
      </w:r>
      <w:r>
        <w:rPr>
          <w:rStyle w:val="FootnoteReference"/>
        </w:rPr>
        <w:footnoteReference w:id="2"/>
      </w:r>
      <w:r w:rsidRPr="00A84070">
        <w:t>,</w:t>
      </w:r>
    </w:p>
    <w:p w:rsidR="00AD7514" w:rsidRPr="00A84070" w:rsidP="00AD7514" w14:paraId="4DEB739E" w14:textId="77777777">
      <w:pPr>
        <w:pStyle w:val="NormalHanging"/>
      </w:pPr>
      <w:r w:rsidRPr="00A84070">
        <w:t>–</w:t>
      </w:r>
      <w:r w:rsidRPr="00A84070">
        <w:tab/>
        <w:t>med beaktande av reformagendan inom ramen för Republiken Moldaviens (Moldavien) tillväxtplan för åren 2025–2027,</w:t>
      </w:r>
    </w:p>
    <w:p w:rsidR="00AD7514" w:rsidRPr="00A84070" w:rsidP="00AD7514" w14:paraId="5CBF4B64" w14:textId="77777777">
      <w:pPr>
        <w:pStyle w:val="NormalHanging"/>
      </w:pPr>
      <w:r w:rsidRPr="00A84070">
        <w:t>–</w:t>
      </w:r>
      <w:r w:rsidRPr="00A84070">
        <w:tab/>
        <w:t>med beaktande av sina tidigare resolutioner om Moldavien,</w:t>
      </w:r>
    </w:p>
    <w:p w:rsidR="00AD7514" w:rsidRPr="00A84070" w:rsidP="00AD7514" w14:paraId="31BC10BF" w14:textId="77777777">
      <w:pPr>
        <w:pStyle w:val="NormalHanging"/>
      </w:pPr>
      <w:r w:rsidRPr="00A84070">
        <w:t>–</w:t>
      </w:r>
      <w:r w:rsidRPr="00A84070">
        <w:tab/>
        <w:t>med beaktande av Europeiska rådets slutsatser om Moldavien av den 26 juni 2025,</w:t>
      </w:r>
    </w:p>
    <w:p w:rsidR="00AD7514" w:rsidRPr="00A84070" w:rsidP="00AD7514" w14:paraId="16DB4BED" w14:textId="77777777">
      <w:pPr>
        <w:pStyle w:val="NormalHanging"/>
      </w:pPr>
      <w:r w:rsidRPr="00A84070">
        <w:t>–</w:t>
      </w:r>
      <w:r w:rsidRPr="00A84070">
        <w:tab/>
        <w:t>med beaktande av ordförandeskapets slutsatser om utvidgningen av den 16 december 2025,</w:t>
      </w:r>
    </w:p>
    <w:p w:rsidR="00AD7514" w:rsidRPr="00A84070" w:rsidP="00AD7514" w14:paraId="75FC8315" w14:textId="5F19C216">
      <w:pPr>
        <w:pStyle w:val="NormalHanging"/>
      </w:pPr>
      <w:r w:rsidRPr="00A84070">
        <w:t>–</w:t>
      </w:r>
      <w:r w:rsidRPr="00A84070">
        <w:tab/>
      </w:r>
      <w:r w:rsidRPr="00972E8B" w:rsidR="00972E8B">
        <w:t>med beaktande av den gemensamma förklaringen efter det andra toppmötet mellan Republiken Moldavien och EU den 22 juni 2026,</w:t>
      </w:r>
    </w:p>
    <w:p w:rsidR="00AD7514" w:rsidRPr="00A84070" w:rsidP="00AD7514" w14:paraId="733DC179" w14:textId="77777777">
      <w:pPr>
        <w:pStyle w:val="NormalHanging"/>
      </w:pPr>
      <w:r w:rsidRPr="00A84070">
        <w:t>–</w:t>
      </w:r>
      <w:r w:rsidRPr="00A84070">
        <w:tab/>
        <w:t>med beaktande av resultaten från det nionde mötet i associeringsrådet EU–Republiken Moldavien, som hölls den 4 juni 2025,</w:t>
      </w:r>
    </w:p>
    <w:p w:rsidR="00AD7514" w:rsidRPr="00A84070" w:rsidP="00AD7514" w14:paraId="2334411C" w14:textId="77777777">
      <w:pPr>
        <w:pStyle w:val="NormalHanging"/>
      </w:pPr>
      <w:r w:rsidRPr="00A84070">
        <w:t>–</w:t>
      </w:r>
      <w:r w:rsidRPr="00A84070">
        <w:tab/>
        <w:t>med beaktande av det förnyade samförståndsavtal mellan Europaparlamentet och Moldaviens parlament som undertecknades den 18 mars 2026,</w:t>
      </w:r>
    </w:p>
    <w:p w:rsidR="00AD7514" w:rsidRPr="00A84070" w:rsidP="00AD7514" w14:paraId="26B29648" w14:textId="77777777">
      <w:pPr>
        <w:pStyle w:val="NormalHanging"/>
      </w:pPr>
      <w:r w:rsidRPr="00A84070">
        <w:t>–</w:t>
      </w:r>
      <w:r w:rsidRPr="00A84070">
        <w:tab/>
        <w:t>med beaktande av artikel 55 i arbetsordningen,</w:t>
      </w:r>
    </w:p>
    <w:p w:rsidR="00AD7514" w:rsidRPr="00A84070" w:rsidP="00AD7514" w14:paraId="2C3C0A18" w14:textId="77777777">
      <w:pPr>
        <w:pStyle w:val="NormalHanging"/>
      </w:pPr>
      <w:r w:rsidRPr="00A84070">
        <w:t>–</w:t>
      </w:r>
      <w:r w:rsidRPr="00A84070">
        <w:tab/>
        <w:t>med beaktande av betänkandet från utskottet för utrikesfrågor (A10-0164/2026), och av följande skäl:</w:t>
      </w:r>
    </w:p>
    <w:p w:rsidR="00AD7514" w:rsidRPr="00A84070" w:rsidP="00AD7514" w14:paraId="165C0E91" w14:textId="7A37A97F">
      <w:pPr>
        <w:pStyle w:val="NormalHanging"/>
      </w:pPr>
      <w:r w:rsidRPr="00A84070">
        <w:t>A.</w:t>
      </w:r>
      <w:r w:rsidRPr="00A84070">
        <w:tab/>
      </w:r>
      <w:r w:rsidRPr="00972E8B" w:rsidR="00972E8B">
        <w:t xml:space="preserve">Den 22 september 2025 slutförde Moldavien den bilaterala genomgång som inleddes </w:t>
      </w:r>
      <w:r w:rsidRPr="00972E8B" w:rsidR="00972E8B">
        <w:t>den 10 juli 2024. Moldavien är redo att formellt inleda diskussioner om alla de sex klustren inom ramen för EU-anslutningsförhandlingarna. Förhandlingarna om kluster 1 (grundläggande principer) inleddes formellt den 15 juni 2026.</w:t>
      </w:r>
    </w:p>
    <w:p w:rsidR="00AD7514" w:rsidRPr="00A84070" w:rsidP="00AD7514" w14:paraId="64A78DF7" w14:textId="77777777">
      <w:pPr>
        <w:pStyle w:val="NormalHanging"/>
      </w:pPr>
      <w:r w:rsidRPr="00A84070">
        <w:t>B.</w:t>
      </w:r>
      <w:r w:rsidRPr="00A84070">
        <w:tab/>
        <w:t>Moldaviens regering har tillkännagett sitt ambitiösa men nåbara mål att preliminärt slutföra anslutningsförhandlingarna senast i början av 2028 och att ansluta sig till Europeiska unionen senast 2030.</w:t>
      </w:r>
    </w:p>
    <w:p w:rsidR="00AD7514" w:rsidRPr="00A84070" w:rsidP="00AD7514" w14:paraId="0AFE2CE7" w14:textId="446E665F">
      <w:pPr>
        <w:pStyle w:val="NormalHanging"/>
      </w:pPr>
      <w:r w:rsidRPr="00A84070">
        <w:t>C.</w:t>
      </w:r>
      <w:r w:rsidRPr="00A84070">
        <w:tab/>
        <w:t xml:space="preserve">Moldavien höll parlamentsval den 28 september 2025, vilket resulterade i en proeuropeisk majoritet och bekräftade det moldaviska folkets strävan efter en europeisk framtid för sitt land, trots exempellös utländsk inblandning av Ryssland och ryska </w:t>
      </w:r>
      <w:r w:rsidRPr="00A84070">
        <w:t>proxyaktörer</w:t>
      </w:r>
      <w:r w:rsidRPr="00A84070">
        <w:t xml:space="preserve">, som enligt moldaviska företrädare spenderade motsvarande 2 % av Moldaviens bruttonationalprodukt, motsvarande 350 miljoner </w:t>
      </w:r>
      <w:r w:rsidR="0092745E">
        <w:t>EUR</w:t>
      </w:r>
      <w:r w:rsidRPr="00A84070">
        <w:t xml:space="preserve">, på denna inblandning. </w:t>
      </w:r>
    </w:p>
    <w:p w:rsidR="00AD7514" w:rsidRPr="00A84070" w:rsidP="00AD7514" w14:paraId="540D4A2C" w14:textId="77777777">
      <w:pPr>
        <w:pStyle w:val="NormalHanging"/>
      </w:pPr>
      <w:r w:rsidRPr="00A84070">
        <w:t>D.</w:t>
      </w:r>
      <w:r w:rsidRPr="00A84070">
        <w:tab/>
        <w:t>Moldavien för tekniska förhandlingar med kommissionen om alla de sex klustren inom ramen för EU-anslutningsförhandlingarna.</w:t>
      </w:r>
    </w:p>
    <w:p w:rsidR="00AD7514" w:rsidRPr="00A84070" w:rsidP="00AD7514" w14:paraId="1CE352ED" w14:textId="77777777">
      <w:pPr>
        <w:pStyle w:val="NormalHanging"/>
      </w:pPr>
      <w:r w:rsidRPr="00A84070">
        <w:t>E.</w:t>
      </w:r>
      <w:r w:rsidRPr="00A84070">
        <w:tab/>
        <w:t>Associeringsavtalet, som innefattar ett djupgående och omfattande frihandelsområde, utgör fortfarande grunden för politisk associering och ekonomisk integration mellan EU och Moldavien, och regelbunden politisk och ekonomisk dialog pågår mellan de båda parterna.</w:t>
      </w:r>
    </w:p>
    <w:p w:rsidR="00AD7514" w:rsidRPr="00A84070" w:rsidP="00AD7514" w14:paraId="57F118E0" w14:textId="77777777">
      <w:pPr>
        <w:pStyle w:val="NormalHanging"/>
      </w:pPr>
      <w:r w:rsidRPr="00A84070">
        <w:t>F.</w:t>
      </w:r>
      <w:r w:rsidRPr="00A84070">
        <w:tab/>
        <w:t xml:space="preserve">Den 19 januari 2026 meddelade Moldaviens regering sin avsikt att formellt dra sig ur Oberoende staters samvälde. Den 2 april 2026 antog Moldaviens parlament i sin slutbehandling officiellt lagstiftning för att säga upp organisationens grunddokument, och den 6 april 2026 undertecknade president Maia </w:t>
      </w:r>
      <w:r w:rsidRPr="00A84070">
        <w:t>Sandu</w:t>
      </w:r>
      <w:r w:rsidRPr="00A84070">
        <w:t xml:space="preserve"> ett dekret om att utfärda lagen.</w:t>
      </w:r>
    </w:p>
    <w:p w:rsidR="00AD7514" w:rsidRPr="00A84070" w:rsidP="00AD7514" w14:paraId="57542DDA" w14:textId="77777777">
      <w:pPr>
        <w:pStyle w:val="Normal12a"/>
      </w:pPr>
      <w:r w:rsidRPr="00A84070">
        <w:rPr>
          <w:b/>
          <w:i/>
        </w:rPr>
        <w:t>Framsteg med reformer relaterade till EU-anslutningen, särskilt i fråga om rättsstatlighet och samhällsstyrning</w:t>
      </w:r>
    </w:p>
    <w:p w:rsidR="00AD7514" w:rsidRPr="00A84070" w:rsidP="00AD7514" w14:paraId="536FF44A" w14:textId="77777777">
      <w:pPr>
        <w:pStyle w:val="NormalHanging12a"/>
      </w:pPr>
      <w:r w:rsidRPr="00A84070">
        <w:t>1.</w:t>
      </w:r>
      <w:r w:rsidRPr="00A84070">
        <w:tab/>
        <w:t>Europaparlamentet lovordar Moldavien för dess fortsatta föredömliga engagemang för EU-anslutning och de stadiga framstegen med tillhörande reformer, trots betydande inre och yttre utmaningar, såsom ihållande rysk inblandning. Parlamentet välkomnar kommissionens bedömning att Moldavien har gjort framsteg inom alla kapitel och att landet har gjort de största årliga framstegen bland kandidatländerna. Parlamentet anser att dessa framsteg är särskilt anmärkningsvärda med tanke på de extraordinära geopolitiska påfrestningar som landet fortsätter att verka under. Parlamentet uppmuntrar Moldavien att upprätthålla reformtakten så att framstegen leder till påtagliga fördelar för såväl medborgare som företag och stärker den ekonomiska utvecklingen, resiliensen och konvergensen med EU, i linje med landets uttalade ambition att preliminärt slutföra anslutningsförhandlingarna senast i början av 2028.</w:t>
      </w:r>
    </w:p>
    <w:p w:rsidR="00AD7514" w:rsidRPr="00A84070" w:rsidP="00AD7514" w14:paraId="08FB8A89" w14:textId="4E4A0739">
      <w:pPr>
        <w:pStyle w:val="NormalHanging12a"/>
      </w:pPr>
      <w:r w:rsidRPr="00A84070">
        <w:t>2.</w:t>
      </w:r>
      <w:r w:rsidRPr="00A84070">
        <w:tab/>
      </w:r>
      <w:r w:rsidRPr="00972E8B" w:rsidR="00972E8B">
        <w:t xml:space="preserve">Europaparlamentet välkomnar inledandet av anslutningsförhandlingar om kluster 1 (grundläggande principer) den 15 juni 2026 efter det framgångsrika slutförandet av den bilaterala genomgången i september 2025 och det efterföljande inledandet av tekniska samtal om förhandlingsklustren. Parlamentet välkomnar kommissionens bedömning att alla sex förhandlingskluster är redo att öppnas. Parlamentet uppmanar eftertryckligen rådet att inta en meritbaserad ansats och att formellt öppna alla klustren utan ytterligare dröjsmål. Parlamentet påminner medlemsstaterna om principen om lojalt samarbete i </w:t>
      </w:r>
      <w:r w:rsidRPr="00972E8B" w:rsidR="00972E8B">
        <w:t>artikel 4.3 i fördraget om Europeiska unionen, enligt vilken de ska avstå från varje åtgärd som kan äventyra fullgörandet av unionens mål, och uppmanar dem därför eftertryckligen att undvika att blockera eller förhala anslutningsförhandlingar på grund av bilaterala frågor. Parlamentet betonar att inledande av anslutningsförhandlingar skulle sända en signal om att EU erkänner och belönar Moldaviens konkreta resultat och stärka utvidgningsprocessens trovärdighet och integritet. Parlamentet välkomnar antagandet av färdplaner för rättsstatsprincipen, offentlig förvaltning och demokratiska institutioner samt det uppdaterade nationella programmet för EU-anslutning för perioden 2025–2029. Parlamentet lovordar de framsteg som Moldavien redan har gjort på teknisk nivå när det gäller införlivandet av EU:s regelverk.</w:t>
      </w:r>
    </w:p>
    <w:p w:rsidR="00AD7514" w:rsidRPr="00A84070" w:rsidP="00AD7514" w14:paraId="34FE6078" w14:textId="77777777">
      <w:pPr>
        <w:pStyle w:val="NormalHanging12a"/>
      </w:pPr>
      <w:r w:rsidRPr="00A84070">
        <w:t>3.</w:t>
      </w:r>
      <w:r w:rsidRPr="00A84070">
        <w:tab/>
        <w:t>Europaparlamentet understryker att takten i Moldaviens anslutningsprocess bör spegla de betydande reformframsteg landet har gjort. Parlamentet uppmanar kommissionen att aktivt underlätta och tillhandahålla förberedande stöd, bland annat tekniskt bistånd, uppföljande verifieringar och administrativ kapacitetsuppbyggnad, för att göra det möjligt för Moldavien att göra framsteg i förhandlingarna på ett effektivt sätt och i alla kluster samtidigt.</w:t>
      </w:r>
    </w:p>
    <w:p w:rsidR="00AD7514" w:rsidRPr="00A84070" w:rsidP="00AD7514" w14:paraId="1DC7A600" w14:textId="77777777">
      <w:pPr>
        <w:pStyle w:val="NormalHanging12a"/>
      </w:pPr>
      <w:r w:rsidRPr="00A84070">
        <w:t>4.</w:t>
      </w:r>
      <w:r w:rsidRPr="00A84070">
        <w:tab/>
        <w:t>Europaparlamentet inser att Moldaviens europeiska integration bidrar positivt till stabiliteten och säkerheten i Europa och fungerar som en viktig katalysator för landets demokratiska resiliens, institutionella reformer, rättsstatsprincipen och hållbar ekonomisk utveckling.</w:t>
      </w:r>
    </w:p>
    <w:p w:rsidR="00AD7514" w:rsidRPr="00A84070" w:rsidP="00AD7514" w14:paraId="0F380FA4" w14:textId="77777777">
      <w:pPr>
        <w:pStyle w:val="NormalHanging12a"/>
      </w:pPr>
      <w:r w:rsidRPr="00A84070">
        <w:t>5.</w:t>
      </w:r>
      <w:r w:rsidRPr="00A84070">
        <w:tab/>
        <w:t>Europaparlamentet noterar kommissionens bedömning att Moldavien har gjort goda framsteg med att reformera rättsväsendet. Parlamentet påminner Moldavien om landets åtagande att följa Venedigkommissionens rekommendationer. Parlamentet betonar att hållbara reformer kräver ett brett politiskt egenansvar och en inkluderande dialog över hela det politiska spektrumet samt meningsfullt samråd med det civila samhället och yrkesverksamma intressenter. Parlamentet erkänner Moldaviens konsekventa politiska vilja och ihållande insatser för att bygga upp ett oberoende, opartiskt, ansvarsskyldigt och professionellt rättsväsen.</w:t>
      </w:r>
    </w:p>
    <w:p w:rsidR="00AD7514" w:rsidRPr="00A84070" w:rsidP="00AD7514" w14:paraId="74BCBE8C" w14:textId="77777777">
      <w:pPr>
        <w:pStyle w:val="NormalHanging12a"/>
      </w:pPr>
      <w:r w:rsidRPr="00A84070">
        <w:t>6.</w:t>
      </w:r>
      <w:r w:rsidRPr="00A84070">
        <w:tab/>
        <w:t>Europaparlamentet uppmanar de moldaviska myndigheterna att säkerställa att granskningsprocessen för domare och åklagare genomförs på ett inkluderande, förutsägbart och rättsligt robust sätt, och uppmuntrar landet att effektivt och utan dröjsmål slutföra processen eftersom en slutförd granskning är avgörande för att säkerställa allmänhetens förtroende för rättsväsendet, få bort komprometterade domare och stärka rättsstatsprincipen som en hörnsten för EU-integration. Parlamentet uppmanar Moldavien att säkerställa tillräckliga budget- och personalresurser för rättskipande organ och att fortsätta att vidta åtgärder för att stärka deras kapacitet i syfte att bland annat ta itu med underskottet av domare och åklagare, förkorta förfarandenas varaktighet, särskilt i mål som rör korruption och ekonomisk brottslighet, och förbättra rättsväsendets digitalisering, tillgänglighet, effektivitet och transparens för alla medborgare.</w:t>
      </w:r>
    </w:p>
    <w:p w:rsidR="00AD7514" w:rsidRPr="00A84070" w:rsidP="00AD7514" w14:paraId="07E6F501" w14:textId="77777777">
      <w:pPr>
        <w:pStyle w:val="NormalHanging12a"/>
      </w:pPr>
      <w:r w:rsidRPr="00A84070">
        <w:t>7.</w:t>
      </w:r>
      <w:r w:rsidRPr="00A84070">
        <w:tab/>
        <w:t xml:space="preserve">Europaparlamentet noterar de konsekventa framsteg Moldavien gjort med att förebygga och bekämpa korruption, med förbättrade resultat </w:t>
      </w:r>
      <w:r w:rsidRPr="00A84070">
        <w:t>i fall</w:t>
      </w:r>
      <w:r w:rsidRPr="00A84070">
        <w:t xml:space="preserve"> på både hög nivå och lägre nivå. Parlamentet framhåller behovet av att ytterligare stärka den operativa kapaciteten, den institutionella självständigheten, professionalismen och ansvarsskyldigheten och att förbättra samordningsmekanismerna mellan alla viktiga korruptionsbekämpande och </w:t>
      </w:r>
      <w:r w:rsidRPr="00A84070">
        <w:t>rättsliga institutioner för att garantera att övergripande reformer blir framgångsrika på lång sikt.</w:t>
      </w:r>
    </w:p>
    <w:p w:rsidR="00AD7514" w:rsidRPr="00A84070" w:rsidP="00AD7514" w14:paraId="4251C975" w14:textId="77777777">
      <w:pPr>
        <w:pStyle w:val="NormalHanging12a"/>
      </w:pPr>
      <w:r w:rsidRPr="00A84070">
        <w:t>8.</w:t>
      </w:r>
      <w:r w:rsidRPr="00A84070">
        <w:tab/>
        <w:t>Europaparlamentet betonar att insatser mot korruption måste ske på ett konsekvent, avpolitiserat och transparent sätt för att undvika tillfälliga eller påskyndade lagstiftningsinitiativ som kan undergräva rättssäkerheten och det institutionella förtroendet. Parlamentet framhåller betydelsen av att prioritera kvalitet, hållbarhet och korrekta förfaranden framför snabbhet i reformerna för att säkerställa långsiktig trovärdighet och resiliens i samband med korruptionsbekämpning.</w:t>
      </w:r>
    </w:p>
    <w:p w:rsidR="00AD7514" w:rsidRPr="00A84070" w:rsidP="00AD7514" w14:paraId="56AA59C8" w14:textId="77777777">
      <w:pPr>
        <w:pStyle w:val="NormalHanging12a"/>
      </w:pPr>
      <w:r w:rsidRPr="00A84070">
        <w:t>9.</w:t>
      </w:r>
      <w:r w:rsidRPr="00A84070">
        <w:tab/>
        <w:t>Europaparlamentet betonar att fortsatt arbete med att komma till rätta med oligarkiska strukturers inflytande inom politik, ekonomi och medier alltjämt är en huvudprioritering för att främja Moldaviens europeiska integration.</w:t>
      </w:r>
    </w:p>
    <w:p w:rsidR="00AD7514" w:rsidRPr="00A84070" w:rsidP="00AD7514" w14:paraId="6043240C" w14:textId="77777777">
      <w:pPr>
        <w:pStyle w:val="NormalHanging12a"/>
      </w:pPr>
      <w:r w:rsidRPr="00A84070">
        <w:t>10.</w:t>
      </w:r>
      <w:r w:rsidRPr="00A84070">
        <w:tab/>
        <w:t xml:space="preserve">Europaparlamentet framhåller att parlamentsvalet den 28 september 2025 var den femte omröstningen i rad som bekräftade det moldaviska folkets stöd för landets EU-anslutning och tillhörande reformer. Parlamentet fördömer starkt de upprepade försöken från Ryska federationen, </w:t>
      </w:r>
      <w:r w:rsidRPr="00A84070">
        <w:t>proryska</w:t>
      </w:r>
      <w:r w:rsidRPr="00A84070">
        <w:t xml:space="preserve"> oligarker och ryska </w:t>
      </w:r>
      <w:r w:rsidRPr="00A84070">
        <w:t>proxyaktörer</w:t>
      </w:r>
      <w:r w:rsidRPr="00A84070">
        <w:t xml:space="preserve"> att destabilisera landet, frambringa och sprida desinformation, så splittring i det moldaviska samhället, undergräva landets demokratiska institutioner och vända dess europeiska kurs.</w:t>
      </w:r>
    </w:p>
    <w:p w:rsidR="00AD7514" w:rsidRPr="00A84070" w:rsidP="00AD7514" w14:paraId="0ACACAC3" w14:textId="77777777">
      <w:pPr>
        <w:pStyle w:val="NormalHanging12a"/>
      </w:pPr>
      <w:r w:rsidRPr="00A84070">
        <w:t>11.</w:t>
      </w:r>
      <w:r w:rsidRPr="00A84070">
        <w:tab/>
        <w:t>Europaparlamentet välkomnar bedömningen från Organisationen för säkerhet och samarbete i Europa (OSSE)/Kontoret för demokratiska institutioner och mänskliga rättigheter (ODIHR) att parlamentsvalen varit välorganiserade och präglats av konkurrens samt erbjudit väljarna ett tydligt val bland politiska alternativ. Parlamentet uppmanar Moldavien att ytterligare anpassa sin vallagstiftning och sina valprocesser till europeiska och internationella standarder och att genomföra alla ouppfyllda rekommendationer från Venedigkommissionen och OSSE/ODIHR.</w:t>
      </w:r>
    </w:p>
    <w:p w:rsidR="00AD7514" w:rsidRPr="00A84070" w:rsidP="00AD7514" w14:paraId="20D14B9F" w14:textId="77777777">
      <w:pPr>
        <w:pStyle w:val="NormalHanging12a"/>
      </w:pPr>
      <w:r w:rsidRPr="00A84070">
        <w:t>12.</w:t>
      </w:r>
      <w:r w:rsidRPr="00A84070">
        <w:tab/>
        <w:t xml:space="preserve">Europaparlamentet lovordar den motståndskraft som de moldaviska institutionerna och det moldaviska samhället uppvisar för att skydda valprocessens integritet, trots en massiv hybridkampanj från Rysslands och dess </w:t>
      </w:r>
      <w:r w:rsidRPr="00A84070">
        <w:t>proxyaktörers</w:t>
      </w:r>
      <w:r w:rsidRPr="00A84070">
        <w:t xml:space="preserve"> sida. Parlamentet noterar att viktiga faktorer bakom denna framgång har varit de moldaviska myndigheternas lägliga och samordnade insatser, det civila samhällets och de oberoende mediernas aktiva deltagande samt stödet från EU och dess medlemsstater, bland annat genom EU:s partnerskapsuppdrag i Moldavien (EUPM).</w:t>
      </w:r>
    </w:p>
    <w:p w:rsidR="00AD7514" w:rsidRPr="00A84070" w:rsidP="00AD7514" w14:paraId="184ECFC2" w14:textId="77777777">
      <w:pPr>
        <w:pStyle w:val="NormalHanging12a"/>
      </w:pPr>
      <w:r w:rsidRPr="00A84070">
        <w:t>13.</w:t>
      </w:r>
      <w:r w:rsidRPr="00A84070">
        <w:tab/>
        <w:t xml:space="preserve">Europaparlamentet varnar för att illvillig rysk inblandning är en kontinuerlig och föränderlig process som kräver ständig övervakning och respons genom en samhällsövergripande strategi, tillräcklig institutionell kapacitet och tillräckliga resurser. Parlamentet uppmanar EU och dess medlemsstater att stärka sitt stöd till Moldaviens institutionella resiliens, strategiska kommunikationskapacitet, cybersäkerhet, oberoende medier och demokratiska skyddsmekanismer. Parlamentet betonar att sådana insatser för att motverka spridningen av desinformation och felaktig information från Ryssland bör uppfylla kraven på laglighet, nödvändighet och proportionalitet. Parlamentet noterar att Moldaviens erfarenheter kan användas för att försvara andra demokratier som utsätts för liknande hybridhot. Parlamentet uttrycker allvarlig oro över verksamheten hos </w:t>
      </w:r>
      <w:r w:rsidRPr="00A84070">
        <w:t>proryska</w:t>
      </w:r>
      <w:r w:rsidRPr="00A84070">
        <w:t xml:space="preserve"> nätverk, som har kopplats till ett storskaligt kringgående av sanktioner, inblandning i val och desinformationskampanjer genom användning av infrastruktur för kryptovaluta med anknytning till ryska finansaktörer såsom </w:t>
      </w:r>
      <w:r w:rsidRPr="00A84070">
        <w:t>Promsvyazbank</w:t>
      </w:r>
      <w:r w:rsidRPr="00A84070">
        <w:t xml:space="preserve">. Parlamentet uppmanar kommissionen och </w:t>
      </w:r>
      <w:r w:rsidRPr="00A84070">
        <w:t>medlemsstaterna att stärka det finansiella underrättelsesamarbetet, förbättra verkställigheten av sanktioner och stödja moldaviska myndigheter i deras arbete för att motverka olagliga finansiella flöden och utländsk inblandning via länder utanför EU, bland annat genom riktade sanktioner och cyberövervakningsåtgärder.</w:t>
      </w:r>
    </w:p>
    <w:p w:rsidR="00AD7514" w:rsidRPr="00A84070" w:rsidP="00AD7514" w14:paraId="2284F369" w14:textId="77777777">
      <w:pPr>
        <w:pStyle w:val="NormalHanging12a"/>
      </w:pPr>
      <w:r w:rsidRPr="00A84070">
        <w:t>14.</w:t>
      </w:r>
      <w:r w:rsidRPr="00A84070">
        <w:tab/>
        <w:t>Europaparlamentet framhåller den moldaviska diasporans viktiga roll för att hålla kvar landet på dess europeiska kurs, vilket framgår av dess aktiva deltagande i demokratiska processer, inklusive parlamentsvalet den 28 september 2025, och dess betydande bidrag till Moldaviens socioekonomiska utveckling. Parlamentet uppmanar de moldaviska myndigheterna att fortsätta att stärka banden till diasporan och underlätta dess aktiva deltagande i landets europeiska integrationsprocess.</w:t>
      </w:r>
    </w:p>
    <w:p w:rsidR="00AD7514" w:rsidRPr="00A84070" w:rsidP="00AD7514" w14:paraId="617AC3E2" w14:textId="77777777">
      <w:pPr>
        <w:pStyle w:val="NormalHanging12a"/>
      </w:pPr>
      <w:r w:rsidRPr="00A84070">
        <w:t>15.</w:t>
      </w:r>
      <w:r w:rsidRPr="00A84070">
        <w:tab/>
        <w:t>Europaparlamentet uppmanar de moldaviska myndigheterna att utnyttja sitt starka proeuropeiska mandat för att öka takten i alla viktiga reformer som krävs på vägen mot EU-medlemskap och uppfylla ambitionen att slutföra anslutningsförhandlingarna senast i början av 2028. Parlamentet uttrycker sin erkänsla för Moldaviens starka åtagande som kandidatland att genomföra krävande men nödvändiga reformer. Parlamentet uppmanar med kraft den moldaviska politiska eliten att upprätthålla politiskt samförstånd om EU-anslutning. Parlamentet understryker att det i detta sammanhang är viktigt att upprätthålla de moldaviska medborgarnas förtroende för EU-anslutningsprocessen, bland annat genom att inleda formella anslutningsförhandlingar i tid. Parlamentet välkomnar inrättandet av det särskilda parlamentsutskottet för europeisk integration i Moldaviens parlament och understryker vikten av samarbete över partigränserna för att på ett hållbart sätt nå framgång med EU-anslutningsrelaterade reformer och göra framsteg mot EU-medlemskap.</w:t>
      </w:r>
    </w:p>
    <w:p w:rsidR="00AD7514" w:rsidRPr="00A84070" w:rsidP="00AD7514" w14:paraId="3DB98C8B" w14:textId="77777777">
      <w:pPr>
        <w:pStyle w:val="NormalHanging12a"/>
      </w:pPr>
      <w:r w:rsidRPr="00A84070">
        <w:t>16.</w:t>
      </w:r>
      <w:r w:rsidRPr="00A84070">
        <w:tab/>
        <w:t xml:space="preserve">Europaparlamentet uttrycker sin beredvillighet att fortsätta att stödja Moldaviens parlament genom ömsesidigt överenskommen demokratistödjande verksamhet som tillgodoser behoven hos den institutionen och hos dess folkvalda och anställda. Parlamentet framhåller det formella öppnandet av sitt kontor för det östliga partnerskapet i Chisinau den 7 november 2025 som ett prov på sitt åtagande att fördjupa kontakterna med Moldavien och hela den östliga partnerskapsregionen. Parlamentet välkomnar i detta sammanhang det förnyade samförståndsavtal som i mars 2026 undertecknades av talman Metsola och det moldaviska parlamentets talman Igor </w:t>
      </w:r>
      <w:r w:rsidRPr="00A84070">
        <w:t>Grosu</w:t>
      </w:r>
      <w:r w:rsidRPr="00A84070">
        <w:t>.</w:t>
      </w:r>
    </w:p>
    <w:p w:rsidR="00AD7514" w:rsidRPr="00A84070" w:rsidP="00AD7514" w14:paraId="1251895D" w14:textId="0903F6D1">
      <w:pPr>
        <w:pStyle w:val="NormalHanging12a"/>
      </w:pPr>
      <w:r w:rsidRPr="00A84070">
        <w:t>17.</w:t>
      </w:r>
      <w:r w:rsidRPr="00A84070">
        <w:tab/>
      </w:r>
      <w:r w:rsidRPr="00972E8B" w:rsidR="00972E8B">
        <w:t>Europaparlamentet välkomnar det första toppmötet någonsin mellan EU och Moldavien i juli 2025 som en viktig politisk milstolpe i förbindelserna mellan EU och Moldavien och som en stark politisk signal om stöd till Moldaviens suveränitet, demokratiska stabilitet och europeiska kurs. Parlamentet noterar den gemensamma förklaringen efter det andra toppmötet mellan EU och Moldavien den 22 juni 2026, som belyser både Moldaviens åtagande att fortsätta att stärka rättsstatsprincipen och EU:s uppmaning att ytterligare öka insatserna när det gäller reformen av rättsväsendet och kampen mot korruption.</w:t>
      </w:r>
    </w:p>
    <w:p w:rsidR="00AD7514" w:rsidRPr="00A84070" w:rsidP="00AD7514" w14:paraId="5D0F7898" w14:textId="77777777">
      <w:pPr>
        <w:pStyle w:val="NormalHanging12a"/>
      </w:pPr>
      <w:r w:rsidRPr="00A84070">
        <w:t>18.</w:t>
      </w:r>
      <w:r w:rsidRPr="00A84070">
        <w:tab/>
        <w:t xml:space="preserve">Europaparlamentet framhåller betydelsen av att motverka desinformation om den europeiska integrationsprocessen. Parlamentet uppmanar med kraft kommissionen, Europeiska utrikestjänsten och Moldaviens regering att intensifiera sina gemensamma strategiska kommunikationsinsatser för att göra EU mer synligt i Moldavien. Parlamentet framhåller behovet av riktade kampanjer för att förklara de påtagliga, dagliga fördelar som förberedelserna inför en EU-anslutning och EU-finansierade </w:t>
      </w:r>
      <w:r w:rsidRPr="00A84070">
        <w:t>projekt innebär för den moldaviska allmänheten, särskilt i lantliga områden och regioner.</w:t>
      </w:r>
    </w:p>
    <w:p w:rsidR="00AD7514" w:rsidRPr="00A84070" w:rsidP="00AD7514" w14:paraId="359247D2" w14:textId="77777777">
      <w:pPr>
        <w:pStyle w:val="NormalHanging12a"/>
      </w:pPr>
      <w:r w:rsidRPr="00A84070">
        <w:t>19.</w:t>
      </w:r>
      <w:r w:rsidRPr="00A84070">
        <w:tab/>
        <w:t>Europaparlamentet betonar vikten av demokratistödjande åtgärder i Moldavien som förbättrar kvaliteten på den demokratiska debatten och motståndskraften mot desinformation. Parlamentet välkomnar moldaviska myndigheters och civilsamhällesaktörers samarbete med bland annat det europeiska initiativet för demokrati (EED), ett verktyg som kan fylla det tomrum som Förenta staternas byrå för internationell utveckling (USAID) har lämnat i regionen. Parlamentet gratulerar i detta sammanhang EED till att ha tillhandahållit 62 % mer i bidrag under 2025 än under 2024 med endast 34 % mer i budget. Parlamentet välkomnar att EED under 2025 tredubblade sitt stöd till moldaviska enheter jämfört med 2024.</w:t>
      </w:r>
    </w:p>
    <w:p w:rsidR="00AD7514" w:rsidRPr="00A84070" w:rsidP="00AD7514" w14:paraId="47DA0CA5" w14:textId="77777777">
      <w:pPr>
        <w:pStyle w:val="NormalHanging12a"/>
      </w:pPr>
      <w:r w:rsidRPr="00A84070">
        <w:t>20.</w:t>
      </w:r>
      <w:r w:rsidRPr="00A84070">
        <w:tab/>
        <w:t>Europaparlamentet upprepar att det moldaviska folkets stöd för europeisk integration kan stärkas genom en påtaglig förbättring av deras försörjningsmöjligheter, starkare statliga institutioner, ett förstärkt och robust välfärdssystem, fattigdomsbekämpning, höjd levnadsstandard i hela landet och bekämpning av korruption och oligarkers inflytande.</w:t>
      </w:r>
    </w:p>
    <w:p w:rsidR="00AD7514" w:rsidRPr="00A84070" w:rsidP="00AD7514" w14:paraId="1323E91D" w14:textId="77777777">
      <w:pPr>
        <w:pStyle w:val="Normal12a"/>
      </w:pPr>
      <w:r w:rsidRPr="00A84070">
        <w:rPr>
          <w:b/>
          <w:i/>
        </w:rPr>
        <w:t>Socioekonomiska reformer</w:t>
      </w:r>
    </w:p>
    <w:p w:rsidR="00AD7514" w:rsidRPr="00A84070" w:rsidP="00AD7514" w14:paraId="63B2C8D6" w14:textId="6C638E87">
      <w:pPr>
        <w:pStyle w:val="NormalHanging12a"/>
      </w:pPr>
      <w:r w:rsidRPr="00A84070">
        <w:t>21.</w:t>
      </w:r>
      <w:r w:rsidRPr="00A84070">
        <w:tab/>
        <w:t xml:space="preserve">Europaparlamentet välkomnar de goda framsteg som hittills gjorts med att genomföra tillväxtplanen för Moldavien och dess underliggande reformagenda, som syftar till att stödja Moldaviens socioekonomiska och grundläggande reformer och förbättra dess tillträde till EU:s inre marknad. Parlamentet välkomnar utbetalningen av 270 miljoner </w:t>
      </w:r>
      <w:r w:rsidR="0092745E">
        <w:t>EUR</w:t>
      </w:r>
      <w:r w:rsidRPr="00A84070" w:rsidR="0092745E">
        <w:t xml:space="preserve"> </w:t>
      </w:r>
      <w:r w:rsidRPr="00A84070">
        <w:t xml:space="preserve">i förfinansiering och 207,9 miljoner </w:t>
      </w:r>
      <w:r w:rsidR="0092745E">
        <w:t>EUR</w:t>
      </w:r>
      <w:r w:rsidRPr="00A84070" w:rsidR="0092745E">
        <w:t xml:space="preserve"> </w:t>
      </w:r>
      <w:r w:rsidRPr="00A84070">
        <w:t xml:space="preserve">i ytterligare stöd från faciliteten för reformer och tillväxt för Moldavien, inklusive den andra delutbetalningen i mars 2026 till ett totalt värde av 189 miljoner </w:t>
      </w:r>
      <w:r w:rsidR="0092745E">
        <w:t>EUR</w:t>
      </w:r>
      <w:r w:rsidRPr="00A84070">
        <w:t xml:space="preserve">, till följd av att landet helt uppnått 24 av de sammanlagt 26 reformsteg som skulle genomföras senast i december 2025. Parlamentet uppmanar Moldavien att fortsätta sitt arbete för att uppnå de återstående två reformstegen senast i december 2025 och stöder landet i </w:t>
      </w:r>
      <w:r w:rsidRPr="00A84070">
        <w:t>denna strävan</w:t>
      </w:r>
      <w:r w:rsidRPr="00A84070">
        <w:t>. Parlamentet uppmanar kommissionen att strama upp de interna förfarandena för att säkerställa att medlen utvärderas och utbetalas i tid när det i Moldavien har antagits lagstiftning vars utkast de moldaviska myndigheterna tidigare översänt och hörts om.</w:t>
      </w:r>
    </w:p>
    <w:p w:rsidR="00AD7514" w:rsidRPr="00A84070" w:rsidP="00AD7514" w14:paraId="5CCFA8A2" w14:textId="77777777">
      <w:pPr>
        <w:pStyle w:val="NormalHanging12a"/>
      </w:pPr>
      <w:r w:rsidRPr="00A84070">
        <w:t>22.</w:t>
      </w:r>
      <w:r w:rsidRPr="00A84070">
        <w:tab/>
        <w:t>Europaparlamentet uppmanar kommissionen att bistå med administrativt och tekniskt stöd till de moldaviska myndigheterna för att säkerställa ett snabbt och effektivt utnyttjande av medel från faciliteten för reformer och tillväxt. Parlamentet uppmanar den moldaviska regeringen att säkerställa effektiv kommunikation, transparens, synlighet och ansvarsskyldighet i fråga om användningen av medel från denna facilitet, bland annat genom konstruktiv involvering av civilsamhället.</w:t>
      </w:r>
    </w:p>
    <w:p w:rsidR="00AD7514" w:rsidRPr="00A84070" w:rsidP="00AD7514" w14:paraId="25854876" w14:textId="77777777">
      <w:pPr>
        <w:pStyle w:val="NormalHanging12a"/>
      </w:pPr>
      <w:r w:rsidRPr="00A84070">
        <w:t>23.</w:t>
      </w:r>
      <w:r w:rsidRPr="00A84070">
        <w:tab/>
        <w:t xml:space="preserve">Europaparlamentet vill att 2027 års EU-budget ska ge riktat administrativt och tekniskt bistånd för att förbereda Moldavien inför övergången till den nya strukturen i den kommande fleråriga budgetramen och instrumentet Europa i världen. Parlamentet framhåller behovet av att hjälpa den moldaviska förvaltningen att anpassa sig till den framtida modellen för genomförande av ”Europa”-pelaren. Parlamentet betonar att tilldelningen och frigörandet av medel även fortsättningsvis måste underkastas stränga villkor om fullgörande av överenskomna reformmilstolpar, makroekonomisk stabilitet, sund ekonomisk förvaltning, transparens i budgetgenomförandet samt förekomsten av effektiva skyddsmekanismer mot bedrägeri, korruption och intressekonflikter. </w:t>
      </w:r>
      <w:r w:rsidRPr="00A84070">
        <w:t>Parlamentet upprepar sin uppmaning till kommissionen att i EU:s nästa fleråriga budgetram inkludera en adekvat specifik landstilldelning för Moldavien inom ”Europa”-pelaren i det framtida instrumentet Europa i världen och att börja förbereda Moldavien för en effektiv användning av framtida föranslutningsmedel. Parlamentet insisterar på att uttryckliga och transparenta föranslutningsanslag är nödvändiga för att spåra utgifterna på ett effektivt sätt och förhindra att medlen urvattnas inom breda geografiska pelare.</w:t>
      </w:r>
    </w:p>
    <w:p w:rsidR="00AD7514" w:rsidRPr="00A84070" w:rsidP="00AD7514" w14:paraId="0539A924" w14:textId="30812ABB">
      <w:pPr>
        <w:pStyle w:val="NormalHanging12a"/>
      </w:pPr>
      <w:r w:rsidRPr="00A84070">
        <w:t>24.</w:t>
      </w:r>
      <w:r w:rsidRPr="00A84070">
        <w:tab/>
        <w:t>Europaparlamentet lovordar den överenskommelse som nåddes den 24 juli 2025 om översyn och uppdatering av handelsvillkoren för det djupgående och omfattande frihandelsområdet mellan EU och Moldavien</w:t>
      </w:r>
      <w:r>
        <w:rPr>
          <w:rStyle w:val="FootnoteReference"/>
        </w:rPr>
        <w:footnoteReference w:id="3"/>
      </w:r>
      <w:r w:rsidRPr="00A84070">
        <w:t>, som erbjuder stabilitet och förutsägbarhet för aktörer i EU och Moldavien och ökar landets attraktionskraft för investerare. Parlamentet noterar att överenskommelsen sammanföll med upphörandet av de autonoma handelsåtgärder som beviljats landet sedan juli 2022, vilket upphävde importtullar och kvoter på moldavisk export till EU och därmed hjälpte Moldavien att rikta om sin handel mot EU till ömsesidig nytta. Parlamentet framhåller att EU är Moldaviens största handelspartner och stod för 67,5 % av den totala exporten respektive 54,1 % av den totala importen 2025, samt för 86 % av alla utländska direktinvesteringar 2024, vilket befäster dess ställning som den centrala pelaren för utländska direktinvesteringar i Moldaviens ekonomi. Parlamentet betonar vikten av EU:s direktinvesteringar i Moldaviens ekonomi för att underlätta landets ekonomiska integration på EU:s inre marknad, skapa sysselsättnings- och affärsmöjligheter och förbättra medborgarnas försörjningsmöjligheter.</w:t>
      </w:r>
    </w:p>
    <w:p w:rsidR="00AD7514" w:rsidRPr="00A84070" w:rsidP="00AD7514" w14:paraId="101A8E7E" w14:textId="77777777">
      <w:pPr>
        <w:pStyle w:val="NormalHanging12a"/>
      </w:pPr>
      <w:r w:rsidRPr="00A84070">
        <w:t>25.</w:t>
      </w:r>
      <w:r w:rsidRPr="00A84070">
        <w:tab/>
        <w:t>Europaparlamentet välkomnar fördjupningen av Moldaviens ekonomiska integration på EU:s inre marknad och uppmuntrar till ytterligare åtgärder för en successiv sektorsspecifik integration och en ambitiös, successiv och hållbar liberalisering av handeln, bland annat genom att utvidga och lätta på tullkvoterna samt, där så är lämpligt, gradvis avskaffa dem, i linje med den reviderade ramen för det djupgående och omfattande frihandelsområdet, i syfte att frambringa påtagliga ekonomiska fördelar, stärka Moldaviens resiliens och stödja landets väg mot EU-integration. Parlamentet uppmanar särskilt kommissionen att undersöka ytterligare successiv liberalisering av handeln med jordbruksbaserade livsmedelsprodukter genom att bland annat ta bort återstående icke-</w:t>
      </w:r>
      <w:r w:rsidRPr="00A84070">
        <w:t>tariffära</w:t>
      </w:r>
      <w:r w:rsidRPr="00A84070">
        <w:t xml:space="preserve"> hinder och öka stödet till anpassning av regelverket vad gäller i synnerhet sanitära och </w:t>
      </w:r>
      <w:r w:rsidRPr="00A84070">
        <w:t>fytosanitära</w:t>
      </w:r>
      <w:r w:rsidRPr="00A84070">
        <w:t xml:space="preserve"> standarder och tekniska handelshinder och genom att införa halvautomatiska ökningar av tullkvoter kopplade till utnyttjandegrad och efterlevnad av EU-standarder, samtidigt som lämpliga skyddsmekanismer för EU-producenter säkerställs.</w:t>
      </w:r>
    </w:p>
    <w:p w:rsidR="00AD7514" w:rsidRPr="00A84070" w:rsidP="00AD7514" w14:paraId="65D92507" w14:textId="77777777">
      <w:pPr>
        <w:pStyle w:val="NormalHanging12a"/>
      </w:pPr>
      <w:r w:rsidRPr="00A84070">
        <w:t>26.</w:t>
      </w:r>
      <w:r w:rsidRPr="00A84070">
        <w:tab/>
        <w:t xml:space="preserve">Europaparlamentet noterar att den betydande ökningen av regionen Transnistriens handel med resten av Moldavien och dess beroende av export från EU skulle kunna möjliggöra villkor för regionens ekonomiska konvergens med Moldaviens regelverk och främja en faktisk ekonomisk återintegrering som skulle kunna fungera som en pragmatisk grund för en fredlig politisk lösning och en eventuell återförening av landet. Parlamentet stöder Moldaviens insatser för att inkludera regionen Transnistrien i ekonomiska och regleringsmässiga konvergensåtgärder med anknytning till EU:s inre marknad. Parlamentet välkomnar insatserna från myndigheterna i Chisinau för att </w:t>
      </w:r>
      <w:r w:rsidRPr="00A84070">
        <w:t>utvidga tillämpningen av Moldaviens skattelagstiftning till att omfatta företag som är verksamma i regionen Transnistrien som ett steg mot en anpassning av regelverket och ekonomisk integration.</w:t>
      </w:r>
    </w:p>
    <w:p w:rsidR="00AD7514" w:rsidRPr="00A84070" w:rsidP="00AD7514" w14:paraId="566E72A8" w14:textId="77777777">
      <w:pPr>
        <w:pStyle w:val="NormalHanging12a"/>
      </w:pPr>
      <w:r w:rsidRPr="00A84070">
        <w:t>27.</w:t>
      </w:r>
      <w:r w:rsidRPr="00A84070">
        <w:tab/>
        <w:t>Europaparlamentet upprepar civilsamhällesorganisationers och oberoende mediers viktiga roll för att övervaka styrningen av och framstegen med EU-relaterade reformer. Parlamentet insisterar på att det ekonomiska stödet till moldaviska icke-statliga organisationer inom 2027 års EU-budget och det framtida instrumentet Europa i världen måste fortsätta att vara oberoende av regeringens reformframsteg. Parlamentet efterlyser förutsägbara, särskilda, flexibla och tillgängliga finansieringsflöden till lokala civilsamhällesorganisationer och människorättsförsvarare via de nya finansieringsmekanismer som ingår i reformagendan, så att de kan bedriva effektiv verksamhet. Parlamentet uppmanar den moldaviska regeringen att inleda ett verkligt och effektivt samarbete med civilsamhället, bland annat genom permanenta rådgivande plattformar. Parlamentet uppmanar regeringen i Moldavien att komma framåt i genomförandet av det nationella programmet för utveckling av civilsamhällesorganisationer under perioden 2024–2027. Parlamentet välkomnar de regelbundna samråd som hållits om EU-anslutningsprocessen och de anslutningsrelaterade reformerna.</w:t>
      </w:r>
    </w:p>
    <w:p w:rsidR="00AD7514" w:rsidRPr="00A84070" w:rsidP="00AD7514" w14:paraId="66316D32" w14:textId="77777777">
      <w:pPr>
        <w:pStyle w:val="NormalHanging12a"/>
      </w:pPr>
      <w:r w:rsidRPr="00A84070">
        <w:t>28.</w:t>
      </w:r>
      <w:r w:rsidRPr="00A84070">
        <w:tab/>
        <w:t>Europaparlamentet upprepar sin uppmaning om att påskynda Moldaviens gradvisa integration på EU:s inre marknad genom att fortsätta att anpassa landets rättsliga och regleringsmässiga ram till EU:s regelverk och associera landet till fler EU-program, EU-byråer och EU-initiativ, bland annat sådana som handlar om den digitala ekonomin, finansiella tjänster och innovation. Parlamentet gratulerar Moldavien till att ha blivit en operativ del av det gemensamma eurobetalningsområdet från och med den 6 oktober 2025, vilket underlättar överföringar i euro och minskar kostnaderna för moldaviska medborgare och företag. Parlamentet välkomnar Moldaviens inkludering i EU:s ”</w:t>
      </w:r>
      <w:r w:rsidRPr="00A84070">
        <w:t>roaming</w:t>
      </w:r>
      <w:r w:rsidRPr="00A84070">
        <w:t xml:space="preserve"> som hemma”-område från och med den 1 januari 2026, vilket gör det möjligt för moldaviska medborgare att använda sina moldaviska telefonnummer när de reser i EU utan att behöva betala roamingavgifter. Parlamentet betonar att sådana påtagliga fördelar spelar en nyckelroll för att stärka allmänhetens stöd för EU-integration. Parlamentet uppmuntrar till ytterligare anpassning till EU:s digitala regelverk och fortsatta insatser för att stärka </w:t>
      </w:r>
      <w:r w:rsidRPr="00A84070">
        <w:t>konnektiviteten</w:t>
      </w:r>
      <w:r w:rsidRPr="00A84070">
        <w:t>, den digitala infrastrukturen och marknadsintegrationen.</w:t>
      </w:r>
    </w:p>
    <w:p w:rsidR="00AD7514" w:rsidRPr="00A84070" w:rsidP="00AD7514" w14:paraId="11371306" w14:textId="77777777">
      <w:pPr>
        <w:pStyle w:val="NormalHanging12a"/>
      </w:pPr>
      <w:r w:rsidRPr="00A84070">
        <w:t>29.</w:t>
      </w:r>
      <w:r w:rsidRPr="00A84070">
        <w:tab/>
        <w:t>Europaparlamentet understryker det kritiska behovet av att påskynda en omfattande reform av den offentliga förvaltningen. Parlamentet uppmanar den moldaviska regeringen att säkerställa en fullständigt meritbaserad, professionell och transparent offentlig förvaltning på både central och lokal nivå, vilket är avgörande för ett effektivt genomförande av EU:s regelverk. Parlamentet betonar att en meningsfull territoriell och administrativ reform är avgörande för att stärka de lokala myndigheterna, eftersom den nuvarande fragmenteringen av kommuner allvarligt hindrar deras ekonomiska oberoende och administrativa kapacitet att framgångsrikt ansöka om, utnyttja och förvalta EU:s regionala utvecklingsfonder. Parlamentet framhåller behovet av att tillhandahålla riktade utbildningsprogram och kapacitetsuppbyggnadsstöd till lokala och regionala myndigheter för att ge dem makten att framgångsrikt ansöka om, utnyttja och förvalta EU:s tillgängliga finansieringsmöjligheter.</w:t>
      </w:r>
    </w:p>
    <w:p w:rsidR="00AD7514" w:rsidRPr="00A84070" w:rsidP="00AD7514" w14:paraId="08E18A53" w14:textId="77777777">
      <w:pPr>
        <w:pStyle w:val="NormalHanging12a"/>
      </w:pPr>
      <w:r w:rsidRPr="00A84070">
        <w:t>30.</w:t>
      </w:r>
      <w:r w:rsidRPr="00A84070">
        <w:tab/>
        <w:t xml:space="preserve">Europaparlamentet understryker att en framgångsrik EU-anslutningsprocess kräver ett starkt lokalt egenansvar. Parlamentet beklagar bristen på formella mekanismer för </w:t>
      </w:r>
      <w:r w:rsidRPr="00A84070">
        <w:t>lokala och regionala självstyrelseorgan i den föreslagna strukturen för den fleråriga budgetramen. Parlamentet uppmanar den moldaviska regeringen samt kommissionen att systematiskt involvera moldaviska lokala och regionala självstyrelseorgan liksom deras sammanslutningar i utarbetandet av fleråriga vägledande program och handlingsplaner. Parlamentet begär att det inrättas särskilda kapacitetsuppbyggnadsåtgärder och finansieringsflöden inom den framtida ramen för Europa i världen i syfte att stödja moldaviska kommuner i genomförandet av decentraliseringsreformer och EU-anpassade offentliga tjänster.</w:t>
      </w:r>
    </w:p>
    <w:p w:rsidR="00AD7514" w:rsidRPr="00A84070" w:rsidP="00AD7514" w14:paraId="4F844E05" w14:textId="77777777">
      <w:pPr>
        <w:pStyle w:val="NormalHanging12a"/>
      </w:pPr>
      <w:r w:rsidRPr="00A84070">
        <w:t>31.</w:t>
      </w:r>
      <w:r w:rsidRPr="00A84070">
        <w:tab/>
        <w:t xml:space="preserve">Europaparlamentet välkomnar Moldaviens deltagande i Kreativa Europa, EU:s program till stöd för den kulturella och den kreativa sektorn, från och med den 1 januari 2026, samt i delen för sysselsättning och social innovation i Europeiska socialfonden+, som gör det möjligt för Moldavien att få tillgång till EU-finansiering för projekt som syftar till att minska arbetslösheten, förbättra sysselsättningens kvalitet och främja social innovation. Parlamentet uppmanar kommissionen att stödja landets inkludering i Organet för europeiska regleringsmyndigheter för elektronisk kommunikation, Europeiska miljöbyrån, Erasmus+, </w:t>
      </w:r>
      <w:r w:rsidRPr="00A84070">
        <w:t>DiscoverEU</w:t>
      </w:r>
      <w:r w:rsidRPr="00A84070">
        <w:t>-programmet och programmet för frukt, grönsaker och mjölk i skolan.</w:t>
      </w:r>
    </w:p>
    <w:p w:rsidR="00AD7514" w:rsidRPr="00A84070" w:rsidP="00AD7514" w14:paraId="21B1F4AE" w14:textId="77777777">
      <w:pPr>
        <w:pStyle w:val="Normal12a"/>
      </w:pPr>
      <w:r w:rsidRPr="00A84070">
        <w:rPr>
          <w:b/>
          <w:i/>
        </w:rPr>
        <w:t>Mänskliga rättigheter</w:t>
      </w:r>
    </w:p>
    <w:p w:rsidR="00AD7514" w:rsidRPr="00A84070" w:rsidP="00AD7514" w14:paraId="4304690A" w14:textId="77777777">
      <w:pPr>
        <w:pStyle w:val="NormalHanging12a"/>
      </w:pPr>
      <w:r w:rsidRPr="00A84070">
        <w:t>32.</w:t>
      </w:r>
      <w:r w:rsidRPr="00A84070">
        <w:tab/>
        <w:t>Europaparlamentet välkomnar de ansträngningar som de moldaviska myndigheterna har gjort för att förbättra regelverket för jämställdhet, bekämpande av våld i hemmet och skydd av brottsoffer och att anpassa det till internationella och europeiska standarder, bland annat genom att kriminalisera digitalt våld och tvångsäktenskap och införa kvinnovåld i landets strafflag. Parlamentet uppmanar myndigheterna i Republiken Moldavien att stärka ett effektivt genomförande av nuvarande lagstiftning om bekämpande av våld mot kvinnor, däribland våld i hemmet, och om skydd av brottsoffer.</w:t>
      </w:r>
    </w:p>
    <w:p w:rsidR="00AD7514" w:rsidRPr="00A84070" w:rsidP="00AD7514" w14:paraId="1B3E7675" w14:textId="77777777">
      <w:pPr>
        <w:pStyle w:val="NormalHanging12a"/>
      </w:pPr>
      <w:r w:rsidRPr="00A84070">
        <w:t>33.</w:t>
      </w:r>
      <w:r w:rsidRPr="00A84070">
        <w:tab/>
        <w:t>Europaparlamentet välkomnar det pågående genomförandet av den nationella strategi mot människohandel som antogs i september 2023. Parlamentet uppmanar Moldavien att ytterligare stärka sin rättsliga och institutionella ram, bland annat genom att införa effektivare verktyg för offentliga myndigheter för att utreda och lagföra nya former av utnyttjande.</w:t>
      </w:r>
    </w:p>
    <w:p w:rsidR="00AD7514" w:rsidRPr="00A84070" w:rsidP="00AD7514" w14:paraId="46532777" w14:textId="1DF15D6D">
      <w:pPr>
        <w:pStyle w:val="NormalHanging12a"/>
      </w:pPr>
      <w:r w:rsidRPr="00A84070">
        <w:t>34.</w:t>
      </w:r>
      <w:r w:rsidRPr="00A84070">
        <w:tab/>
        <w:t>Europaparlamentet konstaterar att den rättsliga och institutionella ramen för rättigheter för personer med funktionsnedsättning i Moldavien behöver anpassas ytterligare till EU:s regelverk och relevanta internationella standarder. Parlamentet vill framför allt att regelverket för tillgänglighet anpassas till det europeiska tillgänglighetsdirektivet</w:t>
      </w:r>
      <w:r>
        <w:rPr>
          <w:rStyle w:val="FootnoteReference"/>
        </w:rPr>
        <w:footnoteReference w:id="4"/>
      </w:r>
      <w:r w:rsidRPr="00A84070">
        <w:t>.</w:t>
      </w:r>
    </w:p>
    <w:p w:rsidR="00AD7514" w:rsidRPr="00A84070" w:rsidP="00AD7514" w14:paraId="7F1DEC93" w14:textId="77777777">
      <w:pPr>
        <w:pStyle w:val="NormalHanging12a"/>
      </w:pPr>
      <w:r w:rsidRPr="00A84070">
        <w:t>35.</w:t>
      </w:r>
      <w:r w:rsidRPr="00A84070">
        <w:tab/>
        <w:t xml:space="preserve">Europaparlamentet är oroat över försöken av myndigheterna i Chisinau att förbjuda Chisinau Pride och över motdemonstranters våldsamma attacker mot den fredliga marschen. Parlamentet fördömer felaktig information och riktade desinformationskampanjer online som sprids av lokala ryskanknutna medier i </w:t>
      </w:r>
      <w:r w:rsidRPr="00A84070">
        <w:t>Moldavien. Parlamentet uppmanar Moldavien att säkerställa rätten till mötesfrihet för alla.</w:t>
      </w:r>
    </w:p>
    <w:p w:rsidR="00AD7514" w:rsidRPr="00A84070" w:rsidP="00AD7514" w14:paraId="3A09B645" w14:textId="77777777">
      <w:pPr>
        <w:pStyle w:val="NormalHanging12a"/>
      </w:pPr>
      <w:r w:rsidRPr="00A84070">
        <w:t>36.</w:t>
      </w:r>
      <w:r w:rsidRPr="00A84070">
        <w:tab/>
        <w:t xml:space="preserve">Europaparlamentet uppmanar Moldavien att stärka den rättsliga och institutionella ramen för skydd av rättigheter för personer som tillhör minoriteter, inklusive </w:t>
      </w:r>
      <w:r w:rsidRPr="00A84070">
        <w:t>hbti</w:t>
      </w:r>
      <w:r w:rsidRPr="00A84070">
        <w:t>-personer.</w:t>
      </w:r>
    </w:p>
    <w:p w:rsidR="00AD7514" w:rsidRPr="00A84070" w:rsidP="00AD7514" w14:paraId="21A23A14" w14:textId="77777777">
      <w:pPr>
        <w:pStyle w:val="Normal12a"/>
      </w:pPr>
      <w:r w:rsidRPr="00A84070">
        <w:rPr>
          <w:b/>
          <w:i/>
        </w:rPr>
        <w:t xml:space="preserve">Akademiskt samarbete och mellanmänskliga kontakter </w:t>
      </w:r>
    </w:p>
    <w:p w:rsidR="00AD7514" w:rsidRPr="00A84070" w:rsidP="00AD7514" w14:paraId="679ACFE7" w14:textId="77777777">
      <w:pPr>
        <w:pStyle w:val="NormalHanging12a"/>
      </w:pPr>
      <w:r w:rsidRPr="00A84070">
        <w:t>37.</w:t>
      </w:r>
      <w:r w:rsidRPr="00A84070">
        <w:tab/>
        <w:t>Europaparlamentet välkomnar de betydande framsteg som Moldavien gjort med att lägga sitt system för högre utbildning i linje med det europeiska området för högre utbildning, bland annat genom att tre moldaviska institutioner deltar i europeiska universitetsallianser i egenskap av associerade partner. Parlamentet lovordar även landets involvering i den internationella dimensionen av programmet Erasmus+ för 2021–2027 samt dess deltagande i fyra arbetsgrupper inom det europeiska området för utbildning.</w:t>
      </w:r>
    </w:p>
    <w:p w:rsidR="00AD7514" w:rsidRPr="00A84070" w:rsidP="00AD7514" w14:paraId="3926CB6D" w14:textId="77777777">
      <w:pPr>
        <w:pStyle w:val="NormalHanging12a"/>
      </w:pPr>
      <w:r w:rsidRPr="00A84070">
        <w:t>38.</w:t>
      </w:r>
      <w:r w:rsidRPr="00A84070">
        <w:tab/>
        <w:t>Europaparlamentet välkomnar Moldaviens växande engagemang inom europeiska forsknings- och innovationsnätverk och uppmuntrar landets ytterligare integrering i Horisont Europa, vilket skulle ge universitet och forskningsinstitutioner tillgång till europeisk finansiering, infrastruktur för forskningssamverkan och vetenskapliga partnerskap.</w:t>
      </w:r>
    </w:p>
    <w:p w:rsidR="00AD7514" w:rsidRPr="00A84070" w:rsidP="00AD7514" w14:paraId="2056EDC4" w14:textId="77777777">
      <w:pPr>
        <w:pStyle w:val="Normal12a"/>
      </w:pPr>
      <w:r w:rsidRPr="00A84070">
        <w:rPr>
          <w:b/>
          <w:i/>
        </w:rPr>
        <w:t>Energi, miljö och konnektivitet</w:t>
      </w:r>
    </w:p>
    <w:p w:rsidR="00AD7514" w:rsidRPr="00A84070" w:rsidP="00AD7514" w14:paraId="41EC3186" w14:textId="77777777">
      <w:pPr>
        <w:pStyle w:val="NormalHanging12a"/>
      </w:pPr>
      <w:r w:rsidRPr="00A84070">
        <w:t>39.</w:t>
      </w:r>
      <w:r w:rsidRPr="00A84070">
        <w:tab/>
        <w:t xml:space="preserve">Europaparlamentet lovordar landets fortsatta insatser för att anpassa den moldaviska energisektorn till EU:s regelverk och gå i riktning mot en fullständig integrering på EU:s energimarknad för att säkerställa Moldaviens energitrygghet och </w:t>
      </w:r>
      <w:r w:rsidRPr="00A84070">
        <w:t>energiresiliens</w:t>
      </w:r>
      <w:r w:rsidRPr="00A84070">
        <w:t>.</w:t>
      </w:r>
    </w:p>
    <w:p w:rsidR="00AD7514" w:rsidRPr="00A84070" w:rsidP="00AD7514" w14:paraId="1D34B9CC" w14:textId="77777777">
      <w:pPr>
        <w:pStyle w:val="NormalHanging12a"/>
      </w:pPr>
      <w:r w:rsidRPr="00A84070">
        <w:t>40.</w:t>
      </w:r>
      <w:r w:rsidRPr="00A84070">
        <w:tab/>
        <w:t>Europaparlamentet noterar med tillfredsställelse att Moldavien har uppnått högsta möjliga resultat bland medlemsstaterna i energigemenskapen i fråga om att införliva EU-lagstiftning och att landet var först ut av energigemenskapens fördragsslutande parter med att fullständigt införliva paketet för integrering av elmarknaden. Parlamentet uppmanar kommissionen, energigemenskapens sekretariat och andra relevanta aktörer att säkerställa att Moldavien är fullt anslutet till EU:s elmarknad senast 2028.</w:t>
      </w:r>
    </w:p>
    <w:p w:rsidR="00AD7514" w:rsidRPr="00A84070" w:rsidP="00AD7514" w14:paraId="0AC891F7" w14:textId="77777777">
      <w:pPr>
        <w:pStyle w:val="NormalHanging12a"/>
      </w:pPr>
      <w:r w:rsidRPr="00A84070">
        <w:t>41.</w:t>
      </w:r>
      <w:r w:rsidRPr="00A84070">
        <w:tab/>
        <w:t xml:space="preserve">Europaparlamentet betonar att Moldaviens myndigheter, med EU-stöd, för att ytterligare stärka landets </w:t>
      </w:r>
      <w:r w:rsidRPr="00A84070">
        <w:t>energiresiliens</w:t>
      </w:r>
      <w:r w:rsidRPr="00A84070">
        <w:t xml:space="preserve"> bör fortsätta att diversifiera dess energiförsörjningskällor, påskynda dess integrering på den europeiska energimarknaden, öka investeringarna i energieffektivitet i offentliga byggnader och bostadshus, öka den inhemska energiproduktionen och uppmuntra till minskad efterfrågan. Parlamentet välkomnar Moldaviens avsevärda ökning av andelen förnybar energi i landet, som nådde ca 25 % av förbrukningen under 2025 och 1 GW av den totala installerade kapaciteten, en betydande milstolpe i utvecklingen av landets lokala energiproduktion och energiomställning.</w:t>
      </w:r>
    </w:p>
    <w:p w:rsidR="00AD7514" w:rsidRPr="00A84070" w:rsidP="00AD7514" w14:paraId="4B9475D0" w14:textId="77777777">
      <w:pPr>
        <w:pStyle w:val="NormalHanging12a"/>
      </w:pPr>
      <w:r w:rsidRPr="00A84070">
        <w:t>42.</w:t>
      </w:r>
      <w:r w:rsidRPr="00A84070">
        <w:tab/>
        <w:t xml:space="preserve">Europaparlamentet välkomnar regeringens handlingsplan från mars 2025, som ska eliminera allt beroende av ryska energiresurser inom el-, gas- och petroleumsektorerna och som antogs som ett led i genomförandet av EU:s och Moldaviens övergripande strategi för </w:t>
      </w:r>
      <w:r w:rsidRPr="00A84070">
        <w:t>energioberoende</w:t>
      </w:r>
      <w:r w:rsidRPr="00A84070">
        <w:t xml:space="preserve"> och </w:t>
      </w:r>
      <w:r w:rsidRPr="00A84070">
        <w:t>energiresiliens</w:t>
      </w:r>
      <w:r w:rsidRPr="00A84070">
        <w:t xml:space="preserve"> av den 4 februari 2025. Parlamentet påminner om att Ryssland under 2025 slutade att försörja kraftverket i </w:t>
      </w:r>
      <w:r w:rsidRPr="00A84070">
        <w:t>Cuciurgan</w:t>
      </w:r>
      <w:r w:rsidRPr="00A84070">
        <w:t xml:space="preserve"> med </w:t>
      </w:r>
      <w:r w:rsidRPr="00A84070">
        <w:t>gas för att med tvång försöka påverka Moldaviens internationella val, och att de första offren för den efterföljande energikrisen var folket på båda sidor av floden Dnestr.</w:t>
      </w:r>
    </w:p>
    <w:p w:rsidR="00AD7514" w:rsidRPr="00A84070" w:rsidP="00AD7514" w14:paraId="19789889" w14:textId="77777777">
      <w:pPr>
        <w:pStyle w:val="NormalHanging12a"/>
      </w:pPr>
      <w:r w:rsidRPr="00A84070">
        <w:t>43.</w:t>
      </w:r>
      <w:r w:rsidRPr="00A84070">
        <w:tab/>
        <w:t xml:space="preserve">Europaparlamentet välkomnar färdigställandet i december 2025 av 400 kV-luftledningen </w:t>
      </w:r>
      <w:r w:rsidRPr="00A84070">
        <w:t>Vulcanesti</w:t>
      </w:r>
      <w:r w:rsidRPr="00A84070">
        <w:t>–Chisinau, som förväntas börja överföra el under 2026. Parlamentet noterar att detta praktiska steg minskar Moldaviens beroende av energiinfrastruktur i regionen Transnistrien och dess sårbarhet för fientligt ryskt inflytande och gör det möjligt för landet att på ett säkert och tillförlitligt sätt ansluta sig till det europeiska elnätet via Rumänien.</w:t>
      </w:r>
    </w:p>
    <w:p w:rsidR="00AD7514" w:rsidRPr="00A84070" w:rsidP="00AD7514" w14:paraId="42808FCB" w14:textId="77777777">
      <w:pPr>
        <w:pStyle w:val="NormalHanging12a"/>
      </w:pPr>
      <w:r w:rsidRPr="00A84070">
        <w:t>44.</w:t>
      </w:r>
      <w:r w:rsidRPr="00A84070">
        <w:tab/>
        <w:t xml:space="preserve">Europaparlamentet uppmanar kommissionen att maximera användningen av de anslag för gränsöverskridande samarbete som finns tillgängliga inom ramen för det framtida instrumentet Europa i världen och Fonden för nationellt och regionalt partnerskap för att ytterligare påskynda integrationen av Moldaviens transportinfrastruktur, energiinfrastruktur och digitala infrastruktur på den europeiska inre marknaden. Parlamentet betonar att sådan finansiering bör prioritera projekt med stor inverkan som inbegriper transportinfrastruktur, energiinfrastruktur och digital infrastruktur, inbegripet gränsöverskridande sammanlänkningar, inhemsk produktion av förnybar energi, energieffektivitet, anpassning till det transeuropeiska transportnätet, synkronisering av </w:t>
      </w:r>
      <w:r w:rsidRPr="00A84070">
        <w:t>energinät</w:t>
      </w:r>
      <w:r w:rsidRPr="00A84070">
        <w:t xml:space="preserve"> och bredbandsutbyggnad. Parlamentet uppmuntrar till snabb utveckling av ytterligare energisammanlänkningsprojekt med Moldavien, såsom 400 kV-luftledningarna mellan Suceava och </w:t>
      </w:r>
      <w:r w:rsidRPr="00A84070">
        <w:t>Bălți</w:t>
      </w:r>
      <w:r w:rsidRPr="00A84070">
        <w:t xml:space="preserve"> respektive </w:t>
      </w:r>
      <w:r w:rsidRPr="00A84070">
        <w:t>Gutinaș</w:t>
      </w:r>
      <w:r w:rsidRPr="00A84070">
        <w:t xml:space="preserve"> och </w:t>
      </w:r>
      <w:r w:rsidRPr="00A84070">
        <w:t>Strășeni</w:t>
      </w:r>
      <w:r w:rsidRPr="00A84070">
        <w:t>.</w:t>
      </w:r>
    </w:p>
    <w:p w:rsidR="00AD7514" w:rsidRPr="00A84070" w:rsidP="00AD7514" w14:paraId="59193849" w14:textId="77777777">
      <w:pPr>
        <w:pStyle w:val="NormalHanging12a"/>
      </w:pPr>
      <w:r w:rsidRPr="00A84070">
        <w:t>45.</w:t>
      </w:r>
      <w:r w:rsidRPr="00A84070">
        <w:tab/>
        <w:t xml:space="preserve">Europaparlamentet fördömer starkt de ryska attackerna mot ukrainsk energiinfrastruktur i mars 2026, som hotade Moldaviens energi- och vattentrygghet, fick direkta följder för tryggheten i fråga om vattenresurser och för folkhälsan för 80 % av landets medborgare – för vilka floden Dnestr är den främsta källan till färskvatten och dricksvatten – och som skapade ett 15 dagar långt miljönödläge i Republiken Moldavien. Parlamentet välkomnar det snabba och samordnade svaret från moldaviska och ukrainska myndigheter och överföringssystemansvariga och uppmanar EU och dess medlemsstater att förse Moldavien med ytterligare ekonomiska resurser, tekniskt bistånd och specialutrustning för att förbättra dess kapacitet att hantera framtida miljökatastrofer. </w:t>
      </w:r>
    </w:p>
    <w:p w:rsidR="00AD7514" w:rsidRPr="00A84070" w:rsidP="00AD7514" w14:paraId="379124AF" w14:textId="77777777">
      <w:pPr>
        <w:pStyle w:val="NormalHanging12a"/>
      </w:pPr>
      <w:r w:rsidRPr="00A84070">
        <w:t>46.</w:t>
      </w:r>
      <w:r w:rsidRPr="00A84070">
        <w:tab/>
        <w:t>Europaparlamentet framhåller att Moldavien fortfarande står inför betydande miljöutmaningar, däribland luft- och vattenföroreningar, otillräcklig infrastruktur för avfallshantering och pågående förlust av biologisk mångfald. Parlamentet betonar behovet av att stärka den administrativa kapaciteten, förbättra efterlevnaden av miljölagstiftningen och säkerställa tillräckliga investeringar i miljöinfrastruktur.</w:t>
      </w:r>
    </w:p>
    <w:p w:rsidR="00AD7514" w:rsidRPr="00A84070" w:rsidP="00AD7514" w14:paraId="56391115" w14:textId="77777777">
      <w:pPr>
        <w:pStyle w:val="NormalHanging12a"/>
      </w:pPr>
      <w:r w:rsidRPr="00A84070">
        <w:t>47.</w:t>
      </w:r>
      <w:r w:rsidRPr="00A84070">
        <w:tab/>
        <w:t>Europaparlamentet påminner om att Moldavien redan har drabbats hårt av de allvarliga säkerhetsmässiga, ekonomiska och sociala följdverkningarna av Rysslands fullskaliga anfallskrig mot Ukraina. Parlamentet uttrycker djup oro över att landet nu är på väg att bli ett av de hårdast drabbade av de förvärrade globala ekonomiska kriserna och energikriserna till följd av det pågående kriget i Mellanöstern. Parlamentet uppmanar EU och dess medlemsstater att visa fortsatt orubblig solidaritet med Moldavien och att tillhandahålla nödvändigt stöd för att mildra konsekvenserna av dessa överlappande externa chocker för landets medborgare och dess ekonomi.</w:t>
      </w:r>
    </w:p>
    <w:p w:rsidR="00AD7514" w:rsidRPr="00A84070" w:rsidP="00AD7514" w14:paraId="665145B7" w14:textId="77777777">
      <w:pPr>
        <w:pStyle w:val="Normal12a"/>
      </w:pPr>
      <w:r w:rsidRPr="00A84070">
        <w:rPr>
          <w:b/>
          <w:i/>
        </w:rPr>
        <w:t>Samarbete inom den gemensamma utrikes- och säkerhetspolitiken och framsteg med en lösning i Transnistrien</w:t>
      </w:r>
    </w:p>
    <w:p w:rsidR="00AD7514" w:rsidRPr="00A84070" w:rsidP="00AD7514" w14:paraId="56EC7DAF" w14:textId="77777777">
      <w:pPr>
        <w:pStyle w:val="NormalHanging12a"/>
      </w:pPr>
      <w:r w:rsidRPr="00A84070">
        <w:t>48.</w:t>
      </w:r>
      <w:r w:rsidRPr="00A84070">
        <w:tab/>
        <w:t xml:space="preserve">Europaparlamentet lovordar Moldavien för landets konsekventa samarbete i utrikespolitiska frågor och dess ansträngningar att fullt ut anpassa sig till ståndpunkterna i EU:s gemensamma utrikes- och säkerhetspolitik. Parlamentet konstaterar att Moldaviens grad av anpassning till EU:s utrikes-, säkerhets- och försvarspolitik, bland annat genom att ta över EU:s sanktioner mot Ryssland, uppgick till 88 %. Parlamentet uppmanar landet att fortsätta att förbättra denna anpassning, bland annat när det gäller restriktiva åtgärder mot Ryssland, och att fortsätta samarbeta för att förhindra kringgående av sanktioner mot Ryssland och Belarus med anledning av Rysslands anfallskrig mot Ukraina. Parlamentet lovordar Moldavien för att landet hyser flest fördrivna ukrainare per capita och lyckas hantera betydande sociala, ekonomiska och administrativa påfrestningar till följd av den stora flyktingtillströmningen. Parlamentet välkomnar Moldaviens ökade deltagande i EU:s uppdrag och insatser inom ramen för EU:s gemensamma säkerhets- och försvarspolitik, såsom operation </w:t>
      </w:r>
      <w:r w:rsidRPr="00A84070">
        <w:t>Althea</w:t>
      </w:r>
      <w:r w:rsidRPr="00A84070">
        <w:t xml:space="preserve"> i Bosnien och Hercegovina och EU:s utbildningsuppdrag i Somalia.</w:t>
      </w:r>
    </w:p>
    <w:p w:rsidR="00AD7514" w:rsidRPr="00A84070" w:rsidP="00AD7514" w14:paraId="499E743F" w14:textId="77777777">
      <w:pPr>
        <w:pStyle w:val="NormalHanging12a"/>
      </w:pPr>
      <w:r w:rsidRPr="00A84070">
        <w:t>49.</w:t>
      </w:r>
      <w:r w:rsidRPr="00A84070">
        <w:tab/>
        <w:t>Europaparlamentet erkänner den roll som trepartssamarbetet mellan Moldavien, Rumänien och Ukraina (”Odessa-triangeln”) spelar för att stärka den regionala säkerheten, främja EU-integrationsprocessen för Moldavien och Ukraina, förbättra dessa länders konnektivitet med EU och motverka hybridhot från Ryska federationen, bland annat desinformation och utländsk informationsmanipulation, it-attacker och energihot.</w:t>
      </w:r>
    </w:p>
    <w:p w:rsidR="00AD7514" w:rsidRPr="00A84070" w:rsidP="00AD7514" w14:paraId="5EDE6E46" w14:textId="77777777">
      <w:pPr>
        <w:pStyle w:val="NormalHanging12a"/>
      </w:pPr>
      <w:r w:rsidRPr="00A84070">
        <w:t>50.</w:t>
      </w:r>
      <w:r w:rsidRPr="00A84070">
        <w:tab/>
        <w:t xml:space="preserve">Europaparlamentet välkomnar förlängningen av </w:t>
      </w:r>
      <w:r w:rsidRPr="00A84070">
        <w:t>EUPM:s</w:t>
      </w:r>
      <w:r w:rsidRPr="00A84070">
        <w:t xml:space="preserve"> mandat i Republiken Moldavien till och med den 31 maj 2027 och uppmanar medlemsstaterna att bidra med de experter och ekonomiska resurser som krävs. Parlamentet uppmuntrar EU att fortsätta att stödja Moldaviens resiliens och beredskap, till exempel mot den exempellösa ryska inblandningen, genom EUPM, snabbinsatsteam för hybridhot, snabbinsatsteam på området för cybersäkerhet samt EU-cybersäkerhetsreserven.</w:t>
      </w:r>
    </w:p>
    <w:p w:rsidR="00AD7514" w:rsidRPr="00A84070" w:rsidP="00AD7514" w14:paraId="16396805" w14:textId="77777777">
      <w:pPr>
        <w:pStyle w:val="NormalHanging12a"/>
      </w:pPr>
      <w:r w:rsidRPr="00A84070">
        <w:t>51.</w:t>
      </w:r>
      <w:r w:rsidRPr="00A84070">
        <w:tab/>
        <w:t>Europaparlamentet betonar att fysiska attacker mot kritisk infrastruktur och säkerhetsrelaterade provokationer systematiskt åtföljs av kampanjer för utländsk informationsmanipulering och inblandning, som syftar till att skapa panik hos befolkningen och undergräva allmänhetens förtroende för de moldaviska myndigheterna. Parlamentet framhåller därför den avgörande betydelsen av att förse de moldaviska institutionerna med robusta verktyg för snabb kriskommunikation i syfte att effektivt bekämpa desinformation och säkerställa snabb spridning av faktabaserad information. Parlamentet noterar särskilt de åtgärder som vidtogs 2025 för att förbättra den operativa kapaciteten hos Centrumet för strategisk kommunikation och bekämpning av desinformation och hos Nationella byrån för cybersäkerhet. Parlamentet efterlyser strategisk användning av tillgängliga medel under 2027 och därefter för att stärka Moldaviens kapacitet för strategisk kommunikation, cybersäkerhet och motverkande av utländsk informationsmanipulering och inblandning inför landets måldatum för anslutning. Parlamentet uppmanar EU att tillämpa de lärdomar som dragits av erfarenheterna i Moldavien för att skydda valprocessen och de demokratiska institutionerna och bekämpa utländsk informationsmanipulering och inblandning i själva EU och i andra kandidatländer. Parlamentet välkomnar i detta avseende insatserna från public service-företag i medlemsstaterna för att förse den moldaviska allmänheten med faktabaserat innehåll.</w:t>
      </w:r>
    </w:p>
    <w:p w:rsidR="00AD7514" w:rsidRPr="00A84070" w:rsidP="00AD7514" w14:paraId="33585392" w14:textId="77777777">
      <w:pPr>
        <w:pStyle w:val="NormalHanging12a"/>
      </w:pPr>
      <w:r w:rsidRPr="00A84070">
        <w:t>52.</w:t>
      </w:r>
      <w:r w:rsidRPr="00A84070">
        <w:tab/>
        <w:t xml:space="preserve">Europaparlamentet uttrycker oro över att religiösa strukturer utnyttjas för politiska ändamål, i överensstämmelse med den ryska militära doktrinen och den nationella </w:t>
      </w:r>
      <w:r w:rsidRPr="00A84070">
        <w:t>säkerhetsstrategin, bland annat genom försök att påverka folkopinionen och valprocesserna på ett sätt som kan undergräva Moldaviens europeiska bana. Parlamentet uppmanar Moldaviens myndigheter att säkerställa fullständig respekt för religionsfriheten och samtidigt förhindra otillbörlig extern inblandning eller manipulation som skulle kunna påverka landets demokratiska processer och strategiska inriktning. Parlamentet fördömer starkt att den Moskva-anknutna moldavisk-ortodoxa kyrkan, under den ryska ortodoxa kyrkans jurisdiktion, används som ett verktyg för Kreml-styrd desinformation, valinblandning och hybridpåverkan i Republiken Moldavien.</w:t>
      </w:r>
    </w:p>
    <w:p w:rsidR="00AD7514" w:rsidRPr="00A84070" w:rsidP="00AD7514" w14:paraId="5E8AD404" w14:textId="77777777">
      <w:pPr>
        <w:pStyle w:val="NormalHanging12a"/>
      </w:pPr>
      <w:r w:rsidRPr="00A84070">
        <w:t>53.</w:t>
      </w:r>
      <w:r w:rsidRPr="00A84070">
        <w:tab/>
        <w:t>Europaparlamentet upprepar sitt fulla engagemang för Moldaviens territoriella integritet och för en fredlig lösning av konflikten, på grundval av Moldaviens suveränitet och territoriella integritet inom landets internationellt erkända gränser. Parlamentet uppmuntrar Moldavien att fortsätta sina återintegreringsinsatser och uppmanar Ryska federationen att fullgöra sina internationella skyldigheter genom att säkerställa ett omedelbart och villkorslöst tillbakadragande av all militär personal, utrustning och ammunition från regionen Transnistrien, vars närvaro utgör en allvarlig kränkning av folkrätten och ett direkt säkerhetshot mot Moldavien och det europeiska grannskapet i stort.</w:t>
      </w:r>
    </w:p>
    <w:p w:rsidR="00AD7514" w:rsidRPr="00A84070" w:rsidP="00AD7514" w14:paraId="0EF47E57" w14:textId="77777777">
      <w:pPr>
        <w:pStyle w:val="NormalHanging12a"/>
      </w:pPr>
      <w:r w:rsidRPr="00A84070">
        <w:t>54.</w:t>
      </w:r>
      <w:r w:rsidRPr="00A84070">
        <w:tab/>
        <w:t>Europaparlamentet stöder de moldaviska myndigheternas gradvisa strategi för landets återintegrering, med stark tonvikt på påtagliga socioekonomiska fördelar för medborgarna på båda sidor av floden. Parlamentet uppmanar EU att aktivt bidra till den fredliga återintegreringsprocessen, bland annat genom meningsfulla bidrag till konvergensfonden, som kommer att stödja regionen Transnistriens gradvisa anpassning till Moldaviens rättsliga, ekonomiska och sociala ram och åstadkomma konkreta förbättringar av offentliga tjänster och lokal infrastruktur för medborgarna.</w:t>
      </w:r>
    </w:p>
    <w:p w:rsidR="00AD7514" w:rsidRPr="00A84070" w:rsidP="00AD7514" w14:paraId="549F7DC3" w14:textId="77777777">
      <w:pPr>
        <w:pStyle w:val="NormalHanging12a"/>
      </w:pPr>
      <w:r w:rsidRPr="00A84070">
        <w:t>55.</w:t>
      </w:r>
      <w:r w:rsidRPr="00A84070">
        <w:tab/>
        <w:t xml:space="preserve">Europaparlamentet noterar med oro Rysslands pågående försök att utnyttja och underblåsa spänningarna mellan den autonoma territoriella enheten </w:t>
      </w:r>
      <w:r w:rsidRPr="00A84070">
        <w:t>Gagauzien</w:t>
      </w:r>
      <w:r w:rsidRPr="00A84070">
        <w:t xml:space="preserve"> och de moldaviska myndigheterna. Parlamentet stöder och uppmuntrar den moldaviska regeringens fortsatta insatser för att ta itu med dessa utmaningar genom konstruktiv dialog och inkluderande reformer. Parlamentet uppmanar med kraft de regionala myndigheterna att delta i denna dialog i en anda av uppriktighet och att säkerställa ett korrekt genomförande av fria, rättvisa, transparenta och lagliga val i regionen, i full överensstämmelse med moldavisk rätt. Parlamentet upprepar att ett stabilt samarbetsförhållande mellan huvudstaden och regionerna är avgörande för Moldaviens inre stabilitet och landets fortsatta framsteg på vägen mot EU-anslutning.</w:t>
      </w:r>
    </w:p>
    <w:p w:rsidR="00AD7514" w:rsidRPr="00A84070" w:rsidP="00AD7514" w14:paraId="05A8777D" w14:textId="77777777">
      <w:pPr>
        <w:pStyle w:val="NormalHanging12a"/>
      </w:pPr>
      <w:r w:rsidRPr="00A84070">
        <w:t>56.</w:t>
      </w:r>
      <w:r w:rsidRPr="00A84070">
        <w:tab/>
        <w:t xml:space="preserve">Europaparlamentet välkomnar Moldaviens beslut att lämna det ryskdominerade Oberoende staters samvälde som ett självständigt och strategiskt val som speglar den europeiska bana landet bestämt sig för. Parlamentet anser att arvet från den sovjetiska tiden måste hanteras, till exempel genom ett hävande av säkerhetsskyddsklassificeringen av arkiv tillhörande </w:t>
      </w:r>
      <w:r w:rsidRPr="00A84070">
        <w:t>f.d.</w:t>
      </w:r>
      <w:r w:rsidRPr="00A84070">
        <w:t xml:space="preserve"> sovjetiska säkerhetstjänster, och uppmuntrar till diskussion om förekomsten av sovjetiska propagandasymboler på allmän plats.</w:t>
      </w:r>
    </w:p>
    <w:p w:rsidR="00AD7514" w:rsidRPr="00A84070" w:rsidP="00AD7514" w14:paraId="2AFC9B20" w14:textId="77777777">
      <w:pPr>
        <w:pStyle w:val="NormalHanging12a"/>
      </w:pPr>
      <w:r w:rsidRPr="00A84070">
        <w:t>57.</w:t>
      </w:r>
      <w:r w:rsidRPr="00A84070">
        <w:tab/>
        <w:t xml:space="preserve">Europaparlamentet fördömer starkt det upprepade otillåtna intrånget av ryska drönare i Moldaviens luftrum och på dess territorium sedan 2022, vilket utgör en allvarlig kränkning av Moldaviens suveränitet och territoriella integritet. Parlamentet betonar att sådana handlingar utgör en direkt risk för den civila säkerheten, tryggheten och den </w:t>
      </w:r>
      <w:r w:rsidRPr="00A84070">
        <w:t>regionala stabiliteten, och upprepar behovet av strikt efterlevnad av folkrätten. Parlamentet understryker i detta sammanhang den kritiska betydelsen av investeringar i infrastruktur för övervakning och skydd av luftrummet.</w:t>
      </w:r>
    </w:p>
    <w:p w:rsidR="00AD7514" w:rsidRPr="00A84070" w:rsidP="00AD7514" w14:paraId="37D7F49D" w14:textId="77777777">
      <w:pPr>
        <w:pStyle w:val="NormalHanging12a"/>
      </w:pPr>
      <w:r w:rsidRPr="00A84070">
        <w:t>58.</w:t>
      </w:r>
      <w:r w:rsidRPr="00A84070">
        <w:tab/>
        <w:t xml:space="preserve">Europaparlamentet välkomnar det fortsatta stödet till Moldaviens försvarsmakt inom ramen för den europeiska fredsfaciliteten. Parlamentet upprepar sin uppmaning till medlemsstaterna att ytterligare öka finansieringen från den europeiska fredsfaciliteten till Moldavien för att stärka landets försvarsförmågor med tanke på de nuvarande säkerhetshoten. Parlamentet uppmanar kommissionen att, i samordning med utrikestjänsten, säkerställa mer strukturerat, förutsägbart och förstärkt stöd för att stärka Republiken Moldaviens säkerhets- och försvarsförmågor och dess anpassning till EU:s säkerhetsstandarder som en del av anslutningsprocessen. Parlamentet vill se fortsatt stöd till moderniseringen av Moldaviens försvarssektor, inbegripet dess luftförsvarsförmågor. Parlamentet betonar att Moldavien inte bara är en säkerhetskonsument utan också en säkerhetsleverantör för EU med tanke på landets strategiska läge och värdefulla erfarenheter i realtid. Parlamentet välkomnar erkännandet av Moldavien som ett land för vilket ytterligare kvantiteter av försvarsprodukter gemensamt kan upphandlas inom ramen för programmet för europeisk försvarsindustri, med en ökning av EU:s finansiella bidrag från 15 % till 25 %, och begär att denna förmånsbehandling bäddas in i arkitekturen för perioden efter 2027. </w:t>
      </w:r>
    </w:p>
    <w:p w:rsidR="00AD7514" w:rsidRPr="00A84070" w:rsidP="00AD7514" w14:paraId="72D00AA4" w14:textId="77777777">
      <w:pPr>
        <w:pStyle w:val="NormalCenter12a"/>
      </w:pPr>
      <w:r w:rsidRPr="00A84070">
        <w:t>°</w:t>
      </w:r>
    </w:p>
    <w:p w:rsidR="00AD7514" w:rsidRPr="00A84070" w:rsidP="00AD7514" w14:paraId="32352D17" w14:textId="77777777">
      <w:pPr>
        <w:pStyle w:val="NormalCenter12a"/>
      </w:pPr>
      <w:r w:rsidRPr="00A84070">
        <w:t>°</w:t>
      </w:r>
      <w:r w:rsidRPr="00A84070">
        <w:tab/>
        <w:t>°</w:t>
      </w:r>
    </w:p>
    <w:p w:rsidR="00A84070" w:rsidRPr="00A84070" w:rsidP="00A84070" w14:paraId="3D0F9A68" w14:textId="4B89C2FB">
      <w:pPr>
        <w:pStyle w:val="NormalHanging12a"/>
      </w:pPr>
      <w:r w:rsidRPr="00A84070">
        <w:t>59.</w:t>
      </w:r>
      <w:r w:rsidRPr="00A84070">
        <w:tab/>
        <w:t>Europaparlamentet uppdrar åt talmannen att översända denna resolution till rådet, kommissionen och vice ordföranden för kommissionen/unionens höga representant för utrikes frågor och säkerhetspolitik samt till Republiken Moldaviens president, regering och parlament.</w:t>
      </w:r>
    </w:p>
    <w:p w:rsidR="00E365E1" w:rsidRPr="00A84070" w:rsidP="000346F5" w14:paraId="140B93C2" w14:textId="6DA89C41"/>
    <w:sectPr w:rsidSect="00A84070">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84070" w14:paraId="380AEC4F"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84070" w14:paraId="3E5FA5F7"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84070" w14:paraId="5F465501"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346F5" w:rsidRPr="00A84070" w14:paraId="7965D873" w14:textId="77777777">
      <w:r w:rsidRPr="00A84070">
        <w:separator/>
      </w:r>
    </w:p>
  </w:footnote>
  <w:footnote w:type="continuationSeparator" w:id="1">
    <w:p w:rsidR="000346F5" w:rsidRPr="00A84070" w14:paraId="1C360C4F" w14:textId="77777777">
      <w:r w:rsidRPr="00A84070">
        <w:continuationSeparator/>
      </w:r>
    </w:p>
  </w:footnote>
  <w:footnote w:id="2">
    <w:p w:rsidR="0050537D" w:rsidRPr="00124E91" w:rsidP="00A84070" w14:paraId="045E2D61" w14:textId="0687D519">
      <w:pPr>
        <w:pStyle w:val="FootnoteText"/>
        <w:ind w:left="567" w:hanging="567"/>
        <w:rPr>
          <w:sz w:val="24"/>
          <w:lang w:val="fi-FI"/>
        </w:rPr>
      </w:pPr>
      <w:r>
        <w:rPr>
          <w:rStyle w:val="FootnoteReference"/>
        </w:rPr>
        <w:footnoteRef/>
      </w:r>
      <w:r w:rsidRPr="00124E91">
        <w:rPr>
          <w:sz w:val="24"/>
          <w:lang w:val="fi-FI"/>
        </w:rPr>
        <w:t xml:space="preserve"> </w:t>
      </w:r>
      <w:r w:rsidRPr="00124E91">
        <w:rPr>
          <w:sz w:val="24"/>
          <w:lang w:val="fi-FI"/>
        </w:rPr>
        <w:tab/>
        <w:t xml:space="preserve">EUT L, 2025/535, 21.3.2025, ELI: </w:t>
      </w:r>
      <w:hyperlink r:id="rId1" w:tgtFrame="http://data.europa.eu/eli/reg/2025/535/oj" w:history="1">
        <w:r w:rsidRPr="00124E91">
          <w:rPr>
            <w:rStyle w:val="Hyperlink"/>
            <w:sz w:val="24"/>
            <w:lang w:val="fi-FI"/>
          </w:rPr>
          <w:t>http://data.europa.eu/eli/reg/2025/535/oj</w:t>
        </w:r>
      </w:hyperlink>
      <w:r w:rsidRPr="00124E91">
        <w:rPr>
          <w:sz w:val="24"/>
          <w:lang w:val="fi-FI"/>
        </w:rPr>
        <w:t>.</w:t>
      </w:r>
    </w:p>
  </w:footnote>
  <w:footnote w:id="3">
    <w:p w:rsidR="0050537D" w:rsidRPr="00A84070" w:rsidP="00A84070" w14:paraId="51EDF29C" w14:textId="6E227C1D">
      <w:pPr>
        <w:pStyle w:val="FootnoteText"/>
        <w:ind w:left="567" w:hanging="567"/>
        <w:rPr>
          <w:sz w:val="24"/>
          <w:lang w:val="sv-SE"/>
        </w:rPr>
      </w:pPr>
      <w:r>
        <w:rPr>
          <w:rStyle w:val="FootnoteReference"/>
        </w:rPr>
        <w:footnoteRef/>
      </w:r>
      <w:r w:rsidRPr="00A84070">
        <w:rPr>
          <w:sz w:val="24"/>
          <w:lang w:val="sv-SE"/>
        </w:rPr>
        <w:t xml:space="preserve"> </w:t>
      </w:r>
      <w:r w:rsidRPr="00A84070">
        <w:rPr>
          <w:sz w:val="24"/>
          <w:lang w:val="sv-SE"/>
        </w:rPr>
        <w:tab/>
        <w:t xml:space="preserve">Associeringsavtal mellan Europeiska unionen och Europeiska atomenergigemenskapen och deras medlemsstater, å ena sidan, och Republiken Moldavien, å andra sidan (EUT L 260, 30.8.2014, s. 4, ELI: </w:t>
      </w:r>
      <w:hyperlink r:id="rId2" w:history="1">
        <w:r w:rsidRPr="0050537D">
          <w:rPr>
            <w:rStyle w:val="Hyperlink"/>
            <w:sz w:val="24"/>
            <w:lang w:val="sv-SE"/>
          </w:rPr>
          <w:t>http://data.europa.eu/eli/agree_internation/2014/492/oj</w:t>
        </w:r>
      </w:hyperlink>
      <w:r w:rsidRPr="00A84070">
        <w:rPr>
          <w:sz w:val="24"/>
          <w:lang w:val="sv-SE"/>
        </w:rPr>
        <w:t>).</w:t>
      </w:r>
    </w:p>
  </w:footnote>
  <w:footnote w:id="4">
    <w:p w:rsidR="0050537D" w:rsidRPr="00A84070" w:rsidP="00A84070" w14:paraId="19E915AD" w14:textId="5A8D3B0A">
      <w:pPr>
        <w:pStyle w:val="FootnoteText"/>
        <w:ind w:left="567" w:hanging="567"/>
        <w:rPr>
          <w:sz w:val="24"/>
          <w:lang w:val="sv-SE"/>
        </w:rPr>
      </w:pPr>
      <w:r>
        <w:rPr>
          <w:rStyle w:val="FootnoteReference"/>
        </w:rPr>
        <w:footnoteRef/>
      </w:r>
      <w:r w:rsidRPr="00A84070">
        <w:rPr>
          <w:sz w:val="24"/>
          <w:lang w:val="sv-SE"/>
        </w:rPr>
        <w:t xml:space="preserve"> </w:t>
      </w:r>
      <w:r w:rsidRPr="00A84070">
        <w:rPr>
          <w:sz w:val="24"/>
          <w:lang w:val="sv-SE"/>
        </w:rPr>
        <w:tab/>
        <w:t xml:space="preserve">Europaparlamentets och rådets direktiv (EU) 2019/882 av den 17 april 2019 om tillgänglighetskrav för produkter och tjänster (EUT L 151, 7.6.2019, s. 70, ELI: </w:t>
      </w:r>
      <w:hyperlink r:id="rId3" w:tgtFrame="http://data.europa.eu/eli/dir/2019/882/oj" w:history="1">
        <w:r w:rsidRPr="00A84070">
          <w:rPr>
            <w:rStyle w:val="Hyperlink"/>
            <w:sz w:val="24"/>
            <w:lang w:val="sv-SE"/>
          </w:rPr>
          <w:t>http://data.europa.eu/eli/dir/2019/882/oj</w:t>
        </w:r>
      </w:hyperlink>
      <w:r w:rsidRPr="00A84070">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84070" w14:paraId="6B7B8F89"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84070" w14:paraId="3B73F17D"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84070" w14:paraId="14030832"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02945111">
    <w:abstractNumId w:val="9"/>
  </w:num>
  <w:num w:numId="2" w16cid:durableId="80182314">
    <w:abstractNumId w:val="9"/>
  </w:num>
  <w:num w:numId="3" w16cid:durableId="873662607">
    <w:abstractNumId w:val="7"/>
  </w:num>
  <w:num w:numId="4" w16cid:durableId="665322616">
    <w:abstractNumId w:val="7"/>
  </w:num>
  <w:num w:numId="5" w16cid:durableId="1818957698">
    <w:abstractNumId w:val="6"/>
  </w:num>
  <w:num w:numId="6" w16cid:durableId="1757631264">
    <w:abstractNumId w:val="6"/>
  </w:num>
  <w:num w:numId="7" w16cid:durableId="273679854">
    <w:abstractNumId w:val="5"/>
  </w:num>
  <w:num w:numId="8" w16cid:durableId="567301967">
    <w:abstractNumId w:val="5"/>
  </w:num>
  <w:num w:numId="9" w16cid:durableId="1251937224">
    <w:abstractNumId w:val="4"/>
  </w:num>
  <w:num w:numId="10" w16cid:durableId="1247306455">
    <w:abstractNumId w:val="4"/>
  </w:num>
  <w:num w:numId="11" w16cid:durableId="1760520012">
    <w:abstractNumId w:val="8"/>
  </w:num>
  <w:num w:numId="12" w16cid:durableId="1870095685">
    <w:abstractNumId w:val="8"/>
  </w:num>
  <w:num w:numId="13" w16cid:durableId="1826048714">
    <w:abstractNumId w:val="3"/>
  </w:num>
  <w:num w:numId="14" w16cid:durableId="1431973545">
    <w:abstractNumId w:val="3"/>
  </w:num>
  <w:num w:numId="15" w16cid:durableId="1442990755">
    <w:abstractNumId w:val="2"/>
  </w:num>
  <w:num w:numId="16" w16cid:durableId="1643150845">
    <w:abstractNumId w:val="2"/>
  </w:num>
  <w:num w:numId="17" w16cid:durableId="1655139684">
    <w:abstractNumId w:val="1"/>
  </w:num>
  <w:num w:numId="18" w16cid:durableId="25758498">
    <w:abstractNumId w:val="1"/>
  </w:num>
  <w:num w:numId="19" w16cid:durableId="1275670456">
    <w:abstractNumId w:val="0"/>
  </w:num>
  <w:num w:numId="20" w16cid:durableId="1263494925">
    <w:abstractNumId w:val="0"/>
  </w:num>
  <w:num w:numId="21" w16cid:durableId="1264609367">
    <w:abstractNumId w:val="9"/>
  </w:num>
  <w:num w:numId="22" w16cid:durableId="675041831">
    <w:abstractNumId w:val="7"/>
  </w:num>
  <w:num w:numId="23" w16cid:durableId="503125760">
    <w:abstractNumId w:val="6"/>
  </w:num>
  <w:num w:numId="24" w16cid:durableId="1154376519">
    <w:abstractNumId w:val="5"/>
  </w:num>
  <w:num w:numId="25" w16cid:durableId="636881369">
    <w:abstractNumId w:val="4"/>
  </w:num>
  <w:num w:numId="26" w16cid:durableId="427579149">
    <w:abstractNumId w:val="8"/>
  </w:num>
  <w:num w:numId="27" w16cid:durableId="696009205">
    <w:abstractNumId w:val="3"/>
  </w:num>
  <w:num w:numId="28" w16cid:durableId="1410007277">
    <w:abstractNumId w:val="2"/>
  </w:num>
  <w:num w:numId="29" w16cid:durableId="1601064835">
    <w:abstractNumId w:val="1"/>
  </w:num>
  <w:num w:numId="30" w16cid:durableId="580214088">
    <w:abstractNumId w:val="0"/>
  </w:num>
  <w:num w:numId="31" w16cid:durableId="1860896772">
    <w:abstractNumId w:val="9"/>
  </w:num>
  <w:num w:numId="32" w16cid:durableId="1397238197">
    <w:abstractNumId w:val="7"/>
  </w:num>
  <w:num w:numId="33" w16cid:durableId="1748846350">
    <w:abstractNumId w:val="6"/>
  </w:num>
  <w:num w:numId="34" w16cid:durableId="110101639">
    <w:abstractNumId w:val="5"/>
  </w:num>
  <w:num w:numId="35" w16cid:durableId="1485270859">
    <w:abstractNumId w:val="4"/>
  </w:num>
  <w:num w:numId="36" w16cid:durableId="1344478583">
    <w:abstractNumId w:val="8"/>
  </w:num>
  <w:num w:numId="37" w16cid:durableId="345325355">
    <w:abstractNumId w:val="3"/>
  </w:num>
  <w:num w:numId="38" w16cid:durableId="675108302">
    <w:abstractNumId w:val="2"/>
  </w:num>
  <w:num w:numId="39" w16cid:durableId="676735185">
    <w:abstractNumId w:val="1"/>
  </w:num>
  <w:num w:numId="40" w16cid:durableId="103963627">
    <w:abstractNumId w:val="0"/>
  </w:num>
  <w:num w:numId="41" w16cid:durableId="1189097925">
    <w:abstractNumId w:val="10"/>
  </w:num>
  <w:num w:numId="42" w16cid:durableId="593175883">
    <w:abstractNumId w:val="10"/>
  </w:num>
  <w:num w:numId="43" w16cid:durableId="413817079">
    <w:abstractNumId w:val="10"/>
  </w:num>
  <w:num w:numId="44" w16cid:durableId="16366443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6F5"/>
    <w:rsid w:val="00002272"/>
    <w:rsid w:val="000346F5"/>
    <w:rsid w:val="00064002"/>
    <w:rsid w:val="000677B9"/>
    <w:rsid w:val="000831BA"/>
    <w:rsid w:val="000A42CC"/>
    <w:rsid w:val="000E7DD9"/>
    <w:rsid w:val="0010095E"/>
    <w:rsid w:val="00124E91"/>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537D"/>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745E"/>
    <w:rsid w:val="00930C23"/>
    <w:rsid w:val="0093193B"/>
    <w:rsid w:val="009509D8"/>
    <w:rsid w:val="00950B64"/>
    <w:rsid w:val="00972E8B"/>
    <w:rsid w:val="00981893"/>
    <w:rsid w:val="00A1687D"/>
    <w:rsid w:val="00A43E52"/>
    <w:rsid w:val="00A4678D"/>
    <w:rsid w:val="00A778C7"/>
    <w:rsid w:val="00A84070"/>
    <w:rsid w:val="00AB441E"/>
    <w:rsid w:val="00AB6293"/>
    <w:rsid w:val="00AC7E1B"/>
    <w:rsid w:val="00AD7514"/>
    <w:rsid w:val="00AE0928"/>
    <w:rsid w:val="00AF3B82"/>
    <w:rsid w:val="00B12E95"/>
    <w:rsid w:val="00B22876"/>
    <w:rsid w:val="00B558F0"/>
    <w:rsid w:val="00B95BC5"/>
    <w:rsid w:val="00BD2F8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06F0"/>
    <w:rsid w:val="00DA7FCD"/>
    <w:rsid w:val="00E365E1"/>
    <w:rsid w:val="00E558C4"/>
    <w:rsid w:val="00E820A4"/>
    <w:rsid w:val="00EB006A"/>
    <w:rsid w:val="00EB4772"/>
    <w:rsid w:val="00ED169E"/>
    <w:rsid w:val="00ED4235"/>
    <w:rsid w:val="00F04346"/>
    <w:rsid w:val="00F075DC"/>
    <w:rsid w:val="00F149E9"/>
    <w:rsid w:val="00F5134D"/>
    <w:rsid w:val="00F54D78"/>
    <w:rsid w:val="00F74202"/>
    <w:rsid w:val="00F82C70"/>
    <w:rsid w:val="00F87713"/>
    <w:rsid w:val="00FB4360"/>
    <w:rsid w:val="00FD0C70"/>
  </w:rsids>
  <w:docVars>
    <w:docVar w:name="dvdocse" w:val="A10-0164/2026"/>
    <w:docVar w:name="dvlangue" w:val="SV"/>
    <w:docVar w:name="dvnumam" w:val="0"/>
    <w:docVar w:name="dvpe" w:val="782.290"/>
    <w:docVar w:name="dvrapporteur" w:val="Föredragande: "/>
    <w:docVar w:name="dvtitre" w:val="Europaparlamentets resolution av den xx xx 2026 om kommissionens rapport för 2025 om Moldavien(2025/2258(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E650CC0"/>
  <w15:chartTrackingRefBased/>
  <w15:docId w15:val="{3C127407-8F9E-4FAE-873E-E13D664F2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AD7514"/>
    <w:pPr>
      <w:widowControl/>
      <w:spacing w:after="240"/>
    </w:pPr>
    <w:rPr>
      <w:szCs w:val="24"/>
      <w:lang w:eastAsia="en-US"/>
    </w:rPr>
  </w:style>
  <w:style w:type="paragraph" w:customStyle="1" w:styleId="NormalHanging12a">
    <w:name w:val="NormalHanging12a"/>
    <w:basedOn w:val="Normal"/>
    <w:rsid w:val="00AD7514"/>
    <w:pPr>
      <w:widowControl/>
      <w:spacing w:after="240"/>
      <w:ind w:left="566" w:hanging="566"/>
    </w:pPr>
    <w:rPr>
      <w:szCs w:val="24"/>
      <w:lang w:eastAsia="en-US"/>
    </w:rPr>
  </w:style>
  <w:style w:type="paragraph" w:customStyle="1" w:styleId="Normal12">
    <w:name w:val="Normal12"/>
    <w:basedOn w:val="Normal"/>
    <w:rsid w:val="00AD7514"/>
    <w:pPr>
      <w:spacing w:after="240"/>
    </w:pPr>
    <w:rPr>
      <w:szCs w:val="24"/>
      <w:lang w:eastAsia="en-US"/>
    </w:rPr>
  </w:style>
  <w:style w:type="paragraph" w:customStyle="1" w:styleId="NormalHanging">
    <w:name w:val="NormalHanging"/>
    <w:basedOn w:val="Normal"/>
    <w:rsid w:val="00AD7514"/>
    <w:pPr>
      <w:spacing w:after="240"/>
      <w:ind w:left="566" w:hanging="566"/>
    </w:pPr>
    <w:rPr>
      <w:szCs w:val="24"/>
      <w:lang w:eastAsia="en-US"/>
    </w:rPr>
  </w:style>
  <w:style w:type="paragraph" w:customStyle="1" w:styleId="NormalCenter12a">
    <w:name w:val="NormalCenter12a"/>
    <w:basedOn w:val="Normal"/>
    <w:rsid w:val="00AD7514"/>
    <w:pPr>
      <w:widowControl/>
      <w:spacing w:after="240"/>
      <w:jc w:val="center"/>
    </w:pPr>
    <w:rPr>
      <w:szCs w:val="24"/>
      <w:lang w:eastAsia="en-US"/>
    </w:rPr>
  </w:style>
  <w:style w:type="character" w:styleId="Hyperlink">
    <w:name w:val="Hyperlink"/>
    <w:basedOn w:val="DefaultParagraphFont"/>
    <w:rsid w:val="00AD7514"/>
    <w:rPr>
      <w:color w:val="0000FF"/>
      <w:u w:val="single"/>
    </w:rPr>
  </w:style>
  <w:style w:type="paragraph" w:styleId="Revision">
    <w:name w:val="Revision"/>
    <w:hidden/>
    <w:uiPriority w:val="99"/>
    <w:semiHidden/>
    <w:rsid w:val="0050537D"/>
    <w:rPr>
      <w:sz w:val="24"/>
      <w:lang w:val="sv-SE"/>
    </w:rPr>
  </w:style>
  <w:style w:type="character" w:styleId="UnresolvedMention">
    <w:name w:val="Unresolved Mention"/>
    <w:basedOn w:val="DefaultParagraphFont"/>
    <w:uiPriority w:val="99"/>
    <w:semiHidden/>
    <w:unhideWhenUsed/>
    <w:rsid w:val="005053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5/535/oj" TargetMode="External" /><Relationship Id="rId2" Type="http://schemas.openxmlformats.org/officeDocument/2006/relationships/hyperlink" Target="http://data.europa.eu/eli/agree_internation/2014/492/oj" TargetMode="External" /><Relationship Id="rId3" Type="http://schemas.openxmlformats.org/officeDocument/2006/relationships/hyperlink" Target="http://data.europa.eu/eli/dir/2019/88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5656</Words>
  <Characters>39252</Characters>
  <Application>Microsoft Office Word</Application>
  <DocSecurity>0</DocSecurity>
  <Lines>327</Lines>
  <Paragraphs>89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2026-08-06T13:36:00Z</dcterms:created>
  <dcterms:modified xsi:type="dcterms:W3CDTF">2026-08-06T13:36:00Z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A10-0164/2026</vt:lpwstr>
  </property>
  <property fmtid="{D5CDD505-2E9C-101B-9397-08002B2CF9AE}" pid="4" name="&lt;Type&gt;">
    <vt:lpwstr>RR</vt:lpwstr>
  </property>
</Properties>
</file>