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9FDD7B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3E92" w:rsidP="0010095E" w14:paraId="44722978" w14:textId="77777777">
            <w:pPr>
              <w:pStyle w:val="EPName"/>
            </w:pPr>
            <w:r w:rsidRPr="00943E92">
              <w:t>Parlament Europejski</w:t>
            </w:r>
          </w:p>
          <w:p w:rsidR="00751A4A" w:rsidRPr="00943E92" w:rsidP="005F1B17" w14:paraId="6AADBB5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3E92">
              <w:t>2024</w:t>
            </w:r>
            <w:r w:rsidRPr="00943E92" w:rsidR="00817416">
              <w:t>-202</w:t>
            </w:r>
            <w:r w:rsidRPr="00943E9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3E92" w:rsidP="0010095E" w14:paraId="25F88472" w14:textId="77777777">
            <w:pPr>
              <w:pStyle w:val="EPLogo"/>
            </w:pPr>
            <w:r w:rsidRPr="00943E9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3E92" w:rsidP="004C5D52" w14:paraId="2A495A34" w14:textId="77777777">
      <w:pPr>
        <w:pStyle w:val="LineTop"/>
      </w:pPr>
    </w:p>
    <w:p w:rsidR="00680577" w:rsidRPr="00943E92" w:rsidP="00680577" w14:paraId="5B1644BF" w14:textId="77777777">
      <w:pPr>
        <w:pStyle w:val="EPBodyTA1"/>
      </w:pPr>
      <w:r w:rsidRPr="00943E92">
        <w:t>TEKSTY PRZYJĘTE</w:t>
      </w:r>
    </w:p>
    <w:p w:rsidR="00D058B8" w:rsidRPr="00943E92" w:rsidP="00D058B8" w14:paraId="005834A6" w14:textId="77777777">
      <w:pPr>
        <w:pStyle w:val="LineBottom"/>
      </w:pPr>
    </w:p>
    <w:p w:rsidR="0042302D" w:rsidRPr="00943E92" w:rsidP="0042302D" w14:paraId="52E86EF0" w14:textId="2E3CA20E">
      <w:pPr>
        <w:pStyle w:val="ATHeading1"/>
      </w:pPr>
      <w:bookmarkStart w:id="0" w:name="TANumber"/>
      <w:r w:rsidRPr="00943E92">
        <w:t>P10_TA(2026)0</w:t>
      </w:r>
      <w:r w:rsidR="008F0A34">
        <w:t>261</w:t>
      </w:r>
      <w:bookmarkEnd w:id="0"/>
    </w:p>
    <w:p w:rsidR="0042302D" w:rsidRPr="004A081B" w:rsidP="0042302D" w14:paraId="39F4D497" w14:textId="1E4584C2">
      <w:pPr>
        <w:pStyle w:val="ATHeading2"/>
      </w:pPr>
      <w:r w:rsidRPr="004A081B">
        <w:t>Sprawozdanie Komisji dotyczące Serbii – 2025 r.</w:t>
      </w:r>
    </w:p>
    <w:p w:rsidR="0042302D" w:rsidRPr="00943E92" w:rsidP="0042302D" w14:paraId="008C8032" w14:textId="77777777">
      <w:pPr>
        <w:rPr>
          <w:i/>
          <w:vanish/>
        </w:rPr>
      </w:pPr>
      <w:r>
        <w:rPr>
          <w:i/>
        </w:rPr>
        <w:fldChar w:fldCharType="begin"/>
      </w:r>
      <w:r w:rsidRPr="00943E92">
        <w:rPr>
          <w:i/>
        </w:rPr>
        <w:instrText xml:space="preserve"> TC"(</w:instrText>
      </w:r>
      <w:bookmarkStart w:id="1" w:name="DocNumber"/>
      <w:r w:rsidRPr="00943E92">
        <w:rPr>
          <w:i/>
        </w:rPr>
        <w:instrText>A10-0163/2026</w:instrText>
      </w:r>
      <w:bookmarkEnd w:id="1"/>
      <w:r w:rsidRPr="00943E92">
        <w:rPr>
          <w:i/>
        </w:rPr>
        <w:instrText xml:space="preserve"> - Sprawozdawca: Tonino Picula)"\l3 \n&gt; \* MERGEFORMAT </w:instrText>
      </w:r>
      <w:r>
        <w:rPr>
          <w:i/>
        </w:rPr>
        <w:fldChar w:fldCharType="end"/>
      </w:r>
    </w:p>
    <w:p w:rsidR="0042302D" w:rsidRPr="00943E92" w:rsidP="0042302D" w14:paraId="291EC1C0" w14:textId="77777777">
      <w:pPr>
        <w:rPr>
          <w:vanish/>
        </w:rPr>
      </w:pPr>
      <w:bookmarkStart w:id="2" w:name="Commission"/>
      <w:r w:rsidRPr="00943E92">
        <w:rPr>
          <w:vanish/>
        </w:rPr>
        <w:t>Komisja Spraw Zagranicznych</w:t>
      </w:r>
      <w:bookmarkEnd w:id="2"/>
    </w:p>
    <w:p w:rsidR="0042302D" w:rsidRPr="00943E92" w:rsidP="0042302D" w14:paraId="1BFBB673" w14:textId="77777777">
      <w:pPr>
        <w:rPr>
          <w:vanish/>
        </w:rPr>
      </w:pPr>
      <w:bookmarkStart w:id="3" w:name="PE"/>
      <w:r w:rsidRPr="00943E92">
        <w:rPr>
          <w:vanish/>
        </w:rPr>
        <w:t>PE784.230</w:t>
      </w:r>
      <w:bookmarkEnd w:id="3"/>
    </w:p>
    <w:p w:rsidR="0042302D" w:rsidRPr="00943E92" w:rsidP="0042302D" w14:paraId="229314A3" w14:textId="267AAE73">
      <w:pPr>
        <w:pStyle w:val="ATHeading3"/>
      </w:pPr>
      <w:bookmarkStart w:id="4" w:name="Sujet"/>
      <w:r w:rsidRPr="00943E92">
        <w:t xml:space="preserve">Rezolucja Parlamentu Europejskiego z dnia </w:t>
      </w:r>
      <w:r w:rsidR="0005424A">
        <w:t>8</w:t>
      </w:r>
      <w:r w:rsidR="004A081B">
        <w:t xml:space="preserve"> lipca</w:t>
      </w:r>
      <w:r w:rsidRPr="00943E92">
        <w:t xml:space="preserve"> 2026 r. w sprawie sprawozdania Komisji dotyczącego Serbii – 2025 r.</w:t>
      </w:r>
      <w:bookmarkEnd w:id="4"/>
      <w:r w:rsidRPr="00943E92">
        <w:t xml:space="preserve"> </w:t>
      </w:r>
      <w:bookmarkStart w:id="5" w:name="References"/>
      <w:r w:rsidRPr="00943E92">
        <w:t>(2025/2255(INI))</w:t>
      </w:r>
      <w:bookmarkEnd w:id="5"/>
    </w:p>
    <w:p w:rsidR="00782150" w:rsidRPr="00943E92" w:rsidP="00782150" w14:paraId="2154AC04" w14:textId="77777777">
      <w:pPr>
        <w:pStyle w:val="EPComma"/>
      </w:pPr>
      <w:r w:rsidRPr="00943E92">
        <w:rPr>
          <w:i/>
        </w:rPr>
        <w:t>Parlament Europejski</w:t>
      </w:r>
      <w:r w:rsidRPr="00943E92">
        <w:t>,</w:t>
      </w:r>
    </w:p>
    <w:p w:rsidR="00782150" w:rsidRPr="00943E92" w:rsidP="00782150" w14:paraId="4857D777" w14:textId="77777777">
      <w:pPr>
        <w:pStyle w:val="NormalHanging12a"/>
      </w:pPr>
      <w:r w:rsidRPr="00943E92">
        <w:t>–</w:t>
      </w:r>
      <w:r w:rsidRPr="00943E92">
        <w:tab/>
        <w:t>uwzględniając Układ o stabilizacji i stowarzyszeniu między Wspólnotami Europejskimi i ich państwami członkowskimi, z jednej strony, a Republiką Serbii, z drugiej strony</w:t>
      </w:r>
      <w:r>
        <w:rPr>
          <w:rStyle w:val="FootnoteReference"/>
        </w:rPr>
        <w:footnoteReference w:id="2"/>
      </w:r>
      <w:r w:rsidRPr="00943E92">
        <w:t>, który wszedł w życie 1 września 2013 r.,</w:t>
      </w:r>
    </w:p>
    <w:p w:rsidR="00782150" w:rsidRPr="00943E92" w:rsidP="00782150" w14:paraId="6CF1CB0B" w14:textId="77777777">
      <w:pPr>
        <w:pStyle w:val="NormalHanging12a"/>
      </w:pPr>
      <w:r w:rsidRPr="00943E92">
        <w:t>–</w:t>
      </w:r>
      <w:r w:rsidRPr="00943E92">
        <w:tab/>
        <w:t>uwzględniając wniosek Serbii o członkostwo w UE złożony 19 grudnia 2009 r.,</w:t>
      </w:r>
    </w:p>
    <w:p w:rsidR="00782150" w:rsidRPr="00943E92" w:rsidP="008F0A34" w14:paraId="13074488" w14:textId="77777777">
      <w:pPr>
        <w:pStyle w:val="NormalHanging12a"/>
        <w:jc w:val="left"/>
      </w:pPr>
      <w:r w:rsidRPr="00943E92">
        <w:t>–</w:t>
      </w:r>
      <w:r w:rsidRPr="00943E92">
        <w:tab/>
        <w:t>uwzględniając opinię Komisji z 12 października 2011 r. na temat wniosku Serbii o członkostwo w Unii Europejskiej (COM(2011)0668), decyzję Rady Europejskiej z 1 marca 2012 r. o przyznaniu Serbii statusu kraju kandydującego oraz decyzję Rady Europejskiej z 28 czerwca 2013 r. o otwarciu negocjacji akcesyjnych z Serbią,</w:t>
      </w:r>
    </w:p>
    <w:p w:rsidR="00782150" w:rsidRPr="00943E92" w:rsidP="008F0A34" w14:paraId="18DCDFAA" w14:textId="336119E5">
      <w:pPr>
        <w:pStyle w:val="NormalHanging12a"/>
        <w:jc w:val="left"/>
      </w:pPr>
      <w:r w:rsidRPr="00943E92">
        <w:t>–</w:t>
      </w:r>
      <w:r w:rsidRPr="00943E92">
        <w:tab/>
        <w:t xml:space="preserve">uwzględniając porozumienie brukselskie z </w:t>
      </w:r>
      <w:r w:rsidR="004A081B">
        <w:t xml:space="preserve">dnia </w:t>
      </w:r>
      <w:r w:rsidRPr="00943E92">
        <w:t>27 lutego 2023 r. i umowę z Ochrydy z 18 marca 2023 r. oraz załącznik realizacyjny do niej,</w:t>
      </w:r>
    </w:p>
    <w:p w:rsidR="00782150" w:rsidRPr="00943E92" w:rsidP="008F0A34" w14:paraId="6C7D3075" w14:textId="77777777">
      <w:pPr>
        <w:pStyle w:val="NormalHanging12a"/>
        <w:jc w:val="left"/>
      </w:pPr>
      <w:r w:rsidRPr="00943E92">
        <w:t>–</w:t>
      </w:r>
      <w:r w:rsidRPr="00943E92">
        <w:tab/>
        <w:t>uwzględniając rozporządzenie Parlamentu Europejskiego i Rady (UE) 2021/1529 z dnia 15 września 2021 r. ustanawiające Instrument Pomocy Przedakcesyjnej (IPA III)</w:t>
      </w:r>
      <w:r>
        <w:rPr>
          <w:rStyle w:val="FootnoteReference"/>
        </w:rPr>
        <w:footnoteReference w:id="3"/>
      </w:r>
      <w:r w:rsidRPr="00943E92">
        <w:t>,</w:t>
      </w:r>
    </w:p>
    <w:p w:rsidR="00782150" w:rsidRPr="00943E92" w:rsidP="008F0A34" w14:paraId="19B8DF15" w14:textId="77777777">
      <w:pPr>
        <w:pStyle w:val="NormalHanging12a"/>
        <w:jc w:val="left"/>
      </w:pPr>
      <w:r w:rsidRPr="00943E92">
        <w:t>–</w:t>
      </w:r>
      <w:r w:rsidRPr="00943E92">
        <w:tab/>
        <w:t>uwzględniając rozporządzenie Parlamentu Europejskiego i Rady (UE) 2024/1449 z dnia 14 maja 2024 r. w sprawie ustanowienia Instrumentu Wsparcia Reform i Wzrostu Gospodarczego na Bałkanach Zachodnich</w:t>
      </w:r>
      <w:r>
        <w:rPr>
          <w:rStyle w:val="FootnoteReference"/>
        </w:rPr>
        <w:footnoteReference w:id="4"/>
      </w:r>
      <w:r w:rsidRPr="00943E92">
        <w:t>,</w:t>
      </w:r>
    </w:p>
    <w:p w:rsidR="00782150" w:rsidRPr="00943E92" w:rsidP="008F0A34" w14:paraId="6452F5BA" w14:textId="77777777">
      <w:pPr>
        <w:pStyle w:val="NormalHanging12a"/>
        <w:jc w:val="left"/>
      </w:pPr>
      <w:r w:rsidRPr="00943E92">
        <w:t>–</w:t>
      </w:r>
      <w:r w:rsidRPr="00943E92">
        <w:tab/>
        <w:t>uwzględniając konkluzje prezydencji z posiedzenia Rady Europejskiej w Salonikach w dniach 19–20 czerwca 2003 r.,</w:t>
      </w:r>
    </w:p>
    <w:p w:rsidR="00782150" w:rsidRPr="00943E92" w:rsidP="00782150" w14:paraId="5DA9DD40" w14:textId="277F0198">
      <w:pPr>
        <w:pStyle w:val="NormalHanging12a"/>
      </w:pPr>
      <w:r w:rsidRPr="00943E92">
        <w:t>–</w:t>
      </w:r>
      <w:r w:rsidRPr="00943E92">
        <w:tab/>
        <w:t xml:space="preserve">uwzględniając oświadczenia ze szczytów UE–Bałkany Zachodnie z </w:t>
      </w:r>
      <w:r w:rsidR="004A081B">
        <w:t xml:space="preserve">dnia </w:t>
      </w:r>
      <w:r w:rsidRPr="00943E92">
        <w:t xml:space="preserve">17 maja 2018 r., który odbył się w Sofii, i z </w:t>
      </w:r>
      <w:r w:rsidR="004A081B">
        <w:t xml:space="preserve">dnia </w:t>
      </w:r>
      <w:r w:rsidRPr="00943E92">
        <w:t>6 maja 2020 r., który odbył się w Zagrzebiu,</w:t>
      </w:r>
    </w:p>
    <w:p w:rsidR="00782150" w:rsidRPr="00943E92" w:rsidP="00782150" w14:paraId="5899C3AE" w14:textId="77777777">
      <w:pPr>
        <w:pStyle w:val="NormalHanging12a"/>
      </w:pPr>
      <w:r w:rsidRPr="00943E92">
        <w:t>–</w:t>
      </w:r>
      <w:r w:rsidRPr="00943E92">
        <w:tab/>
        <w:t xml:space="preserve">uwzględniając Konwencję ramową Rady Europy o ochronie mniejszości narodowych </w:t>
      </w:r>
      <w:r w:rsidRPr="00943E92">
        <w:t>ratyfikowaną przez Serbię w 2001 r. oraz Europejską kartę języków regionalnych lub mniejszościowych Rady Europy ratyfikowaną przez Serbię w 2006 r.,</w:t>
      </w:r>
    </w:p>
    <w:p w:rsidR="00782150" w:rsidRPr="00943E92" w:rsidP="008F0A34" w14:paraId="1DF4C57A" w14:textId="77777777">
      <w:pPr>
        <w:pStyle w:val="NormalHanging12a"/>
        <w:jc w:val="left"/>
      </w:pPr>
      <w:r w:rsidRPr="00943E92">
        <w:t>–</w:t>
      </w:r>
      <w:r w:rsidRPr="00943E92">
        <w:tab/>
        <w:t xml:space="preserve">uwzględniając briefing techniczny </w:t>
      </w:r>
      <w:r w:rsidRPr="00943E92">
        <w:t>Amnesty</w:t>
      </w:r>
      <w:r w:rsidRPr="00943E92">
        <w:t xml:space="preserve"> International opublikowany 27 marca 2025 r. pt. „Serbia: </w:t>
      </w:r>
      <w:r w:rsidRPr="00943E92">
        <w:t>journalists</w:t>
      </w:r>
      <w:r w:rsidRPr="00943E92">
        <w:t xml:space="preserve"> </w:t>
      </w:r>
      <w:r w:rsidRPr="00943E92">
        <w:t>targeted</w:t>
      </w:r>
      <w:r w:rsidRPr="00943E92">
        <w:t xml:space="preserve"> with </w:t>
      </w:r>
      <w:r w:rsidRPr="00943E92">
        <w:t>Pegasus</w:t>
      </w:r>
      <w:r w:rsidRPr="00943E92">
        <w:t xml:space="preserve"> spyware” [Inwigilacja serbskich dziennikarzy za pomocą oprogramowania szpiegowskiego </w:t>
      </w:r>
      <w:r w:rsidRPr="00943E92">
        <w:t>Pegasus</w:t>
      </w:r>
      <w:r w:rsidRPr="00943E92">
        <w:t xml:space="preserve">] (70/9186/2025 EUR), dokumentujący inwigilację dziennikarzy śledczych za pomocą oprogramowania szpiegowskiego </w:t>
      </w:r>
      <w:r w:rsidRPr="00943E92">
        <w:t>Pegasus</w:t>
      </w:r>
      <w:r w:rsidRPr="00943E92">
        <w:t>,</w:t>
      </w:r>
    </w:p>
    <w:p w:rsidR="00782150" w:rsidRPr="00943E92" w:rsidP="008F0A34" w14:paraId="524895F0" w14:textId="77777777">
      <w:pPr>
        <w:pStyle w:val="NormalHanging12a"/>
        <w:jc w:val="left"/>
      </w:pPr>
      <w:r w:rsidRPr="00943E92">
        <w:t>–</w:t>
      </w:r>
      <w:r w:rsidRPr="00943E92">
        <w:tab/>
        <w:t xml:space="preserve">uwzględniając sprawozdanie krajowe </w:t>
      </w:r>
      <w:r w:rsidRPr="00943E92">
        <w:t>Freedom</w:t>
      </w:r>
      <w:r w:rsidRPr="00943E92">
        <w:t xml:space="preserve"> House na temat wolności na świecie za 2026 r. dotyczące Serbii, opublikowane 19 marca 2026 r.,</w:t>
      </w:r>
    </w:p>
    <w:p w:rsidR="00782150" w:rsidRPr="00943E92" w:rsidP="008F0A34" w14:paraId="45ACF001" w14:textId="77777777">
      <w:pPr>
        <w:pStyle w:val="NormalHanging12a"/>
        <w:jc w:val="left"/>
      </w:pPr>
      <w:r w:rsidRPr="00943E92">
        <w:t>–</w:t>
      </w:r>
      <w:r w:rsidRPr="00943E92">
        <w:tab/>
        <w:t xml:space="preserve">uwzględniając światowy ranking wolności prasy za 2025 r. opublikowany przez Reporterów bez Granic 2 maja 2025 r., </w:t>
      </w:r>
    </w:p>
    <w:p w:rsidR="00782150" w:rsidRPr="00943E92" w:rsidP="008F0A34" w14:paraId="16802BB6" w14:textId="77777777">
      <w:pPr>
        <w:pStyle w:val="NormalHanging12a"/>
        <w:jc w:val="left"/>
      </w:pPr>
      <w:r w:rsidRPr="00943E92">
        <w:t>–</w:t>
      </w:r>
      <w:r w:rsidRPr="00943E92">
        <w:tab/>
        <w:t>uwzględniając spotkanie przywódców państw Bałkanów Zachodnich w sprawie planu wzrostu gospodarczego dla Bałkanów Zachodnich, które odbyło się 1 lipca 2025 r. w Skopje (Macedonia Północna),</w:t>
      </w:r>
    </w:p>
    <w:p w:rsidR="00782150" w:rsidRPr="00943E92" w:rsidP="008F0A34" w14:paraId="4E199452" w14:textId="77777777">
      <w:pPr>
        <w:pStyle w:val="NormalHanging12a"/>
        <w:jc w:val="left"/>
      </w:pPr>
      <w:r w:rsidRPr="00943E92">
        <w:t>–</w:t>
      </w:r>
      <w:r w:rsidRPr="00943E92">
        <w:tab/>
        <w:t>uwzględniając deklarację przyjętą 17 grudnia 2025 r. podczas szczytu UE–Bałkany Zachodnie,</w:t>
      </w:r>
    </w:p>
    <w:p w:rsidR="00782150" w:rsidRPr="00943E92" w:rsidP="008F0A34" w14:paraId="465BF843" w14:textId="5CDDAA52">
      <w:pPr>
        <w:pStyle w:val="NormalHanging12a"/>
        <w:jc w:val="left"/>
      </w:pPr>
      <w:r w:rsidRPr="00943E92">
        <w:t>–</w:t>
      </w:r>
      <w:r w:rsidRPr="00943E92">
        <w:tab/>
        <w:t xml:space="preserve">uwzględniając konkluzje prezydencji z </w:t>
      </w:r>
      <w:r w:rsidR="004A081B">
        <w:t xml:space="preserve">dnia </w:t>
      </w:r>
      <w:r w:rsidRPr="00943E92">
        <w:t>16 grudnia 2025 r. w sprawie rozszerzenia,</w:t>
      </w:r>
    </w:p>
    <w:p w:rsidR="00782150" w:rsidRPr="00943E92" w:rsidP="008F0A34" w14:paraId="51500073" w14:textId="77777777">
      <w:pPr>
        <w:pStyle w:val="NormalHanging12a"/>
        <w:jc w:val="left"/>
      </w:pPr>
      <w:r w:rsidRPr="00943E92">
        <w:t>–</w:t>
      </w:r>
      <w:r w:rsidRPr="00943E92">
        <w:tab/>
        <w:t>uwzględniając proces berliński zapoczątkowany 28 sierpnia 2014 r.,</w:t>
      </w:r>
    </w:p>
    <w:p w:rsidR="00782150" w:rsidRPr="00943E92" w:rsidP="008F0A34" w14:paraId="052E1B04" w14:textId="77777777">
      <w:pPr>
        <w:pStyle w:val="NormalHanging12a"/>
        <w:jc w:val="left"/>
      </w:pPr>
      <w:r w:rsidRPr="00943E92">
        <w:t>–</w:t>
      </w:r>
      <w:r w:rsidRPr="00943E92">
        <w:tab/>
        <w:t>uwzględniając wnioski przewodniczącego ze szczytu w sprawie procesu berlińskiego, który odbył się 22 października 2025 r.,</w:t>
      </w:r>
    </w:p>
    <w:p w:rsidR="00782150" w:rsidRPr="00943E92" w:rsidP="008F0A34" w14:paraId="54CF16C2" w14:textId="48F0BC21">
      <w:pPr>
        <w:pStyle w:val="NormalHanging12a"/>
        <w:jc w:val="left"/>
      </w:pPr>
      <w:r w:rsidRPr="00943E92">
        <w:t>–</w:t>
      </w:r>
      <w:r w:rsidRPr="00943E92">
        <w:tab/>
        <w:t xml:space="preserve">uwzględniając komunikat Komisji z </w:t>
      </w:r>
      <w:r w:rsidR="004A081B">
        <w:t xml:space="preserve">dnia </w:t>
      </w:r>
      <w:r w:rsidRPr="00943E92">
        <w:t>6 października 2020 r. pt. „Plan gospodarczo-inwestycyjny dla Bałkanów Zachodnich” (</w:t>
      </w:r>
      <w:hyperlink r:id="rId7" w:history="1">
        <w:r w:rsidRPr="00943E92">
          <w:t>COM(2020)0641</w:t>
        </w:r>
      </w:hyperlink>
      <w:r w:rsidRPr="00943E92">
        <w:t>),</w:t>
      </w:r>
    </w:p>
    <w:p w:rsidR="00782150" w:rsidRPr="00943E92" w:rsidP="008F0A34" w14:paraId="27A8F40F" w14:textId="7DA366C5">
      <w:pPr>
        <w:pStyle w:val="NormalHanging12a"/>
        <w:jc w:val="left"/>
      </w:pPr>
      <w:r w:rsidRPr="00943E92">
        <w:t>–</w:t>
      </w:r>
      <w:r w:rsidRPr="00943E92">
        <w:tab/>
        <w:t xml:space="preserve">uwzględniając komunikat Komisji z </w:t>
      </w:r>
      <w:r w:rsidR="004A081B">
        <w:t xml:space="preserve">dnia </w:t>
      </w:r>
      <w:r w:rsidRPr="00943E92">
        <w:t>8 listopada 2023 r. pt. „Nowy plan wzrostu gospodarczego dla Bałkanów Zachodnich” (</w:t>
      </w:r>
      <w:hyperlink r:id="rId8" w:history="1">
        <w:r w:rsidRPr="00943E92">
          <w:t>COM(2023)0691</w:t>
        </w:r>
      </w:hyperlink>
      <w:r w:rsidRPr="00943E92">
        <w:t>),</w:t>
      </w:r>
    </w:p>
    <w:p w:rsidR="00782150" w:rsidRPr="00943E92" w:rsidP="008F0A34" w14:paraId="17A7A64A" w14:textId="4C3990FB">
      <w:pPr>
        <w:pStyle w:val="NormalHanging12a"/>
        <w:jc w:val="left"/>
      </w:pPr>
      <w:r w:rsidRPr="00943E92">
        <w:t>–</w:t>
      </w:r>
      <w:r w:rsidRPr="00943E92">
        <w:tab/>
        <w:t xml:space="preserve">uwzględniając komunikat Komisji z </w:t>
      </w:r>
      <w:r w:rsidR="004A081B">
        <w:t xml:space="preserve">dnia </w:t>
      </w:r>
      <w:r w:rsidRPr="00943E92">
        <w:t>8 lipca 2025 r. pt. „Sprawozdanie na temat praworządności z 2025 r. – Sytuacja w zakresie praworządności w Unii Europejskiej” (</w:t>
      </w:r>
      <w:hyperlink r:id="rId9" w:history="1">
        <w:r w:rsidRPr="00943E92">
          <w:t>COM(2025)0900</w:t>
        </w:r>
      </w:hyperlink>
      <w:r w:rsidRPr="00943E92">
        <w:t>) oraz towarzyszący mu dokument roboczy służb Komisji pt. „Sprawozdanie na temat praworządności z 2025 r. – rozdział dotyczący sytuacji w zakresie praworządności w Serbii” (SWD(2025)0931),</w:t>
      </w:r>
    </w:p>
    <w:p w:rsidR="00782150" w:rsidRPr="00943E92" w:rsidP="008F0A34" w14:paraId="15A31943" w14:textId="2FA2178B">
      <w:pPr>
        <w:pStyle w:val="NormalHanging12a"/>
        <w:jc w:val="left"/>
      </w:pPr>
      <w:r w:rsidRPr="00943E92">
        <w:t>–</w:t>
      </w:r>
      <w:r w:rsidRPr="00943E92">
        <w:tab/>
        <w:t>uwzględniając komunikat Komisji z </w:t>
      </w:r>
      <w:r w:rsidR="004A081B">
        <w:t xml:space="preserve">dnia </w:t>
      </w:r>
      <w:r w:rsidRPr="00943E92">
        <w:t>4 listopada 2025 r. pt. „Komunikat w sprawie polityki rozszerzenia UE w 2025 r.” (</w:t>
      </w:r>
      <w:hyperlink r:id="rId10" w:history="1">
        <w:r w:rsidRPr="00943E92">
          <w:t>COM(2025)0690</w:t>
        </w:r>
      </w:hyperlink>
      <w:r w:rsidRPr="00943E92">
        <w:t>) oraz towarzyszący mu dokument roboczy służb Komisji pt. „Sprawozdanie za rok 2025 dotyczące Serbii” (SWD(2025)0755),</w:t>
      </w:r>
    </w:p>
    <w:p w:rsidR="00782150" w:rsidRPr="00943E92" w:rsidP="008F0A34" w14:paraId="2D0CD18B" w14:textId="719ADB2E">
      <w:pPr>
        <w:pStyle w:val="NormalHanging12a"/>
        <w:jc w:val="left"/>
      </w:pPr>
      <w:r w:rsidRPr="00943E92">
        <w:t>––</w:t>
      </w:r>
      <w:r w:rsidRPr="00943E92">
        <w:tab/>
        <w:t xml:space="preserve">uwzględniając pierwsze porozumienie w sprawie zasad dotyczących normalizacji stosunków między rządami Serbii i Kosowa z </w:t>
      </w:r>
      <w:r w:rsidR="004A081B">
        <w:t xml:space="preserve">dnia </w:t>
      </w:r>
      <w:r w:rsidRPr="00943E92">
        <w:t>19 kwietnia 2013 r., porozumienia z 25 sierpnia 2015 r. oraz bieżący dialog wspierany przez UE, który ma na celu normalizację stosunków,</w:t>
      </w:r>
    </w:p>
    <w:p w:rsidR="00782150" w:rsidRPr="00943E92" w:rsidP="008F0A34" w14:paraId="5FCF8FCB" w14:textId="78729674">
      <w:pPr>
        <w:pStyle w:val="NormalHanging12a"/>
        <w:jc w:val="left"/>
      </w:pPr>
      <w:r w:rsidRPr="00943E92">
        <w:t>–</w:t>
      </w:r>
      <w:r w:rsidRPr="00943E92">
        <w:tab/>
        <w:t xml:space="preserve">uwzględniając sprawozdanie końcowe misji obserwacji wyborów Organizacji </w:t>
      </w:r>
      <w:r w:rsidRPr="00943E92">
        <w:t xml:space="preserve">Bezpieczeństwa i Współpracy w Europie / Biura Instytucji Demokratycznych i Praw Człowieka (OBWE/ODIHR) z </w:t>
      </w:r>
      <w:r w:rsidR="004A081B">
        <w:t xml:space="preserve">dnia </w:t>
      </w:r>
      <w:r w:rsidRPr="00943E92">
        <w:t>19 sierpnia 2022 r. w sprawie przedterminowych wyborów parlamentarnych i prezydenckich przeprowadzonych 3 kwietnia 2022 r. w Serbii,</w:t>
      </w:r>
    </w:p>
    <w:p w:rsidR="00782150" w:rsidRPr="00943E92" w:rsidP="008F0A34" w14:paraId="38CC57D5" w14:textId="36707714">
      <w:pPr>
        <w:pStyle w:val="NormalHanging12a"/>
        <w:jc w:val="left"/>
      </w:pPr>
      <w:r w:rsidRPr="00943E92">
        <w:t>–</w:t>
      </w:r>
      <w:r w:rsidRPr="00943E92">
        <w:tab/>
        <w:t xml:space="preserve">uwzględniając ostateczne sprawozdanie misji obserwacji wyborów OBWE/ODIHR z </w:t>
      </w:r>
      <w:r w:rsidR="004A081B">
        <w:t xml:space="preserve">dnia </w:t>
      </w:r>
      <w:r w:rsidRPr="00943E92">
        <w:t>28 lutego 2024 r. w sprawie przedterminowych wyborów parlamentarnych, które odbyły się 17 grudnia 2023 r. w Serbii,</w:t>
      </w:r>
    </w:p>
    <w:p w:rsidR="00782150" w:rsidRPr="00943E92" w:rsidP="008F0A34" w14:paraId="12524E3D" w14:textId="77777777">
      <w:pPr>
        <w:pStyle w:val="NormalHanging12a"/>
        <w:jc w:val="left"/>
      </w:pPr>
      <w:r w:rsidRPr="00943E92">
        <w:t>–</w:t>
      </w:r>
      <w:r w:rsidRPr="00943E92">
        <w:tab/>
        <w:t>uwzględniając konkluzje Rady Europejskiej z grudnia 2006 r., konkluzje Rady z marca 2020 r. oraz konkluzje prezydencji Rady Europejskiej z posiedzenia w Kopenhadze 21–22 czerwca 1993 r., zwane również „kryteriami kopenhaskimi”,</w:t>
      </w:r>
    </w:p>
    <w:p w:rsidR="00782150" w:rsidRPr="00943E92" w:rsidP="008F0A34" w14:paraId="7A90350D" w14:textId="319262F2">
      <w:pPr>
        <w:pStyle w:val="NormalHanging12a"/>
        <w:jc w:val="left"/>
      </w:pPr>
      <w:r w:rsidRPr="00943E92">
        <w:t>–</w:t>
      </w:r>
      <w:r w:rsidRPr="00943E92">
        <w:tab/>
        <w:t xml:space="preserve">uwzględniając oświadczenia specjalnych sprawozdawców ONZ z </w:t>
      </w:r>
      <w:r w:rsidR="004A081B">
        <w:t xml:space="preserve">dnia </w:t>
      </w:r>
      <w:r w:rsidRPr="00943E92">
        <w:t>4 sierpnia 2025 r. w sprawie tłumienia ruchu studenckiego przez rząd serbski,</w:t>
      </w:r>
    </w:p>
    <w:p w:rsidR="00782150" w:rsidRPr="00943E92" w:rsidP="008F0A34" w14:paraId="09502B16" w14:textId="77777777">
      <w:pPr>
        <w:pStyle w:val="NormalHanging12a"/>
        <w:jc w:val="left"/>
        <w:rPr>
          <w:bCs/>
          <w:iCs/>
        </w:rPr>
      </w:pPr>
      <w:r w:rsidRPr="00943E92">
        <w:t>–</w:t>
      </w:r>
      <w:r w:rsidRPr="00943E92">
        <w:tab/>
        <w:t>uwzględniając art. 14 serbskiej konstytucji dotyczący ochrony mniejszości narodowych,</w:t>
      </w:r>
    </w:p>
    <w:p w:rsidR="00782150" w:rsidRPr="00943E92" w:rsidP="008F0A34" w14:paraId="6391AC1A" w14:textId="77777777">
      <w:pPr>
        <w:pStyle w:val="NormalHanging12a"/>
        <w:jc w:val="left"/>
      </w:pPr>
      <w:r w:rsidRPr="00943E92">
        <w:t>–</w:t>
      </w:r>
      <w:r w:rsidRPr="00943E92">
        <w:tab/>
        <w:t>uwzględniając swoje poprzednie rezolucje w sprawie Serbii, w szczególności rezolucję z 22 października 2025 r. w sprawie polaryzacji i zaostrzenia represji w Serbii rok po tragedii w Nowym Sadzie</w:t>
      </w:r>
      <w:r>
        <w:rPr>
          <w:rStyle w:val="FootnoteReference"/>
        </w:rPr>
        <w:footnoteReference w:id="5"/>
      </w:r>
      <w:r w:rsidRPr="00943E92">
        <w:t>,</w:t>
      </w:r>
    </w:p>
    <w:p w:rsidR="00782150" w:rsidRPr="00943E92" w:rsidP="008F0A34" w14:paraId="66845BBA" w14:textId="29954049">
      <w:pPr>
        <w:pStyle w:val="NormalHanging12a"/>
        <w:jc w:val="left"/>
      </w:pPr>
      <w:r w:rsidRPr="00943E92">
        <w:t>–</w:t>
      </w:r>
      <w:r w:rsidRPr="00943E92">
        <w:tab/>
        <w:t xml:space="preserve">uwzględniając swoją rezolucję z </w:t>
      </w:r>
      <w:r w:rsidR="004A081B">
        <w:t xml:space="preserve">dnia </w:t>
      </w:r>
      <w:r w:rsidRPr="00943E92">
        <w:t>11 marca 2026 r. w sprawie strategii rozszerzenia UE,</w:t>
      </w:r>
    </w:p>
    <w:p w:rsidR="00782150" w:rsidRPr="00943E92" w:rsidP="008F0A34" w14:paraId="7EBFD931" w14:textId="77777777">
      <w:pPr>
        <w:pStyle w:val="NormalHanging12a"/>
        <w:jc w:val="left"/>
      </w:pPr>
      <w:r w:rsidRPr="00943E92">
        <w:t>–</w:t>
      </w:r>
      <w:r w:rsidRPr="00943E92">
        <w:tab/>
        <w:t>uwzględniając wyjazd Komisji Spraw Zagranicznych do Serbii w dniach 22–24 stycznia 2026 r.,</w:t>
      </w:r>
    </w:p>
    <w:p w:rsidR="00782150" w:rsidRPr="00943E92" w:rsidP="008F0A34" w14:paraId="20FC18DA" w14:textId="77777777">
      <w:pPr>
        <w:pStyle w:val="NormalHanging12a"/>
        <w:jc w:val="left"/>
      </w:pPr>
      <w:r w:rsidRPr="00943E92">
        <w:t>–</w:t>
      </w:r>
      <w:r w:rsidRPr="00943E92">
        <w:tab/>
        <w:t>uwzględniając art. 55 Regulaminu,</w:t>
      </w:r>
    </w:p>
    <w:p w:rsidR="00782150" w:rsidRPr="00943E92" w:rsidP="00782150" w14:paraId="025213FA" w14:textId="77777777">
      <w:pPr>
        <w:pStyle w:val="NormalHanging12a"/>
      </w:pPr>
      <w:r w:rsidRPr="00943E92">
        <w:t>–</w:t>
      </w:r>
      <w:r w:rsidRPr="00943E92">
        <w:tab/>
        <w:t>uwzględniając sprawozdanie Komisji Spraw Zagranicznych (A10-0163/2026),</w:t>
      </w:r>
    </w:p>
    <w:p w:rsidR="00782150" w:rsidRPr="00943E92" w:rsidP="00782150" w14:paraId="21D51AD0" w14:textId="77777777">
      <w:pPr>
        <w:pStyle w:val="NormalHanging12a"/>
        <w:jc w:val="left"/>
      </w:pPr>
      <w:bookmarkStart w:id="6" w:name="_Hlk222741473"/>
      <w:r w:rsidRPr="00943E92">
        <w:t>A.</w:t>
      </w:r>
      <w:r w:rsidRPr="00943E92">
        <w:tab/>
        <w:t>mając na uwadze, że rozszerzenie jest najważniejszym narzędziem polityki zagranicznej UE oraz strategiczną geopolityczną inwestycją w długoterminowy pokój, stabilność, bezpieczeństwo i dobrobyt kontynentu;</w:t>
      </w:r>
    </w:p>
    <w:p w:rsidR="00782150" w:rsidRPr="00943E92" w:rsidP="00782150" w14:paraId="077271DD" w14:textId="77777777">
      <w:pPr>
        <w:pStyle w:val="NormalHanging12a"/>
        <w:jc w:val="left"/>
        <w:rPr>
          <w:bCs/>
          <w:iCs/>
        </w:rPr>
      </w:pPr>
      <w:r w:rsidRPr="00943E92">
        <w:t xml:space="preserve">B. </w:t>
      </w:r>
      <w:r w:rsidRPr="00943E92">
        <w:tab/>
        <w:t xml:space="preserve">mając na uwadze, że każdy kraj kandydujący jest oceniany w procesie rozszerzenia na podstawie własnych osiągnięć w wypełnianiu kryteriów kopenhaskich, a także na podstawie poszanowania wspólnych europejskich wartości i praw oraz niezachwianego zaangażowania na ich rzecz, ochrony mniejszości oraz dostosowania do polityki zagranicznej i bezpieczeństwa UE; mając na uwadze, że do członkostwa w UE nie ma dróg na skróty; </w:t>
      </w:r>
    </w:p>
    <w:p w:rsidR="00782150" w:rsidRPr="00943E92" w:rsidP="00782150" w14:paraId="4C86DCAA" w14:textId="04340336">
      <w:pPr>
        <w:pStyle w:val="NormalHanging12a"/>
        <w:jc w:val="left"/>
        <w:rPr>
          <w:bCs/>
          <w:iCs/>
        </w:rPr>
      </w:pPr>
      <w:r w:rsidRPr="00943E92">
        <w:t>C.</w:t>
      </w:r>
      <w:r w:rsidRPr="00943E92">
        <w:tab/>
        <w:t xml:space="preserve">mając na uwadze, że Serbia musi podjąć dodatkowe wysiłki w celu dalszego dostosowania swojej polityki zagranicznej do polityki zagranicznej i bezpieczeństwa UE, ponieważ niektóre działania, oświadczenia i kontakty na wysokim szczeblu, w tym udział prezydenta Serbii w paradzie wojskowej 9 maja </w:t>
      </w:r>
      <w:r w:rsidR="004A081B">
        <w:t xml:space="preserve">2025 r. </w:t>
      </w:r>
      <w:r w:rsidRPr="00943E92">
        <w:t>w Moskwie, są sprzeczne z kluczowymi stanowiskami UE w zakresie polityki zagranicznej, zwłaszcza w odniesieniu do Rosji;</w:t>
      </w:r>
    </w:p>
    <w:p w:rsidR="00782150" w:rsidRPr="00943E92" w:rsidP="00782150" w14:paraId="6CCC3421" w14:textId="77777777">
      <w:pPr>
        <w:pStyle w:val="NormalHanging12a"/>
        <w:jc w:val="left"/>
      </w:pPr>
      <w:r w:rsidRPr="00943E92">
        <w:t>D.</w:t>
      </w:r>
      <w:r w:rsidRPr="00943E92">
        <w:tab/>
        <w:t>mając na uwadze, że reformy związane z UE w Serbii znacznie spowolniły lub cofnęły się w kilku kluczowych obszarach, zwłaszcza w kwestiach podstawowych procesu akcesyjnego, takich jak praworządność, prawa podstawowe i wolność mediów; mając na uwadze, że Komisja odnotowała utrzymujące się niedociągnięcia w funkcjonowaniu instytucji demokratycznych; mając na uwadze, że do tej pory tylko dwa z 35 rozdziałów negocjacyjnych zostały tymczasowo zamknięte;</w:t>
      </w:r>
    </w:p>
    <w:p w:rsidR="00782150" w:rsidRPr="00943E92" w:rsidP="00782150" w14:paraId="70F8D60A" w14:textId="77777777">
      <w:pPr>
        <w:pStyle w:val="NormalHanging12a"/>
        <w:jc w:val="left"/>
      </w:pPr>
      <w:r w:rsidRPr="00943E92">
        <w:t>E.</w:t>
      </w:r>
      <w:r w:rsidRPr="00943E92">
        <w:tab/>
        <w:t>mając na uwadze, że w ostatnich latach prawa polityczne i wolności obywatelskie w Serbii są stale ograniczane przez rządzącą koalicję, co wywiera presję na niezależne media, środowisko akademickie, mniejszości etniczne, opozycję polityczną i organizacje społeczeństwa obywatelskiego, a jednocześnie systematycznie osłabia instytucje i zaciera granice między podmiotami politycznymi, państwem i władzą medialną;</w:t>
      </w:r>
    </w:p>
    <w:p w:rsidR="00782150" w:rsidRPr="00943E92" w:rsidP="00782150" w14:paraId="153827CF" w14:textId="77777777">
      <w:pPr>
        <w:pStyle w:val="NormalHanging12a"/>
        <w:jc w:val="left"/>
      </w:pPr>
      <w:r w:rsidRPr="00943E92">
        <w:t>F.</w:t>
      </w:r>
      <w:r w:rsidRPr="00943E92">
        <w:tab/>
        <w:t xml:space="preserve">mając na uwadze, że Serbia pozostaje krytycznym polem walki dla zagranicznych kampanii dezinformacyjnych, zwłaszcza prowadzonych przez Rosję i Chiny, których celem jest tworzenie antyzachodnich narracji, z których wiele jest również generowanych i rozpowszechnianych przez podmioty krajowe; mając na uwadze, że rosyjskie stacje propagandowe, takie jak RT </w:t>
      </w:r>
      <w:r w:rsidRPr="00943E92">
        <w:t>Balkan</w:t>
      </w:r>
      <w:r w:rsidRPr="00943E92">
        <w:t xml:space="preserve"> (dawniej Russia </w:t>
      </w:r>
      <w:r w:rsidRPr="00943E92">
        <w:t>Today</w:t>
      </w:r>
      <w:r w:rsidRPr="00943E92">
        <w:t xml:space="preserve">) i Sputnik, działają swobodnie w Serbii i wywierają znaczący wpływ na kształtowanie </w:t>
      </w:r>
      <w:r w:rsidRPr="00943E92">
        <w:t>antyunijnych</w:t>
      </w:r>
      <w:r w:rsidRPr="00943E92">
        <w:t xml:space="preserve"> i antydemokratycznych narracji oraz ich rozprzestrzenianie się w całym regionie; mając na uwadze, że narracje te wzmacniają krajowe media państwowe;</w:t>
      </w:r>
    </w:p>
    <w:p w:rsidR="00782150" w:rsidRPr="00943E92" w:rsidP="00782150" w14:paraId="265BF283" w14:textId="77777777">
      <w:pPr>
        <w:pStyle w:val="NormalHanging12a"/>
        <w:jc w:val="left"/>
      </w:pPr>
      <w:r w:rsidRPr="00943E92">
        <w:t>G.</w:t>
      </w:r>
      <w:r w:rsidRPr="00943E92">
        <w:tab/>
        <w:t>mając na uwadze, że według niezależnego monitoringu mediów w 2024 r. serbskie media wykazują ciągły regres demokracji, przy czym większość rządząca przejmuje ponad 90 % czasu antenowego w porze największej oglądalności w krajowych stacjach telewizyjnych i jest przedstawiana głównie w sposób neutralny lub pozytywny, podczas gdy opozycja otrzymuje mniej niż 10 % czasu antenowego i jest w dużej mierze prezentowana negatywnie;</w:t>
      </w:r>
    </w:p>
    <w:p w:rsidR="00782150" w:rsidRPr="00943E92" w:rsidP="00782150" w14:paraId="30735BEA" w14:textId="77777777">
      <w:pPr>
        <w:pStyle w:val="NormalHanging12a"/>
        <w:jc w:val="left"/>
      </w:pPr>
      <w:r w:rsidRPr="00943E92">
        <w:t>H.</w:t>
      </w:r>
      <w:r w:rsidRPr="00943E92">
        <w:tab/>
        <w:t>mając na uwadze, że zgodnie z rozdziałem 23 Serbia musi wykazać rzeczywistą poprawę w skutecznym korzystaniu z praw przez osoby należące do mniejszości narodowych; mając na uwadze, że wolność wyznania jest podstawową wartością europejską i podstawowym prawem człowieka; mając na uwadze, że w związku z tym Serbia jest zobowiązana do poszanowania i zagwarantowania tej wolności wszystkim osobom mieszkającym na jej terytorium, zgodnie ze swoimi zobowiązaniami międzynarodowymi i zobowiązaniami w zakresie praw człowieka;</w:t>
      </w:r>
    </w:p>
    <w:p w:rsidR="00782150" w:rsidRPr="00943E92" w:rsidP="00782150" w14:paraId="5499EF0E" w14:textId="77777777">
      <w:pPr>
        <w:pStyle w:val="NormalHanging12a"/>
        <w:jc w:val="left"/>
      </w:pPr>
      <w:r w:rsidRPr="00943E92">
        <w:t xml:space="preserve">I. </w:t>
      </w:r>
      <w:r w:rsidRPr="00943E92">
        <w:tab/>
        <w:t>mając na uwadze, że sytuacja społeczna w Serbii jest nadal trudna; mając na uwadze, że według UNICEF Serbia jest jednym z krajów o największych nierównościach w Europie; mając na uwadze, że w 2024 r. 13,6 % ludności doświadczyło poważnej deprywacji materialnej i społecznej, w 2023 r. wskaźnik zagrożenia ubóstwem lub wykluczeniem społecznym wyniósł 27,2 %, a bezrobocie młodzieży – 24,5 %; mając na uwadze, że ludność wiejska pozostaje szczególnie podatna na zagrożenia;</w:t>
      </w:r>
    </w:p>
    <w:p w:rsidR="00782150" w:rsidRPr="00943E92" w:rsidP="00782150" w14:paraId="3074DE21" w14:textId="77777777">
      <w:pPr>
        <w:pStyle w:val="NormalHanging12a"/>
        <w:jc w:val="left"/>
      </w:pPr>
      <w:r w:rsidRPr="00943E92">
        <w:t>J.</w:t>
      </w:r>
      <w:r w:rsidRPr="00943E92">
        <w:tab/>
        <w:t xml:space="preserve">mając na uwadze, że UE pozostaje głównym partnerem handlowym Serbii, odpowiadającym za 58,3 % całkowitej wymiany handlowej Serbii w 2024 r., a także jej podstawowym źródłem inwestycji i podmiotem udzielającym jej największej pomocy finansowej; mając na uwadze, że UE pozostaje zdecydowanie największym źródłem przekazów pieniężnych, które są wysyłane przez Serbów pracujących w UE i stanowią kluczowe i stabilne źródło dochodów dla wielu serbskich gospodarstw domowych, </w:t>
      </w:r>
      <w:r w:rsidRPr="00943E92">
        <w:t>przez co odgrywają istotną rolę w gospodarce kraju;</w:t>
      </w:r>
    </w:p>
    <w:p w:rsidR="00782150" w:rsidRPr="00943E92" w:rsidP="00782150" w14:paraId="0E7A5D00" w14:textId="77777777">
      <w:pPr>
        <w:pStyle w:val="NormalHanging12a"/>
        <w:jc w:val="left"/>
        <w:rPr>
          <w:b/>
          <w:i/>
        </w:rPr>
      </w:pPr>
      <w:r w:rsidRPr="00943E92">
        <w:rPr>
          <w:b/>
          <w:i/>
        </w:rPr>
        <w:t>Zaangażowanie na rzecz przystąpienia do UE</w:t>
      </w:r>
    </w:p>
    <w:p w:rsidR="00782150" w:rsidRPr="00943E92" w:rsidP="00782150" w14:paraId="074E87A5" w14:textId="77777777">
      <w:pPr>
        <w:pStyle w:val="NormalHanging12a"/>
        <w:jc w:val="left"/>
        <w:rPr>
          <w:bCs/>
          <w:iCs/>
        </w:rPr>
      </w:pPr>
      <w:r w:rsidRPr="00943E92">
        <w:t>1.</w:t>
      </w:r>
      <w:r w:rsidRPr="00943E92">
        <w:tab/>
        <w:t>podkreśla, że postępy na drodze do przystąpienia do UE, stanowiące proces rzeczywiście oparty na osiągnięciach, są uzależnione od pełnego poszanowania wartości UE oraz przestrzegania zasad demokracji, praworządności i praw podstawowych, z których wszystkie są zapisane w kryteriach kopenhaskich; podkreśla, że wiąże się to nie tylko z przyjęciem reform, ale również z ich dokładnym i pełnym wdrożeniem, ponieważ utrzymująca się luka między dostosowaniem przepisów a ich skutecznym wdrożeniem nadal osłabia postępy Serbii; podkreśla, że droga każdego państwa do integracji z UE musi być oceniana indywidualnie i że żadnego państwa nie należy wiązać z innym lub traktować jako części pakietu; podkreśla, że nie ma drogi na skróty, jeśli chodzi o wartości i podstawowe zasady UE, ponieważ przystąpienie do UE jest procesem technicznym i politycznym;</w:t>
      </w:r>
    </w:p>
    <w:p w:rsidR="00782150" w:rsidRPr="00943E92" w:rsidP="00782150" w14:paraId="6AB672B8" w14:textId="77777777">
      <w:pPr>
        <w:pStyle w:val="NormalHanging12a"/>
        <w:jc w:val="left"/>
      </w:pPr>
      <w:r w:rsidRPr="00943E92">
        <w:t>2.</w:t>
      </w:r>
      <w:r w:rsidRPr="00943E92">
        <w:tab/>
        <w:t xml:space="preserve">zauważa, że zgodnie ze sprawozdaniem Komisji z 2025 r. odnotowano pewien poziom przygotowania i częściowe wdrożenie zaleceń Komisji; ubolewa jednak, że główne zobowiązania Serbii określone w dokumencie roboczym z listopada 2024 r., mające na celu usunięcie przeszkód, które wciąż uniemożliwiają otwarcie klastra 3, pozostają w dużej mierze niezrealizowane; ubolewa w związku z tym nad niedawną podburzającą retoryką rządu wymierzoną w kraje, które nie poparły otwarcia klastra 3; </w:t>
      </w:r>
    </w:p>
    <w:p w:rsidR="00782150" w:rsidRPr="00943E92" w:rsidP="00782150" w14:paraId="745BFC5E" w14:textId="77777777">
      <w:pPr>
        <w:pStyle w:val="NormalHanging12a"/>
        <w:jc w:val="left"/>
      </w:pPr>
      <w:r w:rsidRPr="00943E92">
        <w:t>3.</w:t>
      </w:r>
      <w:r w:rsidRPr="00943E92">
        <w:tab/>
        <w:t>podkreśla, że należy zachować wiarygodność procesu rozszerzenia poprzez stosowanie rygorystycznych i sprawiedliwych warunków, przy jednoczesnym zapewnieniu należytego uznania wysiłków reformatorskich w stosownych przypadkach;</w:t>
      </w:r>
    </w:p>
    <w:p w:rsidR="00782150" w:rsidRPr="00943E92" w:rsidP="00782150" w14:paraId="07EDA833" w14:textId="77777777">
      <w:pPr>
        <w:pStyle w:val="NormalHanging12a"/>
        <w:jc w:val="left"/>
      </w:pPr>
      <w:r w:rsidRPr="00943E92">
        <w:t>4.</w:t>
      </w:r>
      <w:r w:rsidRPr="00943E92">
        <w:tab/>
        <w:t>przypomina o podjętym przez Serbię zobowiązaniu, że członkostwo w UE jest jej celem strategicznym, jednak zauważa, że deklarowane zobowiązania często nie znalazły odzwierciedlenia w praktyce, czego przykładem była m.in. nieobecność najwyższych przedstawicieli Serbii na szczycie UE–Bałkany Zachodnie w grudniu 2025 r.; podkreśla, że ta utrzymująca się rozbieżność wymaga wyjaśnienia europejskiego kursu obranego przez Serbię; wzywa Serbię do wyraźnego wykazania trwałego zaangażowania na rzecz wartości i standardów UE oraz do konsekwentnego realizowania jej zobowiązania na rzecz członkostwa w UE;</w:t>
      </w:r>
    </w:p>
    <w:p w:rsidR="00782150" w:rsidRPr="00943E92" w:rsidP="00782150" w14:paraId="435A5E5B" w14:textId="77777777">
      <w:pPr>
        <w:pStyle w:val="NormalHanging12a"/>
        <w:jc w:val="left"/>
      </w:pPr>
      <w:r w:rsidRPr="00943E92">
        <w:t>5.</w:t>
      </w:r>
      <w:r w:rsidRPr="00943E92">
        <w:tab/>
        <w:t xml:space="preserve">ponownie podkreśla, że Bałkany Zachodnie mają strategiczne znaczenie dla bezpieczeństwa i stabilności całej UE w obecnym kontekście geopolitycznym; wskazuje, że ze względu na rozmiar i położenie geopolityczne Serbia ma bezpośredni wpływ na ogólną stabilność regionu; w związku z tym potępia podejmowaną przez Serbię próbę ustanowienia strefy wpływów i jej działania podważające suwerenność krajów sąsiadujących; </w:t>
      </w:r>
    </w:p>
    <w:p w:rsidR="00782150" w:rsidRPr="00943E92" w:rsidP="00782150" w14:paraId="7CE29AE0" w14:textId="72CCA903">
      <w:pPr>
        <w:pStyle w:val="NormalHanging12a"/>
        <w:jc w:val="left"/>
      </w:pPr>
      <w:r w:rsidRPr="00943E92">
        <w:t>6.</w:t>
      </w:r>
      <w:r w:rsidRPr="00943E92">
        <w:tab/>
        <w:t>ponownie podkreśla, że Serbia pilnie musi jasno i konsekwentnie wykazać swoje ukierunkowanie geopolityczne na UE, w tym poprzez pełne dostosowanie się do wspólnej polityki zagranicznej i bezpieczeństwa UE (</w:t>
      </w:r>
      <w:r w:rsidRPr="00943E92">
        <w:t>WPZiB</w:t>
      </w:r>
      <w:r w:rsidRPr="00943E92">
        <w:t xml:space="preserve">), w szczególności do środków ograniczających wprowadzonych przez UE w kontekście rosyjskiej wojny napastniczej przeciwko Ukrainie, i wyraża poważne zaniepokojenie tym, że Serbia wciąż nie dostosowuje się w pełni do unijnej </w:t>
      </w:r>
      <w:r w:rsidRPr="00943E92">
        <w:t>WPZiB</w:t>
      </w:r>
      <w:r w:rsidRPr="00943E92">
        <w:t xml:space="preserve">; ubolewa, że poziom jej dostosowania należy do najniższych ze wszystkich krajów kandydujących; zauważa, że brak dostosowania Serbii do polityki zagranicznej UE, w tym nieprzyjęcie środków </w:t>
      </w:r>
      <w:r w:rsidRPr="00943E92">
        <w:t>ograniczających, jest niezgodny z jednym z celów szczegółowych określonych w art. 3 rozporządzenia w sprawie Instrumentu Wsparcia Reform i Wzrostu Gospodarczego</w:t>
      </w:r>
      <w:r>
        <w:rPr>
          <w:rStyle w:val="FootnoteReference"/>
        </w:rPr>
        <w:footnoteReference w:id="6"/>
      </w:r>
      <w:r w:rsidRPr="00943E92">
        <w:t>; ponownie wyraża pogląd, że pełne dostosowanie pozostaje niepodlegającym negocjacjom wymogiem przystąpienia; z zadowoleniem przyjmuje niedawne dostosowanie Serbii do decyzji Rady (</w:t>
      </w:r>
      <w:r w:rsidRPr="00943E92">
        <w:t>WPZiB</w:t>
      </w:r>
      <w:r w:rsidRPr="00943E92">
        <w:t>) 2026/438</w:t>
      </w:r>
      <w:r>
        <w:rPr>
          <w:rStyle w:val="FootnoteReference"/>
        </w:rPr>
        <w:footnoteReference w:id="7"/>
      </w:r>
      <w:r w:rsidRPr="00943E92">
        <w:t xml:space="preserve"> i (</w:t>
      </w:r>
      <w:r w:rsidR="00D374E4">
        <w:t>UE</w:t>
      </w:r>
      <w:r w:rsidRPr="00943E92">
        <w:t>) 2025/490</w:t>
      </w:r>
      <w:r>
        <w:rPr>
          <w:rStyle w:val="FootnoteReference"/>
        </w:rPr>
        <w:footnoteReference w:id="8"/>
      </w:r>
      <w:r w:rsidRPr="00943E92">
        <w:t>, przypominając jednak, że selektywne dostosowanie jest niewystarczające;</w:t>
      </w:r>
    </w:p>
    <w:p w:rsidR="00782150" w:rsidRPr="00943E92" w:rsidP="00782150" w14:paraId="1C5C9111" w14:textId="77777777">
      <w:pPr>
        <w:pStyle w:val="NormalHanging12a"/>
        <w:jc w:val="left"/>
      </w:pPr>
      <w:r w:rsidRPr="00943E92">
        <w:t>7.</w:t>
      </w:r>
      <w:r w:rsidRPr="00943E92">
        <w:tab/>
        <w:t xml:space="preserve">ubolewa, że Serbia nadal utrzymuje bliskie więzi i pogłębia partnerstwo z Rosją, co budzi obawy co do jej strategicznej orientacji i podważa wiarygodną drogę do członkostwa w UE; podkreśla, że droga Serbii do integracji z UE wymaga jasnego wyboru strategicznego; podkreśla, że polityka balansowania między UE a innymi podmiotami geopolitycznymi jest niezgodna z zaufaniem politycznym oczekiwanym od kraju kandydującego; wzywa władze serbskie do zaprzestania publicznych komunikatów i działań sprzecznych z kluczowymi stanowiskami UE w dziedzinie polityki zagranicznej i bezpieczeństwa; </w:t>
      </w:r>
    </w:p>
    <w:p w:rsidR="00782150" w:rsidRPr="00943E92" w:rsidP="00782150" w14:paraId="2635FF3C" w14:textId="77777777">
      <w:pPr>
        <w:pStyle w:val="NormalHanging12a"/>
        <w:jc w:val="left"/>
      </w:pPr>
      <w:r w:rsidRPr="00943E92">
        <w:t xml:space="preserve">8. </w:t>
      </w:r>
      <w:r w:rsidRPr="00943E92">
        <w:tab/>
        <w:t>jest głęboko zaniepokojony inwestycjami Rosji i Chin w Serbii oraz rosnącym wpływem tych krajów na procesy polityczne i gospodarcze w regionie; potępia wizytę wysokiego szczebla w Belgradzie w marcu 2026 r. ministra rozwoju gospodarczego Federacji Rosyjskiej, który znajduje się na unijnej liście sankcyjnej; wzywa do natychmiastowego zamknięcia tzw. rosyjsko-serbskiego centrum humanitarnego w Niszu, które zapewnia rosyjskiej agencji wywiadowczej GRU bazę do prowadzenia działań z kraju kandydującego, oraz wzywa Serbię do zakończenia wszelkiej współpracy wojskowej z Rosją, ponieważ budzi to uzasadnione wątpliwości co do strategicznej orientacji Serbii i jej dostosowania się do interesów bezpieczeństwa UE; potępia rosyjskie obce ingerencje w Serbii; przypomina, że Serbia jest aktywnie wykorzystywana jako regionalna platforma do rozpowszechniania dezinformacji i kampanii wprowadzających w błąd w całym regionie Bałkanów Zachodnich;</w:t>
      </w:r>
    </w:p>
    <w:p w:rsidR="00782150" w:rsidRPr="00943E92" w:rsidP="00782150" w14:paraId="008D7445" w14:textId="033CCAA3">
      <w:pPr>
        <w:pStyle w:val="NormalHanging12a"/>
        <w:jc w:val="left"/>
      </w:pPr>
      <w:r w:rsidRPr="00943E92">
        <w:t xml:space="preserve">9. </w:t>
      </w:r>
      <w:r w:rsidRPr="00943E92">
        <w:tab/>
        <w:t xml:space="preserve">wyraża zaniepokojenie trwającą koncentracją potencjału wojskowego Serbii w połączeniu z coraz bardziej wrogą retoryką wobec krajów sąsiadujących, a także pogłębieniem współpracy Serbii z Chinami w zakresie bezpieczeństwa i obrony, w tym ćwiczeniami sił specjalnych i rozszerzeniem porozumień strategicznych, a także rosnącą obecnością chińskich technologii bezpieczeństwa i nadzoru; zdecydowanie potępia niedawne nabycie przez Serbię chińskich pocisków balistycznych powietrze-ziemia CM-400AKG; ostrzega, że ta koncentracja potencjału wojskowego zmienia równowagę bezpieczeństwa regionalnego oraz zagraża stabilności regionalnej i stosunkom </w:t>
      </w:r>
      <w:r w:rsidRPr="00943E92">
        <w:t xml:space="preserve">dobrosąsiedzkim z sąsiadującymi państwami członkowskimi NATO; podkreśla, że takie zamówienia są sprzeczne z </w:t>
      </w:r>
      <w:r w:rsidRPr="00943E92">
        <w:t>WPZiB</w:t>
      </w:r>
      <w:r w:rsidRPr="00943E92">
        <w:t xml:space="preserve"> UE i budzą poważne wątpliwości co do orientacji geopolitycznej Serbii; podkreśla, że duże zamówienia w dziedzinie obronności od autorytarnych strategicznych konkurentów UE wymagają pełnej przejrzystości i starannej oceny ich wpływu na stabilność regionalną, interoperacyjność i deklarowaną przez Serbię orientację europejską;</w:t>
      </w:r>
      <w:r w:rsidR="008F0A34">
        <w:t xml:space="preserve"> </w:t>
      </w:r>
      <w:r w:rsidRPr="008F0A34" w:rsidR="008F0A34">
        <w:t>z zaniepokojeniem odnotowuje niedawne porozumienie o współpracy między serbską partią rządzącą a Komunistyczną Partią Chin, które budzi dodatkowe wątpliwości co do strategicznego zaangażowania Serbii w dążenie do integracji z UE;</w:t>
      </w:r>
    </w:p>
    <w:p w:rsidR="00782150" w:rsidRPr="00943E92" w:rsidP="00782150" w14:paraId="4DB23BE1" w14:textId="77777777">
      <w:pPr>
        <w:pStyle w:val="NormalHanging12a"/>
        <w:jc w:val="left"/>
      </w:pPr>
      <w:r w:rsidRPr="00943E92">
        <w:t>10.</w:t>
      </w:r>
      <w:r w:rsidRPr="00943E92">
        <w:tab/>
        <w:t>potępia fakt, że Serbia stała się dla rosyjskich służb wywiadowczych bazą do prowadzenia działań sabotażowych w Europie; wyraża poważne zaniepokojenie wiarygodnymi doniesieniami wskazującymi, że Serbia stała się kluczowym ośrodkiem operacyjnym rosyjskich działań hybrydowych i destabilizujących w Europie; odnotowuje w szczególności udokumentowane przypadki, w których osoby rekrutowane i finansowane przez podmioty powiązane z rosyjskim wywiadem prowadziły skoordynowane prowokacje i działania mające na celu podżeganie do napięć etnicznych i religijnych w państwach członkowskich UE; odnotowuje ponadto doniesienia o zorganizowanych sieciach działających z terytorium Serbii, w tym o szkoleniu i rozmieszczaniu osób w celu prowadzenia działań destabilizujących w innych krajach europejskich i w sąsiedztwie UE; wzywa władze serbskie do podjęcia natychmiastowych i skutecznych środków w celu prowadzenia dochodzeń w sprawie takich działań, zapobiegania im i ich ścigania;</w:t>
      </w:r>
    </w:p>
    <w:p w:rsidR="00782150" w:rsidRPr="00943E92" w:rsidP="00782150" w14:paraId="49B00526" w14:textId="77777777">
      <w:pPr>
        <w:pStyle w:val="NormalHanging12a"/>
        <w:jc w:val="left"/>
      </w:pPr>
      <w:r w:rsidRPr="00943E92">
        <w:t xml:space="preserve">11. </w:t>
      </w:r>
      <w:r w:rsidRPr="00943E92">
        <w:tab/>
        <w:t xml:space="preserve">wyraża ubolewanie z powodu wstrzymania się Serbii od głosu podczas głosowania nad rezolucją Zgromadzenia Ogólnego ONZ z lutego 2026 r. popierającą sprawiedliwy i trwały pokój na Ukrainie; uważa, że takie głosowania jeszcze bardziej osłabiają zaufanie do strategicznego zaangażowania Serbii na rzecz integracji europejskiej; </w:t>
      </w:r>
    </w:p>
    <w:p w:rsidR="00782150" w:rsidRPr="00943E92" w:rsidP="00782150" w14:paraId="00C26304" w14:textId="77777777">
      <w:pPr>
        <w:pStyle w:val="NormalHanging12a"/>
        <w:jc w:val="left"/>
        <w:rPr>
          <w:szCs w:val="24"/>
        </w:rPr>
      </w:pPr>
      <w:r w:rsidRPr="00943E92">
        <w:t>12.</w:t>
      </w:r>
      <w:r w:rsidRPr="00943E92">
        <w:tab/>
        <w:t>wyraża zaniepokojenie faktem, że Serbia zachowuje status obserwatora w Zgromadzeniu Parlamentarnym Organizacji Układu o Bezpieczeństwie Zbiorowym – strukturze bezpieczeństwa kierowanej przez Federację Rosyjską – i nadal wdraża umowę o wolnym handlu z Euroazjatycką Unią Gospodarczą;</w:t>
      </w:r>
    </w:p>
    <w:p w:rsidR="00782150" w:rsidRPr="00943E92" w:rsidP="00782150" w14:paraId="3C5D4C9F" w14:textId="77777777">
      <w:pPr>
        <w:pStyle w:val="NormalHanging12a"/>
        <w:jc w:val="left"/>
      </w:pPr>
      <w:r w:rsidRPr="00943E92">
        <w:t>13.</w:t>
      </w:r>
      <w:r w:rsidRPr="00943E92">
        <w:tab/>
        <w:t>ubolewa, że Serbia poczyniła ograniczone postępy w spełnianiu kryteriów członkostwa w UE w wielu innych rozdziałach negocjacyjnych lub nie poczyniła ich wcale; odnotowuje utworzenie zespołu operacyjnego mającego na celu przyspieszenie wdrażania reform związanych z UE; wzywa Serbię do podjęcia konkretnych i kompleksowych działań świadczących o jej zaangażowaniu we wdrażanie reform wymaganych na drodze do członkostwa w UE; przypomina, że negocjacje akcesyjne z Serbią mogą posunąć się do przodu dopiero wtedy, gdy Serbia dostosuje się do sankcji UE wobec Rosji oraz w oparciu o wymierne i trwałe postępy w klastrze dotyczącym kwestii podstawowych, a zwłaszcza w obszarze praworządności, wolnych i uczciwych wyborów, walki z korupcją i przestępczością zorganizowaną, niezawisłości sądów, wolności mediów i reformy administracji publicznej oraz funkcjonowania instytucji demokratycznych; wzywa Komisję do ścisłego stosowania zasady „najpierw kwestie podstawowe” oraz do odzwierciedlenia wszelkiego istotnego regresu w tempie i intensywności wsparcia finansowego udzielanego w ramach instrumentów przedakcesyjnych;</w:t>
      </w:r>
    </w:p>
    <w:p w:rsidR="00782150" w:rsidRPr="00943E92" w:rsidP="00782150" w14:paraId="62514421" w14:textId="77777777">
      <w:pPr>
        <w:pStyle w:val="NormalHanging12a"/>
        <w:jc w:val="left"/>
      </w:pPr>
      <w:r w:rsidRPr="00943E92">
        <w:t>14.</w:t>
      </w:r>
      <w:r w:rsidRPr="00943E92">
        <w:tab/>
        <w:t xml:space="preserve">przypomina, że przystąpienie do UE jest procesem obejmującym całe społeczeństwo, i </w:t>
      </w:r>
      <w:r w:rsidRPr="00943E92">
        <w:t>wzywa rząd Serbii do promowania wśród ludności Serbii znaczenia przystąpienia do UE oraz korzyści z niego płynących i obowiązków z nim związanych, a także wsparcia finansowego UE i reform związanych z przystąpieniem; wzywa UE i jej instytucje do zintensyfikowania działań komunikacyjnych i informacyjnych w Serbii, aby lepiej podkreślić wpływ wsparcia UE i płynące z niego korzyści;</w:t>
      </w:r>
    </w:p>
    <w:p w:rsidR="00782150" w:rsidRPr="00943E92" w:rsidP="00782150" w14:paraId="62AF9F85" w14:textId="77777777">
      <w:pPr>
        <w:pStyle w:val="NormalHanging12a"/>
        <w:jc w:val="left"/>
        <w:rPr>
          <w:bCs/>
          <w:iCs/>
        </w:rPr>
      </w:pPr>
      <w:r w:rsidRPr="00943E92">
        <w:t>15.</w:t>
      </w:r>
      <w:r w:rsidRPr="00943E92">
        <w:tab/>
        <w:t xml:space="preserve">ponownie wzywa Serbię do poczynienia wiarygodnych postępów i zwiększenia wysiłków na rzecz przeciwdziałania zagranicznym i krajowym manipulacjom informacjami i ingerencjom w informacje, w tym dezinformacji i </w:t>
      </w:r>
      <w:r w:rsidRPr="00943E92">
        <w:t>antyunijnej</w:t>
      </w:r>
      <w:r w:rsidRPr="00943E92">
        <w:t xml:space="preserve"> oraz antyzachodniej retoryce, które mają również negatywny wpływ poza Serbią w całym regionie;</w:t>
      </w:r>
    </w:p>
    <w:p w:rsidR="00782150" w:rsidRPr="00943E92" w:rsidP="00782150" w14:paraId="0687A2FD" w14:textId="77777777">
      <w:pPr>
        <w:pStyle w:val="NormalHanging12a"/>
        <w:jc w:val="left"/>
      </w:pPr>
      <w:r w:rsidRPr="00943E92">
        <w:t xml:space="preserve">16. </w:t>
      </w:r>
      <w:r w:rsidRPr="00943E92">
        <w:tab/>
        <w:t xml:space="preserve">ubolewa nad niskim poparciem dla członkostwa w UE w Serbii, które jest wynikiem długotrwałej manipulacyjnej narracji </w:t>
      </w:r>
      <w:r w:rsidRPr="00943E92">
        <w:t>antyunijnej</w:t>
      </w:r>
      <w:r w:rsidRPr="00943E92">
        <w:t xml:space="preserve"> rozpowszechnianej przez media kontrolowane przez rząd oraz przez niektórych wyższych urzędników serbskich i członków partii rządzącej, w tym na najwyższym szczeblu; apeluje do Serbii, aby zwalczała dezinformację, w tym na temat rosyjskiej agresji na Ukrainę, a w szczególności aby zakończyła własne, sponsorowane przez państwo kampanie dezinformacyjne, przy jednoczesnym promowaniu spójnej i konstruktywnej orientacji unijnej; wzywa UE do zacieśnienia współpracy z serbskimi organizacjami pozarządowymi w celu wzmocnienia odporności demokratycznej i przeciwdziałania zagrożeniom hybrydowym; wyraża głębokie ubolewanie z powodu ciągłej, spójnej i systematycznej antyzachodniej narracji w mediach serbskich, przy czym UE jest w przeważającej mierze przedstawiana w negatywnym świetle, podczas gdy Rosja, Chiny, a także – w coraz większym stopniu – Stany Zjednoczone, są przedstawiane w pozytywny sposób; </w:t>
      </w:r>
    </w:p>
    <w:p w:rsidR="00782150" w:rsidRPr="00943E92" w:rsidP="00782150" w14:paraId="1C846614" w14:textId="77777777">
      <w:pPr>
        <w:pStyle w:val="NormalHanging12a"/>
        <w:jc w:val="left"/>
      </w:pPr>
      <w:r w:rsidRPr="00943E92">
        <w:t>17.</w:t>
      </w:r>
      <w:r w:rsidRPr="00943E92">
        <w:tab/>
        <w:t xml:space="preserve">ze szczególnym zaniepokojeniem odnotowuje ustalenie Komisji, że Serbia nie podjęła żadnych działań w celu przeciwdziałania obcym manipulacjom informacjami i ingerencjom; wzywa Serbię do niezwłocznego przyjęcia i wdrożenia kompleksowych krajowych ram odporności demokratycznej, obejmujących jasne obowiązki instytucjonalne, regularną sprawozdawczość publiczną i ochronę niezależnych organów nadzoru; zachęca UE do wzmocnienia komunikacji strategicznej i obecności w Serbii w celu przeciwdziałania narracjom </w:t>
      </w:r>
      <w:r w:rsidRPr="00943E92">
        <w:t>antyunijnym</w:t>
      </w:r>
      <w:r w:rsidRPr="00943E92">
        <w:t>; wzywa władze serbskie do ścigania i likwidowania wszelkich sieci dezinformacyjnych działających z terytorium Serbii oraz do zacieśnienia współpracy z państwami członkowskimi UE i krajami partnerskimi w zakresie przeciwdziałania zagrożeniom hybrydowym i obcym ingerencjom; wzywa Komisję do wyjaśnienia z odnośnymi platformami internetowymi zawieszenia szeregu profili mediów znanych z krytykowania rządu serbskiego;</w:t>
      </w:r>
    </w:p>
    <w:p w:rsidR="00782150" w:rsidRPr="00943E92" w:rsidP="00782150" w14:paraId="1E4CE083" w14:textId="77777777">
      <w:pPr>
        <w:pStyle w:val="NormalHanging12a"/>
        <w:jc w:val="left"/>
      </w:pPr>
      <w:r w:rsidRPr="00943E92">
        <w:t>18.</w:t>
      </w:r>
      <w:r w:rsidRPr="00943E92">
        <w:tab/>
        <w:t>stanowczo odrzuca wszelkie zarzuty stawiane przez serbskich urzędników, jakoby UE i niektóre jej państwa członkowskie miały uczestniczyć w organizacji protestów studenckich trwających od listopada 2024 r. w celu wywołania „kolorowej rewolucji”; ubolewa nad faktem, że najwyżsi urzędnicy państwowi aktywnie rozpowszechniają teorie spiskowe, wedle których zawalenie się dachu jest aktem sabotażu lub atakiem terrorystycznym przeprowadzonym i popieranym przez państwa członkowskie UE; ponownie zdecydowanie potępia bezprawne aresztowanie i wydalenie obywateli UE, którzy złożyli oświadczenia popierające protestujących studentów; odrzuca również nieuzasadnione zarzuty władz serbskich, jakoby Chorwacja ingerowała w przebieg wyborów lokalnych w marcu 2026 r. i była w nie zaangażowana; potępia wszystkie takie fałszywe zarzuty;</w:t>
      </w:r>
    </w:p>
    <w:p w:rsidR="00782150" w:rsidRPr="00943E92" w:rsidP="00782150" w14:paraId="064DD3DD" w14:textId="77777777">
      <w:pPr>
        <w:pStyle w:val="NormalHanging12a"/>
        <w:jc w:val="left"/>
      </w:pPr>
      <w:r w:rsidRPr="00943E92">
        <w:t>19.</w:t>
      </w:r>
      <w:r w:rsidRPr="00943E92">
        <w:tab/>
        <w:t>potępia niedopuszczalne zachowanie, obelgi, oszczerstwa i nawoływanie do nienawiści pod adresem posłów do Parlamentu Europejskiego i innych polityków, w tym członków delegacji Komisji Spraw Zagranicznych do Serbii w styczniu 2026 r.; ubolewa w tym kontekście nad oświadczeniami prezydenta Serbii z września 2025 r., w których odnosi się on do posłów do Parlamentu Europejskiego w obraźliwy sposób;</w:t>
      </w:r>
    </w:p>
    <w:p w:rsidR="00782150" w:rsidRPr="00943E92" w:rsidP="00782150" w14:paraId="72C589B1" w14:textId="77777777">
      <w:pPr>
        <w:pStyle w:val="NormalHanging12a"/>
        <w:jc w:val="left"/>
      </w:pPr>
      <w:r w:rsidRPr="00943E92">
        <w:t>20.</w:t>
      </w:r>
      <w:r w:rsidRPr="00943E92">
        <w:tab/>
        <w:t>ponownie wyraża zaniepokojenie ugodowym podejściem Komisji do Serbii w kontekście trwającego od lat odchodzenia tego kraju od praworządności, demokracji i praw podstawowych, a także jego destabilizującego wpływu na cały region; wzywa Komisję, by stała na straży podstawowych wartości UE, używając klarowniejszego języka wobec Serbii i konsekwentnie odnosząc się do jej istotnych niedociągnięć, braku postępów, a nawet regresu; z zadowoleniem przyjmuje pierwsze postępy komisarz ds. rozszerzenia w usuwaniu niedociągnięć Serbii oraz zapowiedziane zawieszenie funduszy przeznaczonych dla Serbii w związku z reformami legislacyjnymi; ostrzega przed ewentualnymi systematycznymi próbami utrudniania przez Serbię przyspieszonych postępów krajów sąsiadujących na drodze do członkostwa w UE, zwłaszcza w kontekście stagnacji Serbii na ścieżce akcesyjnej; wzywa Serbię, by ściślej dostosowała swoją politykę wizową do unijnego wykazu państw trzecich, których obywatele muszą posiadać wizy;</w:t>
      </w:r>
    </w:p>
    <w:p w:rsidR="00782150" w:rsidRPr="00943E92" w:rsidP="00782150" w14:paraId="1F404549" w14:textId="77777777">
      <w:pPr>
        <w:pStyle w:val="NormalHanging12a"/>
        <w:jc w:val="left"/>
        <w:rPr>
          <w:b/>
          <w:bCs/>
          <w:i/>
          <w:iCs/>
        </w:rPr>
      </w:pPr>
      <w:r w:rsidRPr="00943E92">
        <w:rPr>
          <w:b/>
          <w:i/>
        </w:rPr>
        <w:t>Demokracja i praworządność</w:t>
      </w:r>
    </w:p>
    <w:p w:rsidR="00782150" w:rsidRPr="00943E92" w:rsidP="00782150" w14:paraId="7FAED044" w14:textId="77777777">
      <w:pPr>
        <w:spacing w:after="120"/>
        <w:ind w:left="567" w:hanging="567"/>
      </w:pPr>
      <w:r w:rsidRPr="00943E92">
        <w:t>21.</w:t>
      </w:r>
      <w:r w:rsidRPr="00943E92">
        <w:tab/>
        <w:t>wyraża zaniepokojenie pogłębiającym się kryzysem politycznym w Serbii w związku z masowymi protestami, do których dochodzi w całym kraju od listopada 2024 r. i które odzwierciedlają reakcję serbskich obywateli na systemową korupcję oraz brak rozliczalności i przejrzystości w tym kraju; zauważa, że misja informacyjna Parlamentu w styczniu 2026 r. wskazała na rosnącą polaryzację, ograniczony dialog parlamentarny i osłabienie zaufania instytucjonalnego jako główne czynniki przyczyniające się do tej sytuacji; jest zaniepokojony, że w wielu dziedzinach korupcja jest nadal powszechna i że postępy wymagają silnej woli politycznej, aby skutecznie zwalczać korupcję, a także zdecydowanej reakcji wymiaru sprawiedliwości w sprawach karnych dotyczących korupcji na wysokim szczeblu;</w:t>
      </w:r>
    </w:p>
    <w:p w:rsidR="00782150" w:rsidRPr="00943E92" w:rsidP="00782150" w14:paraId="7078BD3B" w14:textId="77777777">
      <w:pPr>
        <w:spacing w:after="120"/>
        <w:ind w:left="567" w:hanging="567"/>
      </w:pPr>
      <w:r w:rsidRPr="00943E92">
        <w:t>22.</w:t>
      </w:r>
      <w:r w:rsidRPr="00943E92">
        <w:tab/>
        <w:t xml:space="preserve">zauważa z zaniepokojeniem, że Serbia odnotowała najgorszy wynik od dwóch dekad według wskaźnika postrzegania korupcji za 2025 r. opracowanego przez </w:t>
      </w:r>
      <w:r w:rsidRPr="00943E92">
        <w:t>Transparency</w:t>
      </w:r>
      <w:r w:rsidRPr="00943E92">
        <w:t xml:space="preserve"> International; uważa, że jest to kolejny sygnał ostrzegawczy wskazujący na słabość instytucji i niewystarczającą rozliczalność; wyraża zadowolenie z przyjęcia krajowej strategii antykorupcyjnej na lata 2024–2026; wzywa władze serbskie do zapewnienia pełnej zgodności z zaleceniami serbskiej Rady Antykorupcyjnej; wyraża obawy co do niezależności serbskiej Agencji ds. Zapobiegania Korupcji; </w:t>
      </w:r>
    </w:p>
    <w:p w:rsidR="00782150" w:rsidRPr="00943E92" w:rsidP="00782150" w14:paraId="63007C70" w14:textId="77777777">
      <w:pPr>
        <w:pStyle w:val="NormalHanging12a"/>
        <w:jc w:val="left"/>
      </w:pPr>
      <w:r w:rsidRPr="00943E92">
        <w:t>23.</w:t>
      </w:r>
      <w:r w:rsidRPr="00943E92">
        <w:tab/>
        <w:t>odnotowuje, że wciąż toczy się śledztwo w sprawie zawalenia się dachu dworca kolejowego w Nowym Sadzie w 2024 r., i ubolewa, że nie poczyniono żadnych znaczących postępów; ubolewa nad brakiem jasności co do śledztwa, w tym sprzecznymi oświadczeniami urzędników, a także możliwą manipulacją lub niedbałym przekazywaniem dowodów; zdecydowanie potępia wszelkie nienależne naciski, jakim poddawana jest prokuratura prowadząca tę sprawę; ponownie apeluje o pełną przejrzystość, rozliczalność i niezawisłość sądów w odnośnych postępowaniach;</w:t>
      </w:r>
    </w:p>
    <w:p w:rsidR="00782150" w:rsidRPr="00943E92" w:rsidP="00782150" w14:paraId="24B2C635" w14:textId="77777777">
      <w:pPr>
        <w:pStyle w:val="NormalHanging12a"/>
        <w:jc w:val="left"/>
      </w:pPr>
      <w:r w:rsidRPr="00943E92">
        <w:t xml:space="preserve">24. </w:t>
      </w:r>
      <w:r w:rsidRPr="00943E92">
        <w:tab/>
        <w:t xml:space="preserve">przypomina, że tragedia w Nowym Sadzie obnażyła dalsze słabości strukturalne w serbskiej administracji publicznej oraz niedobory przejrzystości, rozliczalności i praworządności, które pozostają kluczowymi obszarami reform dla każdego kraju </w:t>
      </w:r>
      <w:r w:rsidRPr="00943E92">
        <w:t>kandydującego ubiegającego się o członkostwo w UE; ostrzega przed powtarzającym się schematem udzielania zamówień publicznych chińskim przedsiębiorstwom i realizowania zamówień przez chińskie przedsiębiorstwa, które nie zapewniają wystarczającej przejrzystości, kontroli publicznej ani rozliczalności, oraz podkreśla potrzebę zapewnienia pełnej zgodności z normami i zasadami UE dotyczącymi zamówień publicznych;</w:t>
      </w:r>
    </w:p>
    <w:p w:rsidR="00782150" w:rsidRPr="00943E92" w:rsidP="00782150" w14:paraId="796A99D8" w14:textId="77777777">
      <w:pPr>
        <w:spacing w:after="120"/>
        <w:ind w:left="567" w:hanging="567"/>
      </w:pPr>
      <w:r w:rsidRPr="00943E92">
        <w:t>25.</w:t>
      </w:r>
      <w:r w:rsidRPr="00943E92">
        <w:tab/>
        <w:t xml:space="preserve">uważa, że najlepszą metodą na rozwiązanie kryzysu politycznego w Serbii jest przeprowadzenie prawdziwie wolnych i uczciwych wyborów; apeluje o pełną realizację wszystkich zaleceń ODIHR w sposób przejrzysty i </w:t>
      </w:r>
      <w:r w:rsidRPr="00943E92">
        <w:t>inkluzywny</w:t>
      </w:r>
      <w:r w:rsidRPr="00943E92">
        <w:t xml:space="preserve"> oraz podkreśla, że wymaga to m.in. położenia kresu presji na wyborców, w tym zastraszaniu i kupowaniu głosów, skutecznego zapobiegania niewłaściwemu wykorzystywaniu zasobów publicznych i administracyjnych, zapewnienia równych warunków działania wszystkim podmiotom politycznym, podjęcia działań w celu rozwiązania problemu stronniczości mediów oraz położenia kresu bezkarności za nieprawidłowości wyborcze i powiązane przestępstwa, na co wielokrotnie zwracały uwagę ODIHR i Komisja;</w:t>
      </w:r>
    </w:p>
    <w:p w:rsidR="00782150" w:rsidRPr="00943E92" w:rsidP="00782150" w14:paraId="099CF553" w14:textId="77777777">
      <w:pPr>
        <w:pStyle w:val="NormalHanging12a"/>
        <w:jc w:val="left"/>
      </w:pPr>
      <w:r w:rsidRPr="00943E92">
        <w:t>26.</w:t>
      </w:r>
      <w:r w:rsidRPr="00943E92">
        <w:tab/>
        <w:t>zdecydowanie potępia wrogą atmosferę, jaka towarzyszyła wyborom samorządowym przeprowadzonym 29 marca 2026 r. w 10 gminach; podczas tych wyborów misje obserwacyjne odnotowały liczne przypadki przemocy, groźby oraz nieprawidłowości w głosowaniu, w tym zastraszanie i presję na wyborców, ataki na dziennikarzy, studentów, działaczy i obserwatorów, przemoc wokół lokali wyborczych, równoległe listy wyborcze i rejestry wyborców, kupowanie głosów, przewożenie wyborców z innych miast do lokali wyborczych, naloty na biura partii opozycyjnych, niewłaściwe wykorzystanie zasobów administracyjnych i brak równych warunków działania; wzywa władze krajowe do zapewnienia rozliczalności w drodze zdecydowanego, dokładnego i przejrzystego dochodzenia; odnotowuje wysoką frekwencję wyborczą jako pozytywną oznakę zaangażowania obywatelskiego; podkreśla, że wolne i uczciwe wybory wymagają skutecznej ochrony środowiska informacji wyborczej przed ukrytymi wpływami, skoordynowaną dezinformacją i nadużywaniem przewagi strukturalnej przez urzędujących; potępia atmosferę powszechnej przemocy i zastraszania, która regularnie panuje w Serbii w okresie wyborczym, gdzie zarówno dziennikarze, jak i obywatele spotykają się z systematycznymi utrudnieniami, groźbami fizycznej przemocy i bezpośrednimi atakami, co stanowi poważne pogorszenie się sytuacji demokratycznej, przy czym organy ścigania w wielu przypadkach nie podejmują żadnych działań;</w:t>
      </w:r>
    </w:p>
    <w:p w:rsidR="00782150" w:rsidRPr="00943E92" w:rsidP="00782150" w14:paraId="657C1C62" w14:textId="77777777">
      <w:pPr>
        <w:spacing w:after="120"/>
        <w:ind w:left="567" w:hanging="567"/>
      </w:pPr>
      <w:r w:rsidRPr="00943E92">
        <w:t>27.</w:t>
      </w:r>
      <w:r w:rsidRPr="00943E92">
        <w:tab/>
        <w:t>ponawia apel o rzetelne i kompletne wdrożenie ustawy o jednolitym rejestrze wyborców, w tym w odniesieniu do dotrzymywania terminów prawnych i zapewnienia pełnej i skutecznej współpracy wszystkich odnośnych instytucji państwowych w zakresie kontroli tego rejestru; przypomina, że poprawa rejestru wyborców pozostaje kluczowym zaleceniem ODIHR i warunkiem wstępnym wiarygodnych wyborów; podkreśla, że właściwe wdrożenie tych środków ma zasadnicze znaczenie dla zapewnienia zaufania publicznego do dokładności i uczciwości rejestru wyborców, a tym samym zaufania publicznego do procesu wyborczego;</w:t>
      </w:r>
    </w:p>
    <w:p w:rsidR="00782150" w:rsidRPr="00943E92" w:rsidP="00782150" w14:paraId="6559D462" w14:textId="77777777">
      <w:pPr>
        <w:pStyle w:val="NormalHanging12a"/>
        <w:jc w:val="left"/>
      </w:pPr>
      <w:r w:rsidRPr="00943E92">
        <w:t>28.</w:t>
      </w:r>
      <w:r w:rsidRPr="00943E92">
        <w:tab/>
        <w:t xml:space="preserve">wyraża ubolewanie z powodu nasilenia aktów przemocy, napaści fizycznych, nielegalnej inwigilacji i zastraszania dziennikarzy, które osiągnęły punkt kulminacyjny podczas wyborów samorządowych w marcu 2026 r. i były dokonywane przez zamaskowanych napastników; wzywa do zwiększenia rozliczalności sprawców i do ich ścigania; ponownie podkreśla znaczenie wolności prasy dla krajów kandydujących do UE; </w:t>
      </w:r>
    </w:p>
    <w:p w:rsidR="00782150" w:rsidRPr="00943E92" w:rsidP="00782150" w14:paraId="4235AC50" w14:textId="77777777">
      <w:pPr>
        <w:pStyle w:val="NormalHanging12a"/>
        <w:jc w:val="left"/>
        <w:rPr>
          <w:u w:val="single"/>
        </w:rPr>
      </w:pPr>
      <w:r w:rsidRPr="00943E92">
        <w:t>29.</w:t>
      </w:r>
      <w:r w:rsidRPr="00943E92">
        <w:tab/>
        <w:t xml:space="preserve">jest zaniepokojony rosnącą rolą obcych manipulacji informacjami i ingerencji (FIMI) oraz zagranicznych </w:t>
      </w:r>
      <w:r w:rsidRPr="00943E92">
        <w:t>cyberoperacji</w:t>
      </w:r>
      <w:r w:rsidRPr="00943E92">
        <w:t xml:space="preserve">, a także ingerencją w demokratyczne procesy wyborcze Serbii; </w:t>
      </w:r>
    </w:p>
    <w:p w:rsidR="00782150" w:rsidRPr="00943E92" w:rsidP="00782150" w14:paraId="20204471" w14:textId="77777777">
      <w:pPr>
        <w:pStyle w:val="NormalHanging12a"/>
        <w:jc w:val="left"/>
      </w:pPr>
      <w:r w:rsidRPr="00943E92">
        <w:t>30.</w:t>
      </w:r>
      <w:r w:rsidRPr="00943E92">
        <w:tab/>
        <w:t xml:space="preserve">z zaniepokojeniem odnotowuje trwające zmiany redakcyjne w mediach i potępia zwiększoną presję na pozostałych niezależnych nadawców medialnych w ramach szerszego procesu zawłaszczania mediów; potępia dalsze działanie RT </w:t>
      </w:r>
      <w:r w:rsidRPr="00943E92">
        <w:t>Balkan</w:t>
      </w:r>
      <w:r w:rsidRPr="00943E92">
        <w:t xml:space="preserve"> i Sputnik </w:t>
      </w:r>
      <w:r w:rsidRPr="00943E92">
        <w:t>Srbija</w:t>
      </w:r>
      <w:r w:rsidRPr="00943E92">
        <w:t>, które są wykorzystywane do propagowania prorosyjskich narracji i dezinformacji w regionie Bałkanów Zachodnich; przypomina, że sieci te są wykorzystywane do obchodzenia europejskich sankcji wobec Rosji; wzywa władze serbskie, by przeciwdziałały zagrożeniom hybrydowym i w pełni dostosowały się do decyzji Rady w sprawie zawieszenia działalności nadawczej stacji Sputnik i RT;</w:t>
      </w:r>
    </w:p>
    <w:p w:rsidR="00782150" w:rsidRPr="00943E92" w:rsidP="00782150" w14:paraId="10EE728E" w14:textId="77777777">
      <w:pPr>
        <w:pStyle w:val="NormalHanging12a"/>
        <w:jc w:val="left"/>
        <w:rPr>
          <w:bCs/>
          <w:iCs/>
        </w:rPr>
      </w:pPr>
      <w:r w:rsidRPr="00943E92">
        <w:t>31.</w:t>
      </w:r>
      <w:r w:rsidRPr="00943E92">
        <w:tab/>
        <w:t xml:space="preserve">wyraża poważne zaniepokojenie poprawkami przyjętymi przez Zgromadzenie Narodowe 28 stycznia 2026 r. w celu zmiany kluczowych ustaw sądowych w trybie pilnym, bez konsultacji publicznych, zaangażowania organów sądowych i odpowiedniego uzasadnienia; podkreśla, że stanowi to kolejny poważny krok wstecz na drodze Serbii do przystąpienia do UE, ponieważ jeszcze bardziej osłabia niezależność sądów i autonomię prokuratury; ubolewa nad faktem, że tzw. ustawy </w:t>
      </w:r>
      <w:r w:rsidRPr="00943E92">
        <w:t>Mrdicia</w:t>
      </w:r>
      <w:r w:rsidRPr="00943E92">
        <w:t xml:space="preserve"> zostały już wprowadzone w życie poprzez odwołanie prokuratorów ds. przestępczości zorganizowanej (TOK), co w praktyce oznacza cofnięcie postępów osiągniętych w reformach sądownictwa od czasu reformy konstytucyjnej z 2022 r., a tym samym sprawia, że apel o ich późniejsze uchylenie stał się bezprzedmiotowy; zauważa, że wstrzymano wdrażanie tych poprawek; wzywa do ich pilnego przeglądu, w pełni zgodnego z zaleceniami zawartymi w opinii Komisji Weneckiej, i wzywa władze serbskie do przedstawienia jasnego harmonogramu przywrócenia gwarancji niezależności sądów; wzywa Komisję do wstrzymania dalszych wypłat środków finansowych dla Serbii w ramach Instrumentu Wsparcia Reform i Wzrostu Gospodarczego na Bałkanach Zachodnich w kontekście przyjętych poprawek;</w:t>
      </w:r>
    </w:p>
    <w:p w:rsidR="00782150" w:rsidRPr="00943E92" w:rsidP="00782150" w14:paraId="26AD5A59" w14:textId="77777777">
      <w:pPr>
        <w:pStyle w:val="NormalHanging12a"/>
        <w:jc w:val="left"/>
      </w:pPr>
      <w:r w:rsidRPr="00943E92">
        <w:t>32.</w:t>
      </w:r>
      <w:r w:rsidRPr="00943E92">
        <w:tab/>
        <w:t>wyraża głębokie zaniepokojenie w związku z tym, że Serbia nie zapewniła ciągłości skutecznej współpracy sądowej z Agencją Unii Europejskiej ds. Współpracy Wymiarów Sprawiedliwości w Sprawach Karnych (</w:t>
      </w:r>
      <w:r w:rsidRPr="00943E92">
        <w:t>Eurojust</w:t>
      </w:r>
      <w:r w:rsidRPr="00943E92">
        <w:t xml:space="preserve">), ponieważ nie wyznaczyła na czas prokuratora łącznikowego, co doprowadziło do tymczasowego zamknięcia jej biura łącznikowego i negatywnie wpłynęło na bieżącą współpracę, przy czym według doniesień ponad 200 spraw zostało wstrzymanych lub boryka się z utrudnieniami; odnotowuje ponowne mianowanie prokuratora łącznikowego w </w:t>
      </w:r>
      <w:r w:rsidRPr="00943E92">
        <w:t>Eurojuście</w:t>
      </w:r>
      <w:r w:rsidRPr="00943E92">
        <w:t xml:space="preserve"> i wzywa Serbię do kontynuowania właściwej współpracy sądowej i traktowania współpracy sądowej z agencjami UE jako podstawowego zobowiązania akcesyjnego; wzywa władze serbskie do zapewnienia pełnego i spójnego zaangażowania jako warunku wstępnego dalszej wypłaty środków;</w:t>
      </w:r>
    </w:p>
    <w:p w:rsidR="00782150" w:rsidRPr="00943E92" w:rsidP="00782150" w14:paraId="636FDAFA" w14:textId="77777777">
      <w:pPr>
        <w:pStyle w:val="NormalHanging12a"/>
        <w:jc w:val="left"/>
      </w:pPr>
      <w:r w:rsidRPr="00943E92">
        <w:t>33.</w:t>
      </w:r>
      <w:r w:rsidRPr="00943E92">
        <w:tab/>
        <w:t xml:space="preserve">wyraża ponadto zaniepokojenie coraz częstszymi przypadkami wywierania bezprawnego wpływu na sądownictwo w Serbii, w tym publicznymi atakami na sędziów i prokuratorów, oświadczeniami politycznymi podważającymi ich niezależność oraz próbami wywierania na nich presji za pomocą środków instytucjonalnych i ustawodawczych; ostrzega, że takie praktyki mogą wywołać efekt mrożący w odniesieniu do niezależnego podejmowania decyzji i jeszcze bardziej podważyć zaufanie publiczne do systemu wymiaru sprawiedliwości; podkreśla, że niezależność sądów musi być skutecznie chroniona zarówno w prawie, jak i w praktyce; wzywa władze serbskie do powstrzymania się od wszelkich działań lub retoryki, które mogą </w:t>
      </w:r>
      <w:r w:rsidRPr="00943E92">
        <w:t xml:space="preserve">zagrozić niezależności sądownictwa, oraz do zapewnienia sędziom i prokuratorom bezpiecznego i sprzyjającego środowiska, by mogli wykonywać swoje obowiązki bez nacisków; potępia używanie przez serbskich urzędników języka nawołującego do przemocy; </w:t>
      </w:r>
    </w:p>
    <w:p w:rsidR="00782150" w:rsidRPr="00943E92" w:rsidP="00782150" w14:paraId="55309012" w14:textId="77777777">
      <w:pPr>
        <w:pStyle w:val="NormalHanging12a"/>
        <w:jc w:val="left"/>
      </w:pPr>
      <w:r w:rsidRPr="00943E92">
        <w:t>34.</w:t>
      </w:r>
      <w:r w:rsidRPr="00943E92">
        <w:tab/>
        <w:t xml:space="preserve">wyraża zaniepokojenie utrzymującymi się oznakami zawłaszczania państwa, w tym nadmiernym wpływem politycznym na kluczowe instytucje, organy regulacyjne i administrację publiczną; podkreśla, że wzmocnienie niezależności i rozliczalności instytucjonalnej ma zasadnicze znaczenie dla przywrócenia zaufania publicznego i dla postępów na drodze do Europy; </w:t>
      </w:r>
    </w:p>
    <w:p w:rsidR="00782150" w:rsidRPr="00943E92" w:rsidP="00782150" w14:paraId="4313E7EB" w14:textId="77777777">
      <w:pPr>
        <w:pStyle w:val="NormalHanging12a"/>
        <w:jc w:val="left"/>
      </w:pPr>
      <w:r w:rsidRPr="00943E92">
        <w:t>35.</w:t>
      </w:r>
      <w:r w:rsidRPr="00943E92">
        <w:tab/>
        <w:t xml:space="preserve">wyraża zaniepokojenie faktem, że ustanowiona w konstytucji rola i bezstronność urzędu prezydenta są dodatkowo podważane przez nieustanne działania wyborcze i partyjną aktywność, w tym poprzez umieszczanie nazwiska prezydenta na listach kandydatów w wyborach samorządowych; potępia niewłaściwe wykorzystywanie urzędu publicznego i funduszy publicznych do celów politycznych partii rządzącej, w tym między innymi kampanii wyborczej i mobilizacji wyborców, co ostatecznie prowadzi do zatarcia granic między państwem a partią rządzącą; </w:t>
      </w:r>
    </w:p>
    <w:p w:rsidR="00782150" w:rsidRPr="00943E92" w:rsidP="00782150" w14:paraId="6DB4F2FE" w14:textId="77777777">
      <w:pPr>
        <w:pStyle w:val="NormalHanging12a"/>
        <w:jc w:val="left"/>
      </w:pPr>
      <w:r w:rsidRPr="00943E92">
        <w:t>36.</w:t>
      </w:r>
      <w:r w:rsidRPr="00943E92">
        <w:tab/>
        <w:t>ubolewa, że przerwanie prac parlamentarnych w połączeniu ze stałym trybem kampanii i dużą polaryzacją przyczynia się do braku funkcjonalności Zgromadzenia Narodowego; potwierdza swoją gotowość, aby za pomocą istniejących narzędzi i inicjatyw Parlamentu Europejskiego służących demokracji wspierać Zgromadzenie Narodowe i jego członków w procesach demokratycznych związanych z europejskim kursem Serbii, w tym właściwe funkcjonowanie parlamentu zgodnie z jego regulaminem; zachęca do dalszego wzmacniania dialogu parlamentarnego UE–Serbia i konstruktywnego zaangażowania w prace Komisji Parlamentarnej ds. Stabilizacji i Stowarzyszenia Parlamentu Europejskiego;</w:t>
      </w:r>
    </w:p>
    <w:p w:rsidR="00782150" w:rsidRPr="00943E92" w:rsidP="00782150" w14:paraId="51DAE532" w14:textId="77777777">
      <w:pPr>
        <w:pStyle w:val="NormalHanging12a"/>
        <w:jc w:val="left"/>
      </w:pPr>
      <w:r w:rsidRPr="00943E92">
        <w:t>37.</w:t>
      </w:r>
      <w:r w:rsidRPr="00943E92">
        <w:tab/>
        <w:t>wyraża głębokie zaniepokojenie problemami systemowymi, o których zrobiło się głośno dzięki protestom studentów i różnym innym protestom w Serbii, takimi jak kwestie związane ze swobodami obywatelskimi, podziałem władzy, korupcją, ochroną środowiska oraz przejrzystością instytucjonalną i finansową, zwłaszcza w związku z projektami infrastrukturalnymi;</w:t>
      </w:r>
    </w:p>
    <w:p w:rsidR="00782150" w:rsidRPr="00943E92" w:rsidP="00782150" w14:paraId="559790CB" w14:textId="77777777">
      <w:pPr>
        <w:pStyle w:val="NormalHanging12a"/>
        <w:jc w:val="left"/>
      </w:pPr>
      <w:r w:rsidRPr="00943E92">
        <w:t>38.</w:t>
      </w:r>
      <w:r w:rsidRPr="00943E92">
        <w:tab/>
        <w:t xml:space="preserve">wyraża głębokie zaniepokojenie przyjęciem lex </w:t>
      </w:r>
      <w:r w:rsidRPr="00943E92">
        <w:t>specialis</w:t>
      </w:r>
      <w:r w:rsidRPr="00943E92">
        <w:t xml:space="preserve">, a następnie „autentyczną interpretacją” ustawy dotyczącej modernistycznego kompleksu </w:t>
      </w:r>
      <w:r w:rsidRPr="00943E92">
        <w:t>Generalštab</w:t>
      </w:r>
      <w:r w:rsidRPr="00943E92">
        <w:t xml:space="preserve"> w Belgradzie, która w praktyce uchyla ramy prawne dotyczące ochrony dziedzictwa kulturowego i podważa pewność prawa; podkreśla, że takie doraźne środki ustawodawcze osłabiają praworządność, przewidywalność prawa i ogólną integralność systemu prawnego; wzywa władze serbskie do uchylenia tych środków i zapewnienia pełnej zgodności z przepisami konstytucyjnymi, przepisami dotyczącymi ochrony dziedzictwa i planowania przestrzennego;</w:t>
      </w:r>
    </w:p>
    <w:p w:rsidR="00782150" w:rsidRPr="00943E92" w:rsidP="008F0A34" w14:paraId="329AAF96" w14:textId="77777777">
      <w:pPr>
        <w:pStyle w:val="NormalHanging12a"/>
        <w:jc w:val="left"/>
        <w:rPr>
          <w:bCs/>
          <w:iCs/>
        </w:rPr>
      </w:pPr>
      <w:r w:rsidRPr="00943E92">
        <w:t>39.</w:t>
      </w:r>
      <w:r w:rsidRPr="00943E92">
        <w:tab/>
        <w:t>przypomina, że zgodnie z warunkami określonymi w konstytucji ustawa o finansowaniu prowincji autonomicznej Wojwodina powinna była zostać przyjęta przed końcem 2008 r.; w związku z tym zachęca rząd, aby bez dalszej zwłoki przedstawił tę sprawę parlamentowi;</w:t>
      </w:r>
    </w:p>
    <w:p w:rsidR="00782150" w:rsidRPr="00943E92" w:rsidP="00782150" w14:paraId="734EE049" w14:textId="77777777">
      <w:pPr>
        <w:pStyle w:val="NormalHanging12a"/>
        <w:jc w:val="left"/>
        <w:rPr>
          <w:b/>
          <w:bCs/>
          <w:i/>
          <w:iCs/>
        </w:rPr>
      </w:pPr>
      <w:r w:rsidRPr="00943E92">
        <w:rPr>
          <w:b/>
          <w:i/>
        </w:rPr>
        <w:t>Podstawowe wolności i prawa człowieka</w:t>
      </w:r>
    </w:p>
    <w:p w:rsidR="00782150" w:rsidRPr="00943E92" w:rsidP="00782150" w14:paraId="33FF45B5" w14:textId="77777777">
      <w:pPr>
        <w:pStyle w:val="NormalHanging12a"/>
        <w:jc w:val="left"/>
      </w:pPr>
      <w:r w:rsidRPr="00943E92">
        <w:t>40.</w:t>
      </w:r>
      <w:r w:rsidRPr="00943E92">
        <w:tab/>
        <w:t>ponownie wyraża poparcie dla podstawowego prawa wszystkich obywateli Serbii, w tym studentów, do swobodnego wyrażania opinii i pokojowych protestów, w tym w celu wezwania do rozliczalności i reform demokratycznych bezpośrednio związanych z praworządnością, a także do dostosowania kraju do zasad i wartości UE;</w:t>
      </w:r>
    </w:p>
    <w:p w:rsidR="00782150" w:rsidRPr="00943E92" w:rsidP="00782150" w14:paraId="63220DE3" w14:textId="77777777">
      <w:pPr>
        <w:pStyle w:val="NormalHanging12a"/>
        <w:jc w:val="left"/>
      </w:pPr>
      <w:r w:rsidRPr="00943E92">
        <w:t>41.</w:t>
      </w:r>
      <w:r w:rsidRPr="00943E92">
        <w:tab/>
        <w:t xml:space="preserve">potępia fakt, że w ostatnim roku pokojowi demonstranci, studenci, działacze i dziennikarze byli poddawani wielu represjom, w tym nadmiernemu użyciu siły i przemocy ze strony policji, arbitralnym zatrzymaniom i aresztowaniom, wygnaniu politycznemu, nielegalnemu nadzorowi, nękaniu i zastraszaniu ze względu na płeć w </w:t>
      </w:r>
      <w:r w:rsidRPr="00943E92">
        <w:t>internecie</w:t>
      </w:r>
      <w:r w:rsidRPr="00943E92">
        <w:t>, w tym rozpowszechnianiu bez zgody treści intymnych, niewłaściwemu wykorzystywaniu danych osobowych z rejestrów publicznych do odwetu na pokojowych demonstrantach i innym formom zastraszania oraz bezprawnemu wydalaniu; apeluje o ukierunkowane sankcje wobec osób odpowiedzialnych za poważne i systematyczne naruszenia prawa i łamanie praw człowieka w Serbii;</w:t>
      </w:r>
    </w:p>
    <w:p w:rsidR="00782150" w:rsidRPr="00943E92" w:rsidP="00782150" w14:paraId="2C7BB534" w14:textId="77777777">
      <w:pPr>
        <w:pStyle w:val="NormalHanging12a"/>
        <w:jc w:val="left"/>
      </w:pPr>
      <w:r w:rsidRPr="00943E92">
        <w:t>42.</w:t>
      </w:r>
      <w:r w:rsidRPr="00943E92">
        <w:tab/>
        <w:t xml:space="preserve">potępia falę przemocy wywołaną przez nieformalne gangi mające bliskie powiązania z partią rządzącą, które działają bezkarnie i atakują demonstrantów; wzywa władze Serbii do zapewnienia ochrony osobom uczestniczącym w pokojowych protestach; </w:t>
      </w:r>
    </w:p>
    <w:p w:rsidR="00782150" w:rsidRPr="00943E92" w:rsidP="00782150" w14:paraId="20E34969" w14:textId="77777777">
      <w:pPr>
        <w:pStyle w:val="NormalHanging12a"/>
        <w:jc w:val="left"/>
      </w:pPr>
      <w:r w:rsidRPr="00943E92">
        <w:t>43.</w:t>
      </w:r>
      <w:r w:rsidRPr="00943E92">
        <w:tab/>
        <w:t>apeluje o pilne, bezstronne i przejrzyste dochodzenia w sprawie wszystkich zarzutów dotyczących niepotrzebnego i nieproporcjonalnego użycia siły i bezprawnej inwigilacji demonstrantów; wzywa władze do zaprzestania ataków na obywateli w związku z ich legalną działalnością oraz do zapewnienia pełnego poszanowania praw politycznych;</w:t>
      </w:r>
    </w:p>
    <w:p w:rsidR="00782150" w:rsidRPr="00943E92" w:rsidP="00782150" w14:paraId="4A83F97E" w14:textId="77777777">
      <w:pPr>
        <w:pStyle w:val="NormalHanging12a"/>
        <w:jc w:val="left"/>
      </w:pPr>
      <w:r w:rsidRPr="00943E92">
        <w:t>44.</w:t>
      </w:r>
      <w:r w:rsidRPr="00943E92">
        <w:tab/>
        <w:t xml:space="preserve">jest nadal głęboko zaniepokojony doniesieniami m.in. </w:t>
      </w:r>
      <w:r w:rsidRPr="00943E92">
        <w:t>Amnesty</w:t>
      </w:r>
      <w:r w:rsidRPr="00943E92">
        <w:t xml:space="preserve"> International i Fundacji SHARE, wskazującymi, że władze serbskie wykorzystywały nielegalne oprogramowanie szpiegowskie, takie jak </w:t>
      </w:r>
      <w:r w:rsidRPr="00943E92">
        <w:t>Pegasus</w:t>
      </w:r>
      <w:r w:rsidRPr="00943E92">
        <w:t>, do nadzorowania działaczy, dziennikarzy, członków społeczeństwa obywatelskiego i obywateli, oraz jest głęboko zaniepokojony brakiem reakcji odpowiednich instytucjonalnych lub niezależnych mechanizmów nadzorczych na przypadki stosowania oprogramowania szpiegowskiego; wzywa rząd Serbii do natychmiastowego zaprzestania takich praktyk, dokładnego zbadania wszystkich spraw i pociągnięcia winnych do odpowiedzialności; wzywa Komisję do podjęcia działań następczych w związku z tymi incydentami i do nakłonienia władz serbskich do zapewnienia pełnego i niezależnego dochodzenia; zdecydowanie potępia niedopuszczalne oświadczenia serbskiego ministra informacji i telekomunikacji z 4 kwietnia 2026 r. dotyczące przemocy policji wobec obywateli; wyraża głębokie zaniepokojenie wykorzystywaniem strategicznych powództw zmierzających do stłumienia debaty publicznej (SLAPP) przeciwko dziennikarzom śledczym i działaczom społeczeństwa obywatelskiego;</w:t>
      </w:r>
    </w:p>
    <w:p w:rsidR="00782150" w:rsidRPr="00943E92" w:rsidP="00782150" w14:paraId="44072107" w14:textId="3582038F">
      <w:pPr>
        <w:pStyle w:val="NormalHanging12a"/>
        <w:jc w:val="left"/>
      </w:pPr>
      <w:r w:rsidRPr="00943E92">
        <w:t>45.</w:t>
      </w:r>
      <w:r w:rsidRPr="00943E92">
        <w:tab/>
        <w:t xml:space="preserve">wyraża głębokie zaniepokojenie wiarygodnymi zarzutami dotyczącymi użycia broni akustycznej przeciwko pokojowym demonstrantom; odnotowuje brak szybkiego i przejrzystego dochodzenia w sprawie tego incydentu; przypomina o środku tymczasowym Rady Europy z kwietnia 2025 r. dotyczącym ochrony demonstrantów i podkreśla, że niezbadanie takich zarzutów może stanowić naruszenie europejskiej konwencji praw człowieka; wzywa władze serbskie do przeprowadzenia natychmiastowego i bezstronnego dochodzenia oraz do zapewnienia rozliczalności; zwraca uwagę, że Serbia kupuje chiński sprzęt i oprogramowanie po obniżonych cenach w celu wzmocnienia nadzoru nad swoimi obywatelami, w szczególności poprzez wdrożenie rozległych systemów nadzoru wideo i zaawansowane rozpoznawanie twarzy w przestrzeni publicznej dzięki współpracy z </w:t>
      </w:r>
      <w:r w:rsidRPr="00943E92">
        <w:t>Huawei</w:t>
      </w:r>
      <w:r w:rsidRPr="00943E92">
        <w:t xml:space="preserve"> w ramach projektu „Bezpieczne </w:t>
      </w:r>
      <w:r w:rsidRPr="00943E92">
        <w:t xml:space="preserve">miasto” realizowanego w Belgradzie; wyraża poważne zaniepokojenie doniesieniami, że władze serbskie wykorzystały fundusze przedakcesyjne UE do zakupu oprogramowania biometrycznego i kryminalistycznego od </w:t>
      </w:r>
      <w:r w:rsidRPr="00943E92">
        <w:t>Papilon</w:t>
      </w:r>
      <w:r w:rsidRPr="00943E92">
        <w:t>, rosyjskiego przedsiębiorstwa objętego sankcjami UE; wzywa Komisję do zapewnienia pełnej zgodności z unijnymi środkami ograniczającymi we wszystkich programach finansowanych przez UE;</w:t>
      </w:r>
      <w:r w:rsidR="008F0A34">
        <w:t xml:space="preserve"> </w:t>
      </w:r>
      <w:r w:rsidRPr="008F0A34" w:rsidR="008F0A34">
        <w:t xml:space="preserve">ubolewa nad prowadzoną przez władze serbskie kampanią zastraszania wymierzoną w pokojowo działających studentów, dziennikarzy i aktywistów, w której wykorzystuje się kontrowersyjny raport rosyjskiej Federalnej Służby Bezpieczeństwa (FSB), by fałszywie oskarżać protestujących o użycie armaty dźwiękowej podczas protestu na placu </w:t>
      </w:r>
      <w:r w:rsidRPr="008F0A34" w:rsidR="008F0A34">
        <w:t>Sławija</w:t>
      </w:r>
      <w:r w:rsidRPr="008F0A34" w:rsidR="008F0A34">
        <w:t xml:space="preserve"> w Belgradzie 15 marca 2025 r.; podkreśla, że wykorzystywanie strachu jako broni do tłumienia sprzeciwu obywatelskiego jest całkowicie niedopuszczalne i niezgodne z podstawowymi wartościami UE; zdecydowanie potępia ostatnie ataki najwyższych rangą serbskich urzędników na posłów do Parlamentu Europejskiego, w tym fałszywe oskarżenia, jakoby rozpowszechniali oni kłamstwa i błędne informacje na temat protestu;</w:t>
      </w:r>
    </w:p>
    <w:p w:rsidR="00782150" w:rsidRPr="00943E92" w:rsidP="00782150" w14:paraId="608AE39B" w14:textId="77777777">
      <w:pPr>
        <w:pStyle w:val="NormalHanging12a"/>
        <w:jc w:val="left"/>
      </w:pPr>
      <w:r w:rsidRPr="00943E92">
        <w:t>46.</w:t>
      </w:r>
      <w:r w:rsidRPr="00943E92">
        <w:tab/>
        <w:t>wyraża głębokie zaniepokojenie nasileniem ataków werbalnych, kampanii oszczerstw i nacisków na organizacje społeczeństwa obywatelskiego opowiadające się za praworządnością;</w:t>
      </w:r>
      <w:r w:rsidRPr="00943E92">
        <w:rPr>
          <w:i/>
        </w:rPr>
        <w:t xml:space="preserve"> </w:t>
      </w:r>
      <w:r w:rsidRPr="00943E92">
        <w:t xml:space="preserve">wyraża ponadto zaniepokojenie faktem, że organizacje społeczeństwa obywatelskiego w Serbii stoją przed coraz większymi wyzwaniami, w tym restrykcyjnymi warunkami, ograniczeniami finansowania, nalotami policyjnymi i innymi formami zastraszania ze strony władz państwowych; podkreśla, jak ważne są warunki umożliwiające lokalnym, dynamicznym organizacjom społeczeństwa obywatelskiego uczestniczenie w kształtowaniu polityki, w tym w procesach integracji z UE, w sposób </w:t>
      </w:r>
      <w:r w:rsidRPr="00943E92">
        <w:t>inkluzywny</w:t>
      </w:r>
      <w:r w:rsidRPr="00943E92">
        <w:t xml:space="preserve"> i konstruktywny; wzywa władze, by zapewniły społeczeństwu obywatelskiemu bezpieczne środowisko do swobodnego działania oraz by powstrzymały się od wszelkich działań podważających jego niezależność i pracę; potępia pogorszenie się warunków pracy dziennikarzy i mediów; wzywa Serbię do odwrócenia regresu w zakresie wolności słowa; zauważa z zaniepokojeniem, że w 2025 r. Serbia osiągnęła najniższy w historii wynik w światowym rankingu wolności prasy, zajmując 96. miejsce na 180 krajów, co plasuje ją na przedostatnim miejscu w Europie;</w:t>
      </w:r>
    </w:p>
    <w:p w:rsidR="00782150" w:rsidRPr="00943E92" w:rsidP="00782150" w14:paraId="4B4A97E3" w14:textId="77777777">
      <w:pPr>
        <w:pStyle w:val="NormalHanging12a"/>
        <w:jc w:val="left"/>
      </w:pPr>
      <w:r w:rsidRPr="00943E92">
        <w:t>47.</w:t>
      </w:r>
      <w:r w:rsidRPr="00943E92">
        <w:tab/>
        <w:t>wyraża głębokie zaniepokojenie tworzeniem wrogiego środowiska dla niezależnych mediów i poszczególnych dziennikarzy poprzez ataki słowne ze strony najwyższych osobistości politycznych; wyraża poważne zaniepokojenie wzrostem liczby odnotowanych ataków na dziennikarzy w ubiegłym roku, w połączeniu ze spadkiem wskaźników ścigania, co sprzyja bezkarności; podkreśla utrzymujące się problemy strukturalne związane z własnością mediów, niewystarczającym nadzorem regulacyjnym i brakiem prawdziwego pluralizmu mediów; z zaniepokojeniem odnotowuje koncentrację własności mediów i nieproporcjonalny wpływ mediów prorządowych, co ogranicza pluralizm i przyczynia się do rozpowszechniania dezinformacji; wzywa władze serbskie do zapewnienia prawdziwie niezależnego i zróżnicowanego środowiska medialnego zgodnie ze standardami europejskimi;</w:t>
      </w:r>
    </w:p>
    <w:p w:rsidR="00782150" w:rsidRPr="00943E92" w:rsidP="00782150" w14:paraId="07B1AC7F" w14:textId="77777777">
      <w:pPr>
        <w:spacing w:after="120"/>
        <w:ind w:left="567" w:hanging="567"/>
      </w:pPr>
      <w:r w:rsidRPr="00943E92">
        <w:t>48.</w:t>
      </w:r>
      <w:r w:rsidRPr="00943E92">
        <w:tab/>
        <w:t xml:space="preserve">z poważnym zaniepokojeniem zauważa, że serbski organ regulacyjny ds. mediów elektronicznych (REM) nadal nie jest w stanie skutecznie funkcjonować, ponieważ wciąż nie posiada pełnoprawnej i działającej rady, niezależnej od ingerencji politycznych; przypomina, że Zgromadzenie Narodowe drugi rok z rzędu nie wybrało członków Rady REM; podkreśla, że ciągły paraliż REM osłabia nadzór regulacyjny w okresie zwiększonej polaryzacji politycznej; przypomina, że Komisja wielokrotnie </w:t>
      </w:r>
      <w:r w:rsidRPr="00943E92">
        <w:t xml:space="preserve">podkreślała potrzebę w pełni funkcjonującego i niezależnego REM jako kluczowego zabezpieczenia pluralizmu mediów; podkreśla kluczowe znaczenie zapewnienia niezależności i skutecznego funkcjonowania REM; z zadowoleniem przyjmuje udział organizacji społeczeństwa obywatelskiego, stowarzyszeń zawodowych i innych upoważnionych wnioskodawców w pluralistycznym procesie wyboru pomimo nieprawidłowości i naruszeń proceduralnych oraz uważa, że taki udział uwypukla potrzebę uznania wyniku procesu w celu usunięcia podstaw do wycofania należycie wybranych kandydatów; uważa, że wiarygodność zarówno procesu, jak i przyszłej Rady REM można przywrócić jedynie poprzez powrót do zgodnego z prawem etapu procedury i uznanie wyniku najnowszego </w:t>
      </w:r>
      <w:r w:rsidRPr="00943E92">
        <w:t>inkluzywnego</w:t>
      </w:r>
      <w:r w:rsidRPr="00943E92">
        <w:t xml:space="preserve"> procesu selekcji; </w:t>
      </w:r>
    </w:p>
    <w:p w:rsidR="00782150" w:rsidRPr="00943E92" w:rsidP="00782150" w14:paraId="46332D1F" w14:textId="77777777">
      <w:pPr>
        <w:pStyle w:val="NormalHanging12a"/>
        <w:jc w:val="left"/>
      </w:pPr>
      <w:r w:rsidRPr="00943E92">
        <w:t>49.</w:t>
      </w:r>
      <w:r w:rsidRPr="00943E92">
        <w:tab/>
        <w:t>obawia się o niezależność, wiarygodność i integralność serbskiego krajobrazu medialnego; podkreśla w szczególności rozpowszechnianie dezinformacji i prorosyjskiej propagandy przez media powiązane z państwem; wzywa rząd Serbii do podjęcia odpowiednich środków w celu zapewnienia przejrzystości mediów, dokładności informacji i poszanowania standardów dziennikarskich; wzywa Serbię do odwrócenia regresu w zakresie wolności mediów i do dostosowania się do europejskiego aktu o wolności mediów</w:t>
      </w:r>
      <w:r>
        <w:rPr>
          <w:rStyle w:val="FootnoteReference"/>
        </w:rPr>
        <w:footnoteReference w:id="9"/>
      </w:r>
      <w:r w:rsidRPr="00943E92">
        <w:t xml:space="preserve">; podkreśla, że wzmocnienie umiejętności korzystania z mediów i umiejętności cyfrowych ma zasadnicze znaczenie dla przeciwdziałania dezinformacji, obcym manipulacjom informacjami i ingerencjom oraz </w:t>
      </w:r>
      <w:r w:rsidRPr="00943E92">
        <w:t>antyunijnym</w:t>
      </w:r>
      <w:r w:rsidRPr="00943E92">
        <w:t xml:space="preserve"> narracjom, a także dla wzmocnienia odporności demokratycznej; wzywa Serbię do dalszego rozwijania i wdrażania kompleksowych i </w:t>
      </w:r>
      <w:r w:rsidRPr="00943E92">
        <w:t>inkluzywnych</w:t>
      </w:r>
      <w:r w:rsidRPr="00943E92">
        <w:t xml:space="preserve"> inicjatyw na rzecz umiejętności korzystania z mediów w całym systemie edukacji; </w:t>
      </w:r>
    </w:p>
    <w:p w:rsidR="00782150" w:rsidRPr="00943E92" w:rsidP="00782150" w14:paraId="3456E5D0" w14:textId="77777777">
      <w:pPr>
        <w:pStyle w:val="NormalHanging12a"/>
        <w:jc w:val="left"/>
      </w:pPr>
      <w:r w:rsidRPr="00943E92">
        <w:t>50.</w:t>
      </w:r>
      <w:r w:rsidRPr="00943E92">
        <w:tab/>
        <w:t>z zaniepokojeniem odnotowuje szeroko zakrojone kontrolowanie przez partie polityczne nominacji w sektorze publicznym, agencjach państwowych, przedsiębiorstwach państwowych, radach nadzorczych i kluczowych organach regulacyjnych, ponieważ protekcja polityczna podważa profesjonalizm i rozliczalność administracji;</w:t>
      </w:r>
    </w:p>
    <w:p w:rsidR="00782150" w:rsidRPr="00943E92" w:rsidP="00782150" w14:paraId="04BB3774" w14:textId="77777777">
      <w:pPr>
        <w:pStyle w:val="NormalHanging12a"/>
        <w:jc w:val="left"/>
      </w:pPr>
      <w:r w:rsidRPr="00943E92">
        <w:t>51.</w:t>
      </w:r>
      <w:r w:rsidRPr="00943E92">
        <w:tab/>
        <w:t xml:space="preserve">podkreśla znaczenie ochrony wolności akademickiej i autonomii instytucjonalnej zgodnie z zasadami europejskiego obszaru szkolnictwa wyższego; wyraża głębokie zaniepokojenie doniesieniami o presji finansowej, administracyjnej i fizycznej wywieranej na kadrę akademicką oraz o ingerencji czynników rządowych w autonomię instytucjonalną uniwersytetów, w tym groźbami politycznymi wobec rektora Uniwersytetu w Belgradzie i dziekanów uniwersytetów w całej Serbii, zwolnieniami kadry akademickiej i doniesieniami o interwencjach policji w pomieszczeniach uniwersytetów; wzywa władze serbskie do natychmiastowego zaprzestania tych praktyk i pełnego poszanowania autonomii uniwersytetów zgodnie z europejską konwencją praw człowieka; potępia presję polityczną wywieraną na uniwersytety i inne instytucje badawcze; potępia oczernianie profesorów, badaczy i innych pracowników akademickich w mediach prorządowych; potępia nalot policji na siedzibę Uniwersytetu w Belgradzie, transmitowany za pośrednictwem prorządowych </w:t>
      </w:r>
      <w:r w:rsidRPr="00943E92">
        <w:t>tabloidów</w:t>
      </w:r>
      <w:r w:rsidRPr="00943E92">
        <w:t>, który jest kolejną formą wywierania presji na środowisko akademickie i wolność akademicką oraz zastraszania ich;</w:t>
      </w:r>
    </w:p>
    <w:p w:rsidR="00782150" w:rsidRPr="00943E92" w:rsidP="00782150" w14:paraId="1D4B1D48" w14:textId="77777777">
      <w:pPr>
        <w:pStyle w:val="NormalHanging12a"/>
        <w:jc w:val="left"/>
      </w:pPr>
      <w:r w:rsidRPr="00943E92">
        <w:t>52.</w:t>
      </w:r>
      <w:r w:rsidRPr="00943E92">
        <w:tab/>
        <w:t xml:space="preserve">zauważa z zaniepokojeniem, że postępowanie rządu serbskiego w dziedzinie edukacji i wolności akademickiej podważa standardy określone w rozdziałach 25 i 26, które są jedynymi rozdziałami tymczasowo zamkniętymi przez Serbię; wzywa Komisję do </w:t>
      </w:r>
      <w:r w:rsidRPr="00943E92">
        <w:t>oceny,</w:t>
      </w:r>
      <w:r w:rsidRPr="00943E92">
        <w:t xml:space="preserve"> czy warunki tymczasowego zamknięcia rozdziałów 25 i 26 są nadal spełniane; </w:t>
      </w:r>
    </w:p>
    <w:p w:rsidR="00782150" w:rsidRPr="00943E92" w:rsidP="00782150" w14:paraId="65AF1936" w14:textId="77777777">
      <w:pPr>
        <w:pStyle w:val="NormalHanging12a"/>
        <w:jc w:val="left"/>
      </w:pPr>
      <w:r w:rsidRPr="00943E92">
        <w:t>53.</w:t>
      </w:r>
      <w:r w:rsidRPr="00943E92">
        <w:tab/>
        <w:t>wyraża poważne zaniepokojenie rosnącą ingerencją polityczną w instytucje kulturalne w Serbii, w tym presją na programowanie artystyczne, struktury zarządzania i decyzje o finansowaniu, a także na instytucje ochrony dziedzictwa i specjalistów w tej dziedzinie; odnotowuje doniesienia o ograniczeniach w dostępie do treści kulturowych, podważających prawo obywateli do uczestnictwa w życiu kulturalnym, o anulowaniu programów kulturalnych, zwolnieniach osób zawodowo związanych z kulturą oraz naciskach na ekspertów zaangażowanych w ochronę dziedzictwa kulturowego; podkreśla, że wolność wypowiedzi artystycznej, autonomia instytucjonalna i niezależność zawodowa stanowią integralną część życia demokratycznego; wzywa władze serbskie do pełnego przestrzegania tych zasad zgodnie ze standardami europejskimi i europejską konwencją praw człowieka oraz do ustanowienia przejrzystego, opartego na osiągnięciach i odpolitycznionego zarządzania kulturą, zapewniającego sprawiedliwy i niezależny przydział środków publicznych oraz sprzyjające otoczenie dla sektora kultury i sektora kreatywnego wolne od ingerencji politycznych;</w:t>
      </w:r>
    </w:p>
    <w:p w:rsidR="00782150" w:rsidRPr="00943E92" w:rsidP="00782150" w14:paraId="09672674" w14:textId="77777777">
      <w:pPr>
        <w:pStyle w:val="NormalHanging12a"/>
        <w:jc w:val="left"/>
      </w:pPr>
      <w:r w:rsidRPr="00943E92">
        <w:t>54.</w:t>
      </w:r>
      <w:r w:rsidRPr="00943E92">
        <w:tab/>
        <w:t xml:space="preserve">powtarza, że Serbia musi zapewnić spójne i skuteczne wdrażanie ram legislacyjnych i instytucjonalnych na rzecz ochrony praw podstawowych, zwłaszcza jeśli chodzi o polityki dotyczące przemocy wobec kobiet, </w:t>
      </w:r>
      <w:r w:rsidRPr="00943E92">
        <w:t>deinstytucjonalizacji</w:t>
      </w:r>
      <w:r w:rsidRPr="00943E92">
        <w:t xml:space="preserve"> i przemocy wobec dzieci; wyraża zaniepokojenie utrzymującym się wysokim wskaźnikiem przemocy ze względu na płeć w Serbii, w tym jej wymiarem cyfrowym, i wzywa władze serbskie do zapewnienia reakcji za pomocą odpowiednich planów działania, finansowania i mechanizmów wdrażania; </w:t>
      </w:r>
    </w:p>
    <w:p w:rsidR="00782150" w:rsidRPr="00943E92" w:rsidP="00782150" w14:paraId="553AF0F4" w14:textId="631B6667">
      <w:pPr>
        <w:pStyle w:val="NormalHanging12a"/>
        <w:jc w:val="left"/>
      </w:pPr>
      <w:r w:rsidRPr="00943E92">
        <w:t>55.</w:t>
      </w:r>
      <w:r w:rsidRPr="00943E92">
        <w:tab/>
        <w:t>wzywa Serbię do zapewnienia poszanowania praw wszystkich mniejszości narodowych w praktyce oraz do wykazania szczerego zaangażowania w rozwiązywanie nierozstrzygniętych kwestii, w tym dotyczących dostępu do edukacji, informacji, specjalnej przestrzeni medialnej, finansowania, udogodnień i posługi religijnej w językach mniejszości, a także pełnej reprezentacji na wszystkich szczeblach sprawowania rządów, w miarę możliwości zgodnie z zasadą wzajemności, a także ze wszystkimi odpowiednimi standardami europejskimi; ubolewa, że od 2025 r. mniejszości narodowe nie są reprezentowane na szczeblu ministerialnym, w szczególności jeśli chodzi o teki obejmujące prawa człowieka i prawa mniejszości; podkreśla, że chociaż serbskie ramy prawne i polityczne dotyczące ochrony mniejszości narodowych zasadniczo istnieją, nadal występują znaczne niedociągnięcia w ich skutecznym i spójnym wdrażaniu; odnotowuje znaczne opóźnienie w opracowaniu nowego planu działania na rzecz realizacji praw mniejszości narodowych</w:t>
      </w:r>
      <w:r w:rsidRPr="008F0A34" w:rsidR="008F0A34">
        <w:t>, który ostatecznie przyjęto 28 maja 2026 r.,</w:t>
      </w:r>
      <w:r w:rsidRPr="00943E92">
        <w:t xml:space="preserve"> i podkreśla pilną potrzebę szybkiego sfinalizowania i wdrożenia go przez Serbię; apeluje o dalsze konkretne środki, w tym jasne harmonogramy, odpowiednie zasoby i solidne mechanizmy monitorowania; wzywa do pełnego wdrożenia przepisów antydyskryminacyjnych oraz do wzmożenia wysiłków na rzecz zapewnienia niedyskryminacyjnego traktowania wszystkich mniejszości narodowych i innych mniejszości; apeluje o skuteczne dochodzenia i wyroki skazujące za przestępstwa motywowane nienawiścią; zdecydowanie potępia ataki, zastraszanie, branie na cel i nękanie społeczności mniejszościowych, w tym Słowaków, Rumunów, Bułgarów i Chorwatów, oraz używanie w prorządowych </w:t>
      </w:r>
      <w:r w:rsidRPr="00943E92">
        <w:t>mediach obelg o charakterze etnicznym; podkreśla, że wymierne i weryfikowalne postępy w ochronie mniejszości powinny być traktowane jako część klastra dotyczącego kwestii podstawowych oraz że należy przewidzieć jasne punkty odniesienia i monitorowanie;</w:t>
      </w:r>
    </w:p>
    <w:p w:rsidR="00782150" w:rsidRPr="00943E92" w:rsidP="00782150" w14:paraId="513A9F0D" w14:textId="77777777">
      <w:pPr>
        <w:pStyle w:val="NormalHanging12a"/>
        <w:jc w:val="left"/>
      </w:pPr>
      <w:r w:rsidRPr="00943E92">
        <w:t>56.</w:t>
      </w:r>
      <w:r w:rsidRPr="00943E92">
        <w:tab/>
        <w:t>podkreśla, że dostęp do edukacji w językach mniejszościowych pozostaje w praktyce ograniczony i należy go zagwarantować na wszystkich szczeblach bez opóźnień lub przeszkód administracyjnych, zgodnie z podstawowymi prawami mniejszości; wzywa Serbię do ochrony i promowania dziedzictwa kulturowego i tradycji mniejszości narodowych tego kraju, w szczególności do stworzenia pozytywnej atmosfery dla edukacji w językach mniejszościowych, a także ubolewa nad łamaniem praw mniejszości w tym zakresie; podkreśla potrzebę zapewnienia wystarczającej liczby nauczycieli, podręczników i materiałów; wzywa Serbię do powstrzymania się od wykorzystywania tożsamości narodowych i zdecydowanie potępia odnotowane przypadki nawoływania do nienawiści wobec niektórych z nich;</w:t>
      </w:r>
    </w:p>
    <w:p w:rsidR="00782150" w:rsidRPr="00943E92" w:rsidP="00782150" w14:paraId="50F48A77" w14:textId="77777777">
      <w:pPr>
        <w:pStyle w:val="NormalHanging12a"/>
        <w:jc w:val="left"/>
      </w:pPr>
      <w:r w:rsidRPr="008F0A34">
        <w:rPr>
          <w:rStyle w:val="Strong"/>
          <w:b w:val="0"/>
          <w:bCs w:val="0"/>
        </w:rPr>
        <w:t>57.</w:t>
      </w:r>
      <w:r w:rsidRPr="00943E92">
        <w:tab/>
        <w:t>uznaje rolę rad mniejszości narodowych, ale wyraża zaniepokojenie ich ograniczonymi zdolnościami i apeluje o odpowiednie wsparcie finansowe i instytucjonalne w celu zapewnienia ich niezależności;</w:t>
      </w:r>
    </w:p>
    <w:p w:rsidR="00782150" w:rsidRPr="00943E92" w:rsidP="00782150" w14:paraId="5070E1C7" w14:textId="77777777">
      <w:pPr>
        <w:pStyle w:val="NormalHanging12a"/>
        <w:jc w:val="left"/>
      </w:pPr>
      <w:r w:rsidRPr="00943E92">
        <w:t>58.</w:t>
      </w:r>
      <w:r w:rsidRPr="00943E92">
        <w:tab/>
        <w:t xml:space="preserve">zdecydowanie potępia podejmowane przez władze Serbii próby podważenia tożsamości narodowej społeczności w kraju; w tym kontekście wyraża zaniepokojenie promowaniem narracji takich jak tzw. naród </w:t>
      </w:r>
      <w:r w:rsidRPr="00943E92">
        <w:t>szopski</w:t>
      </w:r>
      <w:r w:rsidRPr="00943E92">
        <w:t>, które mają na celu wymazanie istnienia społeczności bułgarskiej i zaprzeczenie jej historycznym korzeniom, dziedzictwu kulturowemu i prawu do samookreślenia, chronionemu na mocy prawa międzynarodowego; wzywa Serbię do zapewnienia prawa do posługiwania się nazwiskami i językiem charakterystycznymi dla grup mniejszościowych, w tym kobiet w społeczności bułgarskiej; wyraża zaniepokojenie spadkiem demograficznym odnotowywanym w niektórych grupach mniejszościowych;</w:t>
      </w:r>
    </w:p>
    <w:p w:rsidR="00782150" w:rsidRPr="00943E92" w:rsidP="00782150" w14:paraId="15927460" w14:textId="77777777">
      <w:pPr>
        <w:pStyle w:val="NormalHanging12a"/>
        <w:jc w:val="left"/>
      </w:pPr>
      <w:r w:rsidRPr="00943E92">
        <w:t>59.</w:t>
      </w:r>
      <w:r w:rsidRPr="00943E92">
        <w:tab/>
        <w:t xml:space="preserve">wzywa rząd serbski do zapewnienia równych praw mniejszości chorwackiej w Serbii, tak jak mniejszości serbskiej przysługują równe prawa w Chorwacji, oraz do wykazania szczerego zaangażowania na rzecz rozwiązania nierozstrzygniętych kwestii dotyczących mniejszości chorwackiej; wyraża ubolewanie z powodu działań Serbii zmierzających do zawłaszczenia chorwackiego dziedzictwa kulturowego i początków chorwackiej tradycji literackiej lub do zakwestionowania statusu języka chorwackiego; jednocześnie z zadowoleniem przyjmuje zatwierdzenie edukacji przedszkolnej w języku chorwackim w </w:t>
      </w:r>
      <w:r w:rsidRPr="00943E92">
        <w:t>Tavankut</w:t>
      </w:r>
      <w:r w:rsidRPr="00943E92">
        <w:t>; oczekuje, że pełne wdrożenie rozpocznie się natychmiast, i zachęca władze krajowe i lokalne do kontynuowania dialogu z Chorwacką Radą Narodową;</w:t>
      </w:r>
    </w:p>
    <w:p w:rsidR="00782150" w:rsidRPr="00943E92" w:rsidP="00782150" w14:paraId="2E873BA0" w14:textId="77777777">
      <w:pPr>
        <w:pStyle w:val="NormalHanging12a"/>
        <w:jc w:val="left"/>
      </w:pPr>
      <w:r w:rsidRPr="00943E92">
        <w:t>60.</w:t>
      </w:r>
      <w:r w:rsidRPr="00943E92">
        <w:tab/>
        <w:t>podkreśla sytuację mniejszości rumuńskiej w Serbii i wzywa władze, by podjęły działania niezbędne do umożliwienia jej pełnego korzystania z praw językowych, religijnych, edukacyjnych i kulturalnych, w tym poprzez ułatwienie dostępu do edukacji, obrzędów religijnych i mediów w języku rumuńskim, a także by promowały politykę sprzyjającą włączeniu społecznemu, która chroni tożsamość jej członków i ich udział w życiu publicznym; wzywa władze serbskie do powstrzymania się od wprowadzania rozróżnień między Wołochami i Rumunami; ubolewa nad sytuacją rumuńskiego Kościoła Prawosławnego w Serbii, którego państwo nie uznaje oficjalnie za tradycyjny kościół, co stwarza poważne wyzwania dla rumuńskich kościołów i duchownych, jeśli chodzi o sprawowanie kultu religijnego dla społeczności rumuńskiej;</w:t>
      </w:r>
    </w:p>
    <w:p w:rsidR="00782150" w:rsidRPr="00943E92" w:rsidP="00782150" w14:paraId="15073E2C" w14:textId="77777777">
      <w:pPr>
        <w:pStyle w:val="NormalHanging12a"/>
        <w:jc w:val="left"/>
      </w:pPr>
      <w:bookmarkStart w:id="7" w:name="_Hlk228977526"/>
      <w:r w:rsidRPr="00943E92">
        <w:t>61.</w:t>
      </w:r>
      <w:r w:rsidRPr="00943E92">
        <w:tab/>
        <w:t xml:space="preserve">ponownie wyraża zaniepokojenie restrykcyjnym i arbitralnym egzekwowaniem ustawy o pobycie stałym i tymczasowym w związku z unieważnianiem meldunku tysięcy Albańczyków w południowej Serbii; wzywa Ministerstwo Spraw Wewnętrznych do jak najszybszego opublikowania kompleksowych statystyk dotyczących obywateli objętych unieważnianiem meldunku w latach 2011–2024 w miejscowościach </w:t>
      </w:r>
      <w:r w:rsidRPr="00943E92">
        <w:t>Medveđa</w:t>
      </w:r>
      <w:r w:rsidRPr="00943E92">
        <w:t xml:space="preserve">, </w:t>
      </w:r>
      <w:r w:rsidRPr="00943E92">
        <w:t>Bujanovac</w:t>
      </w:r>
      <w:r w:rsidRPr="00943E92">
        <w:t xml:space="preserve"> i </w:t>
      </w:r>
      <w:r w:rsidRPr="00943E92">
        <w:t>Preševo</w:t>
      </w:r>
      <w:r w:rsidRPr="00943E92">
        <w:t>, z podziałem według narodowości/pochodzenia etnicznego; podkreśla, że Ministerstwo Administracji Publicznej i Samorządu Terytorialnego musi zatrzymać proces usuwania obywateli z unieważnionym meldunkiem z jednolitego spisu wyborców;</w:t>
      </w:r>
      <w:bookmarkEnd w:id="7"/>
    </w:p>
    <w:p w:rsidR="00782150" w:rsidRPr="00943E92" w:rsidP="00782150" w14:paraId="51E8D7AE" w14:textId="77777777">
      <w:pPr>
        <w:pStyle w:val="NormalHanging12a"/>
        <w:jc w:val="left"/>
      </w:pPr>
      <w:r w:rsidRPr="00943E92">
        <w:t>62.</w:t>
      </w:r>
      <w:r w:rsidRPr="00943E92">
        <w:tab/>
        <w:t>wzywa Serbię do zapewnienia pełnego wdrożenia strategii integracji Romów, w tym odpowiedniego finansowania, koordynacji i monitorowania z udziałem społeczności romskich; apeluje o środki zapewniające równy dostęp do edukacji i zapobiegające segregacji;</w:t>
      </w:r>
    </w:p>
    <w:p w:rsidR="00782150" w:rsidRPr="00943E92" w:rsidP="00782150" w14:paraId="6CA702CD" w14:textId="77777777">
      <w:pPr>
        <w:pStyle w:val="NormalHanging12a"/>
        <w:jc w:val="left"/>
      </w:pPr>
      <w:r w:rsidRPr="00943E92">
        <w:t>63.</w:t>
      </w:r>
      <w:r w:rsidRPr="00943E92">
        <w:tab/>
        <w:t>wyraża zaniepokojenie rosnącymi wpływami politycznymi instytucji religijnych i wzywa władze do zapewnienia poszanowania sekularyzmu, równego traktowania i pełnego uznania wszystkich wspólnot religijnych;</w:t>
      </w:r>
    </w:p>
    <w:p w:rsidR="00782150" w:rsidRPr="00943E92" w:rsidP="00782150" w14:paraId="5E237572" w14:textId="77777777">
      <w:pPr>
        <w:pStyle w:val="NormalHanging12a"/>
        <w:jc w:val="left"/>
      </w:pPr>
      <w:r w:rsidRPr="00943E92">
        <w:t>64.</w:t>
      </w:r>
      <w:r w:rsidRPr="00943E92">
        <w:tab/>
        <w:t xml:space="preserve">potępia utrzymujący się klimat wrogości, dyskryminacji i mowy nienawiści wobec osób LGBTIQ+ w Serbii; wzywa Serbię do poprawy wdrażania przepisów dotyczących przestępstw z nienawiści, nawoływania do nienawiści i przeciwdziałania dyskryminacji; zachęca władze serbskie do niezwłocznego wznowienia procesu legislacyjnego dotyczącego ustawy o równouprawnieniu płci i ustawy o związkach osób tej samej płci w celu wzmocnienia ochrony praw podstawowych i zapewnienia zgodności z europejskimi standardami w zakresie równości i niedyskryminacji; </w:t>
      </w:r>
    </w:p>
    <w:p w:rsidR="00782150" w:rsidRPr="00943E92" w:rsidP="00782150" w14:paraId="115D83BD" w14:textId="77777777">
      <w:pPr>
        <w:pStyle w:val="NormalHanging12a"/>
        <w:jc w:val="left"/>
      </w:pPr>
      <w:r w:rsidRPr="00943E92">
        <w:t>65.</w:t>
      </w:r>
      <w:r w:rsidRPr="00943E92">
        <w:tab/>
        <w:t>zauważa, że w sprawozdaniu w sprawie handlu ludźmi podkreślono, że właściwe organy w Serbii nie spełniają wszystkich minimalnych standardów w zakresie wyeliminowania handlu ludźmi, choć odnotowano zwiększone wysiłki w porównaniu z poprzednim okresem sprawozdawczym; wzywa władze do wyeliminowania tych niedociągnięć poprzez wzmocnienie podejścia skoncentrowanego na ofiarach, zapewnienie skutecznego i odstraszającego ścigania, poprawę koordynacji międzyinstytucjonalnej oraz zacieśnienie współpracy ze społeczeństwem obywatelskim zgodnie ze standardami międzynarodowymi;</w:t>
      </w:r>
    </w:p>
    <w:p w:rsidR="00782150" w:rsidRPr="00943E92" w:rsidP="00782150" w14:paraId="4B939DA9" w14:textId="77777777">
      <w:pPr>
        <w:pStyle w:val="NormalHanging12a"/>
        <w:jc w:val="left"/>
        <w:rPr>
          <w:b/>
          <w:bCs/>
          <w:i/>
          <w:iCs/>
        </w:rPr>
      </w:pPr>
      <w:r w:rsidRPr="00943E92">
        <w:rPr>
          <w:b/>
          <w:i/>
        </w:rPr>
        <w:t>Pojednanie i stosunki dobrosąsiedzkie</w:t>
      </w:r>
    </w:p>
    <w:p w:rsidR="00782150" w:rsidRPr="00943E92" w:rsidP="00782150" w14:paraId="7914387A" w14:textId="77777777">
      <w:pPr>
        <w:pStyle w:val="NormalHanging12a"/>
        <w:jc w:val="left"/>
      </w:pPr>
      <w:r w:rsidRPr="00943E92">
        <w:t>66.</w:t>
      </w:r>
      <w:r w:rsidRPr="00943E92">
        <w:tab/>
        <w:t xml:space="preserve">oczekuje, że Serbia będzie w pełni współpracować z Kosowem, aby w końcu postawić przed sądem sprawców ataku terrorystycznego w </w:t>
      </w:r>
      <w:r w:rsidRPr="00943E92">
        <w:t>Banjskiej</w:t>
      </w:r>
      <w:r w:rsidRPr="00943E92">
        <w:t xml:space="preserve"> z 2023 r.; ubolewa, że Serbia nadal nie pociągnęła sprawców do odpowiedzialności, a zwłaszcza Milana </w:t>
      </w:r>
      <w:r w:rsidRPr="00943E92">
        <w:t>Radoičicia</w:t>
      </w:r>
      <w:r w:rsidRPr="00943E92">
        <w:t xml:space="preserve">, byłego wiceprzewodniczącego Serbskiej Listy; przypomina, że wszystkie osoby odpowiedzialne za akty przemocy muszą zostać pociągnięte do odpowiedzialności i bezzwłocznie stanąć przed wymiarem sprawiedliwości, zgodnie z zasadami praworządności i sprawiedliwości proceduralnej; zdecydowanie potępia atak na kanał </w:t>
      </w:r>
      <w:r w:rsidRPr="00943E92">
        <w:t>Ibar-Lepenac</w:t>
      </w:r>
      <w:r w:rsidRPr="00943E92">
        <w:t xml:space="preserve"> na północy Kosowa w listopadzie 2024 r. i wzywa do szybkiego zatrzymania sprawców i postawienia ich przed sądem; wzywa Serbię do bezzwłocznej odpowiedzi na złożony w styczniu 2025 r. wniosek Kosowa o wzajemną pomoc prawną w związku z tym atakiem oraz do pełnej współpracy w ramach dochodzenia;</w:t>
      </w:r>
    </w:p>
    <w:p w:rsidR="00782150" w:rsidRPr="00943E92" w:rsidP="00782150" w14:paraId="17C7A997" w14:textId="77777777">
      <w:pPr>
        <w:pStyle w:val="NormalHanging12a"/>
        <w:jc w:val="left"/>
      </w:pPr>
      <w:r w:rsidRPr="00943E92">
        <w:t>67.</w:t>
      </w:r>
      <w:r w:rsidRPr="00943E92">
        <w:tab/>
        <w:t xml:space="preserve">uznaje ważną rolę Serbii w regionie Bałkanów Zachodnich, a jednocześnie </w:t>
      </w:r>
      <w:r w:rsidRPr="00943E92">
        <w:t>zdecydowanie potępia wszelkie działania lub próby mające na celu ustanowienie strefy wpływów, która podważyłaby suwerenność i integralność terytorialną krajów sąsiadujących;</w:t>
      </w:r>
    </w:p>
    <w:p w:rsidR="00782150" w:rsidRPr="00943E92" w:rsidP="00782150" w14:paraId="61C1D6B4" w14:textId="77777777">
      <w:pPr>
        <w:pStyle w:val="NormalHanging12a"/>
        <w:jc w:val="left"/>
      </w:pPr>
      <w:r w:rsidRPr="00943E92">
        <w:t>68.</w:t>
      </w:r>
      <w:r w:rsidRPr="00943E92">
        <w:tab/>
        <w:t>przypomina, że normalizacja stosunków z Kosowem i realizacja wszystkich porozumień osiągniętych w ramach dialogu między Belgradem a Prisztiną pozostają integralną częścią oraz podstawowym i niezbędnym elementem europejskiej perspektywy Serbii; podkreśla, że konkretne, trwałe i możliwe do zweryfikowania postępy w tej dziedzinie mają zasadnicze znaczenie dla wzmocnienia stabilności w regionie i rozwoju europejskiej perspektywy Serbii; podkreśla, że normalizacji tej nie można postrzegać jako kwestii drugorzędnej, lecz musi ona pozostać absolutnym priorytetem politycznym; zwraca uwagę na znaczenie dalszego wzmacniania wysiłków UE na rzecz ułatwiania kontaktów między stronami w celu przezwyciężenia obecnego impasu;</w:t>
      </w:r>
    </w:p>
    <w:p w:rsidR="00782150" w:rsidRPr="00943E92" w:rsidP="00782150" w14:paraId="645690DA" w14:textId="77777777">
      <w:pPr>
        <w:pStyle w:val="NormalHanging12a"/>
        <w:jc w:val="left"/>
      </w:pPr>
      <w:r w:rsidRPr="00943E92">
        <w:t>69.</w:t>
      </w:r>
      <w:r w:rsidRPr="00943E92">
        <w:tab/>
        <w:t>podkreśla, że stosunki dobrosąsiedzkie i współpraca regionalna są nadal kluczowymi elementami procesu rozszerzenia; podkreśla znaczenie rozwijania przez Serbię stosunków dobrosąsiedzkich, w szczególności poprzez wdrażanie umów z państwami członkowskimi UE;</w:t>
      </w:r>
    </w:p>
    <w:p w:rsidR="00782150" w:rsidRPr="00943E92" w:rsidP="00782150" w14:paraId="67FFF6C0" w14:textId="77777777">
      <w:pPr>
        <w:pStyle w:val="NormalHanging12a"/>
        <w:jc w:val="left"/>
      </w:pPr>
      <w:r w:rsidRPr="00943E92">
        <w:t>70.</w:t>
      </w:r>
      <w:r w:rsidRPr="00943E92">
        <w:tab/>
        <w:t>podkreśla, że integracja europejska nie może iść w parze z koncepcją „serbskiego świata”, której celem jest podważenie pokoju i stabilności w regionie; podkreśla, że takie narracje są sprzeczne z zasadami stosunków dobrosąsiedzkich i współpracy regionalnej, które są podstawowymi elementami procesu przystąpienia do UE; podkreśla, że takie narracje zagrażają procesowi normalizacji stosunków z Republiką Kosowa; wzywa władze serbskie, by powstrzymały się od retoryki i działań, które mogą podsycać napięcia w regionie;</w:t>
      </w:r>
    </w:p>
    <w:p w:rsidR="00782150" w:rsidRPr="00943E92" w:rsidP="00782150" w14:paraId="61AA11BE" w14:textId="77777777">
      <w:pPr>
        <w:pStyle w:val="NormalHanging12a"/>
        <w:jc w:val="left"/>
      </w:pPr>
      <w:r w:rsidRPr="00943E92">
        <w:t>71.</w:t>
      </w:r>
      <w:r w:rsidRPr="00943E92">
        <w:tab/>
        <w:t>zdecydowanie potępia powtarzające się przypadki mowy nienawiści, wrogiej retoryki i podburzającej narracji skierowanej do krajów sąsiadujących, w szczególności Bułgarii, Chorwacji, Kosowa i Albanii, w tym przez urzędników publicznych i media; podkreśla, że taki dyskurs jest niezgodny z wartościami europejskimi i podważa zaufanie, pojednanie i stabilność w regionie; wzywa władze serbskie do aktywnego przeciwdziałania mowie nienawiści, zapewnienia rozliczalności oraz promowania klimatu szacunku i konstruktywnego dialogu w regionie;</w:t>
      </w:r>
    </w:p>
    <w:p w:rsidR="00782150" w:rsidRPr="00943E92" w:rsidP="00782150" w14:paraId="547798BD" w14:textId="77777777">
      <w:pPr>
        <w:pStyle w:val="NormalHanging12a"/>
        <w:jc w:val="left"/>
      </w:pPr>
      <w:r w:rsidRPr="00943E92">
        <w:t>72.</w:t>
      </w:r>
      <w:r w:rsidRPr="00943E92">
        <w:tab/>
        <w:t>ponawia apel o poprawę jakości dialogu przez zaangażowanie kobiet, większą przejrzystość wobec społeczeństwa i znaczące zaangażowanie społeczeństwa obywatelskiego;</w:t>
      </w:r>
    </w:p>
    <w:p w:rsidR="00782150" w:rsidRPr="00943E92" w:rsidP="00782150" w14:paraId="0B2B6806" w14:textId="77777777">
      <w:pPr>
        <w:spacing w:after="240"/>
        <w:ind w:left="567" w:hanging="567"/>
      </w:pPr>
      <w:r w:rsidRPr="00943E92">
        <w:t>73.</w:t>
      </w:r>
      <w:r w:rsidRPr="00943E92">
        <w:tab/>
        <w:t xml:space="preserve">ponownie wyraża pełne poparcie dla wspieranego przez UE dialogu i z zadowoleniem przyjmuje przedłużenie mandatu specjalnego przedstawiciela UE ds. dialogu między Belgradem a Prisztiną Petera </w:t>
      </w:r>
      <w:r w:rsidRPr="00943E92">
        <w:t>Sørensena</w:t>
      </w:r>
      <w:r w:rsidRPr="00943E92">
        <w:t xml:space="preserve"> do 29 lutego 2028 r.;</w:t>
      </w:r>
    </w:p>
    <w:p w:rsidR="00782150" w:rsidRPr="00943E92" w:rsidP="00782150" w14:paraId="1B426E19" w14:textId="77777777">
      <w:pPr>
        <w:pStyle w:val="NormalHanging12a"/>
        <w:jc w:val="left"/>
      </w:pPr>
      <w:r w:rsidRPr="00943E92">
        <w:t>74.</w:t>
      </w:r>
      <w:r w:rsidRPr="00943E92">
        <w:tab/>
        <w:t xml:space="preserve">ponownie podkreśla znaczenie konstruktywnego zaangażowania władz Kosowa i Serbii, tak aby przyspieszyć wdrażanie porozumienia w sprawie ścieżki normalizacji stosunków i załącznika wykonawczego do tego porozumienia, które pozostaje ważne i prawnie wiążące dla obu stron; wzywa zarówno Kosowo, jak i Serbię do pełnego wdrożenia porozumienia brukselskiego i umowy z Ochrydy, np. za pomocą ustanowienia stowarzyszenia lub wspólnoty gmin zamieszkanych w większości przez Serbów oraz zniesienia sprzeciwu Serbii wobec członkostwa Kosowa w organizacjach </w:t>
      </w:r>
      <w:r w:rsidRPr="00943E92">
        <w:t>regionalnych i międzynarodowych, a także do unikania jednostronnych działań, które mogłyby osłabić dialog;</w:t>
      </w:r>
    </w:p>
    <w:p w:rsidR="00782150" w:rsidRPr="00943E92" w:rsidP="00782150" w14:paraId="5E86663C" w14:textId="77777777">
      <w:pPr>
        <w:pStyle w:val="NormalHanging12a"/>
        <w:jc w:val="left"/>
      </w:pPr>
      <w:r w:rsidRPr="00943E92">
        <w:t>75.</w:t>
      </w:r>
      <w:r w:rsidRPr="00943E92">
        <w:tab/>
        <w:t>potępia powtarzającą się negatywną, agresywną i szowinistyczną retorykę serbskich przywódców politycznych skierowaną przeciwko krajom i narodom sąsiadującym, która podważa wysiłki na rzecz nawiązania stosunków dobrosąsiedzkich, w tym jeśli chodzi o niekonstytucyjne obchody Dnia Republiki Serbskiej, które zagrażają stabilności i integralności terytorialnej Bośni i Hercegowiny; wzywa Serbię do powstrzymania się od eskalacji narracji oraz do dopilnowania, aby jej polityka bezpieczeństwa i obrony była zgodna z wartościami europejskimi i zapewniała poszanowanie stosunków dobrosąsiedzkich;</w:t>
      </w:r>
    </w:p>
    <w:p w:rsidR="00782150" w:rsidRPr="00943E92" w:rsidP="00782150" w14:paraId="650CEBA1" w14:textId="77777777">
      <w:pPr>
        <w:pStyle w:val="NormalHanging12a"/>
        <w:jc w:val="left"/>
      </w:pPr>
      <w:r w:rsidRPr="00943E92">
        <w:t>76.</w:t>
      </w:r>
      <w:r w:rsidRPr="00943E92">
        <w:tab/>
        <w:t>potępia agresywną i podburzającą retorykę stosowaną przez prezydenta Serbii wobec sąsiadów, który bezpodstawnie twierdzi, że Chorwacja, Albania i Kosowo przygotowują się do ataku na Serbię, i który wykorzystuje to jako pretekst do zakupu chińskich pocisków naddźwiękowych;</w:t>
      </w:r>
    </w:p>
    <w:p w:rsidR="00782150" w:rsidRPr="00943E92" w:rsidP="00782150" w14:paraId="3BB8658B" w14:textId="77777777">
      <w:pPr>
        <w:pStyle w:val="NormalHanging12a"/>
        <w:jc w:val="left"/>
      </w:pPr>
      <w:r w:rsidRPr="00943E92">
        <w:t>77.</w:t>
      </w:r>
      <w:r w:rsidRPr="00943E92">
        <w:tab/>
        <w:t xml:space="preserve">ubolewa, że Serbia nadal usiłuje izolować sąsiadujące z nią Kosowo od społeczności międzynarodowej, prowadząc kampanie przeciwko uznaniu tego kraju lub wykluczając go z organizacji międzynarodowych; wzywa Serbię, aby przestała sprzeciwiać się wnioskowi Kosowa o członkostwo w Radzie Europy; taki sprzeciw narusza porozumienie między Kosowem a Serbią z 2013 r. w sprawie normalizacji stosunków;  </w:t>
      </w:r>
    </w:p>
    <w:p w:rsidR="00782150" w:rsidRPr="00943E92" w:rsidP="00782150" w14:paraId="2C1C481C" w14:textId="77777777">
      <w:pPr>
        <w:pStyle w:val="NormalHanging12a"/>
        <w:jc w:val="left"/>
        <w:rPr>
          <w:bCs/>
          <w:iCs/>
        </w:rPr>
      </w:pPr>
      <w:r w:rsidRPr="00943E92">
        <w:t>78.</w:t>
      </w:r>
      <w:r w:rsidRPr="00943E92">
        <w:tab/>
        <w:t xml:space="preserve">wzywa Serbię, by aktywniej przeciwstawiała się negowaniu zbrodni wojennych i rewizjonizmowi historycznemu, zwłaszcza w odniesieniu do wojen w Chorwacji, Bośni i Hercegowinie oraz Kosowie; wzywa władze Serbii do zapewnienia sprawiedliwości ofiarom przez uznawanie i respektowanie wyroków sądowych w sprawie zbrodni wojennych, walkę z bezkarnością za zbrodnie wojenne oraz wspieranie krajowych prokuratorów w stawianiu sprawców przed sądem; zdecydowanie potępia powszechne publiczne negowanie międzynarodowych orzeczeń w sprawie zbrodni wojennych, w tym negowanie ludobójstwa w Srebrenicy; apeluje o włączenie negowania zbrodni wojennych i gloryfikacji zbrodniarzy wojennych do kodeksu karnego w celu ścigania wszelkich form zaprzeczania zbrodniom wojennym określonych w wyrokach Międzynarodowego Trybunału Karnego dla byłej Jugosławii i Międzynarodowego Trybunału Sprawiedliwości; </w:t>
      </w:r>
    </w:p>
    <w:p w:rsidR="00782150" w:rsidRPr="00943E92" w:rsidP="00782150" w14:paraId="54072001" w14:textId="77777777">
      <w:pPr>
        <w:pStyle w:val="NormalHanging12a"/>
        <w:jc w:val="left"/>
      </w:pPr>
      <w:r w:rsidRPr="00943E92">
        <w:t>79.</w:t>
      </w:r>
      <w:r w:rsidRPr="00943E92">
        <w:tab/>
        <w:t>ubolewa, że Serbia nie wykazała rzeczywistego zaangażowania, by rozliczyć się ze swoją przeszłością oraz skutecznie zbadać i ścigać zbrodnie wojenne, o czym świadczy brak zarzutów wobec osób podejrzanych pełniących istotne funkcje, brak prokuratora generalnego ds. zbrodni wojennych od 2023 r. oraz powszechne publiczne negowanie międzynarodowych wyroków w sprawie zbrodni wojennych, w tym negowanie ludobójstwa w Srebrenicy; ubolewa nad ciągłym promowaniem skazanych zbrodniarzy wojennych przez partię rządzącą i za pośrednictwem prorządowych mediów, co zapewnia im przestrzeń dla rewizjonizmu historycznego i mowy nienawiści;</w:t>
      </w:r>
    </w:p>
    <w:p w:rsidR="00782150" w:rsidRPr="00943E92" w:rsidP="00782150" w14:paraId="3063AB4B" w14:textId="77777777">
      <w:pPr>
        <w:pStyle w:val="NormalHanging12a"/>
        <w:jc w:val="left"/>
      </w:pPr>
      <w:r w:rsidRPr="00943E92">
        <w:t>80.</w:t>
      </w:r>
      <w:r w:rsidRPr="00943E92">
        <w:tab/>
        <w:t>podtrzymuje swoje stanowisko w sprawie znaczenia otwarcia i publikacji archiwów wojennych oraz ponawia swój apel o otwarcie archiwów byłej Jugosławii, a w szczególności o zagwarantowanie dostępu do akt byłych jugosłowiańskich służb specjalnych (UDBA) i tajnych służb Jugosłowiańskiej Armii Ludowej (KOS) oraz o zwrot tych akt odpowiednim rządom sukcesorom na ich wniosek;</w:t>
      </w:r>
    </w:p>
    <w:p w:rsidR="00782150" w:rsidRPr="00943E92" w:rsidP="00782150" w14:paraId="7AAF296B" w14:textId="77777777">
      <w:pPr>
        <w:pStyle w:val="NormalHanging12a"/>
        <w:jc w:val="left"/>
      </w:pPr>
      <w:r w:rsidRPr="00943E92">
        <w:t>81.</w:t>
      </w:r>
      <w:r w:rsidRPr="00943E92">
        <w:tab/>
        <w:t>podkreśla potrzebę konstruktywnej współpracy regionalnej w rozliczaniu zbrodni wojennych poprzez unikanie konfliktów jurysdykcji i dopilnowanie, aby zbrodnie wojenne były ścigane bez jakiejkolwiek dyskryminacji, oraz podkreśla, że wszystkie nierozstrzygnięte kwestie w tym zakresie muszą zostać w pełni rozwiązane;</w:t>
      </w:r>
    </w:p>
    <w:p w:rsidR="00782150" w:rsidRPr="00943E92" w:rsidP="00782150" w14:paraId="2CD4F186" w14:textId="77777777">
      <w:pPr>
        <w:pStyle w:val="NormalHanging12a"/>
        <w:jc w:val="left"/>
        <w:rPr>
          <w:bCs/>
          <w:iCs/>
        </w:rPr>
      </w:pPr>
      <w:r w:rsidRPr="00943E92">
        <w:t>82.</w:t>
      </w:r>
      <w:r w:rsidRPr="00943E92">
        <w:tab/>
        <w:t xml:space="preserve">zauważa, że poważnym wyzwaniem i poważną przeszkodą dla normalizacji stosunków są nadal nierozwiązane sprawy osób zaginionych; wzywa Serbię do wzmożenia wysiłków na rzecz pojednania i do przyjęcia bardziej aktywnego podejścia; wzywa Serbię do pełnej współpracy z organami sądowymi państw członkowskich UE w dochodzeniach w sprawie zbrodni wojennych, w tym zbrodni przeciwko osobom zaginionym, oraz do dostarczenia wszelkich istotnych informacji, które umożliwiłyby ich identyfikację; wzywa do konstruktywnej współpracy dwustronnej z innymi zainteresowanymi państwami dzięki szybkiej wymianie informacji, w tym poprzez dostęp do dokumentacji i archiwów oraz poprzez rozwiązywanie spraw dotyczących osób zaginionych, rozstrzyganie spraw spadkowych, ściganie zbrodni wojennych i zwrot dóbr kultury; wzywa Serbię do ostatecznego przyjęcia od dawna zapowiadanej ustawy o osobach zaginionych w prawdziwie pluralistyczny i przejrzysty sposób; </w:t>
      </w:r>
    </w:p>
    <w:p w:rsidR="00782150" w:rsidRPr="00943E92" w:rsidP="00782150" w14:paraId="00425AB4" w14:textId="77777777">
      <w:pPr>
        <w:pStyle w:val="NormalHanging12a"/>
        <w:jc w:val="left"/>
      </w:pPr>
      <w:r w:rsidRPr="00943E92">
        <w:t>83.</w:t>
      </w:r>
      <w:r w:rsidRPr="00943E92">
        <w:tab/>
        <w:t xml:space="preserve">potępia wykorzystywanie serbskiego Kościoła Prawosławnego jako narzędzia rozszerzenia serbskich wpływów w całym regionie i wzywa przywódców religijnych w tym kraju, by promowali przekazy, które sprzyjają stosunkom dobrosąsiedzkim i zrozumieniu między poszczególnymi krajami i religiami w regionie, a także aktywnie przyczyniali się do zapobiegania kulturze konfrontacji; wzywa do ochrony mniejszości religijnych w Serbii i Kosowie oraz do zapewnienia dostępu do miejsc kultu; </w:t>
      </w:r>
    </w:p>
    <w:p w:rsidR="00782150" w:rsidRPr="00943E92" w:rsidP="00782150" w14:paraId="0C9E67A3" w14:textId="77777777">
      <w:pPr>
        <w:pStyle w:val="NormalHanging12a"/>
        <w:jc w:val="left"/>
        <w:rPr>
          <w:b/>
          <w:bCs/>
          <w:i/>
          <w:iCs/>
        </w:rPr>
      </w:pPr>
      <w:r w:rsidRPr="00943E92">
        <w:rPr>
          <w:b/>
          <w:i/>
        </w:rPr>
        <w:t>Reformy społeczno-gospodarcze</w:t>
      </w:r>
    </w:p>
    <w:p w:rsidR="00782150" w:rsidRPr="00943E92" w:rsidP="00782150" w14:paraId="33FA8D31" w14:textId="77777777">
      <w:pPr>
        <w:pStyle w:val="NormalHanging12a"/>
        <w:jc w:val="left"/>
      </w:pPr>
      <w:r w:rsidRPr="00943E92">
        <w:t>84.</w:t>
      </w:r>
      <w:r w:rsidRPr="00943E92">
        <w:tab/>
        <w:t>przypomina, że wsparcie w ramach planu reform i wzrostu gospodarczego jest uzależnione od poszanowania skutecznych mechanizmów demokratycznych, w tym wielopartyjnego systemu parlamentarnego, wolnych i uczciwych wyborów, pluralistycznych mediów, niezależnego sądownictwa, praworządności, wypełnienia wszystkich zobowiązań w zakresie praw człowieka i konstruktywnego zaangażowania w normalizację stosunków z Kosowem; z zaniepokojeniem zauważa, że w styczniu 2026 r. Komisja zatwierdziła jednak pierwszą wypłatę środków dla Serbii w ramach Instrumentu Wsparcia Reform i Wzrostu Gospodarczego na Bałkanach Zachodnich; wzywa Komisję do wyjaśnienia, w jaki sposób spełniono warunki wstępne; zauważa, że zapewnienie Serbii funduszy jest niewłaściwym sygnałem dla innych krajów ubiegających się o członkostwo w UE, sugerującym, że fundusze UE można uzyskać bez rzeczywistych postępów w zakresie reform związanych z przystąpieniem; uważa, że fundusze europejskie powinny lepiej wspierać reformy demokratyczne w tym kraju; wzywa do przeprogramowania odpowiednich istniejących i przyszłych funduszy UE w celu przekierowania większych środków na wspieranie reform sądownictwa, środków antykorupcyjnych, niezależnych mediów i organizacji społeczeństwa obywatelskiego oraz niezależnego sektora kultury, aby wspierać ich kluczową pracę; podkreśla, że wsparcie udzielane za pośrednictwem rządu serbskiego powinno zostać natychmiast zawieszone ze względu na brak wyraźnych i wiarygodnych postępów w dziedzinie praworządności, wolności mediów i warunków wyborczych;</w:t>
      </w:r>
    </w:p>
    <w:p w:rsidR="00782150" w:rsidRPr="00943E92" w:rsidP="00782150" w14:paraId="2E0762C4" w14:textId="77777777">
      <w:pPr>
        <w:pStyle w:val="NormalHanging12a"/>
        <w:jc w:val="left"/>
      </w:pPr>
      <w:r w:rsidRPr="00943E92">
        <w:t>85.</w:t>
      </w:r>
      <w:r w:rsidRPr="00943E92">
        <w:tab/>
        <w:t xml:space="preserve">zauważa, że proces przystąpienia do UE opiera się na zbliżeniu ustawodawstwa krajowego do dorobku prawnego UE; podkreśla potrzebę dalszych działań na rzecz wdrażania reform zarządzania finansami publicznymi i administracji publicznej oraz na </w:t>
      </w:r>
      <w:r w:rsidRPr="00943E92">
        <w:t>rzecz przeciwdziałania utrzymującym się ograniczeniom zdolności administracyjnych poprzez stałe inwestycje UE w rozwój zdolności wysokiej jakości oraz ramy wymiany wiedzy; wzywa Serbię do zintensyfikowania wysiłków i zwiększenia inwestycji w rozwój społeczno-gospodarczy regionów przygranicznych w celu rozwiązania problemu wyludnienia i zapewnienia mieszkańcom dostępu do podstawowych usług, w tym możliwości zawodowych, opieki zdrowotnej i edukacji;</w:t>
      </w:r>
    </w:p>
    <w:p w:rsidR="00782150" w:rsidRPr="00943E92" w:rsidP="00782150" w14:paraId="6C64B8DA" w14:textId="77777777">
      <w:pPr>
        <w:pStyle w:val="NormalHanging12a"/>
        <w:jc w:val="left"/>
      </w:pPr>
      <w:r w:rsidRPr="00943E92">
        <w:t>86.</w:t>
      </w:r>
      <w:r w:rsidRPr="00943E92">
        <w:tab/>
        <w:t xml:space="preserve">wzywa UE i kraje Bałkanów Zachodnich do ustanowienia ram współpracy między Prokuraturą Europejską (EPPO) a jej odpowiednikami z Bałkanów Zachodnich oraz do szybkiego zawarcia dwustronnego porozumienia roboczego z EPPO, tak aby umożliwić EPPO skuteczne wykonywanie uprawnień w zakresie funduszy IPA III i Instrumentu na rzecz Bałkanów Zachodnich w krajach będących beneficjentami; wzywa do wypłaty środków w ramach przyszłego programu „Globalny wymiar Europy” na ściśle określonych warunkach dotyczących praworządności; </w:t>
      </w:r>
    </w:p>
    <w:p w:rsidR="00782150" w:rsidRPr="00943E92" w:rsidP="00782150" w14:paraId="6F147BDD" w14:textId="77777777">
      <w:pPr>
        <w:pStyle w:val="NormalHanging12a"/>
        <w:jc w:val="left"/>
      </w:pPr>
      <w:r w:rsidRPr="00943E92">
        <w:t>87.</w:t>
      </w:r>
      <w:r w:rsidRPr="00943E92">
        <w:tab/>
        <w:t>wyraża zaniepokojenie skalą i zakresem udzielonych zamówień, które są wyłączone z istniejących ram prawnych dotyczących zamówień publicznych;</w:t>
      </w:r>
    </w:p>
    <w:p w:rsidR="00782150" w:rsidRPr="00943E92" w:rsidP="00782150" w14:paraId="7FE0CED5" w14:textId="77777777">
      <w:pPr>
        <w:pStyle w:val="NormalHanging12a"/>
        <w:jc w:val="left"/>
      </w:pPr>
      <w:r w:rsidRPr="00943E92">
        <w:t>88.</w:t>
      </w:r>
      <w:r w:rsidRPr="00943E92">
        <w:tab/>
        <w:t xml:space="preserve">z zadowoleniem przyjmuje wniosek Komisji dotyczący rozpoczęcia negocjacji z Serbią i innymi krajami Bałkanów Zachodnich w celu ich włączenia do unijnego systemu znoszącego opłaty </w:t>
      </w:r>
      <w:r w:rsidRPr="00943E92">
        <w:t>roamingowe</w:t>
      </w:r>
      <w:r w:rsidRPr="00943E92">
        <w:t xml:space="preserve">; podkreśla, że rozszerzenie obszaru objętego tym systemem na Bałkany Zachodnie przyniosłoby wymierne korzyści zarówno obywatelom, jak i przedsiębiorstwom, ponieważ sprzyjałoby kontaktom międzyludzkim, wzmacniałoby więzi gospodarcze, wspierałoby wymianę edukacyjną i ułatwiałoby turystykę; wzywa do szybkiego przyjęcia mandatów negocjacyjnych i terminowego zawarcia umów dwustronnych z partnerami z Bałkanów Zachodnich; </w:t>
      </w:r>
    </w:p>
    <w:p w:rsidR="00782150" w:rsidRPr="00943E92" w:rsidP="00782150" w14:paraId="6E6BC3D4" w14:textId="77777777">
      <w:pPr>
        <w:pStyle w:val="NormalHanging12a"/>
        <w:jc w:val="left"/>
        <w:rPr>
          <w:rFonts w:ascii="Europea" w:hAnsi="Europea"/>
          <w:sz w:val="22"/>
          <w:szCs w:val="22"/>
        </w:rPr>
      </w:pPr>
      <w:r w:rsidRPr="00943E92">
        <w:t>89.</w:t>
      </w:r>
      <w:r w:rsidRPr="00943E92">
        <w:tab/>
        <w:t>z zadowoleniem przyjmuje fakt, że banki w Serbii oficjalnie rozpoczęły przeprowadzanie transgranicznych transakcji w euro za pośrednictwem systemu jednolitego obszaru płatności w euro (SEPA);</w:t>
      </w:r>
    </w:p>
    <w:p w:rsidR="00782150" w:rsidRPr="00943E92" w:rsidP="00782150" w14:paraId="37447EFF" w14:textId="77777777">
      <w:pPr>
        <w:pStyle w:val="NormalHanging12a"/>
        <w:jc w:val="left"/>
      </w:pPr>
      <w:r w:rsidRPr="00943E92">
        <w:t>90.</w:t>
      </w:r>
      <w:r w:rsidRPr="00943E92">
        <w:tab/>
        <w:t xml:space="preserve">z ubolewaniem odnotowuje wyzwania demograficzne, przed którymi stoi Serbia ze względu na starzenie się społeczeństwa i niski współczynnik urodzeń, spotęgowane odpływem młodzieży spowodowanym niepewnością polityczną i trudnościami społeczno-gospodarczymi; </w:t>
      </w:r>
    </w:p>
    <w:p w:rsidR="00782150" w:rsidRPr="00943E92" w:rsidP="00782150" w14:paraId="59C8D487" w14:textId="77777777">
      <w:pPr>
        <w:pStyle w:val="NormalHanging12a"/>
        <w:jc w:val="left"/>
      </w:pPr>
      <w:r w:rsidRPr="00943E92">
        <w:t>91.</w:t>
      </w:r>
      <w:r w:rsidRPr="00943E92">
        <w:tab/>
        <w:t>wzywa Serbię do wzmocnienia ochrony bezpieczeństwa i higieny pracy poprzez przyjęcie konkretnych krajowych strategii politycznych dotyczących zagrożeń psychospołecznych i innych pojawiających się zagrożeń, w tym w gospodarce prac dorywczych i gospodarce platform, oraz poprzez zapewnienie pracownikom rzeczywistego prawa do bycia offline; wzywa Serbię do dopilnowania, aby pracownicy domowi byli w pełni objęci przepisami dotyczącymi bezpieczeństwa i higieny pracy oraz aby byli skutecznie chronieni w praktyce, w tym poprzez odpowiednie mechanizmy inspekcji pracy i egzekwowania przepisów; wzywa Serbię do zapewnienia równości wynagrodzeń dla kobiet i mężczyzn poprzez przyjęcie skutecznych środków, które pozwolą osiągnąć wymierne postępy w zmniejszaniu zróżnicowania wynagrodzenia ze względu na płeć;</w:t>
      </w:r>
    </w:p>
    <w:p w:rsidR="00782150" w:rsidRPr="00943E92" w:rsidP="00782150" w14:paraId="088E1B5C" w14:textId="77777777">
      <w:pPr>
        <w:pStyle w:val="NormalHanging12a"/>
        <w:jc w:val="left"/>
      </w:pPr>
      <w:r w:rsidRPr="00943E92">
        <w:t>92.</w:t>
      </w:r>
      <w:r w:rsidRPr="00943E92">
        <w:tab/>
        <w:t xml:space="preserve">wzywa Serbię, by dostosowała swoje przepisy dotyczące prawa do strajku do norm MOP; wzywa Serbię do wzmożenia wysiłków na rzecz zmniejszenia luki w zatrudnieniu między kobietami a mężczyznami oraz do promowania wymiernych </w:t>
      </w:r>
      <w:r w:rsidRPr="00943E92">
        <w:t>postępów w zakresie reprezentacji kobiet na stanowiskach kierowniczych;</w:t>
      </w:r>
    </w:p>
    <w:p w:rsidR="00782150" w:rsidRPr="00943E92" w:rsidP="00782150" w14:paraId="4EBC4381" w14:textId="77777777">
      <w:pPr>
        <w:pStyle w:val="NormalHanging12a"/>
        <w:jc w:val="left"/>
      </w:pPr>
      <w:r w:rsidRPr="00943E92">
        <w:t>93.</w:t>
      </w:r>
      <w:r w:rsidRPr="00943E92">
        <w:tab/>
        <w:t>zauważa, że dialog społeczny i konsultacje z partnerami społecznymi są nadal słabe, i wzywa władze do wzmocnienia rokowań zbiorowych, w prawie i w praktyce, oraz do wykorzystania Instrumentu Wsparcia Reform i Wzrostu Gospodarczego na Bałkanach Zachodnich do wspierania budowania zdolności partnerów społecznych; zauważa, że wypłata środków z Instrumentu Wsparcia Reform i Wzrostu Gospodarczego na Bałkanach Zachodnich musi pozostać uzależniona od zaangażowania partnerów społecznych w opracowanie programu reform;</w:t>
      </w:r>
    </w:p>
    <w:p w:rsidR="00782150" w:rsidRPr="00943E92" w:rsidP="00782150" w14:paraId="277696B6" w14:textId="77777777">
      <w:pPr>
        <w:pStyle w:val="NormalHanging12a"/>
        <w:jc w:val="left"/>
      </w:pPr>
      <w:r w:rsidRPr="00943E92">
        <w:t>94.</w:t>
      </w:r>
      <w:r w:rsidRPr="00943E92">
        <w:tab/>
        <w:t>ponownie zwraca uwagę, że Serbia musi zwiększyć przejrzystość w odniesieniu do badania bezpośrednich inwestycji zagranicznych;</w:t>
      </w:r>
    </w:p>
    <w:p w:rsidR="00782150" w:rsidRPr="00943E92" w:rsidP="00782150" w14:paraId="0B809EB6" w14:textId="77777777">
      <w:pPr>
        <w:pStyle w:val="NormalHanging12a"/>
        <w:jc w:val="left"/>
        <w:rPr>
          <w:b/>
          <w:bCs/>
          <w:i/>
          <w:iCs/>
        </w:rPr>
      </w:pPr>
      <w:r w:rsidRPr="00943E92">
        <w:rPr>
          <w:b/>
          <w:i/>
        </w:rPr>
        <w:t>Energia, środowisko, zrównoważony rozwój i łączność</w:t>
      </w:r>
    </w:p>
    <w:p w:rsidR="00782150" w:rsidRPr="00943E92" w:rsidP="00782150" w14:paraId="60555061" w14:textId="77777777">
      <w:pPr>
        <w:pStyle w:val="NormalHanging12a"/>
        <w:jc w:val="left"/>
      </w:pPr>
      <w:r w:rsidRPr="00943E92">
        <w:t>95.</w:t>
      </w:r>
      <w:r w:rsidRPr="00943E92">
        <w:tab/>
        <w:t xml:space="preserve">zwraca uwagę na politycznie newralgiczną sytuację przedsiębiorstwa naftowo-gazowego </w:t>
      </w:r>
      <w:r w:rsidRPr="00943E92">
        <w:t>Naftna</w:t>
      </w:r>
      <w:r w:rsidRPr="00943E92">
        <w:t xml:space="preserve"> </w:t>
      </w:r>
      <w:r w:rsidRPr="00943E92">
        <w:t>Industrija</w:t>
      </w:r>
      <w:r w:rsidRPr="00943E92">
        <w:t xml:space="preserve"> </w:t>
      </w:r>
      <w:r w:rsidRPr="00943E92">
        <w:t>Srbije</w:t>
      </w:r>
      <w:r w:rsidRPr="00943E92">
        <w:t xml:space="preserve"> (NIS) i przekształcenie jego struktury własnościowej, w kontekście sankcji nałożonych przez Stany Zjednoczone i faktu, że większościowe udziały w NIS mają rosyjskie przedsiębiorstwa Gazprom i Gazprom </w:t>
      </w:r>
      <w:r w:rsidRPr="00943E92">
        <w:t>Neft</w:t>
      </w:r>
      <w:r w:rsidRPr="00943E92">
        <w:t>; odnotowuje zaangażowanie i wsparcie UE oraz Chorwacji na rzecz znalezienia trwałego rozwiązania tego kryzysu; uważa, że niezbędnym celem w zakresie polityki bezpieczeństwa jest odejście Serbii od rosyjskiej energii;</w:t>
      </w:r>
    </w:p>
    <w:p w:rsidR="00782150" w:rsidRPr="00943E92" w:rsidP="00782150" w14:paraId="43F99625" w14:textId="77777777">
      <w:pPr>
        <w:pStyle w:val="NormalHanging12a"/>
        <w:jc w:val="left"/>
      </w:pPr>
      <w:r w:rsidRPr="00943E92">
        <w:t>96.</w:t>
      </w:r>
      <w:r w:rsidRPr="00943E92">
        <w:tab/>
        <w:t>wzywa władze serbskie do pilnego wzmożenia wysiłków na rzecz dywersyfikacji źródeł dostaw gazu, w tym poprzez wzmocnienie regionalnych połączeń międzysystemowych, inwestycje w energię ze źródeł odnawialnych oraz dostosowanie do unijnej strategii dywersyfikacji źródeł energii; ubolewa, że mimo wysiłków Serbii na rzecz dywersyfikacji dostaw energii, aby uniezależnić się od Rosji, niedawne rozmowy doprowadziły do zawarcia nowej umowy z Rosją w sprawie importu gazu, co podważa postępy Serbii w dostosowywaniu się do polityki energetycznej UE i budzi poważne wątpliwości co do zobowiązania tego kraju do zmniejszenia strategicznej zależności od rosyjskich źródeł energii; zauważa, że dywersyfikację źródeł energii można postrzegać jako element strategicznego ukierunkowania kraju;</w:t>
      </w:r>
    </w:p>
    <w:p w:rsidR="00782150" w:rsidRPr="00943E92" w:rsidP="00782150" w14:paraId="5901DB69" w14:textId="77777777">
      <w:pPr>
        <w:pStyle w:val="NormalHanging12a"/>
        <w:jc w:val="left"/>
      </w:pPr>
      <w:r w:rsidRPr="00943E92">
        <w:t>97.</w:t>
      </w:r>
      <w:r w:rsidRPr="00943E92">
        <w:tab/>
        <w:t>ponownie podkreśla znaczenie ochrony norm środowiskowych w Serbii, zwłaszcza w odniesieniu do projektów wydobywczych, przy pełnym poszanowaniu praw społeczności lokalnych;</w:t>
      </w:r>
    </w:p>
    <w:p w:rsidR="00782150" w:rsidRPr="00943E92" w:rsidP="00782150" w14:paraId="374B4068" w14:textId="77777777">
      <w:pPr>
        <w:pStyle w:val="NormalHanging12a"/>
        <w:jc w:val="left"/>
        <w:rPr>
          <w:szCs w:val="24"/>
        </w:rPr>
      </w:pPr>
      <w:r w:rsidRPr="00943E92">
        <w:t>98.</w:t>
      </w:r>
      <w:r w:rsidRPr="00943E92">
        <w:tab/>
        <w:t xml:space="preserve">wzywa Serbię do właściwej i przejrzystej kontroli i oceny przychodzących bezpośrednich inwestycji zagranicznych, zwłaszcza pod względem norm środowiskowych i zrównoważonego rozwoju; wyraża zaniepokojenie doniesieniami o degradacji środowiska i skutkach społecznych związanych z wielkoskalowymi projektami wydobywczymi, a także poważnymi skutkami dla środowiska i zdrowia publicznego działalności wydobywczej i przemysłowej z udziałem chińskich inwestorów, co doprowadziło do zintensyfikowanej eksploatacji miedzi, złota i innych rzadkich materiałów w gminach Bor i Majdanpek; podkreśla, że przy zatwierdzaniu i wdrażaniu takich projektów Serbia musi w pełni chronić swój porządek konstytucyjny, zapewnić ścisłe przestrzeganie norm środowiskowych oraz chronić prawa społeczności lokalnych i mniejszości narodowych; wzywa władze serbskie do zapewnienia pełnej przejrzystości, rozliczalności i należytej staranności w procedurach udzielania zamówień publicznych, prywatyzacji i koncesji z udziałem zagranicznych </w:t>
      </w:r>
      <w:r w:rsidRPr="00943E92">
        <w:t>przedsiębiorstw państwowych, w tym wykonawców chińskich;</w:t>
      </w:r>
    </w:p>
    <w:p w:rsidR="00782150" w:rsidRPr="00943E92" w:rsidP="00782150" w14:paraId="5CF2B9E2" w14:textId="77777777">
      <w:pPr>
        <w:pStyle w:val="NormalHanging12a"/>
        <w:jc w:val="left"/>
        <w:rPr>
          <w:szCs w:val="24"/>
        </w:rPr>
      </w:pPr>
      <w:r w:rsidRPr="00943E92">
        <w:t>99.</w:t>
      </w:r>
      <w:r w:rsidRPr="00943E92">
        <w:tab/>
        <w:t xml:space="preserve">jest zaniepokojony niedawnymi blokadami na przejściach granicznych do strefy </w:t>
      </w:r>
      <w:r w:rsidRPr="00943E92">
        <w:t>Schengen</w:t>
      </w:r>
      <w:r w:rsidRPr="00943E92">
        <w:t xml:space="preserve"> zorganizowanymi przez zawodowych kierowców z krajów Bałkanów Zachodnich w związku z wdrażaniem unijnego systemu wjazdu/wyjazdu (EES), ponieważ zagrażają one źródłom utrzymania ludności w krajach kandydujących i potencjalnie zakłócają łańcuchy dostaw w UE; wzywa Komisję, aby w ścisłej współpracy z państwami członkowskimi oceniła możliwe pragmatyczne i prawnie uzasadnione rozwiązania, które równoważą realia operacyjne w sektorze transportu z potrzebą zachowania integralności dorobku </w:t>
      </w:r>
      <w:r w:rsidRPr="00943E92">
        <w:t>Schengen</w:t>
      </w:r>
      <w:r w:rsidRPr="00943E92">
        <w:t>, zapewniając odpowiednie zabezpieczenia i zapobiegając wszelkim nadużyciom;</w:t>
      </w:r>
    </w:p>
    <w:p w:rsidR="00782150" w:rsidRPr="00943E92" w:rsidP="00782150" w14:paraId="66D206B7" w14:textId="77777777">
      <w:pPr>
        <w:pStyle w:val="NormalHanging12a"/>
        <w:jc w:val="left"/>
      </w:pPr>
      <w:r w:rsidRPr="00943E92">
        <w:t>100.</w:t>
      </w:r>
      <w:r w:rsidRPr="00943E92">
        <w:tab/>
        <w:t xml:space="preserve">wzywa Serbię do zwiększenia wysiłków na rzecz transpozycji odpowiedniego dorobku prawnego w dziedzinie środowiska i klimatu oraz do zapewnienia właściwego stosowania norm ochrony środowiska; apeluje do władz serbskich o poprawę przejrzystości wszystkich inwestycji, w tym chińskich i rosyjskich, oraz ocen ich oddziaływania na środowisko; wyraża zadowolenie z przyjęcia ustawy o ocenie oddziaływania na środowisko oraz ustawy o strategicznej ocenie oddziaływania na środowisko; podkreśla jednak, że zasadnicze znaczenie ma nadal skuteczna realizacja, w szczególności dopilnowanie, by wszystkie projekty podlegały pełnym i przejrzystym procedurom oceny, by udział społeczeństwa był znaczący i terminowy oraz by żadne praktyki administracyjne nie pozwalały na pominięcie kompleksowej kontroli środowiskowej w projektach; </w:t>
      </w:r>
    </w:p>
    <w:p w:rsidR="00782150" w:rsidRPr="00943E92" w:rsidP="00782150" w14:paraId="22587EBD" w14:textId="77777777">
      <w:pPr>
        <w:pStyle w:val="NormalHanging12a"/>
        <w:jc w:val="left"/>
      </w:pPr>
      <w:r w:rsidRPr="00943E92">
        <w:t>101.</w:t>
      </w:r>
      <w:r w:rsidRPr="00943E92">
        <w:tab/>
        <w:t xml:space="preserve">wzywa Serbię, by przyspieszyła dostosowanie przepisów do dyrektywy ptasiej i dyrektywy siedliskowej oraz znacznie zintensyfikowała wysiłki na rzecz identyfikacji i wstępnego wyznaczenia obszarów sieci Natura 2000 z myślą o wypełnieniu podstawowych zobowiązań wynikających z rozdziału 27, a także by rozszerzyła obszary chronione i skutecznie nimi zarządzała, w tym poprzez skuteczniejsze egzekwowanie przepisów dotyczących przestępstw przeciwko dzikiej przyrodzie; wyraża zaniepokojenie rosnącą presją ze strony przemysłu wydobywczego na obszary o wysokiej różnorodności biologicznej, w tym obszary chronione i ekosystemy starodrzewów; ponownie daje wyraz ubolewaniu z powodu braku działań w sprawie zanieczyszczenia, w tym zanieczyszczenia rzeki </w:t>
      </w:r>
      <w:r w:rsidRPr="00943E92">
        <w:t>Dragowisztica</w:t>
      </w:r>
      <w:r w:rsidRPr="00943E92">
        <w:t>, przez kopalnie działające w tym regionie oraz szkodliwego oddziaływania na zdrowie miejscowej ludności i na środowisko;</w:t>
      </w:r>
    </w:p>
    <w:p w:rsidR="00782150" w:rsidRPr="00943E92" w:rsidP="00782150" w14:paraId="3802CD7C" w14:textId="77777777">
      <w:pPr>
        <w:pStyle w:val="NormalHanging12a"/>
        <w:jc w:val="center"/>
      </w:pPr>
      <w:r w:rsidRPr="00943E92">
        <w:t>°</w:t>
      </w:r>
    </w:p>
    <w:p w:rsidR="00782150" w:rsidRPr="00943E92" w:rsidP="00782150" w14:paraId="5E91EA0F" w14:textId="77777777">
      <w:pPr>
        <w:pStyle w:val="NormalHanging12a"/>
        <w:jc w:val="center"/>
      </w:pPr>
      <w:r w:rsidRPr="00943E92">
        <w:t>°</w:t>
      </w:r>
      <w:r w:rsidRPr="00943E92">
        <w:tab/>
        <w:t>°</w:t>
      </w:r>
    </w:p>
    <w:p w:rsidR="00943E92" w:rsidRPr="00943E92" w:rsidP="008F0A34" w14:paraId="1ECD1D63" w14:textId="6E820501">
      <w:pPr>
        <w:pStyle w:val="NormalHanging12a"/>
        <w:jc w:val="left"/>
      </w:pPr>
      <w:r w:rsidRPr="00943E92">
        <w:t>102.</w:t>
      </w:r>
      <w:r w:rsidRPr="00943E92">
        <w:tab/>
        <w:t>zobowiązuje swoją przewodniczącą do przekazania niniejszej rezolucji przewodniczącemu Rady Europejskiej, Komisji, wiceprzewodniczącej Komisji / wysokiej przedstawicielce Unii do spraw zagranicznych i polityki bezpieczeństwa oraz rządom i parlamentom państw członkowskich, a także do przetłumaczenia jej na język serbski i przekazania jej prezydentowi, rządowi i Zgromadzeniu Narodowemu Serbii.</w:t>
      </w:r>
      <w:bookmarkEnd w:id="6"/>
    </w:p>
    <w:p w:rsidR="00E365E1" w:rsidRPr="00943E92" w:rsidP="0042302D" w14:paraId="62D721E1" w14:textId="4A307BD5"/>
    <w:sectPr w:rsidSect="00943E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3E92" w14:paraId="01F39EE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3E92" w14:paraId="47BB09C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3E92" w14:paraId="1478147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2302D" w:rsidRPr="00943E92" w14:paraId="7D62CEB7" w14:textId="77777777">
      <w:r w:rsidRPr="00943E92">
        <w:separator/>
      </w:r>
    </w:p>
  </w:footnote>
  <w:footnote w:type="continuationSeparator" w:id="1">
    <w:p w:rsidR="0042302D" w:rsidRPr="00943E92" w14:paraId="0FD2C1F6" w14:textId="77777777">
      <w:r w:rsidRPr="00943E92">
        <w:continuationSeparator/>
      </w:r>
    </w:p>
  </w:footnote>
  <w:footnote w:id="2">
    <w:p w:rsidR="00782150" w:rsidRPr="00943E92" w:rsidP="00943E92" w14:paraId="7FD759B8" w14:textId="119BBE68">
      <w:pPr>
        <w:pStyle w:val="FootnoteText"/>
        <w:ind w:left="567" w:hanging="567"/>
        <w:rPr>
          <w:sz w:val="24"/>
          <w:lang w:val="pl-PL"/>
        </w:rPr>
      </w:pPr>
      <w:r w:rsidRPr="00943E92">
        <w:rPr>
          <w:rStyle w:val="FootnoteReference"/>
          <w:sz w:val="24"/>
          <w:lang w:val="pl-PL"/>
        </w:rPr>
        <w:footnoteRef/>
      </w:r>
      <w:r w:rsidRPr="00943E92" w:rsidR="00943E92">
        <w:rPr>
          <w:sz w:val="24"/>
          <w:lang w:val="pl-PL"/>
        </w:rPr>
        <w:t xml:space="preserve"> </w:t>
      </w:r>
      <w:r w:rsidRPr="00943E92" w:rsidR="00943E92">
        <w:rPr>
          <w:sz w:val="24"/>
          <w:lang w:val="pl-PL"/>
        </w:rPr>
        <w:tab/>
      </w:r>
      <w:r w:rsidRPr="00943E92">
        <w:rPr>
          <w:sz w:val="24"/>
          <w:lang w:val="pl-PL"/>
        </w:rPr>
        <w:t xml:space="preserve">Dz.U. L 278 z 18.10.2013, s. 16, ELI: </w:t>
      </w:r>
      <w:hyperlink r:id="rId1" w:history="1">
        <w:r w:rsidRPr="00943E92">
          <w:rPr>
            <w:rStyle w:val="Hyperlink"/>
            <w:sz w:val="24"/>
            <w:lang w:val="pl-PL"/>
          </w:rPr>
          <w:t>http://data.europa.eu/eli/agree_internation/2013/490/oj</w:t>
        </w:r>
      </w:hyperlink>
      <w:r w:rsidRPr="00943E92">
        <w:rPr>
          <w:sz w:val="24"/>
          <w:lang w:val="pl-PL"/>
        </w:rPr>
        <w:t>.</w:t>
      </w:r>
    </w:p>
  </w:footnote>
  <w:footnote w:id="3">
    <w:p w:rsidR="00782150" w:rsidRPr="00943E92" w:rsidP="00943E92" w14:paraId="0399EA73" w14:textId="382EA3BC">
      <w:pPr>
        <w:pStyle w:val="FootnoteText"/>
        <w:ind w:left="567" w:hanging="567"/>
        <w:rPr>
          <w:sz w:val="24"/>
          <w:lang w:val="pl-PL"/>
        </w:rPr>
      </w:pPr>
      <w:r w:rsidRPr="00943E92">
        <w:rPr>
          <w:rStyle w:val="FootnoteReference"/>
          <w:sz w:val="24"/>
          <w:lang w:val="pl-PL"/>
        </w:rPr>
        <w:footnoteRef/>
      </w:r>
      <w:r w:rsidRPr="00943E92" w:rsidR="00943E92">
        <w:rPr>
          <w:sz w:val="24"/>
          <w:lang w:val="pl-PL"/>
        </w:rPr>
        <w:t xml:space="preserve"> </w:t>
      </w:r>
      <w:r w:rsidRPr="00943E92" w:rsidR="00943E92">
        <w:rPr>
          <w:sz w:val="24"/>
          <w:lang w:val="pl-PL"/>
        </w:rPr>
        <w:tab/>
      </w:r>
      <w:r w:rsidRPr="00943E92">
        <w:rPr>
          <w:sz w:val="24"/>
          <w:lang w:val="pl-PL"/>
        </w:rPr>
        <w:t xml:space="preserve">Dz.U. L 330 z </w:t>
      </w:r>
      <w:r w:rsidRPr="00943E92">
        <w:rPr>
          <w:sz w:val="24"/>
          <w:lang w:val="pl-PL"/>
        </w:rPr>
        <w:t>20.9.2021</w:t>
      </w:r>
      <w:r w:rsidRPr="00943E92">
        <w:rPr>
          <w:sz w:val="24"/>
          <w:lang w:val="pl-PL"/>
        </w:rPr>
        <w:t xml:space="preserve">, s. 1, ELI: </w:t>
      </w:r>
      <w:hyperlink r:id="rId2" w:history="1">
        <w:r w:rsidRPr="00943E92">
          <w:rPr>
            <w:rStyle w:val="Hyperlink"/>
            <w:sz w:val="24"/>
            <w:lang w:val="pl-PL"/>
          </w:rPr>
          <w:t>http://data.europa.eu/eli/reg/2021/1529/oj</w:t>
        </w:r>
      </w:hyperlink>
      <w:r w:rsidRPr="00943E92">
        <w:rPr>
          <w:sz w:val="24"/>
          <w:lang w:val="pl-PL"/>
        </w:rPr>
        <w:t>.</w:t>
      </w:r>
    </w:p>
  </w:footnote>
  <w:footnote w:id="4">
    <w:p w:rsidR="00782150" w:rsidRPr="004A081B" w:rsidP="00943E92" w14:paraId="42C3E1F8" w14:textId="37483F98">
      <w:pPr>
        <w:pStyle w:val="FootnoteText"/>
        <w:ind w:left="567" w:hanging="567"/>
        <w:rPr>
          <w:sz w:val="24"/>
          <w:lang w:val="fi-FI"/>
        </w:rPr>
      </w:pPr>
      <w:r w:rsidRPr="00943E92">
        <w:rPr>
          <w:rStyle w:val="FootnoteReference"/>
          <w:sz w:val="24"/>
          <w:lang w:val="pl-PL"/>
        </w:rPr>
        <w:footnoteRef/>
      </w:r>
      <w:r w:rsidRPr="004A081B" w:rsidR="00943E92">
        <w:rPr>
          <w:sz w:val="24"/>
          <w:lang w:val="fi-FI"/>
        </w:rPr>
        <w:t xml:space="preserve"> </w:t>
      </w:r>
      <w:r w:rsidRPr="004A081B" w:rsidR="00943E92">
        <w:rPr>
          <w:sz w:val="24"/>
          <w:lang w:val="fi-FI"/>
        </w:rPr>
        <w:tab/>
      </w:r>
      <w:r w:rsidRPr="004A081B">
        <w:rPr>
          <w:sz w:val="24"/>
          <w:lang w:val="fi-FI"/>
        </w:rPr>
        <w:t xml:space="preserve">Dz.U. L, 2024/1449, 24.5.2024, ELI: </w:t>
      </w:r>
      <w:hyperlink r:id="rId3" w:history="1">
        <w:r w:rsidRPr="004A081B">
          <w:rPr>
            <w:rStyle w:val="Hyperlink"/>
            <w:sz w:val="24"/>
            <w:lang w:val="fi-FI"/>
          </w:rPr>
          <w:t>http://data.europa.eu/eli/reg/2024/1449/oj</w:t>
        </w:r>
      </w:hyperlink>
      <w:r w:rsidRPr="004A081B">
        <w:rPr>
          <w:sz w:val="24"/>
          <w:lang w:val="fi-FI"/>
        </w:rPr>
        <w:t>.</w:t>
      </w:r>
    </w:p>
  </w:footnote>
  <w:footnote w:id="5">
    <w:p w:rsidR="00782150" w:rsidRPr="004A081B" w:rsidP="00943E92" w14:paraId="6FC0B6AA" w14:textId="00FD7B4C">
      <w:pPr>
        <w:pStyle w:val="FootnoteText"/>
        <w:ind w:left="567" w:hanging="567"/>
        <w:rPr>
          <w:sz w:val="24"/>
          <w:lang w:val="fi-FI"/>
        </w:rPr>
      </w:pPr>
      <w:r w:rsidRPr="00943E92">
        <w:rPr>
          <w:rStyle w:val="FootnoteReference"/>
          <w:sz w:val="24"/>
          <w:lang w:val="pl-PL"/>
        </w:rPr>
        <w:footnoteRef/>
      </w:r>
      <w:r w:rsidRPr="004A081B" w:rsidR="00943E92">
        <w:rPr>
          <w:sz w:val="24"/>
          <w:lang w:val="fi-FI"/>
        </w:rPr>
        <w:t xml:space="preserve"> </w:t>
      </w:r>
      <w:r w:rsidRPr="004A081B" w:rsidR="00943E92">
        <w:rPr>
          <w:sz w:val="24"/>
          <w:lang w:val="fi-FI"/>
        </w:rPr>
        <w:tab/>
      </w:r>
      <w:r w:rsidRPr="004A081B">
        <w:rPr>
          <w:sz w:val="24"/>
          <w:lang w:val="fi-FI"/>
        </w:rPr>
        <w:t xml:space="preserve">Dz.U. C, C/2026/2098, 29.4.2026, ELI: </w:t>
      </w:r>
      <w:hyperlink r:id="rId4" w:history="1">
        <w:r w:rsidRPr="004A081B">
          <w:rPr>
            <w:rStyle w:val="Hyperlink"/>
            <w:sz w:val="24"/>
            <w:lang w:val="fi-FI"/>
          </w:rPr>
          <w:t>http://data.europa.eu/eli/C/2026/2098/oj</w:t>
        </w:r>
      </w:hyperlink>
      <w:r w:rsidRPr="004A081B">
        <w:rPr>
          <w:sz w:val="24"/>
          <w:lang w:val="fi-FI"/>
        </w:rPr>
        <w:t>.</w:t>
      </w:r>
    </w:p>
  </w:footnote>
  <w:footnote w:id="6">
    <w:p w:rsidR="00782150" w:rsidRPr="00943E92" w:rsidP="00943E92" w14:paraId="4F2C9437" w14:textId="350C574E">
      <w:pPr>
        <w:pStyle w:val="FootnoteText"/>
        <w:ind w:left="567" w:hanging="567"/>
        <w:rPr>
          <w:sz w:val="24"/>
          <w:lang w:val="pl-PL"/>
        </w:rPr>
      </w:pPr>
      <w:r w:rsidRPr="00943E92">
        <w:rPr>
          <w:rStyle w:val="FootnoteReference"/>
          <w:sz w:val="24"/>
          <w:lang w:val="pl-PL"/>
        </w:rPr>
        <w:footnoteRef/>
      </w:r>
      <w:r w:rsidRPr="00943E92" w:rsidR="00943E92">
        <w:rPr>
          <w:sz w:val="24"/>
          <w:lang w:val="pl-PL"/>
        </w:rPr>
        <w:t xml:space="preserve"> </w:t>
      </w:r>
      <w:r w:rsidRPr="00943E92" w:rsidR="00943E92">
        <w:rPr>
          <w:sz w:val="24"/>
          <w:lang w:val="pl-PL"/>
        </w:rPr>
        <w:tab/>
      </w:r>
      <w:r w:rsidRPr="00943E92">
        <w:rPr>
          <w:sz w:val="24"/>
          <w:lang w:val="pl-PL"/>
        </w:rPr>
        <w:t xml:space="preserve">Rozporządzenie Parlamentu Europejskiego i Rady (UE) 2024/1449 z dnia 14 maja 2024 r. w sprawie ustanowienia Instrumentu Wsparcia Reform i Wzrostu Gospodarczego na Bałkanach Zachodnich (Dz.U. L, 2024/1449, </w:t>
      </w:r>
      <w:r w:rsidRPr="00943E92">
        <w:rPr>
          <w:sz w:val="24"/>
          <w:lang w:val="pl-PL"/>
        </w:rPr>
        <w:t>24.5.2024</w:t>
      </w:r>
      <w:r w:rsidRPr="00943E92">
        <w:rPr>
          <w:sz w:val="24"/>
          <w:lang w:val="pl-PL"/>
        </w:rPr>
        <w:t xml:space="preserve">, ELI: </w:t>
      </w:r>
      <w:hyperlink r:id="rId3" w:history="1">
        <w:r w:rsidRPr="00943E92">
          <w:rPr>
            <w:rStyle w:val="Hyperlink"/>
            <w:sz w:val="24"/>
            <w:lang w:val="pl-PL"/>
          </w:rPr>
          <w:t>http://data.europa.eu/eli/reg/2024/1449/oj</w:t>
        </w:r>
      </w:hyperlink>
      <w:r w:rsidRPr="00943E92">
        <w:rPr>
          <w:sz w:val="24"/>
          <w:lang w:val="pl-PL"/>
        </w:rPr>
        <w:t>).</w:t>
      </w:r>
    </w:p>
  </w:footnote>
  <w:footnote w:id="7">
    <w:p w:rsidR="00782150" w:rsidRPr="00943E92" w:rsidP="00943E92" w14:paraId="7C3ED094" w14:textId="432453EE">
      <w:pPr>
        <w:pStyle w:val="FootnoteText"/>
        <w:ind w:left="567" w:hanging="567"/>
        <w:rPr>
          <w:sz w:val="24"/>
          <w:lang w:val="pl-PL"/>
        </w:rPr>
      </w:pPr>
      <w:r w:rsidRPr="00943E92">
        <w:rPr>
          <w:rStyle w:val="FootnoteReference"/>
          <w:sz w:val="24"/>
          <w:lang w:val="pl-PL"/>
        </w:rPr>
        <w:footnoteRef/>
      </w:r>
      <w:r w:rsidRPr="00943E92" w:rsidR="00943E92">
        <w:rPr>
          <w:sz w:val="24"/>
          <w:lang w:val="pl-PL"/>
        </w:rPr>
        <w:t xml:space="preserve"> </w:t>
      </w:r>
      <w:r w:rsidRPr="00943E92" w:rsidR="00943E92">
        <w:rPr>
          <w:sz w:val="24"/>
          <w:lang w:val="pl-PL"/>
        </w:rPr>
        <w:tab/>
      </w:r>
      <w:r w:rsidRPr="00943E92">
        <w:rPr>
          <w:sz w:val="24"/>
          <w:lang w:val="pl-PL"/>
        </w:rPr>
        <w:t>Decyzja Rady (</w:t>
      </w:r>
      <w:r w:rsidRPr="00943E92">
        <w:rPr>
          <w:sz w:val="24"/>
          <w:lang w:val="pl-PL"/>
        </w:rPr>
        <w:t>WPZiB</w:t>
      </w:r>
      <w:r w:rsidRPr="00943E92">
        <w:rPr>
          <w:sz w:val="24"/>
          <w:lang w:val="pl-PL"/>
        </w:rPr>
        <w:t>) 2026/438 z dnia 23 lutego 2026 r. zmieniająca decyzję (</w:t>
      </w:r>
      <w:r w:rsidRPr="00943E92">
        <w:rPr>
          <w:sz w:val="24"/>
          <w:lang w:val="pl-PL"/>
        </w:rPr>
        <w:t>WPZiB</w:t>
      </w:r>
      <w:r w:rsidRPr="00943E92">
        <w:rPr>
          <w:sz w:val="24"/>
          <w:lang w:val="pl-PL"/>
        </w:rPr>
        <w:t xml:space="preserve">) 2022/266 w sprawie środków ograniczających w odpowiedzi na nielegalne uznanie, okupację lub aneksję przez Federację Rosyjską niektórych niekontrolowanych przez rząd obszarów Ukrainy (Dz.U. L, 2026/438, </w:t>
      </w:r>
      <w:r w:rsidRPr="00943E92">
        <w:rPr>
          <w:sz w:val="24"/>
          <w:lang w:val="pl-PL"/>
        </w:rPr>
        <w:t>23.2.2026</w:t>
      </w:r>
      <w:r w:rsidRPr="00943E92">
        <w:rPr>
          <w:sz w:val="24"/>
          <w:lang w:val="pl-PL"/>
        </w:rPr>
        <w:t xml:space="preserve">, ELI: </w:t>
      </w:r>
      <w:hyperlink r:id="rId5" w:history="1">
        <w:r w:rsidRPr="00943E92">
          <w:rPr>
            <w:rStyle w:val="Hyperlink"/>
            <w:sz w:val="24"/>
            <w:lang w:val="pl-PL"/>
          </w:rPr>
          <w:t>http://data.europa.eu/eli/dec/2026/438/oj</w:t>
        </w:r>
      </w:hyperlink>
      <w:r w:rsidRPr="00943E92">
        <w:rPr>
          <w:sz w:val="24"/>
          <w:lang w:val="pl-PL"/>
        </w:rPr>
        <w:t>).</w:t>
      </w:r>
    </w:p>
  </w:footnote>
  <w:footnote w:id="8">
    <w:p w:rsidR="00782150" w:rsidRPr="00943E92" w:rsidP="00943E92" w14:paraId="10D4AC5D" w14:textId="248FA0FC">
      <w:pPr>
        <w:pStyle w:val="FootnoteText"/>
        <w:ind w:left="567" w:hanging="567"/>
        <w:rPr>
          <w:sz w:val="24"/>
          <w:lang w:val="pl-PL"/>
        </w:rPr>
      </w:pPr>
      <w:r w:rsidRPr="00943E92">
        <w:rPr>
          <w:rStyle w:val="FootnoteReference"/>
          <w:sz w:val="24"/>
          <w:lang w:val="pl-PL"/>
        </w:rPr>
        <w:footnoteRef/>
      </w:r>
      <w:r w:rsidRPr="00943E92" w:rsidR="00943E92">
        <w:rPr>
          <w:sz w:val="24"/>
          <w:lang w:val="pl-PL"/>
        </w:rPr>
        <w:t xml:space="preserve"> </w:t>
      </w:r>
      <w:r w:rsidRPr="00943E92" w:rsidR="00943E92">
        <w:rPr>
          <w:sz w:val="24"/>
          <w:lang w:val="pl-PL"/>
        </w:rPr>
        <w:tab/>
      </w:r>
      <w:r w:rsidRPr="00943E92">
        <w:rPr>
          <w:sz w:val="24"/>
          <w:lang w:val="pl-PL"/>
        </w:rPr>
        <w:t xml:space="preserve">Decyzja Rady (UE) 2025/490 z dnia 18 lutego 2025 r. w sprawie zawarcia w imieniu Unii Europejskiej Umowy o udziale Republiki Chorwacji w Europejskim Obszarze Gospodarczym i trzech powiązanych z nią umów (Dz.U. L, 2025/490, </w:t>
      </w:r>
      <w:r w:rsidRPr="00943E92">
        <w:rPr>
          <w:sz w:val="24"/>
          <w:lang w:val="pl-PL"/>
        </w:rPr>
        <w:t>18.3.2025</w:t>
      </w:r>
      <w:r w:rsidRPr="00943E92">
        <w:rPr>
          <w:sz w:val="24"/>
          <w:lang w:val="pl-PL"/>
        </w:rPr>
        <w:t xml:space="preserve">, ELI: </w:t>
      </w:r>
      <w:hyperlink r:id="rId6" w:history="1">
        <w:r w:rsidRPr="00943E92">
          <w:rPr>
            <w:rStyle w:val="Hyperlink"/>
            <w:sz w:val="24"/>
            <w:lang w:val="pl-PL"/>
          </w:rPr>
          <w:t>http://data.europa.eu/eli/dec/2025/490/oj</w:t>
        </w:r>
      </w:hyperlink>
      <w:r w:rsidRPr="00943E92">
        <w:rPr>
          <w:sz w:val="24"/>
          <w:lang w:val="pl-PL"/>
        </w:rPr>
        <w:t>).</w:t>
      </w:r>
    </w:p>
  </w:footnote>
  <w:footnote w:id="9">
    <w:p w:rsidR="00782150" w:rsidRPr="00943E92" w:rsidP="00943E92" w14:paraId="49E52328" w14:textId="1964622C">
      <w:pPr>
        <w:pStyle w:val="FootnoteText"/>
        <w:ind w:left="567" w:hanging="567"/>
        <w:rPr>
          <w:sz w:val="24"/>
          <w:lang w:val="pl-PL"/>
        </w:rPr>
      </w:pPr>
      <w:r w:rsidRPr="00943E92">
        <w:rPr>
          <w:rStyle w:val="FootnoteReference"/>
          <w:sz w:val="24"/>
          <w:lang w:val="pl-PL"/>
        </w:rPr>
        <w:footnoteRef/>
      </w:r>
      <w:r w:rsidRPr="00943E92" w:rsidR="00943E92">
        <w:rPr>
          <w:sz w:val="24"/>
          <w:lang w:val="pl-PL"/>
        </w:rPr>
        <w:t xml:space="preserve"> </w:t>
      </w:r>
      <w:r w:rsidRPr="00943E92" w:rsidR="00943E92">
        <w:rPr>
          <w:sz w:val="24"/>
          <w:lang w:val="pl-PL"/>
        </w:rPr>
        <w:tab/>
      </w:r>
      <w:r w:rsidRPr="00943E92">
        <w:rPr>
          <w:sz w:val="24"/>
          <w:lang w:val="pl-PL"/>
        </w:rPr>
        <w:t xml:space="preserve">Rozporządzenie Parlamentu Europejskiego i Rady (UE) 2024/1083 z dnia 11 kwietnia 2024 r. w sprawie ustanowienia wspólnych ram dla usług medialnych na rynku wewnętrznym i zmiany dyrektywy 2010/13/UE (europejski akt o wolności mediów), Dz.U. L, 2024/1083, </w:t>
      </w:r>
      <w:r w:rsidRPr="00943E92">
        <w:rPr>
          <w:sz w:val="24"/>
          <w:lang w:val="pl-PL"/>
        </w:rPr>
        <w:t>17.4.2024</w:t>
      </w:r>
      <w:r w:rsidRPr="00943E92">
        <w:rPr>
          <w:sz w:val="24"/>
          <w:lang w:val="pl-PL"/>
        </w:rPr>
        <w:t xml:space="preserve">, ELI: </w:t>
      </w:r>
      <w:hyperlink r:id="rId7" w:history="1">
        <w:r w:rsidRPr="00943E92">
          <w:rPr>
            <w:rStyle w:val="Hyperlink"/>
            <w:sz w:val="24"/>
            <w:lang w:val="pl-PL"/>
          </w:rPr>
          <w:t>http://data.europa.eu/eli/reg/2024/1083/oj</w:t>
        </w:r>
      </w:hyperlink>
      <w:r w:rsidRPr="00943E92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3E92" w14:paraId="5DEAF6E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3E92" w14:paraId="5AE8764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3E92" w14:paraId="15A9A99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9836469">
    <w:abstractNumId w:val="9"/>
  </w:num>
  <w:num w:numId="2" w16cid:durableId="751777049">
    <w:abstractNumId w:val="9"/>
  </w:num>
  <w:num w:numId="3" w16cid:durableId="264771511">
    <w:abstractNumId w:val="7"/>
  </w:num>
  <w:num w:numId="4" w16cid:durableId="2002150410">
    <w:abstractNumId w:val="7"/>
  </w:num>
  <w:num w:numId="5" w16cid:durableId="426316384">
    <w:abstractNumId w:val="6"/>
  </w:num>
  <w:num w:numId="6" w16cid:durableId="889146384">
    <w:abstractNumId w:val="6"/>
  </w:num>
  <w:num w:numId="7" w16cid:durableId="1454641149">
    <w:abstractNumId w:val="5"/>
  </w:num>
  <w:num w:numId="8" w16cid:durableId="1836534017">
    <w:abstractNumId w:val="5"/>
  </w:num>
  <w:num w:numId="9" w16cid:durableId="1193954619">
    <w:abstractNumId w:val="4"/>
  </w:num>
  <w:num w:numId="10" w16cid:durableId="437405773">
    <w:abstractNumId w:val="4"/>
  </w:num>
  <w:num w:numId="11" w16cid:durableId="143008068">
    <w:abstractNumId w:val="8"/>
  </w:num>
  <w:num w:numId="12" w16cid:durableId="1190142375">
    <w:abstractNumId w:val="8"/>
  </w:num>
  <w:num w:numId="13" w16cid:durableId="1536498599">
    <w:abstractNumId w:val="3"/>
  </w:num>
  <w:num w:numId="14" w16cid:durableId="2114082579">
    <w:abstractNumId w:val="3"/>
  </w:num>
  <w:num w:numId="15" w16cid:durableId="79060067">
    <w:abstractNumId w:val="2"/>
  </w:num>
  <w:num w:numId="16" w16cid:durableId="662202322">
    <w:abstractNumId w:val="2"/>
  </w:num>
  <w:num w:numId="17" w16cid:durableId="1167401038">
    <w:abstractNumId w:val="1"/>
  </w:num>
  <w:num w:numId="18" w16cid:durableId="497813380">
    <w:abstractNumId w:val="1"/>
  </w:num>
  <w:num w:numId="19" w16cid:durableId="483394149">
    <w:abstractNumId w:val="0"/>
  </w:num>
  <w:num w:numId="20" w16cid:durableId="766275081">
    <w:abstractNumId w:val="0"/>
  </w:num>
  <w:num w:numId="21" w16cid:durableId="13777140">
    <w:abstractNumId w:val="9"/>
  </w:num>
  <w:num w:numId="22" w16cid:durableId="1958678668">
    <w:abstractNumId w:val="7"/>
  </w:num>
  <w:num w:numId="23" w16cid:durableId="423308551">
    <w:abstractNumId w:val="6"/>
  </w:num>
  <w:num w:numId="24" w16cid:durableId="1660839026">
    <w:abstractNumId w:val="5"/>
  </w:num>
  <w:num w:numId="25" w16cid:durableId="710570390">
    <w:abstractNumId w:val="4"/>
  </w:num>
  <w:num w:numId="26" w16cid:durableId="140777620">
    <w:abstractNumId w:val="8"/>
  </w:num>
  <w:num w:numId="27" w16cid:durableId="1042554039">
    <w:abstractNumId w:val="3"/>
  </w:num>
  <w:num w:numId="28" w16cid:durableId="1389495601">
    <w:abstractNumId w:val="2"/>
  </w:num>
  <w:num w:numId="29" w16cid:durableId="944968082">
    <w:abstractNumId w:val="1"/>
  </w:num>
  <w:num w:numId="30" w16cid:durableId="724596934">
    <w:abstractNumId w:val="0"/>
  </w:num>
  <w:num w:numId="31" w16cid:durableId="625813441">
    <w:abstractNumId w:val="9"/>
  </w:num>
  <w:num w:numId="32" w16cid:durableId="1704935790">
    <w:abstractNumId w:val="7"/>
  </w:num>
  <w:num w:numId="33" w16cid:durableId="150482963">
    <w:abstractNumId w:val="6"/>
  </w:num>
  <w:num w:numId="34" w16cid:durableId="1721779677">
    <w:abstractNumId w:val="5"/>
  </w:num>
  <w:num w:numId="35" w16cid:durableId="1195463418">
    <w:abstractNumId w:val="4"/>
  </w:num>
  <w:num w:numId="36" w16cid:durableId="1832326388">
    <w:abstractNumId w:val="8"/>
  </w:num>
  <w:num w:numId="37" w16cid:durableId="2015567440">
    <w:abstractNumId w:val="3"/>
  </w:num>
  <w:num w:numId="38" w16cid:durableId="1802654666">
    <w:abstractNumId w:val="2"/>
  </w:num>
  <w:num w:numId="39" w16cid:durableId="1206063589">
    <w:abstractNumId w:val="1"/>
  </w:num>
  <w:num w:numId="40" w16cid:durableId="583608259">
    <w:abstractNumId w:val="0"/>
  </w:num>
  <w:num w:numId="41" w16cid:durableId="470444341">
    <w:abstractNumId w:val="10"/>
  </w:num>
  <w:num w:numId="42" w16cid:durableId="365179411">
    <w:abstractNumId w:val="10"/>
  </w:num>
  <w:num w:numId="43" w16cid:durableId="578443439">
    <w:abstractNumId w:val="10"/>
  </w:num>
  <w:num w:numId="44" w16cid:durableId="1996951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02D"/>
    <w:rsid w:val="00002272"/>
    <w:rsid w:val="0005424A"/>
    <w:rsid w:val="00064002"/>
    <w:rsid w:val="000677B9"/>
    <w:rsid w:val="000831BA"/>
    <w:rsid w:val="000A23DF"/>
    <w:rsid w:val="000A42CC"/>
    <w:rsid w:val="000E7DD9"/>
    <w:rsid w:val="0010095E"/>
    <w:rsid w:val="00125B37"/>
    <w:rsid w:val="001279C5"/>
    <w:rsid w:val="00187494"/>
    <w:rsid w:val="001F32AE"/>
    <w:rsid w:val="002767FF"/>
    <w:rsid w:val="002B18FE"/>
    <w:rsid w:val="002B5493"/>
    <w:rsid w:val="00343214"/>
    <w:rsid w:val="00361C00"/>
    <w:rsid w:val="00395FA1"/>
    <w:rsid w:val="003B64F8"/>
    <w:rsid w:val="003E15D4"/>
    <w:rsid w:val="00411CCE"/>
    <w:rsid w:val="0041666E"/>
    <w:rsid w:val="00421060"/>
    <w:rsid w:val="0042302D"/>
    <w:rsid w:val="00471C19"/>
    <w:rsid w:val="004867E3"/>
    <w:rsid w:val="00494A28"/>
    <w:rsid w:val="004A081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17C2"/>
    <w:rsid w:val="00731ADD"/>
    <w:rsid w:val="00734777"/>
    <w:rsid w:val="00747932"/>
    <w:rsid w:val="00751A4A"/>
    <w:rsid w:val="00756632"/>
    <w:rsid w:val="00762C74"/>
    <w:rsid w:val="0078215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A34"/>
    <w:rsid w:val="00930C23"/>
    <w:rsid w:val="0093193B"/>
    <w:rsid w:val="00943E9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4E4"/>
    <w:rsid w:val="00D56C11"/>
    <w:rsid w:val="00D676C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3/2026"/>
    <w:docVar w:name="dvlangue" w:val="PL"/>
    <w:docVar w:name="dvnumam" w:val="0"/>
    <w:docVar w:name="dvpe" w:val="784.230"/>
    <w:docVar w:name="dvrapporteur" w:val="Sprawozdawca: "/>
    <w:docVar w:name="dvstar" w:val="??"/>
    <w:docVar w:name="dvtitre" w:val="Rezolucja Parlamentu Europejskiego z dnia  2026 r. w sprawie sprawozdania Komisji dotyczącego Serbii – 2025 r.(2025/2255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68769C5"/>
  <w15:chartTrackingRefBased/>
  <w15:docId w15:val="{765DB92A-582C-415A-AD60-7A75AACF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782150"/>
    <w:pPr>
      <w:spacing w:after="240"/>
      <w:ind w:left="567" w:hanging="567"/>
      <w:jc w:val="both"/>
    </w:pPr>
  </w:style>
  <w:style w:type="paragraph" w:customStyle="1" w:styleId="EPComma">
    <w:name w:val="EPComma"/>
    <w:basedOn w:val="Normal"/>
    <w:rsid w:val="00782150"/>
    <w:pPr>
      <w:spacing w:before="480" w:after="240"/>
    </w:pPr>
  </w:style>
  <w:style w:type="character" w:styleId="Hyperlink">
    <w:name w:val="Hyperlink"/>
    <w:basedOn w:val="DefaultParagraphFont"/>
    <w:rsid w:val="0078215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82150"/>
    <w:rPr>
      <w:sz w:val="24"/>
      <w:lang w:val="pl-PL"/>
    </w:rPr>
  </w:style>
  <w:style w:type="character" w:styleId="Strong">
    <w:name w:val="Strong"/>
    <w:basedOn w:val="DefaultParagraphFont"/>
    <w:uiPriority w:val="22"/>
    <w:qFormat/>
    <w:rsid w:val="00782150"/>
    <w:rPr>
      <w:b/>
      <w:bCs/>
    </w:rPr>
  </w:style>
  <w:style w:type="paragraph" w:styleId="Revision">
    <w:name w:val="Revision"/>
    <w:hidden/>
    <w:uiPriority w:val="99"/>
    <w:semiHidden/>
    <w:rsid w:val="004A081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ur-lex.europa.eu/legal-content/PL/TXT/?uri=CELEX%3A52025DC0690&amp;qid=1765120088123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PL/ALL/?uri=CELEX:52020DC0641" TargetMode="External" /><Relationship Id="rId8" Type="http://schemas.openxmlformats.org/officeDocument/2006/relationships/hyperlink" Target="https://eur-lex.europa.eu/legal-content/PL/ALL/?uri=CELEX:52023DC0691" TargetMode="External" /><Relationship Id="rId9" Type="http://schemas.openxmlformats.org/officeDocument/2006/relationships/hyperlink" Target="https://eur-lex.europa.eu/legal-content/PL/ALL/?uri=CELEX:52025DC0900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3/490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C/2026/2098/oj" TargetMode="External" /><Relationship Id="rId5" Type="http://schemas.openxmlformats.org/officeDocument/2006/relationships/hyperlink" Target="http://data.europa.eu/eli/dec/2026/438/oj" TargetMode="External" /><Relationship Id="rId6" Type="http://schemas.openxmlformats.org/officeDocument/2006/relationships/hyperlink" Target="http://data.europa.eu/eli/dec/2025/490/oj" TargetMode="External" /><Relationship Id="rId7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9739</Words>
  <Characters>67571</Characters>
  <Application>Microsoft Office Word</Application>
  <DocSecurity>0</DocSecurity>
  <Lines>563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2026-08-19T09:06:00Z</dcterms:created>
  <dcterms:modified xsi:type="dcterms:W3CDTF">2026-08-19T09:06:00Z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P10_TA(2026)0261_</vt:lpwstr>
  </property>
  <property fmtid="{D5CDD505-2E9C-101B-9397-08002B2CF9AE}" pid="4" name="&lt;Type&gt;">
    <vt:lpwstr>RR</vt:lpwstr>
  </property>
</Properties>
</file>