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21372383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16A09" w:rsidP="0010095E" w14:paraId="06044D9A" w14:textId="05024BF7">
            <w:pPr>
              <w:pStyle w:val="EPName"/>
            </w:pPr>
            <w:r w:rsidRPr="00B16A09">
              <w:t>Evropský parlament</w:t>
            </w:r>
          </w:p>
          <w:p w:rsidR="00751A4A" w:rsidRPr="00B16A09" w:rsidP="005F1B17" w14:paraId="6E21B9A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16A09">
              <w:t>2024</w:t>
            </w:r>
            <w:r w:rsidRPr="00B16A09" w:rsidR="00817416">
              <w:t>-202</w:t>
            </w:r>
            <w:r w:rsidRPr="00B16A0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16A09" w:rsidP="0010095E" w14:paraId="1EDD0C8C" w14:textId="77777777">
            <w:pPr>
              <w:pStyle w:val="EPLogo"/>
            </w:pPr>
            <w:r w:rsidRPr="00B16A09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16A09" w:rsidP="004C5D52" w14:paraId="5B5A2B76" w14:textId="77777777">
      <w:pPr>
        <w:pStyle w:val="LineTop"/>
      </w:pPr>
    </w:p>
    <w:p w:rsidR="00680577" w:rsidRPr="00B16A09" w:rsidP="00680577" w14:paraId="2D4223A9" w14:textId="72E75C02">
      <w:pPr>
        <w:pStyle w:val="EPBodyTA1"/>
      </w:pPr>
      <w:r w:rsidRPr="00B16A09">
        <w:t>PŘIJATÉ TEXTY</w:t>
      </w:r>
    </w:p>
    <w:p w:rsidR="00D058B8" w:rsidRPr="00B16A09" w:rsidP="00D058B8" w14:paraId="5D5EE368" w14:textId="77777777">
      <w:pPr>
        <w:pStyle w:val="LineBottom"/>
      </w:pPr>
    </w:p>
    <w:p w:rsidR="00C45429" w:rsidRPr="00DC08B4" w:rsidP="00C45429" w14:paraId="64D1F708" w14:textId="27664141">
      <w:pPr>
        <w:pStyle w:val="ATHeading1"/>
      </w:pPr>
      <w:bookmarkStart w:id="0" w:name="TANumber"/>
      <w:r w:rsidRPr="00DC08B4">
        <w:t>P10_TA(2026)0</w:t>
      </w:r>
      <w:r w:rsidR="00CD2EFA">
        <w:t>262</w:t>
      </w:r>
      <w:bookmarkEnd w:id="0"/>
    </w:p>
    <w:p w:rsidR="00C45429" w:rsidRPr="00DC08B4" w:rsidP="00C45429" w14:paraId="560F8559" w14:textId="76DBBC73">
      <w:pPr>
        <w:pStyle w:val="ATHeading2"/>
      </w:pPr>
      <w:bookmarkStart w:id="1" w:name="title"/>
      <w:r w:rsidRPr="00DC08B4">
        <w:t>Dopad turecké invaze z roku 1974 na kyperské ženy a dívky, zločiny spáchané tureckými silami a jejich důsledky pro genderovou rovnost</w:t>
      </w:r>
      <w:bookmarkEnd w:id="1"/>
    </w:p>
    <w:p w:rsidR="00C45429" w:rsidRPr="00B16A09" w:rsidP="00C45429" w14:paraId="4F1F543A" w14:textId="77777777">
      <w:pPr>
        <w:rPr>
          <w:i/>
          <w:vanish/>
        </w:rPr>
      </w:pPr>
      <w:r>
        <w:rPr>
          <w:i/>
        </w:rPr>
        <w:fldChar w:fldCharType="begin"/>
      </w:r>
      <w:r w:rsidRPr="00B16A09">
        <w:rPr>
          <w:i/>
        </w:rPr>
        <w:instrText xml:space="preserve"> TC"(</w:instrText>
      </w:r>
      <w:bookmarkStart w:id="2" w:name="DocNumber"/>
      <w:r w:rsidRPr="00B16A09">
        <w:rPr>
          <w:i/>
        </w:rPr>
        <w:instrText>B10-0333/2026</w:instrText>
      </w:r>
      <w:bookmarkEnd w:id="2"/>
      <w:r w:rsidRPr="00B16A09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45429" w:rsidRPr="00B16A09" w:rsidP="00C45429" w14:paraId="48135047" w14:textId="77777777">
      <w:pPr>
        <w:rPr>
          <w:vanish/>
        </w:rPr>
      </w:pPr>
      <w:bookmarkStart w:id="3" w:name="PE"/>
      <w:r w:rsidRPr="00B16A09">
        <w:rPr>
          <w:vanish/>
        </w:rPr>
        <w:t>PE785.181</w:t>
      </w:r>
      <w:bookmarkEnd w:id="3"/>
    </w:p>
    <w:p w:rsidR="00C45429" w:rsidRPr="00DC08B4" w:rsidP="00C45429" w14:paraId="6FB6B841" w14:textId="18E21210">
      <w:pPr>
        <w:pStyle w:val="ATHeading3"/>
      </w:pPr>
      <w:bookmarkStart w:id="4" w:name="Sujet"/>
      <w:r w:rsidRPr="00DC08B4">
        <w:t xml:space="preserve">Usnesení Evropského parlamentu ze dne 8. července 2026 o dopadu turecké invaze </w:t>
      </w:r>
      <w:r w:rsidR="00E71DC6">
        <w:t>z roku</w:t>
      </w:r>
      <w:r w:rsidRPr="00DC08B4">
        <w:t xml:space="preserve"> 1974 na kyperské ženy a dívky a o zločinech spáchaných tureckými silami a jejich důsledcích pro genderovou rovnost</w:t>
      </w:r>
      <w:bookmarkEnd w:id="4"/>
      <w:r w:rsidRPr="00DC08B4">
        <w:t xml:space="preserve"> </w:t>
      </w:r>
      <w:bookmarkStart w:id="5" w:name="References"/>
      <w:r w:rsidRPr="00DC08B4">
        <w:t>(2026/2617(RSP))</w:t>
      </w:r>
      <w:bookmarkEnd w:id="5"/>
    </w:p>
    <w:p w:rsidR="0076790B" w:rsidRPr="00B16A09" w:rsidP="0076790B" w14:paraId="6D001C90" w14:textId="77777777">
      <w:pPr>
        <w:pStyle w:val="EPComma"/>
      </w:pPr>
      <w:bookmarkStart w:id="6" w:name="TextBodyBegin"/>
      <w:bookmarkEnd w:id="6"/>
      <w:r w:rsidRPr="00B16A09">
        <w:rPr>
          <w:i/>
        </w:rPr>
        <w:t>Evropský parlament</w:t>
      </w:r>
      <w:r w:rsidRPr="00B16A09">
        <w:t>,</w:t>
      </w:r>
    </w:p>
    <w:p w:rsidR="0076790B" w:rsidRPr="00B16A09" w:rsidP="00C53962" w14:paraId="3854B234" w14:textId="6E2E377D">
      <w:pPr>
        <w:pStyle w:val="NormalHanging12a"/>
        <w:rPr>
          <w:szCs w:val="24"/>
        </w:rPr>
      </w:pPr>
      <w:r w:rsidRPr="00B16A09">
        <w:t>–</w:t>
      </w:r>
      <w:r w:rsidRPr="00B16A09">
        <w:tab/>
        <w:t xml:space="preserve">s ohledem na články </w:t>
      </w:r>
      <w:r w:rsidRPr="00B16A09">
        <w:rPr>
          <w:szCs w:val="24"/>
        </w:rPr>
        <w:t>2 a 3 Smlouvy o Evropské unii a články 8, 10, 78 a 83 Smlouvy o fungování Evropské unie,</w:t>
      </w:r>
    </w:p>
    <w:p w:rsidR="0076790B" w:rsidRPr="00B16A09" w:rsidP="00C53962" w14:paraId="24455254" w14:textId="77777777">
      <w:pPr>
        <w:pStyle w:val="NormalHanging12a"/>
        <w:rPr>
          <w:szCs w:val="24"/>
        </w:rPr>
      </w:pPr>
      <w:bookmarkStart w:id="7" w:name="_Hlk230100704"/>
      <w:r w:rsidRPr="00B16A09">
        <w:rPr>
          <w:szCs w:val="24"/>
        </w:rPr>
        <w:t>–</w:t>
      </w:r>
      <w:r w:rsidRPr="00B16A09">
        <w:rPr>
          <w:szCs w:val="24"/>
        </w:rPr>
        <w:tab/>
        <w:t>s ohledem na směrnici Evropského parlamentu a Rady 2012/29/EU ze dne 25. října 2012, kterou se zavádí minimální pravidla pro práva, podporu a ochranu obětí trestného činu a kterou se nahrazuje rámcové rozhodnutí Rady 2001/220/SVV</w:t>
      </w:r>
      <w:r>
        <w:rPr>
          <w:rStyle w:val="FootnoteReference"/>
          <w:szCs w:val="24"/>
        </w:rPr>
        <w:footnoteReference w:id="2"/>
      </w:r>
      <w:r w:rsidRPr="00B16A09">
        <w:rPr>
          <w:szCs w:val="24"/>
        </w:rPr>
        <w:t xml:space="preserve"> („směrnice o právech obětí“), která poskytuje rámec pro spravedlnost zaměřenou na oběti, a to i v případech sexuálního násilí,</w:t>
      </w:r>
    </w:p>
    <w:p w:rsidR="0076790B" w:rsidP="00C53962" w14:paraId="12742767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směrnici Evropského parlamentu a Rady (EU) 2024/1385 ze dne 14. května 2024 o potírání násilí na ženách a domácího násilí</w:t>
      </w:r>
      <w:r>
        <w:rPr>
          <w:rStyle w:val="FootnoteReference"/>
          <w:szCs w:val="24"/>
        </w:rPr>
        <w:footnoteReference w:id="3"/>
      </w:r>
      <w:r w:rsidRPr="00B16A09">
        <w:rPr>
          <w:szCs w:val="24"/>
        </w:rPr>
        <w:t>,</w:t>
      </w:r>
    </w:p>
    <w:p w:rsidR="00D441A0" w:rsidRPr="00B16A09" w:rsidP="00D441A0" w14:paraId="0432E13B" w14:textId="174BB75F">
      <w:pPr>
        <w:pStyle w:val="NormalHanging12a"/>
        <w:numPr>
          <w:ilvl w:val="0"/>
          <w:numId w:val="45"/>
        </w:numPr>
        <w:ind w:left="567" w:hanging="567"/>
        <w:rPr>
          <w:szCs w:val="24"/>
        </w:rPr>
      </w:pPr>
      <w:r>
        <w:rPr>
          <w:szCs w:val="24"/>
        </w:rPr>
        <w:t xml:space="preserve">s ohledem na své usnesení ze dne 23. října 2020 o rovnosti </w:t>
      </w:r>
      <w:r w:rsidRPr="00D441A0">
        <w:rPr>
          <w:szCs w:val="24"/>
        </w:rPr>
        <w:t>žen a mužů v zahraniční a bezpečnostní politice EU</w:t>
      </w:r>
      <w:r>
        <w:rPr>
          <w:rStyle w:val="FootnoteReference"/>
        </w:rPr>
        <w:footnoteReference w:id="4"/>
      </w:r>
      <w:r w:rsidRPr="00D441A0">
        <w:rPr>
          <w:szCs w:val="24"/>
        </w:rPr>
        <w:t>,</w:t>
      </w:r>
    </w:p>
    <w:p w:rsidR="0076790B" w:rsidP="00C53962" w14:paraId="7779E6FB" w14:textId="31DA035C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své usnesení ze dne 16. září 2021 obsahující doporučení Komisi o určení genderově podmíněného násilí jako nové oblasti trestné činnosti uvedené v čl. 83 odst. 1 Smlouvy o fungování E</w:t>
      </w:r>
      <w:r w:rsidR="00D942D3">
        <w:rPr>
          <w:szCs w:val="24"/>
        </w:rPr>
        <w:t>vropské unie</w:t>
      </w:r>
      <w:r>
        <w:rPr>
          <w:rStyle w:val="FootnoteReference"/>
          <w:szCs w:val="24"/>
        </w:rPr>
        <w:footnoteReference w:id="5"/>
      </w:r>
      <w:r w:rsidRPr="00B16A09">
        <w:rPr>
          <w:szCs w:val="24"/>
        </w:rPr>
        <w:t>,</w:t>
      </w:r>
    </w:p>
    <w:p w:rsidR="0038353C" w:rsidRPr="00B16A09" w:rsidP="0038353C" w14:paraId="746417F3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své usnesení ze dne 5. května 2022 o dopadu války proti Ukrajině na ženy</w:t>
      </w:r>
      <w:r>
        <w:rPr>
          <w:szCs w:val="24"/>
          <w:vertAlign w:val="superscript"/>
        </w:rPr>
        <w:footnoteReference w:id="6"/>
      </w:r>
      <w:r w:rsidRPr="00B16A09">
        <w:rPr>
          <w:szCs w:val="24"/>
        </w:rPr>
        <w:t>,</w:t>
      </w:r>
    </w:p>
    <w:p w:rsidR="0076790B" w:rsidRPr="00B16A09" w:rsidP="00C53962" w14:paraId="689DB7B5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Listinu základních práv Evropské unie,</w:t>
      </w:r>
    </w:p>
    <w:p w:rsidR="0076790B" w:rsidRPr="00B16A09" w:rsidP="00C53962" w14:paraId="059D8FCC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Římský statut Mezinárodního trestního soudu ze dne 17. července 1998,</w:t>
      </w:r>
    </w:p>
    <w:p w:rsidR="0076790B" w:rsidRPr="00B16A09" w:rsidP="00C53962" w14:paraId="08A22DF3" w14:textId="0FC8F693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Ženevské úmluvy, zejména na čtvrtou Ženevskou úmluvu ze dne 12.</w:t>
      </w:r>
      <w:r w:rsidRPr="00D104B3" w:rsidR="00687242">
        <w:t> </w:t>
      </w:r>
      <w:r w:rsidRPr="00B16A09">
        <w:rPr>
          <w:szCs w:val="24"/>
        </w:rPr>
        <w:t>srpna 1949 o ochraně civilních osob za války,</w:t>
      </w:r>
    </w:p>
    <w:bookmarkEnd w:id="7"/>
    <w:p w:rsidR="0076790B" w:rsidRPr="00B16A09" w:rsidP="00C53962" w14:paraId="50C97687" w14:textId="47696201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deklaraci OSN o odstranění násilí páchaného na ženách ze dne 20.</w:t>
      </w:r>
      <w:r w:rsidRPr="00D104B3" w:rsidR="00687242">
        <w:t> </w:t>
      </w:r>
      <w:r w:rsidRPr="00B16A09">
        <w:rPr>
          <w:szCs w:val="24"/>
        </w:rPr>
        <w:t>prosince 1993,</w:t>
      </w:r>
    </w:p>
    <w:p w:rsidR="0076790B" w:rsidRPr="00B16A09" w:rsidP="00C53962" w14:paraId="5BD4FC2C" w14:textId="1343EED8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 xml:space="preserve">s ohledem na rezoluci Rady bezpečnosti OSN 1325 </w:t>
      </w:r>
      <w:r w:rsidR="00687242">
        <w:rPr>
          <w:szCs w:val="24"/>
        </w:rPr>
        <w:t xml:space="preserve">(2000) </w:t>
      </w:r>
      <w:r w:rsidRPr="00B16A09" w:rsidR="00687242">
        <w:rPr>
          <w:szCs w:val="24"/>
        </w:rPr>
        <w:t xml:space="preserve">ze dne 31. října 2000 </w:t>
      </w:r>
      <w:r w:rsidRPr="00B16A09">
        <w:rPr>
          <w:szCs w:val="24"/>
        </w:rPr>
        <w:t>o ženách, míru a bezpečnosti a navazující rezoluce 1820 (</w:t>
      </w:r>
      <w:r w:rsidR="00687242">
        <w:rPr>
          <w:szCs w:val="24"/>
        </w:rPr>
        <w:t xml:space="preserve">2008) ze dne </w:t>
      </w:r>
      <w:r w:rsidRPr="00B16A09">
        <w:rPr>
          <w:szCs w:val="24"/>
        </w:rPr>
        <w:t>19. června 2008, 1888 (</w:t>
      </w:r>
      <w:r w:rsidR="00687242">
        <w:rPr>
          <w:szCs w:val="24"/>
        </w:rPr>
        <w:t xml:space="preserve">2009) ze dne </w:t>
      </w:r>
      <w:r w:rsidRPr="00B16A09">
        <w:rPr>
          <w:szCs w:val="24"/>
        </w:rPr>
        <w:t>30. září 2009, 1889 (</w:t>
      </w:r>
      <w:r w:rsidR="00687242">
        <w:rPr>
          <w:szCs w:val="24"/>
        </w:rPr>
        <w:t xml:space="preserve">2009) ze dne </w:t>
      </w:r>
      <w:r w:rsidRPr="00B16A09">
        <w:rPr>
          <w:szCs w:val="24"/>
        </w:rPr>
        <w:t>5. října 2009, 1960 (</w:t>
      </w:r>
      <w:r w:rsidR="00687242">
        <w:rPr>
          <w:szCs w:val="24"/>
        </w:rPr>
        <w:t xml:space="preserve">2010) ze dne </w:t>
      </w:r>
      <w:r w:rsidRPr="00B16A09">
        <w:rPr>
          <w:szCs w:val="24"/>
        </w:rPr>
        <w:t>16. prosince 2010, 2106 (</w:t>
      </w:r>
      <w:r w:rsidR="00687242">
        <w:rPr>
          <w:szCs w:val="24"/>
        </w:rPr>
        <w:t xml:space="preserve">2013) ze dne </w:t>
      </w:r>
      <w:r w:rsidRPr="00B16A09">
        <w:rPr>
          <w:szCs w:val="24"/>
        </w:rPr>
        <w:t>24. června 2013, 2122 (</w:t>
      </w:r>
      <w:r w:rsidR="00687242">
        <w:rPr>
          <w:szCs w:val="24"/>
        </w:rPr>
        <w:t xml:space="preserve">2013) ze dne </w:t>
      </w:r>
      <w:r w:rsidRPr="00B16A09">
        <w:rPr>
          <w:szCs w:val="24"/>
        </w:rPr>
        <w:t>18. října 2013, 2242 (</w:t>
      </w:r>
      <w:r w:rsidR="00687242">
        <w:rPr>
          <w:szCs w:val="24"/>
        </w:rPr>
        <w:t xml:space="preserve">2015) ze dne </w:t>
      </w:r>
      <w:r w:rsidRPr="00B16A09">
        <w:rPr>
          <w:szCs w:val="24"/>
        </w:rPr>
        <w:t>13. října 2015, 2467 (</w:t>
      </w:r>
      <w:r w:rsidR="00687242">
        <w:rPr>
          <w:szCs w:val="24"/>
        </w:rPr>
        <w:t xml:space="preserve">2019) ze dne </w:t>
      </w:r>
      <w:r w:rsidRPr="00B16A09">
        <w:rPr>
          <w:szCs w:val="24"/>
        </w:rPr>
        <w:t>23. dubna 2019 a 2493 (</w:t>
      </w:r>
      <w:r w:rsidR="00687242">
        <w:rPr>
          <w:szCs w:val="24"/>
        </w:rPr>
        <w:t xml:space="preserve">2019) ze dne </w:t>
      </w:r>
      <w:r w:rsidRPr="00B16A09">
        <w:rPr>
          <w:szCs w:val="24"/>
        </w:rPr>
        <w:t>29. října 2019,</w:t>
      </w:r>
    </w:p>
    <w:p w:rsidR="0076790B" w:rsidRPr="00B16A09" w:rsidP="00C53962" w14:paraId="14DB09BD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nejnovější výroční zprávu generálního tajemníka OSN o sexuálním násilí souvisejícím s konfliktem (S/2025/389) ze dne 15. července 2025, předloženou podle rezoluce Rady bezpečnosti OSN 2467 (2019), v níž Rada požádala generálního tajemníka OSN, aby každoročně podával zprávu o provádění rezolucí Rady bezpečnosti OSN 1820 (2008), 1888 (2009), 1960 (2010) a 2106 (2013) a doporučoval strategická opatření,</w:t>
      </w:r>
    </w:p>
    <w:p w:rsidR="0076790B" w:rsidRPr="00B16A09" w:rsidP="00C53962" w14:paraId="321164C3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základní zásady mezinárodního práva, na Chartu Organizace spojených národů, na dohody na vysoké úrovni z let 1977 a 1979 mezi vedoucími představiteli obou společenství na Kypru, na příslušné rezoluce Rady bezpečnosti OSN o Kypru, včetně rezoluce 186 (1964), která znovu potvrzuje svrchovanost Kyperské republiky, rezolucí 541 (1983) a 550 (1984) o separatistických akcích na Kypru a rezoluce 2815 (2026) o Mírových silách Organizace spojených národů na Kypru (UNFICYP), a na dohodnutý rámec dvoukomunitní, dvouzónové federace s politickou rovností pro komplexní řešení kyperského problému, jak je vymezen v příslušných rezolucích Rady bezpečnosti OSN,</w:t>
      </w:r>
    </w:p>
    <w:p w:rsidR="0076790B" w:rsidRPr="00B16A09" w:rsidP="00C53962" w14:paraId="60536328" w14:textId="6F97E9E2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zprávu Evropské komise pro lidská práva ze dne 10. července 1976 ve věci Kypr v. Turecko (stížnosti č. 6780/74 a 6950/75),</w:t>
      </w:r>
    </w:p>
    <w:p w:rsidR="0076790B" w:rsidRPr="00B16A09" w:rsidP="00C53962" w14:paraId="7A0FD8F5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Úmluvu OSN o omezení případů bezdomovectví ze dne 30. srpna 1961,</w:t>
      </w:r>
    </w:p>
    <w:p w:rsidR="0076790B" w:rsidRPr="00B16A09" w:rsidP="00C53962" w14:paraId="4D0330A1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globální pakt OSN o uprchlících z roku 2018,</w:t>
      </w:r>
    </w:p>
    <w:p w:rsidR="0076790B" w:rsidRPr="00B16A09" w:rsidP="00C53962" w14:paraId="0E6D739F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obecné doporučení č. 38 Výboru pro odstranění diskriminace žen ohledně obchodování s ženami a dívkami v souvislosti s celosvětovou migrací, zveřejněné dne 20. listopadu 2020,</w:t>
      </w:r>
    </w:p>
    <w:p w:rsidR="0076790B" w:rsidRPr="00B16A09" w:rsidP="00C53962" w14:paraId="17F95A27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zprávu Parlamentního shromáždění Rady Evropy ze dne 15. prosince 1994 nazvanou „Zpráva o situaci na Kypru (nedávný politický vývoj)“,</w:t>
      </w:r>
    </w:p>
    <w:p w:rsidR="0076790B" w:rsidP="00C53962" w14:paraId="54045745" w14:textId="33E70A43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Úmluvu Rady Evropy ze dne 11. května 2011 o prevenci a potírání násilí na ženách a domácího násilí,</w:t>
      </w:r>
    </w:p>
    <w:p w:rsidR="0076790B" w:rsidRPr="00B16A09" w:rsidP="00C53962" w14:paraId="4594C862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 xml:space="preserve">s ohledem na misi svého Výboru pro práva žen a rovnost pohlaví (výbor FEMM) do </w:t>
      </w:r>
      <w:r w:rsidRPr="00B16A09">
        <w:rPr>
          <w:szCs w:val="24"/>
        </w:rPr>
        <w:t>Nikósie na Kypru, která se uskutečnila ve dnech 26. až 28. května 2025, a na následnou zprávu z mise,</w:t>
      </w:r>
    </w:p>
    <w:p w:rsidR="0076790B" w:rsidRPr="00B16A09" w:rsidP="00C53962" w14:paraId="3D5D7D2B" w14:textId="3A664A43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čl. 1</w:t>
      </w:r>
      <w:r w:rsidR="00DB55F6">
        <w:rPr>
          <w:szCs w:val="24"/>
        </w:rPr>
        <w:t>67</w:t>
      </w:r>
      <w:r w:rsidRPr="00B16A09">
        <w:rPr>
          <w:szCs w:val="24"/>
        </w:rPr>
        <w:t xml:space="preserve"> odst. 2 jednacího řádu,</w:t>
      </w:r>
    </w:p>
    <w:p w:rsidR="0076790B" w:rsidRPr="00B16A09" w:rsidP="00C53962" w14:paraId="4697BDC0" w14:textId="77777777">
      <w:pPr>
        <w:pStyle w:val="NormalHanging12a"/>
        <w:rPr>
          <w:szCs w:val="24"/>
        </w:rPr>
      </w:pPr>
      <w:r w:rsidRPr="00B16A09">
        <w:rPr>
          <w:szCs w:val="24"/>
        </w:rPr>
        <w:t>–</w:t>
      </w:r>
      <w:r w:rsidRPr="00B16A09">
        <w:rPr>
          <w:szCs w:val="24"/>
        </w:rPr>
        <w:tab/>
        <w:t>s ohledem na návrh usnesení Výboru pro práva žen a rovnost pohlaví,</w:t>
      </w:r>
    </w:p>
    <w:p w:rsidR="0076790B" w:rsidRPr="00B16A09" w:rsidP="00C53962" w14:paraId="46575481" w14:textId="013BB254">
      <w:pPr>
        <w:pStyle w:val="NormalHanging12a"/>
        <w:rPr>
          <w:szCs w:val="24"/>
        </w:rPr>
      </w:pPr>
      <w:r w:rsidRPr="00B16A09">
        <w:rPr>
          <w:szCs w:val="24"/>
        </w:rPr>
        <w:t>A.</w:t>
      </w:r>
      <w:r w:rsidRPr="00B16A09">
        <w:rPr>
          <w:szCs w:val="24"/>
        </w:rPr>
        <w:tab/>
        <w:t>vzhledem k tomu, že dne 20. července 1974 turecké ozbrojené síly napadly Kyperskou republiku a navzdory příměří zprostředkovanému OSN, které bylo vyhlášeno dne 22.</w:t>
      </w:r>
      <w:r w:rsidRPr="00B16A09" w:rsidR="00071DCD">
        <w:rPr>
          <w:szCs w:val="24"/>
        </w:rPr>
        <w:t> </w:t>
      </w:r>
      <w:r w:rsidRPr="00B16A09">
        <w:rPr>
          <w:szCs w:val="24"/>
        </w:rPr>
        <w:t>července 1974 na základě rezoluce Rady bezpečnosti OSN 353 (1974), zahájily dne 14. srpna 1974 druhou rozsáhlou ofenzivu, čímž toto příměří flagrantně porušily, upevnily svou protiprávní okupaci a rozšířily ji na přibližně 36 % území Kyperské republiky, násilně vysídlily velkou část civilního obyvatelstva a dopouštěly se rozsáhlého porušování práv civilního obyvatelstva a zvěrstev páchaných na něm, včetně žen a dívek;</w:t>
      </w:r>
    </w:p>
    <w:p w:rsidR="0076790B" w:rsidRPr="00B16A09" w:rsidP="00C53962" w14:paraId="1F51A5F8" w14:textId="6A34E6A7">
      <w:pPr>
        <w:pStyle w:val="NormalHanging12a"/>
        <w:rPr>
          <w:szCs w:val="24"/>
        </w:rPr>
      </w:pPr>
      <w:r w:rsidRPr="00B16A09">
        <w:rPr>
          <w:szCs w:val="24"/>
        </w:rPr>
        <w:t>B.</w:t>
      </w:r>
      <w:r w:rsidRPr="00B16A09">
        <w:rPr>
          <w:szCs w:val="24"/>
        </w:rPr>
        <w:tab/>
        <w:t>vzhledem k tomu, že okupační režim, který je výsledkem turecké invaze z roku 1974 a je podřízen Turecku, je nezákonný a není mezinárodně uznáván; vzhledem k tomu, že pachateli genderově podmíněného násilí byli převážně příslušníci tureckých ozbrojených sil, kteří podle dostupných informací jednali na pokyn svých důstojníků nebo pod jejich ochranou;</w:t>
      </w:r>
    </w:p>
    <w:p w:rsidR="0076790B" w:rsidP="00C53962" w14:paraId="1A58CB0D" w14:textId="77777777">
      <w:pPr>
        <w:pStyle w:val="NormalHanging12a"/>
        <w:rPr>
          <w:szCs w:val="24"/>
        </w:rPr>
      </w:pPr>
      <w:r w:rsidRPr="00B16A09">
        <w:rPr>
          <w:szCs w:val="24"/>
        </w:rPr>
        <w:t>C.</w:t>
      </w:r>
      <w:r w:rsidRPr="00B16A09">
        <w:rPr>
          <w:szCs w:val="24"/>
        </w:rPr>
        <w:tab/>
        <w:t>vzhledem k tomu, že důsledky turecké vojenské invaze na Kypr v roce 1974 pro ženy a dívky jsou dlouhodobě opomíjeny, přičemž zkušenosti kyperských žen s násilím a nuceným vysídlením patří k těm, které jsou nejméně uznávány a často zůstávají mimo rámec oficiálního historického, právního a institucionálního uznání;</w:t>
      </w:r>
    </w:p>
    <w:p w:rsidR="00DB7963" w:rsidRPr="00B16A09" w:rsidP="00C53962" w14:paraId="1AE47B14" w14:textId="79C890F2">
      <w:pPr>
        <w:pStyle w:val="NormalHanging12a"/>
        <w:rPr>
          <w:szCs w:val="24"/>
        </w:rPr>
      </w:pPr>
      <w:r>
        <w:rPr>
          <w:szCs w:val="24"/>
        </w:rPr>
        <w:t>D</w:t>
      </w:r>
      <w:r w:rsidRPr="00DB7963">
        <w:rPr>
          <w:szCs w:val="24"/>
        </w:rPr>
        <w:t>.</w:t>
      </w:r>
      <w:r w:rsidRPr="00DB7963">
        <w:rPr>
          <w:szCs w:val="24"/>
        </w:rPr>
        <w:tab/>
        <w:t>vzhledem k tomu, že utrpení způsobené událostmi z roku 1974 a jejich následky, jakož i utrpení související s předchozím násilím mezi komunitami, postihlo ženy a dívky ze všech komunit žijících na Kypru, včetně žen a dívek z komunity kyperských Řeků, kyperských Turků, Maronitů, Arménů a Latinů, a že násilí, vysídlení, ztráty a traumata, které zažily, si zaslouží stejné uznání, důstojný přístup a podporu;</w:t>
      </w:r>
    </w:p>
    <w:p w:rsidR="0076790B" w:rsidRPr="00B16A09" w:rsidP="00C53962" w14:paraId="5B726ECA" w14:textId="0A817FF8">
      <w:pPr>
        <w:pStyle w:val="NormalHanging12a"/>
        <w:rPr>
          <w:szCs w:val="24"/>
        </w:rPr>
      </w:pPr>
      <w:r>
        <w:rPr>
          <w:szCs w:val="24"/>
        </w:rPr>
        <w:t>E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Kyperská republika je nadále jediným členským státem EU, jehož území je částečně protiprávně vojensky okupováno třetí zemí, což má dlouhodobé důsledky pro všechny Kypřany, zejména pro ženy a dívky, a pro EU;</w:t>
      </w:r>
    </w:p>
    <w:p w:rsidR="0076790B" w:rsidRPr="00B16A09" w:rsidP="00C53962" w14:paraId="501116A5" w14:textId="2517103B">
      <w:pPr>
        <w:pStyle w:val="NormalHanging12a"/>
        <w:rPr>
          <w:szCs w:val="24"/>
        </w:rPr>
      </w:pPr>
      <w:r>
        <w:rPr>
          <w:szCs w:val="24"/>
        </w:rPr>
        <w:t>F</w:t>
      </w:r>
      <w:r w:rsidRPr="00B16A09">
        <w:rPr>
          <w:szCs w:val="24"/>
        </w:rPr>
        <w:t>.</w:t>
      </w:r>
      <w:r w:rsidRPr="00B16A09">
        <w:rPr>
          <w:szCs w:val="24"/>
        </w:rPr>
        <w:tab/>
        <w:t xml:space="preserve">vzhledem k tomu, že je nezbytné uznat systematické, organizované a rozsáhlé genderově podmíněné násilí páchané </w:t>
      </w:r>
      <w:r w:rsidRPr="00DB7963" w:rsidR="00DB7963">
        <w:rPr>
          <w:szCs w:val="24"/>
        </w:rPr>
        <w:t xml:space="preserve">na tomto ostrově </w:t>
      </w:r>
      <w:r w:rsidRPr="00B16A09">
        <w:rPr>
          <w:szCs w:val="24"/>
        </w:rPr>
        <w:t>tureckými vojenskými silami a genderově podmíněné násilí páchané extremistickými pachateli z řad polovojenských skupin;</w:t>
      </w:r>
    </w:p>
    <w:p w:rsidR="0076790B" w:rsidRPr="00B16A09" w:rsidP="00C53962" w14:paraId="3A9E9AEC" w14:textId="00D677B0">
      <w:pPr>
        <w:pStyle w:val="NormalHanging12a"/>
        <w:rPr>
          <w:szCs w:val="24"/>
        </w:rPr>
      </w:pPr>
      <w:r>
        <w:rPr>
          <w:szCs w:val="24"/>
        </w:rPr>
        <w:t>G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turecké ozbrojené síly systematickým jednáním a ustálenou praxí způsobily zbavení života osob ze všech kyperských komunit, mimo jiné nerozlišujícím zabíjením civilistů, a vystavily osoby, včetně žen všech věkových kategorií, mučení a nelidskému či ponižujícímu zacházení;</w:t>
      </w:r>
    </w:p>
    <w:p w:rsidR="0076790B" w:rsidRPr="00B16A09" w:rsidP="00C53962" w14:paraId="71AA278C" w14:textId="3EBA3CA8">
      <w:pPr>
        <w:pStyle w:val="NormalHanging12a"/>
        <w:rPr>
          <w:szCs w:val="24"/>
        </w:rPr>
      </w:pPr>
      <w:r>
        <w:rPr>
          <w:szCs w:val="24"/>
        </w:rPr>
        <w:t>H</w:t>
      </w:r>
      <w:r w:rsidRPr="00B16A09">
        <w:rPr>
          <w:szCs w:val="24"/>
        </w:rPr>
        <w:t>.</w:t>
      </w:r>
      <w:r w:rsidRPr="00B16A09">
        <w:rPr>
          <w:szCs w:val="24"/>
        </w:rPr>
        <w:tab/>
        <w:t xml:space="preserve">vzhledem k tomu, že ženy jsou neúměrně postiženy násilím souvisejícím s konfliktem a s obdobím po něm, přičemž jeho dopad má mnoho podob, jako jsou sexuální násilí, nucené vysídlení, nucená nebo povinná práce, formy sexuálního vykořisťování, hospodářský kolaps a fyzické a psychické trauma; vzhledem k tomu, že takto vzniklá újma často přetrvává po desetiletí po formálním skončení nepřátelských akcí a oslabuje </w:t>
      </w:r>
      <w:r w:rsidRPr="00B16A09">
        <w:rPr>
          <w:szCs w:val="24"/>
        </w:rPr>
        <w:t>ekonomickou nezávislost žen, jejich tělesnou autonomii a politickou účast;</w:t>
      </w:r>
    </w:p>
    <w:p w:rsidR="0076790B" w:rsidRPr="00B16A09" w:rsidP="00C53962" w14:paraId="27BC2191" w14:textId="09B5C8D6">
      <w:pPr>
        <w:pStyle w:val="NormalHanging12a"/>
        <w:rPr>
          <w:szCs w:val="24"/>
        </w:rPr>
      </w:pPr>
      <w:r>
        <w:rPr>
          <w:szCs w:val="24"/>
        </w:rPr>
        <w:t>I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mnoho osob, které násilí přežily, bylo nuceno migrovat, aby unikly stigmatu a vyrovnaly se s posttraumatickým stresem, a že byl hlášen blíže neurčený počet sebevražd nebo pokusů o sebevraždu; vzhledem k tomu, že toto téma zůstává do značné míry tabu, a to navzdory nedávným případům, kdy osoby, které násilí přežily, podaly veřejné svědectví, a to i anonymně;</w:t>
      </w:r>
    </w:p>
    <w:p w:rsidR="0076790B" w:rsidP="00C53962" w14:paraId="77608D51" w14:textId="1DE6637B">
      <w:pPr>
        <w:pStyle w:val="NormalHanging12a"/>
        <w:rPr>
          <w:szCs w:val="24"/>
        </w:rPr>
      </w:pPr>
      <w:r>
        <w:rPr>
          <w:szCs w:val="24"/>
        </w:rPr>
        <w:t>J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znásilňování a sexuální násilí vůči civilnímu obyvatelstvu se i nadále v širokém rozsahu a záměrně používají jako válečná zbraň s cílem získat politickou nebo vojenskou výhodu; vzhledem k tomu, že sexuální násilí související s konfliktem se rovněž používá jako metoda mučení a je dokonce považováno za „válečnou kořist“; vzhledem k tomu, že sexuální násilí související s konfliktem může rovněž sloužit jako zbraň a taktika ničení; vzhledem k tomu, že činy sexuálního násilí jsou podle mezinárodního práva v oblasti lidských práv považovány za trestné činy jak v době války, tak v době míru;</w:t>
      </w:r>
    </w:p>
    <w:p w:rsidR="00F03E91" w:rsidRPr="00B16A09" w:rsidP="00C53962" w14:paraId="1DEF3E05" w14:textId="76DCF9C9">
      <w:pPr>
        <w:pStyle w:val="NormalHanging12a"/>
        <w:rPr>
          <w:szCs w:val="24"/>
        </w:rPr>
      </w:pPr>
      <w:r>
        <w:rPr>
          <w:szCs w:val="24"/>
        </w:rPr>
        <w:t>K</w:t>
      </w:r>
      <w:r w:rsidRPr="00F03E91">
        <w:rPr>
          <w:szCs w:val="24"/>
        </w:rPr>
        <w:t>.</w:t>
      </w:r>
      <w:r w:rsidRPr="00F03E91">
        <w:rPr>
          <w:szCs w:val="24"/>
        </w:rPr>
        <w:tab/>
        <w:t>vzhledem k tomu, že rozšířená beztrestnost v případech znásilnění podněcuje kulturu znásilňování</w:t>
      </w:r>
      <w:r>
        <w:rPr>
          <w:szCs w:val="24"/>
        </w:rPr>
        <w:t>;</w:t>
      </w:r>
    </w:p>
    <w:p w:rsidR="0076790B" w:rsidRPr="00B16A09" w:rsidP="00C53962" w14:paraId="4E1A4DDE" w14:textId="2A831FD4">
      <w:pPr>
        <w:pStyle w:val="NormalHanging12a"/>
        <w:rPr>
          <w:szCs w:val="24"/>
        </w:rPr>
      </w:pPr>
      <w:r>
        <w:rPr>
          <w:szCs w:val="24"/>
        </w:rPr>
        <w:t>L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během mise výboru FEMM na Kypr bylo zmíněno, že probíhá průběžná spolupráce s řeckou pravoslavnou církví jako společenským aktérem, který přispívá k zachování kulturní identity a dialogu v kontextu přetrvávající situace na Kypru po událostech roku 1974, které vedly k okupaci ostrova; vzhledem k tomu, že v rámci mise bylo poukázáno na to, že tato církev prokazuje schopnost reagovat citlivě a pragmaticky v obdobích prudkých společenských otřesů a že se v tomto ohledu zavazuje podporovat genderovou rovnost;</w:t>
      </w:r>
    </w:p>
    <w:p w:rsidR="0076790B" w:rsidRPr="00B16A09" w:rsidP="00C53962" w14:paraId="622A17C9" w14:textId="0368E00F">
      <w:pPr>
        <w:pStyle w:val="NormalHanging12a"/>
        <w:rPr>
          <w:szCs w:val="24"/>
        </w:rPr>
      </w:pPr>
      <w:r>
        <w:rPr>
          <w:szCs w:val="24"/>
        </w:rPr>
        <w:t>M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je naléhavě nutné zabývat se dlouhodobým traumatem, zkušenostmi a utrpením kyperských žen a zavést poradenství zaměřené na oběti a speciálně koncipované podpůrné služby s cílem posílit jejich postavení v osobní, sociální a ekonomické oblasti; konstatuje, že je přitom třeba postupovat způsobem, který respektuje autonomii a důvěrnost a obecněji prokazuje nejvyšší úctu k lidské důstojnosti, včetně důstojnosti psychické;</w:t>
      </w:r>
    </w:p>
    <w:p w:rsidR="0076790B" w:rsidRPr="00B16A09" w:rsidP="00C53962" w14:paraId="03DF6792" w14:textId="69686355">
      <w:pPr>
        <w:pStyle w:val="NormalHanging12a"/>
        <w:rPr>
          <w:szCs w:val="24"/>
        </w:rPr>
      </w:pPr>
      <w:r>
        <w:rPr>
          <w:szCs w:val="24"/>
        </w:rPr>
        <w:t>N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skutečný počet kyperských obětí sexuálního násilí není znám, přičemž odhady se značně liší a údaje uvedené během mise výboru FEMM se pohybují mezi 700 a 1 500; vzhledem k tomu, že tato nejistota brání procesům reparací a odškodnění; vzhledem k tomu, že osoby, které přežily sexuální násilí na Kypru, často nepřicházejí oznámit činy, jimž byly vystaveny, kvůli traumatu, stigmatu, strachu, studu a nedostatku institucionální podpory a bezpečného a důvěryhodného mechanismu pro oznamování; vzhledem k tomu, že to zhoršilo dlouhodobé psychické, sociální a ekonomické důsledky;</w:t>
      </w:r>
    </w:p>
    <w:p w:rsidR="0076790B" w:rsidRPr="00B16A09" w:rsidP="00C53962" w14:paraId="2C94EE95" w14:textId="64B7A372">
      <w:pPr>
        <w:pStyle w:val="NormalHanging12a"/>
        <w:rPr>
          <w:szCs w:val="24"/>
        </w:rPr>
      </w:pPr>
      <w:r>
        <w:rPr>
          <w:szCs w:val="24"/>
        </w:rPr>
        <w:t>O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mezi oběťmi byly ženy všech věkových kategorií, od nezletilých dívek a dospívajících přes mladé ženy, matky středního věku a starší ženy, a dokonce i chlapci, otcové a muži;</w:t>
      </w:r>
    </w:p>
    <w:p w:rsidR="0076790B" w:rsidRPr="00B16A09" w:rsidP="00C53962" w14:paraId="689199DA" w14:textId="74063802">
      <w:pPr>
        <w:pStyle w:val="NormalHanging12a"/>
        <w:rPr>
          <w:szCs w:val="24"/>
        </w:rPr>
      </w:pPr>
      <w:r>
        <w:rPr>
          <w:szCs w:val="24"/>
        </w:rPr>
        <w:t>P</w:t>
      </w:r>
      <w:r w:rsidRPr="00B16A09">
        <w:rPr>
          <w:szCs w:val="24"/>
        </w:rPr>
        <w:t>.</w:t>
      </w:r>
      <w:r w:rsidRPr="00B16A09">
        <w:rPr>
          <w:szCs w:val="24"/>
        </w:rPr>
        <w:tab/>
        <w:t xml:space="preserve">vzhledem k tomu, že znásilnění a jiné formy sexuálního násilí byly již v roce 1974 zakázány podle mezinárodního humanitárního práva, včetně článku 27 čtvrté Ženevské úmluvy, který vyžaduje, aby ženám byla poskytována zvláštní ochrana před </w:t>
      </w:r>
      <w:r w:rsidRPr="00B16A09">
        <w:rPr>
          <w:szCs w:val="24"/>
        </w:rPr>
        <w:t>znásilněním a jakoukoli formou útoku;</w:t>
      </w:r>
    </w:p>
    <w:p w:rsidR="0076790B" w:rsidRPr="00B16A09" w:rsidP="00C53962" w14:paraId="34C8243A" w14:textId="2D9F9EA3">
      <w:pPr>
        <w:pStyle w:val="NormalHanging12a"/>
        <w:rPr>
          <w:szCs w:val="24"/>
        </w:rPr>
      </w:pPr>
      <w:r>
        <w:rPr>
          <w:szCs w:val="24"/>
        </w:rPr>
        <w:t>Q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mise výboru FEMM na Kypr v květnu 2025 zdůraznila naléhavou potřebu uznání dopadu invaze a pokračující okupace na ženy a dívky, a to i jako otázku důstojnosti a spravedlnosti pro osoby, které násilí přežily;</w:t>
      </w:r>
    </w:p>
    <w:p w:rsidR="0076790B" w:rsidRPr="00B16A09" w:rsidP="00C53962" w14:paraId="7D228B5A" w14:textId="5F959B12">
      <w:pPr>
        <w:pStyle w:val="NormalHanging12a"/>
        <w:rPr>
          <w:szCs w:val="24"/>
        </w:rPr>
      </w:pPr>
      <w:r>
        <w:rPr>
          <w:szCs w:val="24"/>
        </w:rPr>
        <w:t>R</w:t>
      </w:r>
      <w:r w:rsidRPr="00B16A09">
        <w:rPr>
          <w:szCs w:val="24"/>
        </w:rPr>
        <w:t>.</w:t>
      </w:r>
      <w:r w:rsidRPr="00B16A09">
        <w:rPr>
          <w:szCs w:val="24"/>
        </w:rPr>
        <w:tab/>
        <w:t>vzhledem k tomu, že genderová rovnost, úcta k lidské důstojnosti a ochrana základních práv jsou základními hodnotami EU a musí být důsledně dodržovány, a to i pokud jde o zločiny z minulosti, které se dotkly občanů EU;</w:t>
      </w:r>
    </w:p>
    <w:p w:rsidR="0076790B" w:rsidRPr="00B16A09" w:rsidP="00C53962" w14:paraId="3148E412" w14:textId="77777777">
      <w:pPr>
        <w:pStyle w:val="NormalHanging12a"/>
        <w:rPr>
          <w:szCs w:val="24"/>
        </w:rPr>
      </w:pPr>
      <w:r w:rsidRPr="00B16A09">
        <w:rPr>
          <w:szCs w:val="24"/>
        </w:rPr>
        <w:t>1.</w:t>
      </w:r>
      <w:r w:rsidRPr="00B16A09">
        <w:rPr>
          <w:szCs w:val="24"/>
        </w:rPr>
        <w:tab/>
        <w:t>co nejdůrazněji odsuzuje vojenskou invazi Turecké republiky do Kyperské republiky a pokračující protiprávní okupaci Kyperské republiky, která trvá již 52 let, jako závažné porušení mezinárodního práva a překážku pro mír, stabilitu a vztahy mezi EU a Tureckem; důrazně odsuzuje závažné a přetrvávající důsledky invaze pro kyperské ženy a dívky, včetně sexuálního násilí souvisejícího s konfliktem a jiných forem sexuálního vykořisťování, nuceného vysídlení, rozdělení rodin a dalšího porušování mezinárodního humanitárního práva a mezinárodního práva v oblasti lidských práv, které neúměrně postihuje ženy a dívky, jakož i dlouhodobou sociální, ekonomickou a psychickou újmu, kterou utrpěly;</w:t>
      </w:r>
    </w:p>
    <w:p w:rsidR="0076790B" w:rsidRPr="00B16A09" w:rsidP="00C53962" w14:paraId="5462616D" w14:textId="77777777">
      <w:pPr>
        <w:pStyle w:val="NormalHanging12a"/>
        <w:rPr>
          <w:szCs w:val="24"/>
        </w:rPr>
      </w:pPr>
      <w:r w:rsidRPr="00B16A09">
        <w:rPr>
          <w:szCs w:val="24"/>
        </w:rPr>
        <w:t>2.</w:t>
      </w:r>
      <w:r w:rsidRPr="00B16A09">
        <w:rPr>
          <w:szCs w:val="24"/>
        </w:rPr>
        <w:tab/>
        <w:t>zdůrazňuje, že Turecká republika nese podle mezinárodního práva trvající odpovědnost za porušení spáchaná během invaze v roce 1974 a po ní, mezi něž patří závažná porušení Ženevských úmluv, a připomíná, že z této odpovědnosti vyplývá povinnost zajistit, aby obětem byla poskytnuta plná reparace, včetně restituce, rehabilitace, satisfakce a záruk neopakování; vyzývá členské státy, aby zajistily účinné odškodnění pro všechny oběti genderově podmíněného násilí, včetně sexuálního násilí; připomíná, že takové odškodnění by mělo být v zájmu uznání utrpěné újmy odpovídající, bezodkladně přiznané a holistické;</w:t>
      </w:r>
    </w:p>
    <w:p w:rsidR="0076790B" w:rsidRPr="00B16A09" w:rsidP="00C53962" w14:paraId="5D407919" w14:textId="77777777">
      <w:pPr>
        <w:pStyle w:val="NormalHanging12a"/>
        <w:rPr>
          <w:szCs w:val="24"/>
        </w:rPr>
      </w:pPr>
      <w:r w:rsidRPr="00B16A09">
        <w:rPr>
          <w:szCs w:val="24"/>
        </w:rPr>
        <w:t>3.</w:t>
      </w:r>
      <w:r w:rsidRPr="00B16A09">
        <w:rPr>
          <w:szCs w:val="24"/>
        </w:rPr>
        <w:tab/>
        <w:t>naléhavě žádá, aby byla obnovena jednání o znovusjednocení Kypru pod záštitou generálního tajemníka OSN, a zdůrazňuje, že by měla pokračovat od bodu, v němž byla v roce 2017 v Crans-Montaně přerušena; důrazně znovu potvrzuje své stanovisko, že jediným řešením kyperského problému je spravedlivé, komplexní, životaschopné a demokratické urovnání v rámci dlouhodobě zavedeného a dohodnutého rámce OSN a acquis EU, založené na dvoukomunitní, dvouzónové federaci s politickou rovností, jak je vymezeno v příslušných rezolucích Rady bezpečnosti OSN;</w:t>
      </w:r>
    </w:p>
    <w:p w:rsidR="0076790B" w:rsidRPr="00B16A09" w:rsidP="00C53962" w14:paraId="0D72A082" w14:textId="77777777">
      <w:pPr>
        <w:pStyle w:val="NormalHanging12a"/>
        <w:rPr>
          <w:szCs w:val="24"/>
        </w:rPr>
      </w:pPr>
      <w:r w:rsidRPr="00B16A09">
        <w:rPr>
          <w:szCs w:val="24"/>
        </w:rPr>
        <w:t>4.</w:t>
      </w:r>
      <w:r w:rsidRPr="00B16A09">
        <w:rPr>
          <w:szCs w:val="24"/>
        </w:rPr>
        <w:tab/>
        <w:t>plně uznává hluboký a mnohorozměrný dopad invaze a okupace na kyperské ženy a dívky, jejichž odvaha, síla a utrpení zůstávaly až příliš často neviditelné, nedostatečně hlášené a nedostatečně uznávané na vnitrostátní, evropské i mezinárodní úrovni; zdůrazňuje, že kyperské ženy a dívky byly rovněž klíčovými aktérkami odporu, solidarity a budování míru, a vyzývá k tomu, aby byla jejich vůdčí úloha uznávána a podporována ve všech příslušných politikách; konstatuje, že každý politický proces týkající se budoucnosti ostrova musí zajistit plné zapojení žen v souladu s rezolucí Rady bezpečnosti OSN 1325 (2000) o ženách, míru a bezpečnosti;</w:t>
      </w:r>
    </w:p>
    <w:p w:rsidR="0076790B" w:rsidRPr="00B16A09" w:rsidP="00C53962" w14:paraId="01844856" w14:textId="77777777">
      <w:pPr>
        <w:pStyle w:val="NormalHanging12a"/>
        <w:rPr>
          <w:szCs w:val="24"/>
        </w:rPr>
      </w:pPr>
      <w:r w:rsidRPr="00B16A09">
        <w:rPr>
          <w:szCs w:val="24"/>
        </w:rPr>
        <w:t>5.</w:t>
      </w:r>
      <w:r w:rsidRPr="00B16A09">
        <w:rPr>
          <w:szCs w:val="24"/>
        </w:rPr>
        <w:tab/>
        <w:t>vyzývá Turecko, aby stáhlo z Kypru své jednotky a zdrželo se veškerých jednostranných kroků, které by upevnily trvalou okupaci ostrova nebo které by mohly ovlivnit demografickou rovnováhu;</w:t>
      </w:r>
    </w:p>
    <w:p w:rsidR="0076790B" w:rsidRPr="00B16A09" w:rsidP="00C53962" w14:paraId="4AD7CC0E" w14:textId="77777777">
      <w:pPr>
        <w:pStyle w:val="NormalHanging12a"/>
        <w:rPr>
          <w:szCs w:val="24"/>
        </w:rPr>
      </w:pPr>
      <w:r w:rsidRPr="00B16A09">
        <w:rPr>
          <w:szCs w:val="24"/>
        </w:rPr>
        <w:t>6.</w:t>
      </w:r>
      <w:r w:rsidRPr="00B16A09">
        <w:rPr>
          <w:szCs w:val="24"/>
        </w:rPr>
        <w:tab/>
        <w:t xml:space="preserve">uznává důsledky nuceného vysídlení, včetně vnitřního vysídlení, k němuž došlo </w:t>
      </w:r>
      <w:r w:rsidRPr="00B16A09">
        <w:rPr>
          <w:szCs w:val="24"/>
        </w:rPr>
        <w:t>v důsledku invaze a pokračující okupace, a jeho trvalý dopad na Kypřany první, druhé a třetí generace, zejména na ženy a dívky, které jím byly zasaženy neúměrně více; zdůrazňuje, že řada z nich zažila ztrátu domovů, komunitních vazeb a kulturní kontinuity, jakož i mezigenerační trauma, fragmentaci identity a přetrvávající pocity vykořenění a nepřináležitosti, umocněné genderovými nerovnostmi a specifickými společenskými očekáváními kladenými na ženy; zdůrazňuje, že tyto dopady je třeba řešit prostřednictvím cílených politik psychosociální podpory pro oběti a přeživší;</w:t>
      </w:r>
    </w:p>
    <w:p w:rsidR="0076790B" w:rsidRPr="00B16A09" w:rsidP="00C53962" w14:paraId="53BC137F" w14:textId="77777777">
      <w:pPr>
        <w:pStyle w:val="NormalHanging12a"/>
        <w:rPr>
          <w:szCs w:val="24"/>
        </w:rPr>
      </w:pPr>
      <w:r w:rsidRPr="00B16A09">
        <w:rPr>
          <w:szCs w:val="24"/>
        </w:rPr>
        <w:t>7.</w:t>
      </w:r>
      <w:r w:rsidRPr="00B16A09">
        <w:rPr>
          <w:szCs w:val="24"/>
        </w:rPr>
        <w:tab/>
        <w:t>uznává, že sexuální násilí související s konfliktem má dlouhodobé druhotné sociální a hospodářské důsledky, včetně chudoby, vyloučení a stigmatizace, a vyzývá Radu, aby zajistila, že tyto dopady budou důkladně posouzeny a zohledněny v nápravných opatřeních přijatých na vnitrostátní úrovni;</w:t>
      </w:r>
    </w:p>
    <w:p w:rsidR="0076790B" w:rsidRPr="00B16A09" w:rsidP="00C53962" w14:paraId="7144CF58" w14:textId="77777777">
      <w:pPr>
        <w:pStyle w:val="NormalHanging12a"/>
        <w:rPr>
          <w:szCs w:val="24"/>
        </w:rPr>
      </w:pPr>
      <w:r w:rsidRPr="00B16A09">
        <w:rPr>
          <w:szCs w:val="24"/>
        </w:rPr>
        <w:t>8.</w:t>
      </w:r>
      <w:r w:rsidRPr="00B16A09">
        <w:rPr>
          <w:szCs w:val="24"/>
        </w:rPr>
        <w:tab/>
        <w:t>uznává, že většina žen a dívek, které byly znásilněny během invaze a po ní, měla přístup ke službám v oblasti sexuálního a reprodukčního zdraví, zejména k interrupci, v nemocnicích na Kypru a na britských základnách, přestože interrupce byla v té době trestná;</w:t>
      </w:r>
    </w:p>
    <w:p w:rsidR="0076790B" w:rsidP="00C53962" w14:paraId="77D3457F" w14:textId="241D5092">
      <w:pPr>
        <w:pStyle w:val="NormalHanging12a"/>
        <w:rPr>
          <w:szCs w:val="24"/>
        </w:rPr>
      </w:pPr>
      <w:r w:rsidRPr="00B16A09">
        <w:rPr>
          <w:szCs w:val="24"/>
        </w:rPr>
        <w:t>9.</w:t>
      </w:r>
      <w:r w:rsidRPr="00B16A09">
        <w:rPr>
          <w:szCs w:val="24"/>
        </w:rPr>
        <w:tab/>
        <w:t xml:space="preserve">vyzývá členské státy, aby zajistily, že osoby, které přežily znásilnění, budou mít </w:t>
      </w:r>
      <w:r w:rsidRPr="0095067D" w:rsidR="0095067D">
        <w:rPr>
          <w:szCs w:val="24"/>
        </w:rPr>
        <w:t>v rámci klinické péče po znásilnění</w:t>
      </w:r>
      <w:r w:rsidRPr="00B16A09">
        <w:rPr>
          <w:szCs w:val="24"/>
        </w:rPr>
        <w:t xml:space="preserve"> přístup </w:t>
      </w:r>
      <w:r w:rsidRPr="0095067D" w:rsidR="0095067D">
        <w:rPr>
          <w:szCs w:val="24"/>
        </w:rPr>
        <w:t xml:space="preserve">k celé škále služeb v oblasti sexuálního a reprodukčního zdraví a práv, zejména k nouzové antikoncepci, postexpoziční profylaxi, léčbě a prevenci pohlavně přenosných infekcí, včetně testování na viry HIV a HPV, bezpečnému a legálnímu přerušení </w:t>
      </w:r>
      <w:r w:rsidRPr="00A834FB" w:rsidR="0095067D">
        <w:rPr>
          <w:szCs w:val="24"/>
        </w:rPr>
        <w:t>těhotenství a péči</w:t>
      </w:r>
      <w:r w:rsidRPr="00DC08B4" w:rsidR="00A834FB">
        <w:rPr>
          <w:szCs w:val="24"/>
        </w:rPr>
        <w:t xml:space="preserve"> v mateřství</w:t>
      </w:r>
      <w:r w:rsidRPr="00B16A09">
        <w:rPr>
          <w:szCs w:val="24"/>
        </w:rPr>
        <w:t>;</w:t>
      </w:r>
    </w:p>
    <w:p w:rsidR="00287136" w:rsidRPr="00B16A09" w:rsidP="00C53962" w14:paraId="012A89C4" w14:textId="66007EB1">
      <w:pPr>
        <w:pStyle w:val="NormalHanging12a"/>
        <w:rPr>
          <w:szCs w:val="24"/>
        </w:rPr>
      </w:pPr>
      <w:r>
        <w:rPr>
          <w:szCs w:val="24"/>
        </w:rPr>
        <w:t>10</w:t>
      </w:r>
      <w:r w:rsidRPr="00287136">
        <w:rPr>
          <w:szCs w:val="24"/>
        </w:rPr>
        <w:t>.</w:t>
      </w:r>
      <w:r w:rsidRPr="00287136">
        <w:rPr>
          <w:szCs w:val="24"/>
        </w:rPr>
        <w:tab/>
        <w:t xml:space="preserve">oceňuje 22 členských států EU, které ratifikovaly Úmluvu Rady Evropy o prevenci a potírání násilí vůči </w:t>
      </w:r>
      <w:r w:rsidRPr="00A834FB">
        <w:rPr>
          <w:szCs w:val="24"/>
        </w:rPr>
        <w:t>ženám (Istanbulská úmluva), včetně</w:t>
      </w:r>
      <w:r w:rsidRPr="00287136">
        <w:rPr>
          <w:szCs w:val="24"/>
        </w:rPr>
        <w:t xml:space="preserve"> Kypru; vyzývá Komisi, aby v</w:t>
      </w:r>
      <w:r w:rsidRPr="00B16A09" w:rsidR="001D402C">
        <w:rPr>
          <w:szCs w:val="24"/>
        </w:rPr>
        <w:t> </w:t>
      </w:r>
      <w:r w:rsidRPr="00287136">
        <w:rPr>
          <w:szCs w:val="24"/>
        </w:rPr>
        <w:t>souladu s článkem 36 Istanbulské úmluvy navrhla právní předpis, který by stanovil definici znásilnění na úrovni EU, podle níž bude znásilnění definováno absencí svobodného, informovaného a odvolatelného souhlasu; vyzývá členské státy, aby zahájily legislativní změny s cílem uvést definici znásilnění ve svých vnitrostátních právních předpisech do souladu s článkem 36 Istanbulské úmluvy;</w:t>
      </w:r>
    </w:p>
    <w:p w:rsidR="0076790B" w:rsidRPr="00B16A09" w:rsidP="00C53962" w14:paraId="7F1E13F1" w14:textId="13A8B96C">
      <w:pPr>
        <w:pStyle w:val="NormalHanging12a"/>
        <w:rPr>
          <w:szCs w:val="24"/>
        </w:rPr>
      </w:pPr>
      <w:r w:rsidRPr="00B16A09">
        <w:rPr>
          <w:szCs w:val="24"/>
        </w:rPr>
        <w:t>1</w:t>
      </w:r>
      <w:r w:rsidR="00F03E91">
        <w:rPr>
          <w:szCs w:val="24"/>
        </w:rPr>
        <w:t>1</w:t>
      </w:r>
      <w:r w:rsidRPr="00B16A09">
        <w:rPr>
          <w:szCs w:val="24"/>
        </w:rPr>
        <w:t>.</w:t>
      </w:r>
      <w:r w:rsidRPr="00B16A09">
        <w:rPr>
          <w:szCs w:val="24"/>
        </w:rPr>
        <w:tab/>
        <w:t>vyzývá Komisi, aby podpořila Kypr v pokračujícím úsilí o zjištění plného rozsahu trestných činů souvisejících s konfliktem, včetně sexuálního násilí, o stanovení počtu obětí, shromažďování údajů a bezpečné dokumentování svědectví, a zajistila tak náležité oficiální uznání, nápravu a reparace pro osoby, které přežily, a případně pro jejich potomky, podpořila historické povědomí a prostřednictvím posíleného národního akčního plánu poskytovala podpůrné služby přeživším;</w:t>
      </w:r>
    </w:p>
    <w:p w:rsidR="0076790B" w:rsidRPr="00B16A09" w:rsidP="00C53962" w14:paraId="3FEFF9AA" w14:textId="4ADE298B">
      <w:pPr>
        <w:pStyle w:val="NormalHanging12a"/>
        <w:rPr>
          <w:szCs w:val="24"/>
        </w:rPr>
      </w:pPr>
      <w:r w:rsidRPr="00B16A09">
        <w:rPr>
          <w:szCs w:val="24"/>
        </w:rPr>
        <w:t>1</w:t>
      </w:r>
      <w:r w:rsidR="00F03E91">
        <w:rPr>
          <w:szCs w:val="24"/>
        </w:rPr>
        <w:t>2</w:t>
      </w:r>
      <w:r w:rsidRPr="00B16A09">
        <w:rPr>
          <w:szCs w:val="24"/>
        </w:rPr>
        <w:t>.</w:t>
      </w:r>
      <w:r w:rsidRPr="00B16A09">
        <w:rPr>
          <w:szCs w:val="24"/>
        </w:rPr>
        <w:tab/>
        <w:t>uznává kyperskou iniciativu na vybudování Památníku ženám, které se staly oběťmi sexuálního násilí, v Nikósii jako prostoru kolektivní paměti a uznání; domnívá se, že umístění památníku na viditelném a významném místě přispěje k uznání traumatu a utrpení obětí;</w:t>
      </w:r>
    </w:p>
    <w:p w:rsidR="0076790B" w:rsidRPr="00B16A09" w:rsidP="00C53962" w14:paraId="7449C4FF" w14:textId="47EC9402">
      <w:pPr>
        <w:pStyle w:val="NormalHanging12a"/>
        <w:rPr>
          <w:szCs w:val="24"/>
        </w:rPr>
      </w:pPr>
      <w:r w:rsidRPr="00B16A09">
        <w:rPr>
          <w:szCs w:val="24"/>
        </w:rPr>
        <w:t>1</w:t>
      </w:r>
      <w:r w:rsidR="00F03E91">
        <w:rPr>
          <w:szCs w:val="24"/>
        </w:rPr>
        <w:t>3</w:t>
      </w:r>
      <w:r w:rsidRPr="00B16A09">
        <w:rPr>
          <w:szCs w:val="24"/>
        </w:rPr>
        <w:t>.</w:t>
      </w:r>
      <w:r w:rsidRPr="00B16A09">
        <w:rPr>
          <w:szCs w:val="24"/>
        </w:rPr>
        <w:tab/>
        <w:t xml:space="preserve">vybízí členské státy, které zažily rozsáhlé porušování lidských práv, ať už během ozbrojeného konfliktu, nebo za autoritářských režimů, aby neprodleně řešily otázku sexuálního a genderově podmíněného násilí, jemuž byly vystaveny oběti a přeživší, prolomily mlčení, podpořily podávání svědectví prostřednictvím formálního vyšetřování a zavedly pamětní iniciativy, které výslovně uznávají a dokumentují porušování práv spáchané na ženách a dívkách, včetně sexuálního násilí souvisejícího s konfliktem, nuceného vysídlení a genderově podmíněného pronásledování, s cílem </w:t>
      </w:r>
      <w:r w:rsidRPr="00B16A09">
        <w:rPr>
          <w:szCs w:val="24"/>
        </w:rPr>
        <w:t>tyto trestné činy oficiálně uznat a otevřít možnost odškodnění; zdůrazňuje, že tyto iniciativy by měly tvořit nedílnou součást procesů zajišťování spravedlnosti, jejichž cílem je bojovat proti historickému umlčování, odstranit stigmatizaci a potvrdit autonomii, integritu, schopnost jednat a důstojnost žen;</w:t>
      </w:r>
    </w:p>
    <w:p w:rsidR="0076790B" w:rsidRPr="00B16A09" w:rsidP="00C53962" w14:paraId="4D176D76" w14:textId="59F6FAC0">
      <w:pPr>
        <w:pStyle w:val="NormalHanging12a"/>
        <w:rPr>
          <w:szCs w:val="24"/>
        </w:rPr>
      </w:pPr>
      <w:bookmarkStart w:id="8" w:name="_Hlk222847590"/>
      <w:r w:rsidRPr="00B16A09">
        <w:rPr>
          <w:szCs w:val="24"/>
        </w:rPr>
        <w:t>1</w:t>
      </w:r>
      <w:r w:rsidR="00F03E91">
        <w:rPr>
          <w:szCs w:val="24"/>
        </w:rPr>
        <w:t>4</w:t>
      </w:r>
      <w:r w:rsidRPr="00B16A09">
        <w:rPr>
          <w:szCs w:val="24"/>
        </w:rPr>
        <w:t>.</w:t>
      </w:r>
      <w:r w:rsidRPr="00B16A09">
        <w:rPr>
          <w:szCs w:val="24"/>
        </w:rPr>
        <w:tab/>
        <w:t>vyzývá generálního tajemníka OSN, který pravidelně vypracovává výroční zprávy o sexuálním násilí v oblastech konfliktů, aby prozkoumal příslušné archivy OSN a další zdroje s cílem zdokumentovat zvěrstva spáchaná na Kypru;</w:t>
      </w:r>
    </w:p>
    <w:bookmarkEnd w:id="8"/>
    <w:p w:rsidR="0076790B" w:rsidP="00C53962" w14:paraId="16CF2767" w14:textId="1FC83162">
      <w:pPr>
        <w:pStyle w:val="NormalHanging12a"/>
        <w:rPr>
          <w:szCs w:val="24"/>
        </w:rPr>
      </w:pPr>
      <w:r w:rsidRPr="00B16A09">
        <w:rPr>
          <w:szCs w:val="24"/>
        </w:rPr>
        <w:t>1</w:t>
      </w:r>
      <w:r w:rsidR="00F03E91">
        <w:rPr>
          <w:szCs w:val="24"/>
        </w:rPr>
        <w:t>5</w:t>
      </w:r>
      <w:r w:rsidRPr="00B16A09">
        <w:rPr>
          <w:szCs w:val="24"/>
        </w:rPr>
        <w:t>.</w:t>
      </w:r>
      <w:r w:rsidRPr="00B16A09">
        <w:rPr>
          <w:szCs w:val="24"/>
        </w:rPr>
        <w:tab/>
        <w:t>vítá úsilí vyvíjené na vnitrostátní úrovni na Kypru s cílem uznat osoby, které násilí přežily, a řešit minulé nespravedlnosti, jež postihly všechny komunity; vyzývá členské státy, aby zavedly mechanismy odškodnění pro oběti a osoby, které přežily sexuální násilí, v souladu se směrnicí o právech obětí; zdůrazňuje, že článek 16 směrnice o právech obětí stanoví, že odškodnění by měl zaplatit pachatel;</w:t>
      </w:r>
    </w:p>
    <w:p w:rsidR="00DB7963" w:rsidRPr="00DB7963" w:rsidP="00C53962" w14:paraId="3E87D7DB" w14:textId="07BC46E7">
      <w:pPr>
        <w:pStyle w:val="NormalHanging12a"/>
        <w:rPr>
          <w:bCs/>
          <w:iCs/>
          <w:szCs w:val="24"/>
        </w:rPr>
      </w:pPr>
      <w:r w:rsidRPr="00DC08B4">
        <w:rPr>
          <w:bCs/>
          <w:iCs/>
        </w:rPr>
        <w:t>1</w:t>
      </w:r>
      <w:r w:rsidR="00F03E91">
        <w:rPr>
          <w:bCs/>
          <w:iCs/>
        </w:rPr>
        <w:t>6</w:t>
      </w:r>
      <w:r w:rsidRPr="00DC08B4">
        <w:rPr>
          <w:bCs/>
          <w:iCs/>
        </w:rPr>
        <w:t>.</w:t>
      </w:r>
      <w:r w:rsidRPr="00DC08B4">
        <w:rPr>
          <w:bCs/>
          <w:iCs/>
        </w:rPr>
        <w:tab/>
        <w:t>vyzývá Turecko, aby poskytlo účinné odškodnění obětem sexuálního násilí v průběhu konfliktu a dalších závažných porušení práv spáchaných během invaze v roce 1974 a</w:t>
      </w:r>
      <w:r w:rsidR="001D402C">
        <w:rPr>
          <w:bCs/>
          <w:iCs/>
        </w:rPr>
        <w:t xml:space="preserve"> </w:t>
      </w:r>
      <w:r w:rsidRPr="00DC08B4">
        <w:rPr>
          <w:bCs/>
          <w:iCs/>
        </w:rPr>
        <w:t>po</w:t>
      </w:r>
      <w:r w:rsidRPr="00B16A09" w:rsidR="001D402C">
        <w:rPr>
          <w:szCs w:val="24"/>
        </w:rPr>
        <w:t> </w:t>
      </w:r>
      <w:r w:rsidRPr="00DC08B4">
        <w:rPr>
          <w:bCs/>
          <w:iCs/>
        </w:rPr>
        <w:t>ní;</w:t>
      </w:r>
    </w:p>
    <w:p w:rsidR="0076790B" w:rsidRPr="00B16A09" w:rsidP="00C53962" w14:paraId="24276499" w14:textId="5E1B4F19">
      <w:pPr>
        <w:pStyle w:val="NormalHanging12a"/>
        <w:rPr>
          <w:szCs w:val="24"/>
        </w:rPr>
      </w:pPr>
      <w:r w:rsidRPr="00B16A09">
        <w:rPr>
          <w:szCs w:val="24"/>
        </w:rPr>
        <w:t>1</w:t>
      </w:r>
      <w:r w:rsidR="00F03E91">
        <w:rPr>
          <w:szCs w:val="24"/>
        </w:rPr>
        <w:t>7</w:t>
      </w:r>
      <w:r w:rsidRPr="00B16A09">
        <w:rPr>
          <w:szCs w:val="24"/>
        </w:rPr>
        <w:t>.</w:t>
      </w:r>
      <w:r w:rsidRPr="00B16A09">
        <w:rPr>
          <w:szCs w:val="24"/>
        </w:rPr>
        <w:tab/>
        <w:t>vybízí k celounijnímu zvyšování povědomí o sexuálním násilí souvisejícím s konfliktem a o jeho dlouhodobých důsledcích s cílem prolamovat tabu, potírat stigmatizaci a podpořit přeživší v tom, aby o něm promluvily;</w:t>
      </w:r>
    </w:p>
    <w:p w:rsidR="0076790B" w:rsidRPr="00B16A09" w:rsidP="00C53962" w14:paraId="164B14AE" w14:textId="58B64B65">
      <w:pPr>
        <w:pStyle w:val="NormalHanging12a"/>
        <w:rPr>
          <w:szCs w:val="24"/>
        </w:rPr>
      </w:pPr>
      <w:r w:rsidRPr="00B16A09">
        <w:rPr>
          <w:szCs w:val="24"/>
        </w:rPr>
        <w:t>1</w:t>
      </w:r>
      <w:r w:rsidR="00F03E91">
        <w:rPr>
          <w:szCs w:val="24"/>
        </w:rPr>
        <w:t>8</w:t>
      </w:r>
      <w:r w:rsidRPr="00B16A09">
        <w:rPr>
          <w:szCs w:val="24"/>
        </w:rPr>
        <w:t>.</w:t>
      </w:r>
      <w:r w:rsidRPr="00B16A09">
        <w:rPr>
          <w:szCs w:val="24"/>
        </w:rPr>
        <w:tab/>
        <w:t>podporuje uspořádání veřejného slyšení na vysoké úrovni za účasti osob, které přežily sexuální násilí související s konfliktem ve světě, a zejména na Kypru, organizací na ochranu práv žen a aktérů budování míru, odborníků na mezinárodní trestní právo a zástupců občanské společnosti, s cílem formálně uznat jejich svědectví a zkušenosti v institucionálním rámci EU a poukázat na závažnost turecké invaze v roce 1974;</w:t>
      </w:r>
    </w:p>
    <w:p w:rsidR="0076790B" w:rsidRPr="00B16A09" w:rsidP="00C53962" w14:paraId="59651B8B" w14:textId="64774F4F">
      <w:pPr>
        <w:pStyle w:val="NormalHanging12a"/>
        <w:rPr>
          <w:szCs w:val="24"/>
        </w:rPr>
      </w:pPr>
      <w:r w:rsidRPr="00B16A09">
        <w:rPr>
          <w:szCs w:val="24"/>
        </w:rPr>
        <w:t>1</w:t>
      </w:r>
      <w:r w:rsidR="00F03E91">
        <w:rPr>
          <w:szCs w:val="24"/>
        </w:rPr>
        <w:t>9</w:t>
      </w:r>
      <w:r w:rsidRPr="00B16A09">
        <w:rPr>
          <w:szCs w:val="24"/>
        </w:rPr>
        <w:t>.</w:t>
      </w:r>
      <w:r w:rsidRPr="00B16A09">
        <w:rPr>
          <w:szCs w:val="24"/>
        </w:rPr>
        <w:tab/>
        <w:t>zdůrazňuje, že je třeba posílit právní rámce na Kypru a zavést mechanismy spravedlnosti zaměřené na oběti, aby bylo možné náležitě řešit sexuální násilí související s konfliktem, jehož terčem bylo nespočet žen, a zaručit odpovídající reakci na požadavky obětí na spravedlnost;</w:t>
      </w:r>
    </w:p>
    <w:p w:rsidR="0076790B" w:rsidRPr="00B16A09" w:rsidP="00C53962" w14:paraId="16DE9684" w14:textId="502A7FEF">
      <w:pPr>
        <w:pStyle w:val="NormalHanging12a"/>
        <w:rPr>
          <w:szCs w:val="24"/>
        </w:rPr>
      </w:pPr>
      <w:r>
        <w:rPr>
          <w:szCs w:val="24"/>
        </w:rPr>
        <w:t>20</w:t>
      </w:r>
      <w:r w:rsidRPr="00B16A09">
        <w:rPr>
          <w:szCs w:val="24"/>
        </w:rPr>
        <w:t>.</w:t>
      </w:r>
      <w:r w:rsidRPr="00B16A09">
        <w:rPr>
          <w:szCs w:val="24"/>
        </w:rPr>
        <w:tab/>
        <w:t>důrazně odsuzuje používání sexuálního násilí jako válečné zbraně, což představuje závažné porušení Ženevských úmluv, a vyzývá Komisi, aby o této problematice zvyšovala povědomí s využitím zkušeností z kyperského konfliktu s cílem předcházet dalšímu násilí a přijmout opatření v případě vypuknutí nových konfliktů; dále vyzývá Komisi, aby i nadále prosazovala vyvozování odpovědnosti a podporovala iniciativy, včetně specializovaných finančních mechanismů, které chrání práva obětí a jejich rodin, podporovala připomínání památky, prosazovala rovnost žen a mužů v EU a usnadňovala opětovné sociální začlenění obětí;</w:t>
      </w:r>
    </w:p>
    <w:p w:rsidR="0076790B" w:rsidP="00C53962" w14:paraId="7440F275" w14:textId="097AE5CB">
      <w:pPr>
        <w:pStyle w:val="NormalHanging12a"/>
        <w:rPr>
          <w:szCs w:val="24"/>
        </w:rPr>
      </w:pPr>
      <w:r>
        <w:rPr>
          <w:szCs w:val="24"/>
        </w:rPr>
        <w:t>2</w:t>
      </w:r>
      <w:r w:rsidRPr="00B16A09">
        <w:rPr>
          <w:szCs w:val="24"/>
        </w:rPr>
        <w:t>1.</w:t>
      </w:r>
      <w:r w:rsidRPr="00B16A09">
        <w:rPr>
          <w:szCs w:val="24"/>
        </w:rPr>
        <w:tab/>
        <w:t xml:space="preserve">vyzývá Komisi, aby posílila svou finanční podporu Výboru pro pohřešované osoby na Kypru, aby mohl v plném rozsahu plnit své poslání spočívající v exhumaci a identifikaci tělesných ostatků pohřešovaných osob a jejich navracení příbuzným, mezi něž patří kyperské ženy, které se kromě specifických dopadů války nadále potýkají s hlubokým psychickým strádáním; zdůrazňuje však, že samotná finanční pomoc není dostatečná vzhledem k tomu, že nadále chybí plná spolupráce, přístup do vojenských prostor a archivů je omezen a Turecko a protiprávní separatistická entita v severní části Kypru kladou překážky, což významně brání účinnému fungování Výboru a včasnému </w:t>
      </w:r>
      <w:r w:rsidRPr="00B16A09">
        <w:rPr>
          <w:szCs w:val="24"/>
        </w:rPr>
        <w:t>naplnění jeho humanitárního mandátu;</w:t>
      </w:r>
    </w:p>
    <w:p w:rsidR="00DB7963" w:rsidRPr="00DB7963" w:rsidP="00C53962" w14:paraId="1A22C1B9" w14:textId="629A62FA">
      <w:pPr>
        <w:pStyle w:val="NormalHanging12a"/>
        <w:rPr>
          <w:bCs/>
          <w:iCs/>
          <w:szCs w:val="24"/>
        </w:rPr>
      </w:pPr>
      <w:r>
        <w:rPr>
          <w:bCs/>
          <w:iCs/>
        </w:rPr>
        <w:t>22</w:t>
      </w:r>
      <w:r w:rsidRPr="00DC08B4">
        <w:rPr>
          <w:bCs/>
          <w:iCs/>
        </w:rPr>
        <w:t>.</w:t>
      </w:r>
      <w:r w:rsidRPr="00DC08B4">
        <w:rPr>
          <w:bCs/>
          <w:iCs/>
        </w:rPr>
        <w:tab/>
        <w:t>vyzývá Turecko, aby poskytlo úplný a neomezený přístup ke všem relevantním úředním záznamům týkajícím se invaze v roce 1974 a období po ní a aby plně spolupracovalo s mezinárodními orgány a Kyperskou republikou, pokud jde o sexuální násilí v průběhu konfliktu, násilná zmizení a další závažná porušení mezinárodního humanitárního práva;</w:t>
      </w:r>
    </w:p>
    <w:p w:rsidR="0076790B" w:rsidRPr="00B16A09" w:rsidP="00C53962" w14:paraId="7AA26EA8" w14:textId="4ACE5AC9">
      <w:pPr>
        <w:pStyle w:val="NormalHanging12a"/>
        <w:rPr>
          <w:szCs w:val="24"/>
        </w:rPr>
      </w:pPr>
      <w:r w:rsidRPr="00B16A09">
        <w:rPr>
          <w:szCs w:val="24"/>
        </w:rPr>
        <w:t>2</w:t>
      </w:r>
      <w:r w:rsidR="00F03E91">
        <w:rPr>
          <w:szCs w:val="24"/>
        </w:rPr>
        <w:t>3</w:t>
      </w:r>
      <w:r w:rsidRPr="00B16A09">
        <w:rPr>
          <w:szCs w:val="24"/>
        </w:rPr>
        <w:t>.</w:t>
      </w:r>
      <w:r w:rsidRPr="00B16A09">
        <w:rPr>
          <w:szCs w:val="24"/>
        </w:rPr>
        <w:tab/>
        <w:t>znovu potvrzuje, že EU má nejen politickou, ale i morální a právní povinnost hájit důstojnost, práva a historickou paměť všech občanů EU, včetně kyperských žen a mužů, kteří byli vystaveni násilí souvisejícímu s konfliktem, a zdůrazňuje potřebu trvalé angažovanosti a zásadových kroků při řešení takto závažných porušení, aby byl zajištěn soulad s vnějšími závazky EU v oblasti rovnosti žen a mužů a lidských práv;</w:t>
      </w:r>
    </w:p>
    <w:p w:rsidR="0076790B" w:rsidRPr="00B16A09" w:rsidP="00C53962" w14:paraId="447C227C" w14:textId="697DBA24">
      <w:pPr>
        <w:pStyle w:val="NormalHanging12a"/>
        <w:rPr>
          <w:szCs w:val="24"/>
        </w:rPr>
      </w:pPr>
      <w:r w:rsidRPr="00B16A09">
        <w:rPr>
          <w:szCs w:val="24"/>
        </w:rPr>
        <w:t>2</w:t>
      </w:r>
      <w:r w:rsidR="00F03E91">
        <w:rPr>
          <w:szCs w:val="24"/>
        </w:rPr>
        <w:t>4</w:t>
      </w:r>
      <w:r w:rsidRPr="00B16A09">
        <w:rPr>
          <w:szCs w:val="24"/>
        </w:rPr>
        <w:t>.</w:t>
      </w:r>
      <w:r w:rsidRPr="00B16A09">
        <w:rPr>
          <w:szCs w:val="24"/>
        </w:rPr>
        <w:tab/>
        <w:t>vyzývá k posílené a trvalé finanční a technické podpoře EU pro služby zaměřené na oběti na Kypru, včetně specializovaného poradenství zaměřeného na trauma a zohledňujícího genderové aspekty, dlouhodobé psychosociální pomoci a programů mezigeneračního uzdravování, které jsou konkrétně přizpůsobeny přeživším a jejich rodinám a jsou poskytovány kvalifikovanými a specializovanými pracovníky s cílem zabránit sekundární viktimizaci;</w:t>
      </w:r>
    </w:p>
    <w:p w:rsidR="0076790B" w:rsidRPr="00B16A09" w:rsidP="00C53962" w14:paraId="6943C7D6" w14:textId="175AF137">
      <w:pPr>
        <w:pStyle w:val="NormalHanging12a"/>
        <w:rPr>
          <w:szCs w:val="24"/>
        </w:rPr>
      </w:pPr>
      <w:r w:rsidRPr="00B16A09">
        <w:rPr>
          <w:szCs w:val="24"/>
        </w:rPr>
        <w:t>2</w:t>
      </w:r>
      <w:r w:rsidR="00F03E91">
        <w:rPr>
          <w:szCs w:val="24"/>
        </w:rPr>
        <w:t>5</w:t>
      </w:r>
      <w:r w:rsidRPr="00B16A09">
        <w:rPr>
          <w:szCs w:val="24"/>
        </w:rPr>
        <w:t>.</w:t>
      </w:r>
      <w:r w:rsidRPr="00B16A09">
        <w:rPr>
          <w:szCs w:val="24"/>
        </w:rPr>
        <w:tab/>
        <w:t>podporuje plné provádění rezoluce Rady bezpečnosti OSN 1325 (2000) o ženách, míru a bezpečnosti ze strany Kypru, zejména přijetím posíleného a komplexnějšího národního akčního plánu, a vyzývá k zapojení většího počtu žen do procesů budování míru;</w:t>
      </w:r>
    </w:p>
    <w:p w:rsidR="0076790B" w:rsidRPr="00B16A09" w:rsidP="00C53962" w14:paraId="68563FF2" w14:textId="16E4814E">
      <w:pPr>
        <w:pStyle w:val="NormalHanging12a"/>
        <w:rPr>
          <w:szCs w:val="24"/>
        </w:rPr>
      </w:pPr>
      <w:r w:rsidRPr="00B16A09">
        <w:rPr>
          <w:szCs w:val="24"/>
        </w:rPr>
        <w:t>2</w:t>
      </w:r>
      <w:r w:rsidR="00F03E91">
        <w:rPr>
          <w:szCs w:val="24"/>
        </w:rPr>
        <w:t>6</w:t>
      </w:r>
      <w:r w:rsidRPr="00B16A09">
        <w:rPr>
          <w:szCs w:val="24"/>
        </w:rPr>
        <w:t>.</w:t>
      </w:r>
      <w:r w:rsidRPr="00B16A09">
        <w:rPr>
          <w:szCs w:val="24"/>
        </w:rPr>
        <w:tab/>
        <w:t xml:space="preserve">vyzývá k plnému dodržování </w:t>
      </w:r>
      <w:r w:rsidRPr="001D402C">
        <w:rPr>
          <w:szCs w:val="24"/>
        </w:rPr>
        <w:t>Úmluvy</w:t>
      </w:r>
      <w:r w:rsidRPr="00B16A09">
        <w:rPr>
          <w:szCs w:val="24"/>
        </w:rPr>
        <w:t xml:space="preserve"> Rady Evropy o prevenci a potírání násilí na ženách a domácího násilí, zejména pokud jde o podporu obětí sexuálního násilí a náležitou péči při předcházení takovým násilným činům, jejich vyšetřování a trestání a zajišťování nápravy za ně;</w:t>
      </w:r>
    </w:p>
    <w:p w:rsidR="0076790B" w:rsidRPr="00B16A09" w:rsidP="00C53962" w14:paraId="4FE013A2" w14:textId="57415B43">
      <w:pPr>
        <w:pStyle w:val="NormalHanging12a"/>
        <w:rPr>
          <w:szCs w:val="24"/>
        </w:rPr>
      </w:pPr>
      <w:r w:rsidRPr="00B16A09">
        <w:rPr>
          <w:szCs w:val="24"/>
        </w:rPr>
        <w:t>2</w:t>
      </w:r>
      <w:r w:rsidR="00F03E91">
        <w:rPr>
          <w:szCs w:val="24"/>
        </w:rPr>
        <w:t>7</w:t>
      </w:r>
      <w:r w:rsidRPr="00B16A09">
        <w:rPr>
          <w:szCs w:val="24"/>
        </w:rPr>
        <w:t>.</w:t>
      </w:r>
      <w:r w:rsidRPr="00B16A09">
        <w:rPr>
          <w:szCs w:val="24"/>
        </w:rPr>
        <w:tab/>
        <w:t>oceňuje práci organizací občanské společnosti a dvoukomunitních skupin působících v oblasti rovnosti žen a mužů na Kypru, včetně místních iniciativ občanské společnosti, zejména těch, které vedou ženy, a vyzdvihuje jejich úlohu při posilování důvěry, usmíření a dialogu; vybízí k výměně osvědčených postupů mezi Kyprem a dalšími zeměmi, které mají zkušenosti s řešením porušování práv žen; naléhavě vyzývá Komisi, aby posílila spolupráci s kyperskou občanskou společností, sdruženími obětí a příslušnými mezinárodními subjekty zapojenými do úsilí o zjištění pravdy a usmíření, mimo jiné prostřednictvím poskytování odpovídajícího financování z prostředků EU;</w:t>
      </w:r>
    </w:p>
    <w:p w:rsidR="0076790B" w:rsidRPr="00B16A09" w:rsidP="00C53962" w14:paraId="625E1D31" w14:textId="0156EF96">
      <w:pPr>
        <w:pStyle w:val="NormalHanging12a"/>
        <w:rPr>
          <w:szCs w:val="24"/>
        </w:rPr>
      </w:pPr>
      <w:r w:rsidRPr="00B16A09">
        <w:rPr>
          <w:szCs w:val="24"/>
        </w:rPr>
        <w:t>2</w:t>
      </w:r>
      <w:r w:rsidR="00F03E91">
        <w:rPr>
          <w:szCs w:val="24"/>
        </w:rPr>
        <w:t>8</w:t>
      </w:r>
      <w:r w:rsidRPr="00B16A09">
        <w:rPr>
          <w:szCs w:val="24"/>
        </w:rPr>
        <w:t>.</w:t>
      </w:r>
      <w:r w:rsidRPr="00B16A09">
        <w:rPr>
          <w:szCs w:val="24"/>
        </w:rPr>
        <w:tab/>
        <w:t>znovu potvrzuje závaznou povahu rezolucí Rady bezpečnosti OSN týkajících se Kypru.</w:t>
      </w:r>
    </w:p>
    <w:p w:rsidR="008F6FA3" w:rsidRPr="00B16A09" w:rsidP="00C53962" w14:paraId="4F92DDDB" w14:textId="7F320396">
      <w:pPr>
        <w:pStyle w:val="NormalHanging12a"/>
        <w:rPr>
          <w:szCs w:val="24"/>
        </w:rPr>
      </w:pPr>
      <w:r w:rsidRPr="00B16A09">
        <w:rPr>
          <w:szCs w:val="24"/>
        </w:rPr>
        <w:t>2</w:t>
      </w:r>
      <w:r w:rsidR="00F03E91">
        <w:rPr>
          <w:szCs w:val="24"/>
        </w:rPr>
        <w:t>9</w:t>
      </w:r>
      <w:r w:rsidRPr="00B16A09">
        <w:rPr>
          <w:szCs w:val="24"/>
        </w:rPr>
        <w:t>.</w:t>
      </w:r>
      <w:r w:rsidRPr="00B16A09">
        <w:rPr>
          <w:szCs w:val="24"/>
        </w:rPr>
        <w:tab/>
        <w:t>pověřuje svou předsedkyni, aby předala toto usnesení Radě, Komisi, Evropské službě pro vnější činnost a generálnímu tajemníkovi Organizace spojených národů, a žádá, aby bylo přeloženo do turečtiny a předáno prezidentovi, vládě a parlamentu Turecké republiky.</w:t>
      </w:r>
    </w:p>
    <w:p w:rsidR="00E365E1" w:rsidRPr="00B16A09" w:rsidP="00DC08B4" w14:paraId="59D1E90F" w14:textId="2D720EF2">
      <w:pPr>
        <w:spacing w:after="240"/>
        <w:ind w:left="567" w:hanging="567"/>
        <w:rPr>
          <w:szCs w:val="24"/>
        </w:rPr>
      </w:pPr>
    </w:p>
    <w:sectPr w:rsidSect="008F6F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6FA3" w14:paraId="0F278C69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6FA3" w14:paraId="3ADA333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6FA3" w14:paraId="0EC3CDF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45429" w:rsidRPr="008F6FA3" w14:paraId="70D2F39F" w14:textId="77777777">
      <w:r w:rsidRPr="008F6FA3">
        <w:separator/>
      </w:r>
    </w:p>
  </w:footnote>
  <w:footnote w:type="continuationSeparator" w:id="1">
    <w:p w:rsidR="00C45429" w:rsidRPr="008F6FA3" w14:paraId="0D655912" w14:textId="77777777">
      <w:r w:rsidRPr="008F6FA3">
        <w:continuationSeparator/>
      </w:r>
    </w:p>
  </w:footnote>
  <w:footnote w:id="2">
    <w:p w:rsidR="0076790B" w:rsidRPr="00D441A0" w:rsidP="008F6FA3" w14:paraId="1922401B" w14:textId="7B5E606E">
      <w:pPr>
        <w:pStyle w:val="FootnoteText"/>
        <w:ind w:left="567" w:hanging="567"/>
        <w:rPr>
          <w:sz w:val="24"/>
          <w:szCs w:val="24"/>
          <w:lang w:val="cs-CZ"/>
        </w:rPr>
      </w:pPr>
      <w:r w:rsidRPr="00D441A0">
        <w:rPr>
          <w:rStyle w:val="FootnoteReference"/>
          <w:sz w:val="24"/>
          <w:szCs w:val="24"/>
          <w:lang w:val="cs-CZ"/>
        </w:rPr>
        <w:footnoteRef/>
      </w:r>
      <w:r w:rsidRPr="00D441A0" w:rsidR="008F6FA3">
        <w:rPr>
          <w:sz w:val="24"/>
          <w:szCs w:val="24"/>
          <w:lang w:val="cs-CZ"/>
        </w:rPr>
        <w:t xml:space="preserve"> </w:t>
      </w:r>
      <w:r w:rsidRPr="00D441A0" w:rsidR="008F6FA3">
        <w:rPr>
          <w:sz w:val="24"/>
          <w:szCs w:val="24"/>
          <w:lang w:val="cs-CZ"/>
        </w:rPr>
        <w:tab/>
      </w:r>
      <w:r w:rsidRPr="00D441A0">
        <w:rPr>
          <w:sz w:val="24"/>
          <w:szCs w:val="24"/>
          <w:lang w:val="cs-CZ"/>
        </w:rPr>
        <w:t xml:space="preserve">Úř. věst. L 315, 14.11.2012, s. 57, ELI: </w:t>
      </w:r>
      <w:hyperlink r:id="rId1" w:history="1">
        <w:r w:rsidRPr="00D441A0">
          <w:rPr>
            <w:rStyle w:val="Hyperlink"/>
            <w:sz w:val="24"/>
            <w:szCs w:val="24"/>
            <w:lang w:val="cs-CZ"/>
          </w:rPr>
          <w:t>http://data.europa.eu/eli/dir/2012/29/oj</w:t>
        </w:r>
      </w:hyperlink>
      <w:r w:rsidRPr="00D441A0">
        <w:rPr>
          <w:sz w:val="24"/>
          <w:szCs w:val="24"/>
          <w:lang w:val="cs-CZ"/>
        </w:rPr>
        <w:t>.</w:t>
      </w:r>
    </w:p>
  </w:footnote>
  <w:footnote w:id="3">
    <w:p w:rsidR="0076790B" w:rsidRPr="00D441A0" w:rsidP="008F6FA3" w14:paraId="52021204" w14:textId="7FBD227B">
      <w:pPr>
        <w:pStyle w:val="FootnoteText"/>
        <w:ind w:left="567" w:hanging="567"/>
        <w:rPr>
          <w:sz w:val="24"/>
          <w:szCs w:val="24"/>
          <w:lang w:val="cs-CZ"/>
        </w:rPr>
      </w:pPr>
      <w:r w:rsidRPr="00D441A0">
        <w:rPr>
          <w:rStyle w:val="FootnoteReference"/>
          <w:sz w:val="24"/>
          <w:szCs w:val="24"/>
          <w:lang w:val="cs-CZ"/>
        </w:rPr>
        <w:footnoteRef/>
      </w:r>
      <w:r w:rsidRPr="00D441A0" w:rsidR="008F6FA3">
        <w:rPr>
          <w:sz w:val="24"/>
          <w:szCs w:val="24"/>
          <w:lang w:val="cs-CZ"/>
        </w:rPr>
        <w:t xml:space="preserve"> </w:t>
      </w:r>
      <w:r w:rsidRPr="00D441A0" w:rsidR="008F6FA3">
        <w:rPr>
          <w:sz w:val="24"/>
          <w:szCs w:val="24"/>
          <w:lang w:val="cs-CZ"/>
        </w:rPr>
        <w:tab/>
      </w:r>
      <w:r w:rsidRPr="00D441A0">
        <w:rPr>
          <w:sz w:val="24"/>
          <w:szCs w:val="24"/>
          <w:lang w:val="cs-CZ"/>
        </w:rPr>
        <w:t xml:space="preserve">Úř. věst. L, 2024/1385, 24.5.2024, ELI: </w:t>
      </w:r>
      <w:hyperlink r:id="rId2" w:history="1">
        <w:r w:rsidRPr="00D441A0">
          <w:rPr>
            <w:rStyle w:val="Hyperlink"/>
            <w:sz w:val="24"/>
            <w:szCs w:val="24"/>
            <w:lang w:val="cs-CZ"/>
          </w:rPr>
          <w:t>http://data.europa.eu/eli/dir/2024/1385/oj</w:t>
        </w:r>
      </w:hyperlink>
      <w:r w:rsidRPr="00D441A0">
        <w:rPr>
          <w:sz w:val="24"/>
          <w:szCs w:val="24"/>
          <w:lang w:val="cs-CZ"/>
        </w:rPr>
        <w:t>.</w:t>
      </w:r>
    </w:p>
  </w:footnote>
  <w:footnote w:id="4">
    <w:p w:rsidR="00D441A0" w:rsidRPr="00DC08B4" w:rsidP="00D441A0" w14:paraId="4EC68343" w14:textId="26FC00C8">
      <w:pPr>
        <w:pStyle w:val="FootnoteText"/>
        <w:keepLines w:val="0"/>
        <w:ind w:left="567" w:hanging="567"/>
        <w:rPr>
          <w:sz w:val="24"/>
          <w:lang w:val="cs-CZ"/>
        </w:rPr>
      </w:pPr>
      <w:r w:rsidRPr="00DC08B4">
        <w:rPr>
          <w:rStyle w:val="FootnoteReference"/>
          <w:sz w:val="24"/>
          <w:szCs w:val="24"/>
          <w:lang w:val="en-GB"/>
        </w:rPr>
        <w:footnoteRef/>
      </w:r>
      <w:r w:rsidRPr="00DC08B4">
        <w:rPr>
          <w:sz w:val="24"/>
          <w:szCs w:val="24"/>
          <w:lang w:val="cs-CZ"/>
        </w:rPr>
        <w:t xml:space="preserve"> </w:t>
      </w:r>
      <w:r w:rsidRPr="00DC08B4">
        <w:rPr>
          <w:sz w:val="24"/>
          <w:szCs w:val="24"/>
          <w:lang w:val="cs-CZ"/>
        </w:rPr>
        <w:tab/>
      </w:r>
      <w:r w:rsidRPr="00D441A0">
        <w:rPr>
          <w:sz w:val="24"/>
          <w:szCs w:val="24"/>
          <w:lang w:val="cs-CZ"/>
        </w:rPr>
        <w:t xml:space="preserve">Úř. věst. </w:t>
      </w:r>
      <w:r w:rsidRPr="00DC08B4">
        <w:rPr>
          <w:sz w:val="24"/>
          <w:szCs w:val="24"/>
          <w:lang w:val="cs-CZ"/>
        </w:rPr>
        <w:t>C 404, 6.10.2021, s. 202.</w:t>
      </w:r>
    </w:p>
  </w:footnote>
  <w:footnote w:id="5">
    <w:p w:rsidR="0076790B" w:rsidRPr="008F6FA3" w:rsidP="008F6FA3" w14:paraId="48194ADB" w14:textId="32CDDD19">
      <w:pPr>
        <w:pStyle w:val="FootnoteText"/>
        <w:ind w:left="567" w:hanging="567"/>
        <w:rPr>
          <w:sz w:val="24"/>
          <w:lang w:val="cs-CZ"/>
        </w:rPr>
      </w:pPr>
      <w:r w:rsidRPr="008F6FA3">
        <w:rPr>
          <w:rStyle w:val="FootnoteReference"/>
          <w:sz w:val="24"/>
          <w:lang w:val="cs-CZ"/>
        </w:rPr>
        <w:footnoteRef/>
      </w:r>
      <w:r w:rsidRPr="008F6FA3" w:rsidR="008F6FA3">
        <w:rPr>
          <w:sz w:val="24"/>
          <w:lang w:val="cs-CZ"/>
        </w:rPr>
        <w:t xml:space="preserve"> </w:t>
      </w:r>
      <w:r w:rsidRPr="008F6FA3" w:rsidR="008F6FA3">
        <w:rPr>
          <w:sz w:val="24"/>
          <w:lang w:val="cs-CZ"/>
        </w:rPr>
        <w:tab/>
      </w:r>
      <w:r w:rsidRPr="008F6FA3">
        <w:rPr>
          <w:sz w:val="24"/>
          <w:lang w:val="cs-CZ"/>
        </w:rPr>
        <w:t>Úř. věst. C 117, 11.3.2022, s. 88.</w:t>
      </w:r>
    </w:p>
  </w:footnote>
  <w:footnote w:id="6">
    <w:p w:rsidR="0038353C" w:rsidRPr="008F6FA3" w:rsidP="0038353C" w14:paraId="3EF7A868" w14:textId="77777777">
      <w:pPr>
        <w:pStyle w:val="FootnoteText"/>
        <w:ind w:left="567" w:hanging="567"/>
        <w:rPr>
          <w:sz w:val="24"/>
          <w:lang w:val="cs-CZ"/>
        </w:rPr>
      </w:pPr>
      <w:r w:rsidRPr="008F6FA3">
        <w:rPr>
          <w:rStyle w:val="FootnoteReference"/>
          <w:sz w:val="24"/>
          <w:lang w:val="cs-CZ"/>
        </w:rPr>
        <w:footnoteRef/>
      </w:r>
      <w:r w:rsidRPr="008F6FA3">
        <w:rPr>
          <w:sz w:val="24"/>
          <w:lang w:val="cs-CZ"/>
        </w:rPr>
        <w:t xml:space="preserve"> </w:t>
      </w:r>
      <w:r w:rsidRPr="008F6FA3">
        <w:rPr>
          <w:sz w:val="24"/>
          <w:lang w:val="cs-CZ"/>
        </w:rPr>
        <w:tab/>
        <w:t>Úř. věst. C 465, 6.12.2022, s. 155.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6FA3" w14:paraId="03527F4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6FA3" w14:paraId="379B4C4C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F6FA3" w14:paraId="0842788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23702F3A"/>
    <w:multiLevelType w:val="hybridMultilevel"/>
    <w:tmpl w:val="0C2A1D06"/>
    <w:lvl w:ilvl="0">
      <w:start w:val="2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33727115">
    <w:abstractNumId w:val="9"/>
  </w:num>
  <w:num w:numId="2" w16cid:durableId="1942489877">
    <w:abstractNumId w:val="9"/>
  </w:num>
  <w:num w:numId="3" w16cid:durableId="1010834466">
    <w:abstractNumId w:val="7"/>
  </w:num>
  <w:num w:numId="4" w16cid:durableId="730544501">
    <w:abstractNumId w:val="7"/>
  </w:num>
  <w:num w:numId="5" w16cid:durableId="432165458">
    <w:abstractNumId w:val="6"/>
  </w:num>
  <w:num w:numId="6" w16cid:durableId="956067101">
    <w:abstractNumId w:val="6"/>
  </w:num>
  <w:num w:numId="7" w16cid:durableId="158691003">
    <w:abstractNumId w:val="5"/>
  </w:num>
  <w:num w:numId="8" w16cid:durableId="1680808890">
    <w:abstractNumId w:val="5"/>
  </w:num>
  <w:num w:numId="9" w16cid:durableId="1301692554">
    <w:abstractNumId w:val="4"/>
  </w:num>
  <w:num w:numId="10" w16cid:durableId="1091043407">
    <w:abstractNumId w:val="4"/>
  </w:num>
  <w:num w:numId="11" w16cid:durableId="1030958348">
    <w:abstractNumId w:val="8"/>
  </w:num>
  <w:num w:numId="12" w16cid:durableId="1911311737">
    <w:abstractNumId w:val="8"/>
  </w:num>
  <w:num w:numId="13" w16cid:durableId="1529299126">
    <w:abstractNumId w:val="3"/>
  </w:num>
  <w:num w:numId="14" w16cid:durableId="2129932755">
    <w:abstractNumId w:val="3"/>
  </w:num>
  <w:num w:numId="15" w16cid:durableId="245070115">
    <w:abstractNumId w:val="2"/>
  </w:num>
  <w:num w:numId="16" w16cid:durableId="906186725">
    <w:abstractNumId w:val="2"/>
  </w:num>
  <w:num w:numId="17" w16cid:durableId="1034425541">
    <w:abstractNumId w:val="1"/>
  </w:num>
  <w:num w:numId="18" w16cid:durableId="1199119731">
    <w:abstractNumId w:val="1"/>
  </w:num>
  <w:num w:numId="19" w16cid:durableId="2136293253">
    <w:abstractNumId w:val="0"/>
  </w:num>
  <w:num w:numId="20" w16cid:durableId="1752463275">
    <w:abstractNumId w:val="0"/>
  </w:num>
  <w:num w:numId="21" w16cid:durableId="1939755648">
    <w:abstractNumId w:val="9"/>
  </w:num>
  <w:num w:numId="22" w16cid:durableId="808743067">
    <w:abstractNumId w:val="7"/>
  </w:num>
  <w:num w:numId="23" w16cid:durableId="1121220527">
    <w:abstractNumId w:val="6"/>
  </w:num>
  <w:num w:numId="24" w16cid:durableId="777797823">
    <w:abstractNumId w:val="5"/>
  </w:num>
  <w:num w:numId="25" w16cid:durableId="2060208135">
    <w:abstractNumId w:val="4"/>
  </w:num>
  <w:num w:numId="26" w16cid:durableId="323320471">
    <w:abstractNumId w:val="8"/>
  </w:num>
  <w:num w:numId="27" w16cid:durableId="867451188">
    <w:abstractNumId w:val="3"/>
  </w:num>
  <w:num w:numId="28" w16cid:durableId="1023898542">
    <w:abstractNumId w:val="2"/>
  </w:num>
  <w:num w:numId="29" w16cid:durableId="220212784">
    <w:abstractNumId w:val="1"/>
  </w:num>
  <w:num w:numId="30" w16cid:durableId="836455975">
    <w:abstractNumId w:val="0"/>
  </w:num>
  <w:num w:numId="31" w16cid:durableId="1117875021">
    <w:abstractNumId w:val="9"/>
  </w:num>
  <w:num w:numId="32" w16cid:durableId="1612545359">
    <w:abstractNumId w:val="7"/>
  </w:num>
  <w:num w:numId="33" w16cid:durableId="1976520635">
    <w:abstractNumId w:val="6"/>
  </w:num>
  <w:num w:numId="34" w16cid:durableId="862405739">
    <w:abstractNumId w:val="5"/>
  </w:num>
  <w:num w:numId="35" w16cid:durableId="1343629396">
    <w:abstractNumId w:val="4"/>
  </w:num>
  <w:num w:numId="36" w16cid:durableId="1926380906">
    <w:abstractNumId w:val="8"/>
  </w:num>
  <w:num w:numId="37" w16cid:durableId="1813906928">
    <w:abstractNumId w:val="3"/>
  </w:num>
  <w:num w:numId="38" w16cid:durableId="181628692">
    <w:abstractNumId w:val="2"/>
  </w:num>
  <w:num w:numId="39" w16cid:durableId="2073307966">
    <w:abstractNumId w:val="1"/>
  </w:num>
  <w:num w:numId="40" w16cid:durableId="1334409185">
    <w:abstractNumId w:val="0"/>
  </w:num>
  <w:num w:numId="41" w16cid:durableId="1195581448">
    <w:abstractNumId w:val="10"/>
  </w:num>
  <w:num w:numId="42" w16cid:durableId="493184126">
    <w:abstractNumId w:val="10"/>
  </w:num>
  <w:num w:numId="43" w16cid:durableId="263809157">
    <w:abstractNumId w:val="10"/>
  </w:num>
  <w:num w:numId="44" w16cid:durableId="938100872">
    <w:abstractNumId w:val="12"/>
  </w:num>
  <w:num w:numId="45" w16cid:durableId="15906530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mirrorMargins/>
  <w:bordersDoNotSurroundHeader/>
  <w:bordersDoNotSurroundFooter/>
  <w:proofState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29"/>
    <w:rsid w:val="00002272"/>
    <w:rsid w:val="00047CE5"/>
    <w:rsid w:val="00064002"/>
    <w:rsid w:val="000677B9"/>
    <w:rsid w:val="00071DCD"/>
    <w:rsid w:val="000831BA"/>
    <w:rsid w:val="000A42CC"/>
    <w:rsid w:val="000E7DD9"/>
    <w:rsid w:val="0010095E"/>
    <w:rsid w:val="00125B37"/>
    <w:rsid w:val="00187494"/>
    <w:rsid w:val="001D402C"/>
    <w:rsid w:val="001F32AE"/>
    <w:rsid w:val="002767FF"/>
    <w:rsid w:val="00287136"/>
    <w:rsid w:val="002B18FE"/>
    <w:rsid w:val="002B5493"/>
    <w:rsid w:val="00343214"/>
    <w:rsid w:val="00361C00"/>
    <w:rsid w:val="0038353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77AE"/>
    <w:rsid w:val="00545827"/>
    <w:rsid w:val="00560270"/>
    <w:rsid w:val="00594030"/>
    <w:rsid w:val="005C2568"/>
    <w:rsid w:val="005F1B17"/>
    <w:rsid w:val="006037C0"/>
    <w:rsid w:val="00606222"/>
    <w:rsid w:val="006631B6"/>
    <w:rsid w:val="00680577"/>
    <w:rsid w:val="00687242"/>
    <w:rsid w:val="006F74FA"/>
    <w:rsid w:val="00731ADD"/>
    <w:rsid w:val="00734777"/>
    <w:rsid w:val="00747932"/>
    <w:rsid w:val="00751A4A"/>
    <w:rsid w:val="00756632"/>
    <w:rsid w:val="00762C74"/>
    <w:rsid w:val="0076790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171"/>
    <w:rsid w:val="008C2AC6"/>
    <w:rsid w:val="008E75EE"/>
    <w:rsid w:val="008F6FA3"/>
    <w:rsid w:val="00930C23"/>
    <w:rsid w:val="0093193B"/>
    <w:rsid w:val="0095067D"/>
    <w:rsid w:val="009509D8"/>
    <w:rsid w:val="00950B64"/>
    <w:rsid w:val="0096784A"/>
    <w:rsid w:val="00981893"/>
    <w:rsid w:val="009D4E46"/>
    <w:rsid w:val="00A1687D"/>
    <w:rsid w:val="00A43E52"/>
    <w:rsid w:val="00A4678D"/>
    <w:rsid w:val="00A778C7"/>
    <w:rsid w:val="00A834FB"/>
    <w:rsid w:val="00A867FF"/>
    <w:rsid w:val="00AB441E"/>
    <w:rsid w:val="00AB6293"/>
    <w:rsid w:val="00AE0928"/>
    <w:rsid w:val="00AF3B82"/>
    <w:rsid w:val="00B12E95"/>
    <w:rsid w:val="00B16A09"/>
    <w:rsid w:val="00B22876"/>
    <w:rsid w:val="00B558F0"/>
    <w:rsid w:val="00BA0E6E"/>
    <w:rsid w:val="00BD48FE"/>
    <w:rsid w:val="00BD7BD8"/>
    <w:rsid w:val="00BE6ADC"/>
    <w:rsid w:val="00C05BFE"/>
    <w:rsid w:val="00C23CD4"/>
    <w:rsid w:val="00C45429"/>
    <w:rsid w:val="00C53962"/>
    <w:rsid w:val="00C61C0C"/>
    <w:rsid w:val="00C941CB"/>
    <w:rsid w:val="00CC2357"/>
    <w:rsid w:val="00CD2EFA"/>
    <w:rsid w:val="00CF071A"/>
    <w:rsid w:val="00D058B8"/>
    <w:rsid w:val="00D104B3"/>
    <w:rsid w:val="00D441A0"/>
    <w:rsid w:val="00D56C11"/>
    <w:rsid w:val="00D834A0"/>
    <w:rsid w:val="00D872DF"/>
    <w:rsid w:val="00D91E21"/>
    <w:rsid w:val="00D942D3"/>
    <w:rsid w:val="00DA7FCD"/>
    <w:rsid w:val="00DB55F6"/>
    <w:rsid w:val="00DB7963"/>
    <w:rsid w:val="00DC08B4"/>
    <w:rsid w:val="00E05678"/>
    <w:rsid w:val="00E365E1"/>
    <w:rsid w:val="00E71DC6"/>
    <w:rsid w:val="00E820A4"/>
    <w:rsid w:val="00EB006A"/>
    <w:rsid w:val="00EB4772"/>
    <w:rsid w:val="00ED169E"/>
    <w:rsid w:val="00ED4235"/>
    <w:rsid w:val="00F03E91"/>
    <w:rsid w:val="00F03E9A"/>
    <w:rsid w:val="00F04346"/>
    <w:rsid w:val="00F075DC"/>
    <w:rsid w:val="00F149E9"/>
    <w:rsid w:val="00F5134D"/>
    <w:rsid w:val="00F74202"/>
    <w:rsid w:val="00F87713"/>
    <w:rsid w:val="00F9346A"/>
    <w:rsid w:val="00FB4360"/>
    <w:rsid w:val="00FD0C70"/>
  </w:rsids>
  <w:docVars>
    <w:docVar w:name="dvdocse" w:val="B10-0333/2026"/>
    <w:docVar w:name="dvlangue" w:val="CS"/>
    <w:docVar w:name="dvnumam" w:val="0"/>
    <w:docVar w:name="dvpe" w:val="785.181"/>
    <w:docVar w:name="dvtitre" w:val="Usnesení Evropského parlamentu ze dne 8. července 2026 o dopadu turecké invaze v roce 1974 na kyperské ženy a dívky a o zločinech spáchaných tureckými silami a jejich důsledcích pro genderovou rovnost(2026/261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E113F89"/>
  <w15:chartTrackingRefBased/>
  <w15:docId w15:val="{89FF4F3F-5FD3-48C9-A9DD-A61FA655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6790B"/>
    <w:pPr>
      <w:spacing w:before="480" w:after="240"/>
    </w:pPr>
  </w:style>
  <w:style w:type="paragraph" w:customStyle="1" w:styleId="NormalHanging12a">
    <w:name w:val="NormalHanging12a"/>
    <w:basedOn w:val="Normal"/>
    <w:rsid w:val="0076790B"/>
    <w:pPr>
      <w:spacing w:after="240"/>
      <w:ind w:left="567" w:hanging="567"/>
    </w:pPr>
  </w:style>
  <w:style w:type="character" w:styleId="Hyperlink">
    <w:name w:val="Hyperlink"/>
    <w:basedOn w:val="DefaultParagraphFont"/>
    <w:rsid w:val="0076790B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C53962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12/29/oj" TargetMode="External" /><Relationship Id="rId2" Type="http://schemas.openxmlformats.org/officeDocument/2006/relationships/hyperlink" Target="http://data.europa.eu/eli/dir/2024/1385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3423</Words>
  <Characters>19830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2026-08-19T09:16:00Z</dcterms:created>
  <dcterms:modified xsi:type="dcterms:W3CDTF">2026-08-19T09:16:00Z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B10-0333/2026</vt:lpwstr>
  </property>
  <property fmtid="{D5CDD505-2E9C-101B-9397-08002B2CF9AE}" pid="4" name="&lt;Type&gt;">
    <vt:lpwstr>RR</vt:lpwstr>
  </property>
</Properties>
</file>