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A8C01E" w14:textId="77777777" w:rsidTr="0010095E">
        <w:tblPrEx>
          <w:tblW w:w="9072" w:type="dxa"/>
          <w:tblLook w:val="01E0"/>
        </w:tblPrEx>
        <w:trPr>
          <w:trHeight w:hRule="exact" w:val="1418"/>
        </w:trPr>
        <w:tc>
          <w:tcPr>
            <w:tcW w:w="6804" w:type="dxa"/>
            <w:shd w:val="clear" w:color="auto" w:fill="auto"/>
            <w:vAlign w:val="center"/>
          </w:tcPr>
          <w:p w:rsidR="00751A4A" w:rsidRPr="00812B7D" w:rsidP="0010095E" w14:paraId="7056B2F3" w14:textId="1AC906A2">
            <w:pPr>
              <w:pStyle w:val="EPName"/>
            </w:pPr>
            <w:r w:rsidRPr="00812B7D">
              <w:t>Europäisches Parlament</w:t>
            </w:r>
          </w:p>
          <w:p w:rsidR="00751A4A" w:rsidRPr="00812B7D" w:rsidP="005F1B17" w14:paraId="491BF935" w14:textId="77777777">
            <w:pPr>
              <w:pStyle w:val="EPTerm"/>
              <w:rPr>
                <w:rStyle w:val="HideTWBExt"/>
                <w:noProof w:val="0"/>
                <w:vanish w:val="0"/>
                <w:color w:val="auto"/>
              </w:rPr>
            </w:pPr>
            <w:r w:rsidRPr="00812B7D">
              <w:t>2024</w:t>
            </w:r>
            <w:r w:rsidRPr="00812B7D" w:rsidR="00817416">
              <w:t>-202</w:t>
            </w:r>
            <w:r w:rsidRPr="00812B7D">
              <w:t>9</w:t>
            </w:r>
          </w:p>
        </w:tc>
        <w:tc>
          <w:tcPr>
            <w:tcW w:w="2268" w:type="dxa"/>
            <w:shd w:val="clear" w:color="auto" w:fill="auto"/>
          </w:tcPr>
          <w:p w:rsidR="00751A4A" w:rsidRPr="00812B7D" w:rsidP="0010095E" w14:paraId="51343381" w14:textId="77777777">
            <w:pPr>
              <w:pStyle w:val="EPLogo"/>
            </w:pPr>
            <w:r w:rsidRPr="00812B7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12B7D" w:rsidP="004C5D52" w14:paraId="16DF1A17" w14:textId="77777777">
      <w:pPr>
        <w:pStyle w:val="LineTop"/>
      </w:pPr>
    </w:p>
    <w:p w:rsidR="00680577" w:rsidRPr="00812B7D" w:rsidP="00680577" w14:paraId="07F89A02" w14:textId="60DF2510">
      <w:pPr>
        <w:pStyle w:val="EPBodyTA1"/>
      </w:pPr>
      <w:r w:rsidRPr="00812B7D">
        <w:t>ANGENOMMENE TEXTE</w:t>
      </w:r>
    </w:p>
    <w:p w:rsidR="00D058B8" w:rsidRPr="00812B7D" w:rsidP="00D058B8" w14:paraId="6738F44C" w14:textId="77777777">
      <w:pPr>
        <w:pStyle w:val="LineBottom"/>
      </w:pPr>
    </w:p>
    <w:p w:rsidR="00E40D82" w:rsidRPr="00812B7D" w:rsidP="00E40D82" w14:paraId="7418CCC2" w14:textId="4A1EF49D">
      <w:pPr>
        <w:pStyle w:val="ATHeading1"/>
      </w:pPr>
      <w:bookmarkStart w:id="0" w:name="TANumber"/>
      <w:r w:rsidRPr="00812B7D">
        <w:t>P10_TA(2026)0</w:t>
      </w:r>
      <w:r w:rsidR="00CD14F6">
        <w:t>263</w:t>
      </w:r>
      <w:bookmarkEnd w:id="0"/>
    </w:p>
    <w:p w:rsidR="00E40D82" w:rsidRPr="00CD14F6" w:rsidP="00E40D82" w14:paraId="699173D8" w14:textId="3299BB77">
      <w:pPr>
        <w:pStyle w:val="ATHeading2"/>
      </w:pPr>
      <w:bookmarkStart w:id="1" w:name="title"/>
      <w:r w:rsidRPr="00CD14F6">
        <w:t>G</w:t>
      </w:r>
      <w:r w:rsidRPr="00CD14F6">
        <w:t>enetisch veränderter Mais der Sorte NK603 × T25</w:t>
      </w:r>
      <w:bookmarkEnd w:id="1"/>
    </w:p>
    <w:p w:rsidR="00E40D82" w:rsidRPr="00CD14F6" w:rsidP="00E40D82" w14:paraId="7B7AD79F" w14:textId="77777777">
      <w:pPr>
        <w:rPr>
          <w:i/>
          <w:vanish/>
        </w:rPr>
      </w:pPr>
      <w:r>
        <w:rPr>
          <w:i/>
        </w:rPr>
        <w:fldChar w:fldCharType="begin"/>
      </w:r>
      <w:r w:rsidRPr="00CD14F6">
        <w:rPr>
          <w:i/>
        </w:rPr>
        <w:instrText xml:space="preserve"> TC"(</w:instrText>
      </w:r>
      <w:bookmarkStart w:id="2" w:name="DocNumber"/>
      <w:r w:rsidRPr="00CD14F6">
        <w:rPr>
          <w:i/>
        </w:rPr>
        <w:instrText>B10-0335/2026</w:instrText>
      </w:r>
      <w:bookmarkEnd w:id="2"/>
      <w:r w:rsidRPr="00CD14F6">
        <w:rPr>
          <w:i/>
        </w:rPr>
        <w:instrText xml:space="preserve">)"\l3 \n&gt; \* MERGEFORMAT </w:instrText>
      </w:r>
      <w:r>
        <w:rPr>
          <w:i/>
        </w:rPr>
        <w:fldChar w:fldCharType="end"/>
      </w:r>
    </w:p>
    <w:p w:rsidR="00E40D82" w:rsidRPr="00CD14F6" w:rsidP="00E40D82" w14:paraId="7CB2014C" w14:textId="77777777">
      <w:pPr>
        <w:rPr>
          <w:vanish/>
        </w:rPr>
      </w:pPr>
      <w:bookmarkStart w:id="3" w:name="PE"/>
      <w:r w:rsidRPr="00CD14F6">
        <w:rPr>
          <w:vanish/>
        </w:rPr>
        <w:t>PE789.023</w:t>
      </w:r>
      <w:bookmarkEnd w:id="3"/>
    </w:p>
    <w:p w:rsidR="00E40D82" w:rsidRPr="00CD14F6" w:rsidP="00E40D82" w14:paraId="671C81A8" w14:textId="35258ED7">
      <w:pPr>
        <w:pStyle w:val="ATHeading3"/>
      </w:pPr>
      <w:bookmarkStart w:id="4" w:name="Sujet"/>
      <w:r w:rsidRPr="00CD14F6">
        <w:t xml:space="preserve">Entschließung des Europäischen Parlaments vom </w:t>
      </w:r>
      <w:r w:rsidRPr="00CD14F6" w:rsidR="0017105F">
        <w:t>8</w:t>
      </w:r>
      <w:r w:rsidRPr="00CD14F6">
        <w:t>.</w:t>
      </w:r>
      <w:r w:rsidR="00B02738">
        <w:t> </w:t>
      </w:r>
      <w:r w:rsidRPr="00CD14F6" w:rsidR="00F768A2">
        <w:t>Juli</w:t>
      </w:r>
      <w:r w:rsidRPr="00CD14F6">
        <w:t xml:space="preserve"> 2026 zu dem Entwurf eines Durchführungsbeschlusses </w:t>
      </w:r>
      <w:r w:rsidRPr="00B02738" w:rsidR="00B02738">
        <w:t xml:space="preserve">(EU) 2026/1417 </w:t>
      </w:r>
      <w:r w:rsidRPr="00CD14F6">
        <w:t xml:space="preserve">der Kommission </w:t>
      </w:r>
      <w:r w:rsidR="00B02738">
        <w:t xml:space="preserve">vom 29. Juni 2026 </w:t>
      </w:r>
      <w:r w:rsidRPr="00CD14F6">
        <w:t>zur Erneuerung der Zulassung des Inverkehrbringens von Erzeugnissen, die genetisch veränderten Mais der Sorte NK603 × T25 enthalten, aus ihm bestehen oder aus ihm hergestellt werden, gemäß der Verordnung (EG) Nr. 1829/2003 des Europäischen Parlaments und des Rates</w:t>
      </w:r>
      <w:bookmarkEnd w:id="4"/>
      <w:r w:rsidRPr="00CD14F6">
        <w:t xml:space="preserve"> </w:t>
      </w:r>
      <w:bookmarkStart w:id="5" w:name="References"/>
      <w:r w:rsidRPr="00CD14F6">
        <w:t>(2026/2745(RSP))</w:t>
      </w:r>
      <w:bookmarkEnd w:id="5"/>
    </w:p>
    <w:p w:rsidR="00E86016" w:rsidRPr="00CD14F6" w:rsidP="00E86016" w14:paraId="59F629F3" w14:textId="77777777">
      <w:pPr>
        <w:pStyle w:val="EPComma"/>
      </w:pPr>
      <w:bookmarkStart w:id="6" w:name="TextBodyBegin"/>
      <w:bookmarkEnd w:id="6"/>
      <w:r w:rsidRPr="00CD14F6">
        <w:rPr>
          <w:i/>
        </w:rPr>
        <w:t>Das Europäische Parlament</w:t>
      </w:r>
      <w:r w:rsidRPr="00CD14F6">
        <w:t>,</w:t>
      </w:r>
    </w:p>
    <w:p w:rsidR="00E86016" w:rsidRPr="00CD14F6" w:rsidP="00E86016" w14:paraId="53B429B7" w14:textId="614DD319">
      <w:pPr>
        <w:pStyle w:val="NormalHanging12a"/>
      </w:pPr>
      <w:r w:rsidRPr="00CD14F6">
        <w:t>–</w:t>
      </w:r>
      <w:r w:rsidRPr="00CD14F6">
        <w:tab/>
        <w:t xml:space="preserve">unter Hinweis auf den Durchführungsbeschluss der Kommission </w:t>
      </w:r>
      <w:r w:rsidRPr="00CD14F6" w:rsidR="0017105F">
        <w:t xml:space="preserve">(EU) 2026/1417 vom 29. Juni 2026 </w:t>
      </w:r>
      <w:r w:rsidRPr="00CD14F6">
        <w:t>zur Erneuerung der Zulassung des Inverkehrbringens von Erzeugnissen, die genetisch veränderten Mais der Sorte NK603 × T25 enthalten, aus ihm bestehen oder aus ihm gewonnen werden, gemäß der Verordnung (EG) Nr. 1829/2003 des Europäischen Parlaments und des Rates</w:t>
      </w:r>
      <w:r>
        <w:rPr>
          <w:rStyle w:val="FootnoteReference"/>
        </w:rPr>
        <w:footnoteReference w:id="2"/>
      </w:r>
      <w:r w:rsidRPr="00CD14F6">
        <w:t>,</w:t>
      </w:r>
    </w:p>
    <w:p w:rsidR="00E86016" w:rsidRPr="00CD14F6" w:rsidP="00E86016" w14:paraId="41B13489" w14:textId="77777777">
      <w:pPr>
        <w:pStyle w:val="NormalHanging12a"/>
      </w:pPr>
      <w:r w:rsidRPr="00CD14F6">
        <w:t>–</w:t>
      </w:r>
      <w:r w:rsidRPr="00CD14F6">
        <w:tab/>
        <w:t>unter Hinweis auf die Verordnung (EG) Nr. 1829/2003 des Europäischen Parlaments und des Rates vom 22. September 2003 über genetisch veränderte Lebensmittel und Futtermittel</w:t>
      </w:r>
      <w:r>
        <w:rPr>
          <w:rStyle w:val="FootnoteReference"/>
        </w:rPr>
        <w:footnoteReference w:id="3"/>
      </w:r>
      <w:r w:rsidRPr="00CD14F6">
        <w:t>, insbesondere auf Artikel 11 Absatz 3 und Artikel 23 Absatz 3,</w:t>
      </w:r>
    </w:p>
    <w:p w:rsidR="00E86016" w:rsidRPr="00CD14F6" w:rsidP="00E86016" w14:paraId="46394A8E" w14:textId="77777777">
      <w:pPr>
        <w:pStyle w:val="NormalHanging12a"/>
      </w:pPr>
      <w:r w:rsidRPr="00CD14F6">
        <w:t>–</w:t>
      </w:r>
      <w:r w:rsidRPr="00CD14F6">
        <w:tab/>
        <w:t>unter Hinweis auf die Abstimmung vom 27. April 2026 in dem in Artikel 35 der Verordnung (EG) Nr. 1829/2003 genannten Ständigen Ausschuss für Pflanzen, Tiere, Lebensmittel und Futtermittel, aus der keine Stellungnahme hervorging,</w:t>
      </w:r>
      <w:bookmarkStart w:id="7" w:name="_Hlk219206484"/>
      <w:r w:rsidRPr="00CD14F6">
        <w:t xml:space="preserve"> und die Abstimmung im Berufungsausschuss vom 2. Juni 2026, aus der ebenfalls keine Stellungnahme hervorging,</w:t>
      </w:r>
      <w:bookmarkEnd w:id="7"/>
    </w:p>
    <w:p w:rsidR="00E86016" w:rsidRPr="00CD14F6" w:rsidP="00E86016" w14:paraId="1EEDFAD0" w14:textId="77777777">
      <w:pPr>
        <w:pStyle w:val="NormalHanging12a"/>
      </w:pPr>
      <w:r w:rsidRPr="00CD14F6">
        <w:t>–</w:t>
      </w:r>
      <w:r w:rsidRPr="00CD14F6">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Pr>
          <w:rStyle w:val="FootnoteReference"/>
        </w:rPr>
        <w:footnoteReference w:id="4"/>
      </w:r>
      <w:r w:rsidRPr="00CD14F6">
        <w:t>,</w:t>
      </w:r>
    </w:p>
    <w:p w:rsidR="00E86016" w:rsidRPr="00CD14F6" w:rsidP="00E86016" w14:paraId="2ABBAD25" w14:textId="77777777">
      <w:pPr>
        <w:pStyle w:val="NormalHanging12a"/>
      </w:pPr>
      <w:r w:rsidRPr="00CD14F6">
        <w:t>–</w:t>
      </w:r>
      <w:r w:rsidRPr="00CD14F6">
        <w:tab/>
        <w:t xml:space="preserve">unter Hinweis auf das am 29. Oktober 2025 angenommene und am 27. November 2025 veröffentlichte Gutachten der Europäischen Behörde für Lebensmittelsicherheit </w:t>
      </w:r>
      <w:r w:rsidRPr="00CD14F6">
        <w:t>(EFSA)</w:t>
      </w:r>
      <w:r>
        <w:rPr>
          <w:rStyle w:val="FootnoteReference"/>
        </w:rPr>
        <w:footnoteReference w:id="5"/>
      </w:r>
      <w:r w:rsidRPr="00CD14F6">
        <w:t>,</w:t>
      </w:r>
    </w:p>
    <w:p w:rsidR="00E86016" w:rsidRPr="00CD14F6" w:rsidP="00E86016" w14:paraId="7CEE2507" w14:textId="77777777">
      <w:pPr>
        <w:pStyle w:val="NormalHanging12a"/>
      </w:pPr>
      <w:r w:rsidRPr="00CD14F6">
        <w:t>–</w:t>
      </w:r>
      <w:r w:rsidRPr="00CD14F6">
        <w:tab/>
        <w:t>unter Hinweis auf seine früheren Entschließungen mit Einwänden gegen die Zulassung genetisch veränderter Organismen (GVO)</w:t>
      </w:r>
      <w:r>
        <w:rPr>
          <w:rStyle w:val="FootnoteReference"/>
        </w:rPr>
        <w:footnoteReference w:id="6"/>
      </w:r>
      <w:r w:rsidRPr="00CD14F6">
        <w:t>,</w:t>
      </w:r>
    </w:p>
    <w:p w:rsidR="00E86016" w:rsidRPr="00CD14F6" w:rsidP="00E86016" w14:paraId="570F6D69" w14:textId="77777777">
      <w:pPr>
        <w:pStyle w:val="NormalHanging12a"/>
      </w:pPr>
      <w:r w:rsidRPr="00CD14F6">
        <w:t>–</w:t>
      </w:r>
      <w:r w:rsidRPr="00CD14F6">
        <w:tab/>
        <w:t>gestützt auf Artikel 115 Absätze 2 und 3 seiner Geschäftsordnung,</w:t>
      </w:r>
    </w:p>
    <w:p w:rsidR="00E86016" w:rsidRPr="00CD14F6" w:rsidP="00E86016" w14:paraId="05E53655" w14:textId="77777777">
      <w:pPr>
        <w:pStyle w:val="NormalHanging12a"/>
      </w:pPr>
      <w:r w:rsidRPr="00CD14F6">
        <w:t>–</w:t>
      </w:r>
      <w:r w:rsidRPr="00CD14F6">
        <w:tab/>
        <w:t>unter Hinweis auf den Entschließungsantrag des Ausschusses für Umwelt, Klima und Lebensmittelsicherheit,</w:t>
      </w:r>
    </w:p>
    <w:p w:rsidR="00E86016" w:rsidRPr="00CD14F6" w:rsidP="00E86016" w14:paraId="4561FE8B" w14:textId="017FFCE0">
      <w:pPr>
        <w:pStyle w:val="NormalHanging12a"/>
      </w:pPr>
      <w:r w:rsidRPr="00CD14F6">
        <w:t>A.</w:t>
      </w:r>
      <w:r w:rsidRPr="00CD14F6">
        <w:tab/>
        <w:t xml:space="preserve">in der Erwägung, dass das Inverkehrbringen von Lebensmitteln und Futtermitteln, die genetisch veränderten Mais der Sorte NK603 × T25 (im Folgenden </w:t>
      </w:r>
      <w:r w:rsidRPr="00CD14F6" w:rsidR="0085451F">
        <w:t xml:space="preserve">der </w:t>
      </w:r>
      <w:r w:rsidRPr="00CD14F6">
        <w:t xml:space="preserve">„genetisch veränderte Mais“) enthalten, aus ihm bestehen oder aus ihm gewonnen werden, mit dem Durchführungsbeschluss </w:t>
      </w:r>
      <w:r w:rsidR="00193E36">
        <w:t xml:space="preserve">(EU) </w:t>
      </w:r>
      <w:r w:rsidRPr="00CD14F6">
        <w:t>2015/2279 der Kommission</w:t>
      </w:r>
      <w:r>
        <w:rPr>
          <w:rStyle w:val="FootnoteReference"/>
        </w:rPr>
        <w:footnoteReference w:id="7"/>
      </w:r>
      <w:r w:rsidRPr="00CD14F6">
        <w:t xml:space="preserve"> zugelassen wurde; in der Erwägung, dass sich die Zulassung auch auf das Inverkehrbringen von Erzeugnissen, die den genetisch veränderten Mais enthalten oder aus ihm bestehen und bei denen es sich nicht um Lebens- oder Futtermittel handelt, für die gleichen Verwendungszwecke wie bei jeder anderen Maissorte – mit Ausnahme des Anbaus – bezog; </w:t>
      </w:r>
    </w:p>
    <w:p w:rsidR="00E86016" w:rsidRPr="00CD14F6" w:rsidP="00E86016" w14:paraId="5B6F0604" w14:textId="77777777">
      <w:pPr>
        <w:pStyle w:val="NormalHanging12a"/>
      </w:pPr>
      <w:r w:rsidRPr="00CD14F6">
        <w:t>B.</w:t>
      </w:r>
      <w:r w:rsidRPr="00CD14F6">
        <w:tab/>
        <w:t>in der Erwägung, dass Bayer Agriculture BV mit Sitz in Belgien am 19. April 2024 im Namen von Bayer CropScience LP mit Sitz in den Vereinigten Staaten bei der Kommission einen Antrag auf Erneuerung dieser Zulassung gestellt hat;</w:t>
      </w:r>
    </w:p>
    <w:p w:rsidR="00E86016" w:rsidRPr="00CD14F6" w:rsidP="00E86016" w14:paraId="4D46BA65" w14:textId="3368FBB4">
      <w:pPr>
        <w:pStyle w:val="NormalHanging12a"/>
      </w:pPr>
      <w:r w:rsidRPr="00CD14F6">
        <w:t>C.</w:t>
      </w:r>
      <w:r w:rsidRPr="00CD14F6">
        <w:tab/>
        <w:t xml:space="preserve">in der Erwägung, dass die EFSA am 27. November 2025 gemäß den Artikeln 6 und 18 der Verordnung (EG) Nr. 1829/2003 ein befürwortendes wissenschaftliches Gutachten zu </w:t>
      </w:r>
      <w:r w:rsidRPr="00CD14F6" w:rsidR="00C92E98">
        <w:t xml:space="preserve">dem </w:t>
      </w:r>
      <w:r w:rsidRPr="00CD14F6">
        <w:t>genetisch veränderte</w:t>
      </w:r>
      <w:r w:rsidRPr="00CD14F6" w:rsidR="00C92E98">
        <w:t>n</w:t>
      </w:r>
      <w:r w:rsidRPr="00CD14F6">
        <w:t xml:space="preserve"> Mais herausgegeben hat; in der Erwägung, dass sie zu dem Schluss kam, dass es in dem Antrag auf Erneuerung der Zulassung keine Anhaltspunkte für neue Risiken, eine veränderte Exposition oder wissenschaftliche Unsicherheiten gibt, durch die sich die Schlussfolgerungen der ursprünglichen, im Jahr 2015 von der EFSA angenommenen Risikobewertung für </w:t>
      </w:r>
      <w:r w:rsidRPr="00CD14F6" w:rsidR="00C92E98">
        <w:t xml:space="preserve">den </w:t>
      </w:r>
      <w:r w:rsidRPr="00CD14F6">
        <w:t xml:space="preserve">genetisch veränderten </w:t>
      </w:r>
      <w:r w:rsidRPr="00CD14F6">
        <w:t>Mais ändern würden</w:t>
      </w:r>
      <w:r>
        <w:rPr>
          <w:rStyle w:val="FootnoteReference"/>
        </w:rPr>
        <w:footnoteReference w:id="8"/>
      </w:r>
      <w:r w:rsidRPr="00CD14F6">
        <w:t xml:space="preserve">; in der Erwägung, dass in diesen Stellungnahmen mehrere umfassendere ökologische, sozioökonomische und kumulative Auswirkungen unberücksichtigt blieben, die nach Ansicht der EFSA nicht in ihren Zuständigkeitsbereich fallen; </w:t>
      </w:r>
    </w:p>
    <w:p w:rsidR="00E86016" w:rsidRPr="00CD14F6" w:rsidP="00E86016" w14:paraId="2D698098" w14:textId="1672E32C">
      <w:pPr>
        <w:pStyle w:val="NormalHanging12a"/>
      </w:pPr>
      <w:r w:rsidRPr="00CD14F6">
        <w:t>D.</w:t>
      </w:r>
      <w:r w:rsidRPr="00CD14F6">
        <w:tab/>
        <w:t xml:space="preserve">in der Erwägung, dass es sich </w:t>
      </w:r>
      <w:r w:rsidRPr="00CD14F6" w:rsidR="00CD14F6">
        <w:t>bei dem genetisch veränderten Mais</w:t>
      </w:r>
      <w:r w:rsidRPr="00CD14F6">
        <w:t xml:space="preserve"> um einen herbizidtoleranten genetisch veränderten Mais mit kombinierten Eigenschaften handelt, der durch Kombination des Ereignisses NK603 (Glyphosattoleranz) und des Ereignisses T25 (Glufosinatammoniumtoleranz) entwickelt wurde; </w:t>
      </w:r>
    </w:p>
    <w:p w:rsidR="00E86016" w:rsidRPr="00CD14F6" w:rsidP="00E86016" w14:paraId="43772122" w14:textId="77777777">
      <w:pPr>
        <w:pStyle w:val="NormalHanging12a"/>
      </w:pPr>
      <w:r w:rsidRPr="00CD14F6">
        <w:t>E.</w:t>
      </w:r>
      <w:r w:rsidRPr="00CD14F6">
        <w:tab/>
        <w:t>in der Erwägung, dass die von der EFSA durchgeführten Risikobewertungen keine langfristigen toxikologischen Studien oder detaillierten Analysen der kumulativen und kombinatorischen Auswirkungen, einschließlich möglicher Wechselwirkungen mit Rückständen von Pestiziden, die üblicherweise beim Anbau von Mais verwendet werden, umfasste;</w:t>
      </w:r>
    </w:p>
    <w:p w:rsidR="00E86016" w:rsidRPr="00CD14F6" w:rsidP="00E86016" w14:paraId="4C3EEDFE" w14:textId="77777777">
      <w:pPr>
        <w:pStyle w:val="NormalHanging12a"/>
      </w:pPr>
      <w:r w:rsidRPr="00CD14F6">
        <w:t>F.</w:t>
      </w:r>
      <w:r w:rsidRPr="00CD14F6">
        <w:tab/>
        <w:t>in der Erwägung, dass die meisten genetisch veränderten Pflanzen, auch der genetisch veränderte Mais, genetisch verändert wurden, damit sie gegenüber einem oder mehreren Komplementärherbiziden resistent sind, die beim Anbau der genetisch veränderten Pflanzen eingesetzt werden können, ohne dass die Pflanzen absterben, was bei nicht herbizidresistenten Pflanzen der Fall wäre; in der Erwägung, dass aus mehreren Studien hervorgeht, dass bei herbizidtoleranten genetisch veränderten Kulturen vermehrt Komplementärherbizide zum Einsatz kommen, was zum großen Teil dem Auftreten herbizidtoleranter Unkräuter geschuldet ist</w:t>
      </w:r>
      <w:r>
        <w:rPr>
          <w:vertAlign w:val="superscript"/>
        </w:rPr>
        <w:footnoteReference w:id="9"/>
      </w:r>
      <w:r w:rsidRPr="00CD14F6">
        <w:t>;</w:t>
      </w:r>
    </w:p>
    <w:p w:rsidR="00E86016" w:rsidRPr="00CD14F6" w:rsidP="00E86016" w14:paraId="253CFE8B" w14:textId="77777777">
      <w:pPr>
        <w:pStyle w:val="NormalHanging12a"/>
      </w:pPr>
      <w:r w:rsidRPr="00CD14F6">
        <w:t>G.</w:t>
      </w:r>
      <w:r w:rsidRPr="00CD14F6">
        <w:tab/>
        <w:t xml:space="preserve">in der Erwägung, dass herbizidresistente genetisch veränderte Kulturen Landwirte in einem System der Unkrautbekämpfung gefangen halten, das weitgehend oder vollständig auf Herbiziden beruht, und zwar indem ein Aufschlag für genetisch verändertes Saatgut berechnet und gleichzeitig eine Abhängigkeit vom Einsatz von Komplementärherbiziden als integraler Bestandteil des Produktionssystems geschaffen wird; in der Erwägung, dass der verstärkte Einsatz von Komplementärherbiziden in landwirtschaftlichen Betrieben, die genetisch veränderten Mais anbauen, zur Folge hat, dass gegen diese Herbizide resistente Unkräuter schneller auftreten und sich rascher ausbreiten, wodurch der Bedarf an Herbiziden noch weiter steigt, sodass es sich hier um einen Teufelskreis handelt, der auch als „Herbizid-Tretmühle“ bezeichnet wird; in der Erwägung, dass sich die nachteiligen Auswirkungen der übermäßigen Abhängigkeit von Herbiziden auf die Bodengesundheit, die Wasserqualität und die oberirdische und unterirdische biologische Vielfalt folglich verschlimmern und eine verstärkte </w:t>
      </w:r>
      <w:r w:rsidRPr="00CD14F6">
        <w:t>Exposition von Menschen und Tieren hervorrufen werden, und zwar möglicherweise auch im Wege höherer Herbizidrückstände in Lebens- und Futtermitteln</w:t>
      </w:r>
      <w:r>
        <w:rPr>
          <w:vertAlign w:val="superscript"/>
        </w:rPr>
        <w:footnoteReference w:id="10"/>
      </w:r>
      <w:r w:rsidRPr="00CD14F6">
        <w:t>;</w:t>
      </w:r>
    </w:p>
    <w:p w:rsidR="00E86016" w:rsidRPr="00CD14F6" w:rsidP="00E86016" w14:paraId="2FFDE919" w14:textId="77777777">
      <w:pPr>
        <w:pStyle w:val="NormalHanging12a"/>
      </w:pPr>
      <w:r w:rsidRPr="00CD14F6">
        <w:t>H.</w:t>
      </w:r>
      <w:r w:rsidRPr="00CD14F6">
        <w:tab/>
        <w:t>in der Erwägung, dass Glufosinat als reproduktionstoxisch (1B) eingestuft wird und demnach unter die in der Verordnung (EG) Nr. 1107/2009 des Europäischen Parlaments und des Rates</w:t>
      </w:r>
      <w:r>
        <w:rPr>
          <w:vertAlign w:val="superscript"/>
        </w:rPr>
        <w:footnoteReference w:id="11"/>
      </w:r>
      <w:r w:rsidRPr="00CD14F6">
        <w:t xml:space="preserve"> festgelegten Ausschlusskriterien fällt; in der Erwägung, dass die Genehmigung für die Verwendung von Glufosinat in der Union am 31. Juli 2018 ausgelaufen ist;</w:t>
      </w:r>
    </w:p>
    <w:p w:rsidR="00E86016" w:rsidRPr="00CD14F6" w:rsidP="00E86016" w14:paraId="3AE42C50" w14:textId="77777777">
      <w:pPr>
        <w:pStyle w:val="NormalHanging12a"/>
      </w:pPr>
      <w:r w:rsidRPr="00CD14F6">
        <w:t>I.</w:t>
      </w:r>
      <w:r w:rsidRPr="00CD14F6">
        <w:tab/>
        <w:t>in der Erwägung, dass nach wie vor erhebliche wissenschaftliche Zweifel in Bezug auf die Sicherheit von Glyphosat für die menschliche Gesundheit und die Umwelt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die Karzinogenität von Glyphosat in einer Reihe von aktuellen wissenschaftlichen Studien, die einer Peer-Review unterzogen wurden, bestätigt wurde</w:t>
      </w:r>
      <w:r>
        <w:rPr>
          <w:rStyle w:val="FootnoteReference"/>
        </w:rPr>
        <w:footnoteReference w:id="12"/>
      </w:r>
      <w:r w:rsidRPr="00CD14F6">
        <w:t xml:space="preserve">; </w:t>
      </w:r>
      <w:bookmarkStart w:id="12" w:name="_Hlk218688545"/>
      <w:r w:rsidRPr="00CD14F6">
        <w:t xml:space="preserve">in der Erwägung, dass die Zeitschrift „Regulatory Toxicology and Pharmacology“ (Regulatorische Toxikologie und Pharmakologie) den im Jahr 2000 veröffentlichten Fachartikel mit dem Titel </w:t>
      </w:r>
      <w:r w:rsidRPr="00CD14F6">
        <w:rPr>
          <w:shd w:val="clear" w:color="auto" w:fill="FFFFFF"/>
        </w:rPr>
        <w:t>„</w:t>
      </w:r>
      <w:r w:rsidRPr="00CD14F6">
        <w:t>Safety Evaluation and Risk Assessment of the Herbicide Roundup and Its Active Ingredient, Glyphosate, for Humans</w:t>
      </w:r>
      <w:r w:rsidRPr="00CD14F6">
        <w:rPr>
          <w:shd w:val="clear" w:color="auto" w:fill="FFFFFF"/>
        </w:rPr>
        <w:t>“</w:t>
      </w:r>
      <w:r w:rsidRPr="00CD14F6">
        <w:t xml:space="preserve"> (Sicherheitsbewertung und Risikobewertung des Herbizids Roundup und seines Wirkstoffs Glyphosat für den Menschen) offiziell zurückgezogen hat, die in vielen Risikobewertungen zur Verteidigung der Sicherheit von Glyphosat verwendet wurde, da Bedenken hinsichtlich der Urheberschaft, der Stichhaltigkeit der Forschungsergebnisse im Zusammenhang mit der falschen Darstellung der Beiträge durch die Autoren und den Sponsor der Studie und potenzieller Interessenkonflikte der Autoren geäußert wurden</w:t>
      </w:r>
      <w:r>
        <w:rPr>
          <w:rStyle w:val="FootnoteReference"/>
        </w:rPr>
        <w:footnoteReference w:id="13"/>
      </w:r>
      <w:r w:rsidRPr="00CD14F6">
        <w:t>;</w:t>
      </w:r>
      <w:bookmarkEnd w:id="12"/>
    </w:p>
    <w:p w:rsidR="00E86016" w:rsidRPr="00CD14F6" w:rsidP="00E86016" w14:paraId="5E84D6CC" w14:textId="77777777">
      <w:pPr>
        <w:pStyle w:val="NormalHanging12a"/>
      </w:pPr>
      <w:r w:rsidRPr="00CD14F6">
        <w:t>J.</w:t>
      </w:r>
      <w:r w:rsidRPr="00CD14F6">
        <w:tab/>
        <w:t xml:space="preserve">in der Erwägung, dass die Bewertung von Herbizidrückständen und ihren Metaboliten in genetisch veränderten Pflanzen als nicht in den Zuständigkeitsbereich des Gremiums der EFSA für genetisch veränderte Organismen fallend betrachtet wird und deshalb im Zulassungsverfahren für GVO nicht vorgenommen wird; in der Erwägung, dass dies problematisch ist, da die Art und Weise, wie Komplementärherbizide durch die entsprechende genetisch veränderte Pflanze abgebaut werden, sowie die Zusammensetzung und somit die Toxizität der Metaboliten durch die genetische </w:t>
      </w:r>
      <w:r w:rsidRPr="00CD14F6">
        <w:t>Veränderung selbst beeinflusst werden können</w:t>
      </w:r>
      <w:r>
        <w:rPr>
          <w:rStyle w:val="FootnoteReference"/>
        </w:rPr>
        <w:footnoteReference w:id="14"/>
      </w:r>
      <w:r w:rsidRPr="00CD14F6">
        <w:t>;</w:t>
      </w:r>
    </w:p>
    <w:p w:rsidR="00E86016" w:rsidRPr="00CD14F6" w:rsidP="00E86016" w14:paraId="293132DE" w14:textId="77777777">
      <w:pPr>
        <w:pStyle w:val="NormalHanging12a"/>
      </w:pPr>
      <w:r w:rsidRPr="00CD14F6">
        <w:t>K.</w:t>
      </w:r>
      <w:r w:rsidRPr="00CD14F6">
        <w:tab/>
        <w:t>in der Erwägung, dass eine unabhängige Überwachung und Beobachtung potenzieller nachteiliger Auswirkungen auf die biologische Vielfalt, die Bodengesundheit, Bestäuber und Nichtzielorganismen nach wie vor nicht ausreichend gewährleistet sind;</w:t>
      </w:r>
    </w:p>
    <w:p w:rsidR="00E86016" w:rsidRPr="00CD14F6" w:rsidP="00E86016" w14:paraId="5F79318F" w14:textId="77777777">
      <w:pPr>
        <w:pStyle w:val="NormalHanging12a"/>
      </w:pPr>
      <w:r w:rsidRPr="00CD14F6">
        <w:t>L.</w:t>
      </w:r>
      <w:r w:rsidRPr="00CD14F6">
        <w:tab/>
        <w:t>in der Erwägung, dass der in Artikel 191 des Vertrags über die Arbeitsweise der Europäischen Union verankerte Grundsatz der Vorsorge bei wissenschaftlicher Unsicherheit Anwendung finden sollte;</w:t>
      </w:r>
    </w:p>
    <w:p w:rsidR="00E86016" w:rsidRPr="00CD14F6" w:rsidP="00E86016" w14:paraId="476F1CA8" w14:textId="77777777">
      <w:pPr>
        <w:pStyle w:val="NormalHanging12a"/>
      </w:pPr>
      <w:r w:rsidRPr="00CD14F6">
        <w:t>M.</w:t>
      </w:r>
      <w:r w:rsidRPr="00CD14F6">
        <w:tab/>
        <w:t>in der Erwägung, dass in der Verordnung (EG) Nr. 1829/2003 festgelegt ist, dass genetisch veränderte Lebensmittel und Futtermittel keine nachteiligen Auswirkungen auf die Gesundheit von Mensch und Tier oder die Umwelt haben dürfen;</w:t>
      </w:r>
    </w:p>
    <w:p w:rsidR="00E86016" w:rsidRPr="00CD14F6" w:rsidP="00E86016" w14:paraId="0CAB2D7B" w14:textId="5D8CF0EC">
      <w:pPr>
        <w:pStyle w:val="NormalHanging12a"/>
      </w:pPr>
      <w:r w:rsidRPr="00CD14F6">
        <w:t>N.</w:t>
      </w:r>
      <w:r w:rsidRPr="00CD14F6">
        <w:tab/>
        <w:t xml:space="preserve">in der Erwägung, dass die Erneuerung der Zulassung von </w:t>
      </w:r>
      <w:r w:rsidRPr="00CD14F6" w:rsidR="00743A8F">
        <w:t xml:space="preserve">dem </w:t>
      </w:r>
      <w:r w:rsidRPr="00CD14F6">
        <w:t>genetisch veränderte</w:t>
      </w:r>
      <w:r w:rsidRPr="00CD14F6" w:rsidR="00743A8F">
        <w:t>n</w:t>
      </w:r>
      <w:r w:rsidRPr="00CD14F6">
        <w:t xml:space="preserve"> Mais durch die Union nicht im Einklang mit den internationalen Verpflichtungen zur Verringerung des Gebrauchs von Pestiziden</w:t>
      </w:r>
      <w:r>
        <w:rPr>
          <w:vertAlign w:val="superscript"/>
        </w:rPr>
        <w:footnoteReference w:id="15"/>
      </w:r>
      <w:r w:rsidRPr="00CD14F6">
        <w:t xml:space="preserve"> stehen würde, da die Exposition von Menschen, Tieren und der Umwelt gegenüber Glyphosat und Glufosinat in Ländern, in denen diese herbizidresistente genetisch veränderte Kulturpflanze angebaut wird, steigt und die gesundheitlichen Beeinträchtigungen möglicherweise schwerwiegend sind;</w:t>
      </w:r>
    </w:p>
    <w:p w:rsidR="00E86016" w:rsidRPr="00CD14F6" w:rsidP="00E86016" w14:paraId="1DFC6FFF" w14:textId="03036C7C">
      <w:pPr>
        <w:pStyle w:val="NormalHanging12a"/>
      </w:pPr>
      <w:r w:rsidRPr="00CD14F6">
        <w:t>O.</w:t>
      </w:r>
      <w:r w:rsidRPr="00CD14F6">
        <w:tab/>
        <w:t xml:space="preserve">in der Erwägung, dass der Anbau von </w:t>
      </w:r>
      <w:r w:rsidRPr="00CD14F6" w:rsidR="00743A8F">
        <w:t xml:space="preserve">dem </w:t>
      </w:r>
      <w:r w:rsidRPr="00CD14F6">
        <w:t>genetisch veränderte</w:t>
      </w:r>
      <w:r w:rsidRPr="00CD14F6" w:rsidR="00743A8F">
        <w:t>n</w:t>
      </w:r>
      <w:r w:rsidRPr="00CD14F6">
        <w:t xml:space="preserve"> Mais in der Union nicht erlaubt ist;</w:t>
      </w:r>
    </w:p>
    <w:p w:rsidR="00E86016" w:rsidRPr="00CD14F6" w:rsidP="00E86016" w14:paraId="786158D5" w14:textId="13AAEE12">
      <w:pPr>
        <w:pStyle w:val="NormalHanging12a"/>
      </w:pPr>
      <w:r w:rsidRPr="00CD14F6">
        <w:t>P.</w:t>
      </w:r>
      <w:r w:rsidRPr="00CD14F6">
        <w:tab/>
        <w:t xml:space="preserve">in der Erwägung, dass mit dem Durchführungsbeschluss der Kommission </w:t>
      </w:r>
      <w:r w:rsidRPr="00CD14F6" w:rsidR="00743A8F">
        <w:t xml:space="preserve">(EU) 2026/1417 </w:t>
      </w:r>
      <w:r w:rsidRPr="00CD14F6">
        <w:t>weiterhin Einfuhren von Erzeugnissen in die Union ermöglicht würden, die nicht den von den Landwirten in der Union eingehaltenen Standards entsprechen, wodurch diese im Wettbewerb benachteiligt würden;</w:t>
      </w:r>
    </w:p>
    <w:p w:rsidR="00E86016" w:rsidRPr="00CD14F6" w:rsidP="00E86016" w14:paraId="4999E35B" w14:textId="77777777">
      <w:pPr>
        <w:pStyle w:val="NormalHanging12a"/>
      </w:pPr>
      <w:r w:rsidRPr="00CD14F6">
        <w:t>Q.</w:t>
      </w:r>
      <w:r w:rsidRPr="00CD14F6">
        <w:tab/>
        <w:t>in der Erwägung, dass die Kommission in den Schlussfolgerungen des strategischen Dialogs zur Zukunft der Landwirtschaft in der EU</w:t>
      </w:r>
      <w:r>
        <w:rPr>
          <w:vertAlign w:val="superscript"/>
        </w:rPr>
        <w:footnoteReference w:id="16"/>
      </w:r>
      <w:r w:rsidRPr="00CD14F6">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2024 und 2025 zählten;</w:t>
      </w:r>
    </w:p>
    <w:p w:rsidR="00E86016" w:rsidRPr="00CD14F6" w:rsidP="00E86016" w14:paraId="2FB3FD31" w14:textId="77777777">
      <w:pPr>
        <w:pStyle w:val="NormalHanging12a"/>
      </w:pPr>
      <w:r w:rsidRPr="00CD14F6">
        <w:t>R.</w:t>
      </w:r>
      <w:r w:rsidRPr="00CD14F6">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rsidR="00E86016" w:rsidRPr="00CD14F6" w:rsidP="00E86016" w14:paraId="27050031" w14:textId="77777777">
      <w:pPr>
        <w:pStyle w:val="NormalHanging12a"/>
      </w:pPr>
      <w:r w:rsidRPr="00CD14F6">
        <w:t>S.</w:t>
      </w:r>
      <w:r w:rsidRPr="00CD14F6">
        <w:tab/>
        <w:t>in der Erwägung, dass die Kommission trotz der von ihr selbst eingeräumten demokratischen Defizite, der fehlenden Unterstützung durch die Mitgliedstaaten und der Einwände des Europäischen Parlaments nach wie vor GVO zulässt;</w:t>
      </w:r>
    </w:p>
    <w:p w:rsidR="00E86016" w:rsidRPr="00CD14F6" w:rsidP="00E86016" w14:paraId="05E524E8" w14:textId="77777777">
      <w:pPr>
        <w:pStyle w:val="NormalHanging12a"/>
      </w:pPr>
      <w:r w:rsidRPr="00CD14F6">
        <w:t>T.</w:t>
      </w:r>
      <w:r w:rsidRPr="00CD14F6">
        <w:tab/>
        <w:t>in der Erwägung, dass im Rahmen des Konzepts „Eine Gesundheit“ bei der Bewertung der langfristigen Nachhaltigkeit und Sicherheit von GVO die Wechselbeziehungen zwischen der Gesundheit von Menschen, Tieren, Pflanzen und der Umwelt berücksichtigt werden müssen;</w:t>
      </w:r>
    </w:p>
    <w:p w:rsidR="00E86016" w:rsidRPr="00CD14F6" w:rsidP="00E86016" w14:paraId="42C5883C" w14:textId="6FE7BDC6">
      <w:pPr>
        <w:pStyle w:val="NormalHanging12a"/>
      </w:pPr>
      <w:r w:rsidRPr="00CD14F6">
        <w:t>1.</w:t>
      </w:r>
      <w:r w:rsidRPr="00CD14F6">
        <w:tab/>
        <w:t xml:space="preserve">vertritt die Auffassung, dass der Durchführungsbeschluss der Kommission </w:t>
      </w:r>
      <w:r w:rsidRPr="00CD14F6" w:rsidR="00743A8F">
        <w:t xml:space="preserve">(EU) 2026/1417 </w:t>
      </w:r>
      <w:r w:rsidRPr="00CD14F6">
        <w:t>über die in der Verordnung (EG) Nr. 1829/2003 vorgesehenen Durchführungsbefugnisse hinausgeht;</w:t>
      </w:r>
    </w:p>
    <w:p w:rsidR="00E86016" w:rsidRPr="00CD14F6" w:rsidP="00E86016" w14:paraId="2F08493A" w14:textId="45350F7F">
      <w:pPr>
        <w:pStyle w:val="NormalHanging12a"/>
      </w:pPr>
      <w:r w:rsidRPr="00CD14F6">
        <w:t>2.</w:t>
      </w:r>
      <w:r w:rsidRPr="00CD14F6">
        <w:tab/>
        <w:t xml:space="preserve">vertritt die Auffassung, dass der Durchführungsbeschluss der Kommission </w:t>
      </w:r>
      <w:r w:rsidRPr="00CD14F6" w:rsidR="00743A8F">
        <w:t xml:space="preserve">(EU) 2026/1417 </w:t>
      </w:r>
      <w:r w:rsidRPr="00CD14F6">
        <w:t>dem Unionsrecht insofern zuwiderläuft, als er nicht mit dem Ziel der Verordnung (EG) Nr. 1829/2003 vereinbar ist, das entsprechend den allgemeinen Grundsätzen der Verordnung (EG) Nr. 178/2002 des Europäischen Parlaments und des Rates</w:t>
      </w:r>
      <w:r>
        <w:rPr>
          <w:vertAlign w:val="superscript"/>
        </w:rPr>
        <w:footnoteReference w:id="17"/>
      </w:r>
      <w:r w:rsidRPr="00CD14F6">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 </w:t>
      </w:r>
    </w:p>
    <w:p w:rsidR="00E86016" w:rsidRPr="00CD14F6" w:rsidP="00E86016" w14:paraId="6BEE1155" w14:textId="1EF2331D">
      <w:pPr>
        <w:spacing w:after="240"/>
        <w:ind w:left="567" w:hanging="567"/>
      </w:pPr>
      <w:r w:rsidRPr="00CD14F6">
        <w:t>3.</w:t>
      </w:r>
      <w:r w:rsidRPr="00CD14F6">
        <w:tab/>
        <w:t xml:space="preserve">fordert die Kommission auf, </w:t>
      </w:r>
      <w:r w:rsidRPr="00CD14F6" w:rsidR="00743A8F">
        <w:t>den</w:t>
      </w:r>
      <w:r w:rsidRPr="00CD14F6">
        <w:t xml:space="preserve"> Durchführungsbeschluss </w:t>
      </w:r>
      <w:r w:rsidRPr="00CD14F6" w:rsidR="00743A8F">
        <w:t>(EU) 2026/1417 aufzuheben</w:t>
      </w:r>
      <w:r w:rsidRPr="00CD14F6">
        <w:t>;</w:t>
      </w:r>
    </w:p>
    <w:p w:rsidR="00E86016" w:rsidRPr="00CD14F6" w:rsidP="00E86016" w14:paraId="271BCCDC" w14:textId="257DB639">
      <w:pPr>
        <w:spacing w:after="240"/>
        <w:ind w:left="567" w:hanging="567"/>
      </w:pPr>
      <w:bookmarkStart w:id="14" w:name="_Hlk218675841"/>
      <w:r w:rsidRPr="00CD14F6">
        <w:t>4.</w:t>
      </w:r>
      <w:r w:rsidRPr="00CD14F6">
        <w:tab/>
        <w:t xml:space="preserve">fordert die Kommission auf, die Zulassung </w:t>
      </w:r>
      <w:r w:rsidRPr="00CD14F6" w:rsidR="00E627CC">
        <w:t>des</w:t>
      </w:r>
      <w:r w:rsidRPr="00CD14F6">
        <w:t xml:space="preserve"> genetisch veränderte</w:t>
      </w:r>
      <w:r w:rsidRPr="00CD14F6" w:rsidR="00E627CC">
        <w:t>n</w:t>
      </w:r>
      <w:r w:rsidRPr="00CD14F6">
        <w:t xml:space="preserve"> Mais</w:t>
      </w:r>
      <w:r w:rsidRPr="00CD14F6" w:rsidR="00E627CC">
        <w:t>es</w:t>
      </w:r>
      <w:r w:rsidRPr="00CD14F6">
        <w:t xml:space="preserve"> aufgrund fehlender ausreichender Nachweise über die langfristigen Auswirkungen auf die biologische Vielfalt, die Lebensmittelsicherheit, die Lebensgrundlage der Landwirte und die Tiergesundheit im Einklang mit dem Konzept „Eine Gesundheit“ nicht zu erneuern;</w:t>
      </w:r>
    </w:p>
    <w:p w:rsidR="00E86016" w:rsidRPr="00CD14F6" w:rsidP="00E86016" w14:paraId="708EEBCF" w14:textId="77777777">
      <w:pPr>
        <w:spacing w:after="240"/>
        <w:ind w:left="567" w:hanging="567"/>
      </w:pPr>
      <w:bookmarkStart w:id="15" w:name="_Hlk210900300"/>
      <w:r w:rsidRPr="00CD14F6">
        <w:t>5.</w:t>
      </w:r>
      <w:r w:rsidRPr="00CD14F6">
        <w:tab/>
        <w:t>fordert die Kommission auf, umgehend einen Gesetzgebungsvorschlag zur Reform des Beschlussfassungsverfahrens in Bezug auf GVO vorzulegen, um auf die wiederholten Einwände des Parlaments und das Fehlen einer Unterstützung durch eine qualifizierte Mehrheit unter den Mitgliedstaaten zu reagieren</w:t>
      </w:r>
      <w:bookmarkEnd w:id="15"/>
      <w:r w:rsidRPr="00CD14F6">
        <w:t>;</w:t>
      </w:r>
    </w:p>
    <w:p w:rsidR="00E86016" w:rsidRPr="00CD14F6" w:rsidP="00E86016" w14:paraId="35F966E0" w14:textId="77777777">
      <w:pPr>
        <w:spacing w:after="240"/>
        <w:ind w:left="567" w:hanging="567"/>
      </w:pPr>
      <w:bookmarkStart w:id="16" w:name="_Hlk210900241"/>
      <w:r w:rsidRPr="00CD14F6">
        <w:t>6.</w:t>
      </w:r>
      <w:r w:rsidRPr="00CD14F6">
        <w:tab/>
        <w:t xml:space="preserve">betont in diesem Zusammenhang, dass die Zulassung der Einfuhr von Lebensmitteln, Futtermitteln und Erzeugnissen aus genetisch veränderten Pflanzen, die gegen in der Union verbotene Herbizide wie Glufosinat resistent gemacht wurden, nicht mit den internationalen Verpflichtungen der Union unter anderem im Rahmen des Übereinkommens der Vereinten Nationen über die biologische Vielfalt und der Ziele </w:t>
      </w:r>
      <w:r w:rsidRPr="00CD14F6">
        <w:t>der Vereinten Nationen für nachhaltige Entwicklung, einschließlich des Globalen Biodiversitätsrahmens von Kunming-Montreal, vereinbar ist und ungleiche Wettbewerbsbedingungen für die Landwirte in der Union schafft;</w:t>
      </w:r>
    </w:p>
    <w:bookmarkEnd w:id="16"/>
    <w:p w:rsidR="00812B7D" w:rsidRPr="00812B7D" w:rsidP="00812B7D" w14:paraId="3BEC70D3" w14:textId="7AA5AEAF">
      <w:pPr>
        <w:spacing w:after="240"/>
        <w:ind w:left="567" w:hanging="567"/>
      </w:pPr>
      <w:r w:rsidRPr="00CD14F6">
        <w:t>7.</w:t>
      </w:r>
      <w:r w:rsidRPr="00CD14F6">
        <w:tab/>
      </w:r>
      <w:bookmarkEnd w:id="14"/>
      <w:r w:rsidRPr="00CD14F6">
        <w:t>beauftragt seine Präsidentin, diese Entschließung dem Rat und der Kommission sowie den Regierungen und Parlamenten der Mitgliedstaaten</w:t>
      </w:r>
      <w:r w:rsidRPr="00812B7D">
        <w:t xml:space="preserve"> </w:t>
      </w:r>
    </w:p>
    <w:sectPr w:rsidSect="00812B7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2B7D" w14:paraId="50941B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2B7D" w14:paraId="37BC454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2B7D" w14:paraId="77F18D6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0D82" w:rsidRPr="00812B7D" w14:paraId="1ED6D00D" w14:textId="77777777">
      <w:r w:rsidRPr="00812B7D">
        <w:separator/>
      </w:r>
    </w:p>
  </w:footnote>
  <w:footnote w:type="continuationSeparator" w:id="1">
    <w:p w:rsidR="00E40D82" w:rsidRPr="00812B7D" w14:paraId="1DCAAB98" w14:textId="77777777">
      <w:r w:rsidRPr="00812B7D">
        <w:continuationSeparator/>
      </w:r>
    </w:p>
  </w:footnote>
  <w:footnote w:id="2">
    <w:p w:rsidR="0017105F" w:rsidRPr="00CD14F6" w:rsidP="00CD14F6" w14:paraId="0B65F9FC" w14:textId="2F458486">
      <w:pPr>
        <w:pStyle w:val="FootnoteText"/>
        <w:ind w:left="567" w:hanging="567"/>
        <w:rPr>
          <w:sz w:val="24"/>
          <w:szCs w:val="24"/>
          <w:lang w:val="fi-FI"/>
        </w:rPr>
      </w:pPr>
      <w:r w:rsidRPr="00CD14F6">
        <w:rPr>
          <w:rStyle w:val="FootnoteReference"/>
          <w:sz w:val="24"/>
          <w:szCs w:val="24"/>
        </w:rPr>
        <w:footnoteRef/>
      </w:r>
      <w:r w:rsidRPr="00CD14F6">
        <w:rPr>
          <w:sz w:val="24"/>
          <w:szCs w:val="24"/>
          <w:lang w:val="fi-FI"/>
        </w:rPr>
        <w:t xml:space="preserve"> </w:t>
      </w:r>
      <w:r w:rsidRPr="00CD14F6">
        <w:rPr>
          <w:sz w:val="24"/>
          <w:szCs w:val="24"/>
          <w:lang w:val="fi-FI"/>
        </w:rPr>
        <w:tab/>
      </w:r>
      <w:r w:rsidRPr="0017105F">
        <w:rPr>
          <w:sz w:val="24"/>
          <w:szCs w:val="24"/>
          <w:lang w:val="fi-FI"/>
        </w:rPr>
        <w:t>AB</w:t>
      </w:r>
      <w:r w:rsidRPr="00CD14F6">
        <w:rPr>
          <w:sz w:val="24"/>
          <w:szCs w:val="24"/>
          <w:lang w:val="fi-FI"/>
        </w:rPr>
        <w:t>l. L, 2026/1417, 3.7.2026, ELI: http://data.europa.eu/eli/dec_impl/2026/1417/oj</w:t>
      </w:r>
      <w:r>
        <w:rPr>
          <w:sz w:val="24"/>
          <w:szCs w:val="24"/>
          <w:lang w:val="fi-FI"/>
        </w:rPr>
        <w:t>.</w:t>
      </w:r>
    </w:p>
  </w:footnote>
  <w:footnote w:id="3">
    <w:p w:rsidR="00E86016" w:rsidRPr="00812B7D" w:rsidP="00812B7D" w14:paraId="3C38004E" w14:textId="62C46FF6">
      <w:pPr>
        <w:pStyle w:val="FootnoteText"/>
        <w:ind w:left="567" w:hanging="567"/>
        <w:rPr>
          <w:sz w:val="24"/>
          <w:lang w:val="de-DE"/>
        </w:rPr>
      </w:pPr>
      <w:r w:rsidRPr="00812B7D">
        <w:rPr>
          <w:rStyle w:val="Funotenzeichen"/>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ABl. L 268 vom 18.10.2003, S. 1, ELI: </w:t>
      </w:r>
      <w:r w:rsidRPr="00C92E98" w:rsidR="00C92E98">
        <w:rPr>
          <w:sz w:val="24"/>
          <w:lang w:val="de-DE"/>
        </w:rPr>
        <w:t>http://data.europa.eu/eli/reg/2003/1829/oj</w:t>
      </w:r>
      <w:r w:rsidRPr="00812B7D">
        <w:rPr>
          <w:sz w:val="24"/>
          <w:lang w:val="de-DE"/>
        </w:rPr>
        <w:t>.</w:t>
      </w:r>
    </w:p>
  </w:footnote>
  <w:footnote w:id="4">
    <w:p w:rsidR="00E86016" w:rsidRPr="00812B7D" w:rsidP="00812B7D" w14:paraId="4B707B0A" w14:textId="46362206">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ABl. L 55 vom 28.2.2011, S. 13, ELI: </w:t>
      </w:r>
      <w:hyperlink r:id="rId1" w:tooltip="http://data.europa.eu/eli/reg/2011/182/oj" w:history="1">
        <w:r w:rsidRPr="00812B7D">
          <w:rPr>
            <w:rStyle w:val="Hyperlink"/>
            <w:sz w:val="24"/>
            <w:lang w:val="de-DE"/>
          </w:rPr>
          <w:t>http://data.europa.eu/eli/reg/2011/182/oj</w:t>
        </w:r>
      </w:hyperlink>
      <w:r w:rsidRPr="00812B7D">
        <w:rPr>
          <w:sz w:val="24"/>
          <w:lang w:val="de-DE"/>
        </w:rPr>
        <w:t>.</w:t>
      </w:r>
    </w:p>
  </w:footnote>
  <w:footnote w:id="5">
    <w:p w:rsidR="00E86016" w:rsidRPr="00812B7D" w:rsidP="00812B7D" w14:paraId="352D0C25" w14:textId="6070297C">
      <w:pPr>
        <w:pStyle w:val="FootnoteText"/>
        <w:ind w:left="567" w:hanging="567"/>
        <w:rPr>
          <w:sz w:val="24"/>
          <w:lang w:val="de-DE"/>
        </w:rPr>
      </w:pPr>
      <w:r w:rsidRPr="00812B7D">
        <w:rPr>
          <w:rStyle w:val="Funotenzeichen"/>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 xml:space="preserve">Wissenschaftliches Gutachten des Gremiums der EFSA für genetisch veränderte Organismen zur Bewertung von genetisch verändertem Mais der Sorte NK603 × T25 (Dossier GMFF-2023-21252), EFSA Journal, 2025, 23(11):e9745, </w:t>
      </w:r>
      <w:hyperlink r:id="rId2" w:history="1">
        <w:r w:rsidRPr="00812B7D">
          <w:rPr>
            <w:rStyle w:val="Hyperlink"/>
            <w:sz w:val="24"/>
            <w:lang w:val="de-DE"/>
          </w:rPr>
          <w:t>https://doi.org/10.2903/j.efsa.2024.8887</w:t>
        </w:r>
      </w:hyperlink>
      <w:r w:rsidRPr="00812B7D">
        <w:rPr>
          <w:sz w:val="24"/>
          <w:lang w:val="de-DE"/>
        </w:rPr>
        <w:t>.</w:t>
      </w:r>
    </w:p>
  </w:footnote>
  <w:footnote w:id="6">
    <w:p w:rsidR="00E86016" w:rsidRPr="00812B7D" w:rsidP="00812B7D" w14:paraId="1C37B54B" w14:textId="04EA8A65">
      <w:pPr>
        <w:pStyle w:val="FootnoteText"/>
        <w:ind w:left="567" w:hanging="567"/>
        <w:rPr>
          <w:color w:val="000000" w:themeColor="text1"/>
          <w:sz w:val="24"/>
          <w:vertAlign w:val="superscript"/>
          <w:lang w:val="de-DE"/>
        </w:rPr>
      </w:pPr>
      <w:r w:rsidRPr="00812B7D">
        <w:rPr>
          <w:rStyle w:val="Funotenzeichen"/>
          <w:sz w:val="24"/>
          <w:lang w:val="de-DE"/>
        </w:rPr>
        <w:footnoteRef/>
      </w:r>
      <w:r w:rsidRPr="00812B7D" w:rsidR="00812B7D">
        <w:rPr>
          <w:color w:val="000000" w:themeColor="text1"/>
          <w:sz w:val="24"/>
          <w:lang w:val="de-DE"/>
        </w:rPr>
        <w:t xml:space="preserve"> </w:t>
      </w:r>
      <w:r w:rsidRPr="00812B7D" w:rsidR="00812B7D">
        <w:rPr>
          <w:color w:val="000000" w:themeColor="text1"/>
          <w:sz w:val="24"/>
          <w:lang w:val="de-DE"/>
        </w:rPr>
        <w:tab/>
      </w:r>
      <w:r w:rsidRPr="00812B7D">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Europäische Parlament in seiner zehnten Wahlperiode die folgenden Entschließungen angenommen:</w:t>
      </w:r>
    </w:p>
    <w:p w:rsidR="00E86016" w:rsidRPr="00812B7D" w:rsidP="00C92E98" w14:paraId="2032CD86" w14:textId="1BDFB7A0">
      <w:pPr>
        <w:pStyle w:val="FootnoteText"/>
        <w:ind w:left="1134" w:hanging="567"/>
        <w:rPr>
          <w:color w:val="000000" w:themeColor="text1"/>
          <w:sz w:val="24"/>
          <w:vertAlign w:val="superscript"/>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(ABl. C, C/2025/1797, 4.4.2025, ELI: </w:t>
      </w:r>
      <w:hyperlink r:id="rId3" w:history="1">
        <w:r w:rsidRPr="00812B7D">
          <w:rPr>
            <w:rStyle w:val="Hyperlink"/>
            <w:sz w:val="24"/>
            <w:lang w:val="de-DE"/>
          </w:rPr>
          <w:t>http://data.europa.eu/eli/C/2025/1797/oj</w:t>
        </w:r>
      </w:hyperlink>
      <w:r w:rsidRPr="00812B7D">
        <w:rPr>
          <w:sz w:val="24"/>
          <w:lang w:val="de-DE"/>
        </w:rPr>
        <w:t>);</w:t>
      </w:r>
    </w:p>
    <w:p w:rsidR="00E86016" w:rsidRPr="00C92E98" w:rsidP="00C92E98" w14:paraId="580347E6" w14:textId="2126843B">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(ABl. C, C/2025/1798, 4.4.2025, ELI: </w:t>
      </w:r>
      <w:hyperlink r:id="rId4" w:history="1">
        <w:r w:rsidRPr="00C92E98">
          <w:rPr>
            <w:color w:val="000000" w:themeColor="text1"/>
            <w:lang w:val="de-DE"/>
          </w:rPr>
          <w:t>http://data.europa.eu/eli/C/2025/1798/oj</w:t>
        </w:r>
      </w:hyperlink>
      <w:r w:rsidRPr="00C92E98">
        <w:rPr>
          <w:color w:val="000000" w:themeColor="text1"/>
          <w:sz w:val="24"/>
          <w:lang w:val="de-DE"/>
        </w:rPr>
        <w:t>);</w:t>
      </w:r>
    </w:p>
    <w:p w:rsidR="00E86016" w:rsidRPr="00C92E98" w:rsidP="00C92E98" w14:paraId="10EA2191" w14:textId="5029FE14">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(ABl. C, C/2025/1799, 4.4.2025, ELI: </w:t>
      </w:r>
      <w:hyperlink r:id="rId5" w:history="1">
        <w:r w:rsidRPr="00C92E98">
          <w:rPr>
            <w:color w:val="000000" w:themeColor="text1"/>
            <w:lang w:val="de-DE"/>
          </w:rPr>
          <w:t>http://data.europa.eu/eli/C/2025/1799/oj</w:t>
        </w:r>
      </w:hyperlink>
      <w:r w:rsidRPr="00C92E98">
        <w:rPr>
          <w:color w:val="000000" w:themeColor="text1"/>
          <w:sz w:val="24"/>
          <w:lang w:val="de-DE"/>
        </w:rPr>
        <w:t>);</w:t>
      </w:r>
    </w:p>
    <w:p w:rsidR="00E86016" w:rsidRPr="00C92E98" w:rsidP="00C92E98" w14:paraId="01167772" w14:textId="1147BB69">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(ABl. C, C/2025/1800, 4.4.2025, ELI: </w:t>
      </w:r>
      <w:hyperlink r:id="rId6" w:history="1">
        <w:r w:rsidRPr="00C92E98">
          <w:rPr>
            <w:color w:val="000000" w:themeColor="text1"/>
            <w:lang w:val="de-DE"/>
          </w:rPr>
          <w:t>http://data.europa.eu/eli/C/2025/1800/oj</w:t>
        </w:r>
      </w:hyperlink>
      <w:r w:rsidRPr="00C92E98">
        <w:rPr>
          <w:color w:val="000000" w:themeColor="text1"/>
          <w:sz w:val="24"/>
          <w:lang w:val="de-DE"/>
        </w:rPr>
        <w:t>);</w:t>
      </w:r>
    </w:p>
    <w:p w:rsidR="00E86016" w:rsidRPr="00C92E98" w:rsidP="00C92E98" w14:paraId="55F0F3A1" w14:textId="1067EC10">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Durchführungsbeschluss (EU) 2024/1822 der Kommission über die Zulassung des Inverkehrbringens von Erzeugnissen, die genetisch veränderten Mais der Sorte DP915635 enthalten, aus ihm bestehen oder aus ihm hergestellt werden, gemäß der Verordnung (EG) Nr. 1829/2003 des Europäischen Parlaments und des Rates (ABl. C, C/2025/1801, 4.4.2025, ELI: </w:t>
      </w:r>
      <w:hyperlink r:id="rId7" w:history="1">
        <w:r w:rsidRPr="00C92E98">
          <w:rPr>
            <w:color w:val="000000" w:themeColor="text1"/>
            <w:lang w:val="de-DE"/>
          </w:rPr>
          <w:t>http://data.europa.eu/eli/C/2025/1801/oj</w:t>
        </w:r>
      </w:hyperlink>
      <w:r w:rsidRPr="00C92E98">
        <w:rPr>
          <w:color w:val="000000" w:themeColor="text1"/>
          <w:sz w:val="24"/>
          <w:lang w:val="de-DE"/>
        </w:rPr>
        <w:t>);</w:t>
      </w:r>
    </w:p>
    <w:p w:rsidR="00E86016" w:rsidRPr="00C92E98" w:rsidP="00C92E98" w14:paraId="17BF4F91" w14:textId="1F619303">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(ABl. C, C/2025/1802, 4.4.2025, ELI: </w:t>
      </w:r>
      <w:hyperlink r:id="rId8" w:history="1">
        <w:r w:rsidRPr="00C92E98">
          <w:rPr>
            <w:color w:val="000000" w:themeColor="text1"/>
            <w:lang w:val="de-DE"/>
          </w:rPr>
          <w:t>http://data.europa.eu/eli/C/2025/1802/oj</w:t>
        </w:r>
      </w:hyperlink>
      <w:r w:rsidRPr="00C92E98">
        <w:rPr>
          <w:color w:val="000000" w:themeColor="text1"/>
          <w:sz w:val="24"/>
          <w:lang w:val="de-DE"/>
        </w:rPr>
        <w:t>);</w:t>
      </w:r>
    </w:p>
    <w:p w:rsidR="00E86016" w:rsidRPr="00C92E98" w:rsidP="00C92E98" w14:paraId="215C3815" w14:textId="73C73519">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(ABl. C, C/2025/1803, 4.4.2025, ELI: </w:t>
      </w:r>
      <w:hyperlink r:id="rId9" w:history="1">
        <w:r w:rsidRPr="00C92E98">
          <w:rPr>
            <w:color w:val="000000" w:themeColor="text1"/>
            <w:lang w:val="de-DE"/>
          </w:rPr>
          <w:t>http://data.europa.eu/eli/C/2025/1803/oj</w:t>
        </w:r>
      </w:hyperlink>
      <w:r w:rsidRPr="00C92E98">
        <w:rPr>
          <w:color w:val="000000" w:themeColor="text1"/>
          <w:sz w:val="24"/>
          <w:lang w:val="de-DE"/>
        </w:rPr>
        <w:t>);</w:t>
      </w:r>
    </w:p>
    <w:p w:rsidR="00E86016" w:rsidRPr="00C92E98" w:rsidP="00C92E98" w14:paraId="69E03F44" w14:textId="0C2033B4">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(ABl. C, C/2025/1804, 4.4.2025, ELI: </w:t>
      </w:r>
      <w:hyperlink r:id="rId10" w:history="1">
        <w:r w:rsidRPr="00C92E98">
          <w:rPr>
            <w:color w:val="000000" w:themeColor="text1"/>
            <w:lang w:val="de-DE"/>
          </w:rPr>
          <w:t>http://data.europa.eu/eli/C/2025/1804/oj</w:t>
        </w:r>
      </w:hyperlink>
      <w:r w:rsidRPr="00C92E98">
        <w:rPr>
          <w:color w:val="000000" w:themeColor="text1"/>
          <w:sz w:val="24"/>
          <w:lang w:val="de-DE"/>
        </w:rPr>
        <w:t>);</w:t>
      </w:r>
    </w:p>
    <w:p w:rsidR="00E86016" w:rsidRPr="00C92E98" w:rsidP="00C92E98" w14:paraId="5AE7F209" w14:textId="4D532D85">
      <w:pPr>
        <w:pStyle w:val="FootnoteText"/>
        <w:ind w:left="1134" w:hanging="567"/>
        <w:rPr>
          <w:color w:val="000000" w:themeColor="text1"/>
          <w:sz w:val="24"/>
          <w:lang w:val="de-DE"/>
        </w:rPr>
      </w:pPr>
      <w:r w:rsidRPr="00812B7D">
        <w:rPr>
          <w:color w:val="000000" w:themeColor="text1"/>
          <w:sz w:val="24"/>
          <w:lang w:val="de-DE"/>
        </w:rPr>
        <w:t>–</w:t>
      </w:r>
      <w:r w:rsidRPr="00812B7D">
        <w:rPr>
          <w:color w:val="000000" w:themeColor="text1"/>
          <w:sz w:val="24"/>
          <w:lang w:val="de-DE"/>
        </w:rPr>
        <w:tab/>
      </w:r>
      <w:r w:rsidRPr="00C92E98">
        <w:rPr>
          <w:color w:val="000000" w:themeColor="text1"/>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(ABl. C, C/2025/2246, 29.4.2025, ELI: </w:t>
      </w:r>
      <w:hyperlink r:id="rId11" w:history="1">
        <w:r w:rsidRPr="00C92E98">
          <w:rPr>
            <w:color w:val="000000" w:themeColor="text1"/>
            <w:lang w:val="de-DE"/>
          </w:rPr>
          <w:t>http://data.europa.eu/eli/C/2025/2246/oj</w:t>
        </w:r>
      </w:hyperlink>
      <w:r w:rsidRPr="00C92E98">
        <w:rPr>
          <w:color w:val="000000" w:themeColor="text1"/>
          <w:sz w:val="24"/>
          <w:lang w:val="de-DE"/>
        </w:rPr>
        <w:t>);</w:t>
      </w:r>
    </w:p>
    <w:p w:rsidR="00E86016" w:rsidRPr="00C92E98" w:rsidP="00C92E98" w14:paraId="0F3D3769" w14:textId="36FE3EF5">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(ABl. C, C/2025/2247, 29.4.2025, ELI: </w:t>
      </w:r>
      <w:hyperlink r:id="rId12" w:history="1">
        <w:r w:rsidRPr="00C92E98">
          <w:rPr>
            <w:color w:val="000000" w:themeColor="text1"/>
            <w:lang w:val="de-DE"/>
          </w:rPr>
          <w:t>http://data.europa.eu/eli/C/2025/2247/oj</w:t>
        </w:r>
      </w:hyperlink>
      <w:r w:rsidRPr="00C92E98">
        <w:rPr>
          <w:color w:val="000000" w:themeColor="text1"/>
          <w:sz w:val="24"/>
          <w:lang w:val="de-DE"/>
        </w:rPr>
        <w:t>);</w:t>
      </w:r>
    </w:p>
    <w:p w:rsidR="00E86016" w:rsidRPr="00C92E98" w:rsidP="00C92E98" w14:paraId="3A837F73" w14:textId="225D9067">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(ABl. C, C/2026/586, 24.2.2026, ELI: </w:t>
      </w:r>
      <w:hyperlink r:id="rId13" w:tooltip="Ermöglicht den Zugriff auf dieses Dokument über seinen ELI-URI." w:history="1">
        <w:r w:rsidRPr="00C92E98">
          <w:rPr>
            <w:color w:val="000000" w:themeColor="text1"/>
            <w:lang w:val="de-DE"/>
          </w:rPr>
          <w:t>http://data.europa.eu/eli/C/2026/586/oj</w:t>
        </w:r>
      </w:hyperlink>
      <w:r w:rsidRPr="00C92E98">
        <w:rPr>
          <w:color w:val="000000" w:themeColor="text1"/>
          <w:sz w:val="24"/>
          <w:lang w:val="de-DE"/>
        </w:rPr>
        <w:t>);</w:t>
      </w:r>
    </w:p>
    <w:p w:rsidR="00E86016" w:rsidRPr="00C92E98" w:rsidP="00C92E98" w14:paraId="61BD437B" w14:textId="618175B8">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8. Oktober 2025 zu dem Durchführungsbeschluss (EU) 2025/1898 der Kommission vom 22. September 2025 über die Zulassung des Inverkehrbringens von Erzeugnissen, die genetisch veränderten Mais der Sorte DP51291 enthalten, aus ihm bestehen oder aus ihm hergestellt werden, gemäß der Verordnung (EG) Nr. 1829/2003 des Europäischen Parlaments und des Rates (ABl. C, C/2026/1523, 15.4.2026, ELI: http://data.europa.eu/eli/C/2026/1523/oj);</w:t>
      </w:r>
    </w:p>
    <w:p w:rsidR="00E86016" w:rsidRPr="00C92E98" w:rsidP="00C92E98" w14:paraId="34D2A452" w14:textId="273C17F7">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(ABl. C, C/2026/1703, 24.4.2026, ELI: http://data.europa.eu/eli/C/2026/1703/oj);</w:t>
      </w:r>
    </w:p>
    <w:p w:rsidR="00E86016" w:rsidRPr="00C92E98" w:rsidP="00C92E98" w14:paraId="0FF6A114" w14:textId="4DC84B11">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25. November 2025 zu dem Entwurf eines Durchführungsbeschlusses der Kommission über die Zulassung des Inverkehrbringens von Erzeugnissen, die genetisch veränderten Mais der Sorte MON 88913 enthalten, aus ihm bestehen oder aus ihm hergestellt werden, gemäß der Verordnung (EG) Nr. 1829/2003 des Europäischen Parlaments und des Rates (ABl. C, C/2026/1704, 24.4.2026, ELI: http://data.europa.eu/eli/C/2026/1704/oj);</w:t>
      </w:r>
    </w:p>
    <w:p w:rsidR="00E86016" w:rsidRPr="00C92E98" w:rsidP="00C92E98" w14:paraId="038E3417" w14:textId="4AD60DD1">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25. November 2025 zu dem Entwurf eines Durchführungsbeschlusses der Kommission über die Zulassung des Inverkehrbringens von Erzeugnissen, die genetisch veränderten Mais der Sorte MON 88302 enthalten, aus ihm bestehen oder aus ihm hergestellt werden, gemäß der Verordnung (EG) Nr. 1829/2003 des Europäischen Parlaments und des Rates (ABl. C, C/2026/1705, 24.4.2026, ELI: http://data.europa.eu/eli/C/2026/1705/oj);</w:t>
      </w:r>
    </w:p>
    <w:p w:rsidR="00E86016" w:rsidRPr="00C92E98" w:rsidP="00C92E98" w14:paraId="01711633" w14:textId="00B335A1">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 xml:space="preserve">Entschließung des Europäischen Parlaments vom 25. November 2025 zu dem Durchführungsbeschluss der Kommission </w:t>
      </w:r>
      <w:r w:rsidR="00386B2C">
        <w:rPr>
          <w:color w:val="000000" w:themeColor="text1"/>
          <w:sz w:val="24"/>
          <w:lang w:val="de-DE"/>
        </w:rPr>
        <w:t>zur</w:t>
      </w:r>
      <w:r w:rsidRPr="00C92E98">
        <w:rPr>
          <w:color w:val="000000" w:themeColor="text1"/>
          <w:sz w:val="24"/>
          <w:lang w:val="de-DE"/>
        </w:rPr>
        <w:t xml:space="preserve"> Erneuerung der Zulassung des Inverkehrbringens von Erzeugnissen, die genetisch veränderte Sojabohnen der Sorte MON 87708 enthalten, aus ihnen bestehen oder aus ihnen </w:t>
      </w:r>
      <w:r w:rsidR="00386B2C">
        <w:rPr>
          <w:color w:val="000000" w:themeColor="text1"/>
          <w:sz w:val="24"/>
          <w:lang w:val="de-DE"/>
        </w:rPr>
        <w:t>hergestellt</w:t>
      </w:r>
      <w:r w:rsidRPr="00C92E98">
        <w:rPr>
          <w:color w:val="000000" w:themeColor="text1"/>
          <w:sz w:val="24"/>
          <w:lang w:val="de-DE"/>
        </w:rPr>
        <w:t xml:space="preserve"> werden, gemäß der Verordnung (EG) Nr. 1829/2003 des Europäischen Parlaments und des Rates (ABl. C, C/2026/1706, 24.4.2026, ELI: http://data.europa.eu/eli/C/2026/1706/oj);</w:t>
      </w:r>
    </w:p>
    <w:p w:rsidR="00E86016" w:rsidRPr="00C92E98" w:rsidP="00C92E98" w14:paraId="6A6D4CB6" w14:textId="2A41E0B7">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25. November 2025 zu dem Entwurf eines Durchführungsbeschlusses der Kommission zur Erneuerung der Zulassung des Inverkehrbringens von Erzeugnissen, die genetisch veränderten Mais der Sorte MON 87427 enthalten, aus ihm bestehen oder aus ihm hergestellt werden, gemäß der Verordnung (EG) Nr. 1829/2003 des Europäischen Parlaments und des Rates (ABl. C, C/2026/1707, 24.4.2026, ELI: http://data.europa.eu/eli/C/2026/1707/oj);</w:t>
      </w:r>
    </w:p>
    <w:p w:rsidR="00E86016" w:rsidRPr="00C92E98" w:rsidP="00C92E98" w14:paraId="7E24C612" w14:textId="5D7ED05F">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16. Dezember 2025 zu dem Entwurf eines Durchführungsbeschlusses der Kommission über die Zulassung des Inverkehrbringens von Erzeugnissen, die genetisch veränderten Mais der Sorte NK603 enthalten, aus ihm bestehen oder aus ihm hergestellt werden, gemäß der Verordnung (EG) Nr. 1829/2003 des Europäischen Parlaments und des Rates (ABl. C, C/2026/2150, 6.5.2026, ELI: http://data.europa.eu/eli/C/2026/2150/oj);</w:t>
      </w:r>
    </w:p>
    <w:p w:rsidR="00E86016" w:rsidRPr="00C92E98" w:rsidP="00C92E98" w14:paraId="63CF91AE" w14:textId="7E7BD83F">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(ABl. C, C/2026/2151, 6.5.2026, ELI: </w:t>
      </w:r>
      <w:hyperlink r:id="rId14" w:history="1">
        <w:r w:rsidRPr="00C92E98">
          <w:rPr>
            <w:color w:val="000000" w:themeColor="text1"/>
            <w:lang w:val="de-DE"/>
          </w:rPr>
          <w:t>http://data.europa.eu/eli/C/2026/2151/oj</w:t>
        </w:r>
      </w:hyperlink>
      <w:r w:rsidRPr="00C92E98">
        <w:rPr>
          <w:color w:val="000000" w:themeColor="text1"/>
          <w:sz w:val="24"/>
          <w:lang w:val="de-DE"/>
        </w:rPr>
        <w:t>);</w:t>
      </w:r>
    </w:p>
    <w:p w:rsidR="00E86016" w:rsidRPr="00C92E98" w:rsidP="00C92E98" w14:paraId="2D14A4D7" w14:textId="29DA52AE">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11. Februar 2026 zu dem Entwurf eines Durchführungsbeschlusses der Kommission über die Zulassung des Inverkehrbringens von Erzeugnissen, die genetisch veränderte Sojabohnen der Sorte DBN-09004-6 enthalten, aus ihnen bestehen oder aus ihnen gewonnen werden, gemäß der Verordnung (EG) Nr. 1829/2003 des Europäischen Parlaments und des Rates (Angenommene Texte, P10_TA(2026)0041);</w:t>
      </w:r>
    </w:p>
    <w:p w:rsidR="00E86016" w:rsidRPr="00C92E98" w:rsidP="00C92E98" w14:paraId="0C04A3C6" w14:textId="5E889788">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11. Februar 2026 zu dem Entwurf eines Durchführungsbeschlusses der Kommission zur Erneuerung der Zulassung des Inverkehrbringens von Erzeugnissen, die genetisch veränderten Mais der Sorte T25 (ACS-ZMØØ3-2) enthalten, aus ihm bestehen oder aus ihm gewonnen werden, gemäß der Verordnung (EG) Nr. 1829/2003 des Europäischen Parlaments und des Rates (Angenommene Texte, P10_TA(2026)0042);</w:t>
      </w:r>
    </w:p>
    <w:p w:rsidR="00E86016" w:rsidRPr="00C92E98" w:rsidP="00C92E98" w14:paraId="290BAA57" w14:textId="22056367">
      <w:pPr>
        <w:pStyle w:val="FootnoteText"/>
        <w:ind w:left="1134" w:hanging="567"/>
        <w:rPr>
          <w:color w:val="000000" w:themeColor="text1"/>
          <w:sz w:val="24"/>
          <w:lang w:val="de-DE"/>
        </w:rPr>
      </w:pPr>
      <w:r w:rsidRPr="00812B7D">
        <w:rPr>
          <w:sz w:val="24"/>
          <w:lang w:val="de-DE"/>
        </w:rPr>
        <w:t>–</w:t>
      </w:r>
      <w:r w:rsidRPr="00812B7D">
        <w:rPr>
          <w:sz w:val="24"/>
          <w:lang w:val="de-DE"/>
        </w:rPr>
        <w:tab/>
        <w:t xml:space="preserve">Entschließung des Europäischen Parlaments vom 11. Februar 2026 zu dem Entwurf eines </w:t>
      </w:r>
      <w:r w:rsidRPr="00C92E98">
        <w:rPr>
          <w:color w:val="000000" w:themeColor="text1"/>
          <w:sz w:val="24"/>
          <w:lang w:val="de-DE"/>
        </w:rPr>
        <w:t>Durchführungsbeschlusses der Kommission zur Erneuerung der Zulassung des Inverkehrbringens von Erzeugnissen, die genetisch veränderte Baumwolle der Sorte GHB614 × LLCotton25 enthalten, aus ihr bestehen oder aus ihr gewonnen werden, gemäß der Verordnung (EG) Nr. 1829/2003 des Europäischen Parlaments und des Rates (Angenommene Texte, P10_TA(2026)0043);</w:t>
      </w:r>
    </w:p>
    <w:p w:rsidR="00E86016" w:rsidRPr="00C92E98" w:rsidP="00C92E98" w14:paraId="3F92830E" w14:textId="21B7619D">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11. Februar 2026 zu dem Entwur eines Durchführungsbeschlusses der Kommission zur Erneuerung der Zulassung des Inverkehrbringens von Erzeugnissen, die genetisch veränderte Baumwolle der Sorte T304-40 enthalten, aus ihr bestehen oder aus ihr gewonnen werden, gemäß der Verordnung (EG) Nr. 1829/2003 des Europäischen Parlaments und des Rates (Angenommene Texte, P10_TA(2026)0044);</w:t>
      </w:r>
    </w:p>
    <w:p w:rsidR="00E86016" w:rsidRPr="00C92E98" w:rsidP="00C92E98" w14:paraId="72BA7372" w14:textId="4F5CF36A">
      <w:pPr>
        <w:pStyle w:val="FootnoteText"/>
        <w:ind w:left="1134" w:hanging="567"/>
        <w:rPr>
          <w:color w:val="000000" w:themeColor="text1"/>
          <w:sz w:val="24"/>
          <w:lang w:val="de-DE"/>
        </w:rPr>
      </w:pPr>
      <w:r w:rsidRPr="00C92E98">
        <w:rPr>
          <w:color w:val="000000" w:themeColor="text1"/>
          <w:sz w:val="24"/>
          <w:lang w:val="de-DE"/>
        </w:rPr>
        <w:t>–</w:t>
      </w:r>
      <w:r w:rsidRPr="00C92E98">
        <w:rPr>
          <w:color w:val="000000" w:themeColor="text1"/>
          <w:sz w:val="24"/>
          <w:lang w:val="de-DE"/>
        </w:rPr>
        <w:tab/>
        <w:t>Entschließung des Europäischen Parlaments vom 29. April 2026 zu dem Entwurf eines Durchführungsbeschlusses der Kommission über die Zulassung des Inverkehrbringens von Erzeugnissen, die genetisch veränderte Sojabohnen der Sorte MON 94637 enthalten, aus ihnen bestehen oder aus ihnen gewonnen werden, gemäß der Verordnung (EG) Nr. 1829/2003 des Europäischen Parlaments und des Rates (Angenommene Texte, P10_TA(2026)0150).</w:t>
      </w:r>
    </w:p>
  </w:footnote>
  <w:footnote w:id="7">
    <w:p w:rsidR="00E86016" w:rsidRPr="00812B7D" w:rsidP="00812B7D" w14:paraId="75EBC190" w14:textId="7BEB52ED">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Durchführungsbeschluss (EU) 2015/2279 der Kommission vom 4. Dezember 2015 über die Zulassung des Inverkehrbringens von Erzeugnissen, die aus der genetisch veränderten Maissorte NK603 × T25 (MON-ØØ6Ø3-6 × ACS-ZMØØ3-2) bestehen, diese enthalten oder aus dieser gewonnen werden, gemäß der Verordnung (EG) Nr. 1829/2003 des Europäischen Parlaments und des Rates (ABl. L 322 vom 8.12.2015, S. 58, ELI: </w:t>
      </w:r>
      <w:hyperlink r:id="rId15" w:history="1">
        <w:r w:rsidRPr="00812B7D">
          <w:rPr>
            <w:rStyle w:val="Hyperlink"/>
            <w:sz w:val="24"/>
            <w:lang w:val="de-DE"/>
          </w:rPr>
          <w:t>http://data.europa.eu/eli/dec_impl/2015/2279/oj</w:t>
        </w:r>
      </w:hyperlink>
      <w:r w:rsidRPr="00812B7D">
        <w:rPr>
          <w:sz w:val="24"/>
          <w:lang w:val="de-DE"/>
        </w:rPr>
        <w:t>).</w:t>
      </w:r>
    </w:p>
  </w:footnote>
  <w:footnote w:id="8">
    <w:p w:rsidR="00E86016" w:rsidRPr="00812B7D" w:rsidP="00812B7D" w14:paraId="706DB9E7" w14:textId="3205CE25">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 xml:space="preserve">„Wissenschaftliches Gutachten des Gremiums der EFSA für genetisch veränderte Organismen zu dem Antrag (EFSA-GMO-NL-2010-80) auf Genehmigung des Inverkehrbringens von herbizidtolerantem genetisch verändertem Mais der Sorte NK603 × T25 zur Verwendung als Lebens- und Futtermittel, Einfuhr und Verarbeitung gemäß der Verordnung (EG) Nr. 1829/2003 von Monsanto“, EFSA Journal, 2015;13(7):4165, </w:t>
      </w:r>
      <w:hyperlink r:id="rId16" w:history="1">
        <w:r w:rsidRPr="00812B7D">
          <w:rPr>
            <w:rStyle w:val="Hyperlink"/>
            <w:sz w:val="24"/>
            <w:lang w:val="de-DE"/>
          </w:rPr>
          <w:t>https://doi.org/10.2903/j.efsa.2015.4165</w:t>
        </w:r>
      </w:hyperlink>
      <w:r w:rsidRPr="00812B7D">
        <w:rPr>
          <w:sz w:val="24"/>
          <w:lang w:val="de-DE"/>
        </w:rPr>
        <w:t>.</w:t>
      </w:r>
    </w:p>
  </w:footnote>
  <w:footnote w:id="9">
    <w:p w:rsidR="00E86016" w:rsidRPr="00812B7D" w:rsidP="00812B7D" w14:paraId="3C81D837" w14:textId="15C0E10E">
      <w:pPr>
        <w:pStyle w:val="FootnoteText"/>
        <w:ind w:left="567" w:hanging="567"/>
        <w:rPr>
          <w:sz w:val="24"/>
          <w:lang w:val="de-DE"/>
        </w:rPr>
      </w:pPr>
      <w:r w:rsidRPr="00812B7D">
        <w:rPr>
          <w:rStyle w:val="FootnoteReference"/>
          <w:sz w:val="24"/>
          <w:lang w:val="de-DE"/>
        </w:rPr>
        <w:footnoteRef/>
      </w:r>
      <w:r w:rsidRPr="00812B7D" w:rsidR="00812B7D">
        <w:rPr>
          <w:sz w:val="24"/>
          <w:shd w:val="clear" w:color="auto" w:fill="FFFFFF"/>
          <w:lang w:val="de-DE"/>
        </w:rPr>
        <w:t xml:space="preserve"> </w:t>
      </w:r>
      <w:r w:rsidRPr="00812B7D" w:rsidR="00812B7D">
        <w:rPr>
          <w:sz w:val="24"/>
          <w:shd w:val="clear" w:color="auto" w:fill="FFFFFF"/>
          <w:lang w:val="de-DE"/>
        </w:rPr>
        <w:tab/>
      </w:r>
      <w:r w:rsidRPr="00812B7D">
        <w:rPr>
          <w:sz w:val="24"/>
          <w:shd w:val="clear" w:color="auto" w:fill="FFFFFF"/>
          <w:lang w:val="de-DE"/>
        </w:rPr>
        <w:t xml:space="preserve">Siehe z. B. S. Bonny, „Genetically Modified Herbicide-Tolerant Crops, Weeds, and Herbicides: Overview and Impact“, Environmental Management, Januar 2016, 57(1), S. 31–48, </w:t>
      </w:r>
      <w:bookmarkStart w:id="8" w:name="_Hlk219208464"/>
      <w:hyperlink r:id="rId17" w:history="1">
        <w:r w:rsidRPr="00812B7D">
          <w:rPr>
            <w:rStyle w:val="Hyperlink"/>
            <w:sz w:val="24"/>
            <w:shd w:val="clear" w:color="auto" w:fill="FFFFFF"/>
            <w:lang w:val="de-DE"/>
          </w:rPr>
          <w:t>https://doi.org/10.1007/s00267-015-0589-7</w:t>
        </w:r>
      </w:hyperlink>
      <w:bookmarkEnd w:id="8"/>
      <w:r w:rsidRPr="00812B7D">
        <w:rPr>
          <w:sz w:val="24"/>
          <w:shd w:val="clear" w:color="auto" w:fill="FFFFFF"/>
          <w:lang w:val="de-DE"/>
        </w:rPr>
        <w:t xml:space="preserve">, und C. M. Benbrook, „Impacts of genetically engineered crops on pesticide use in the U.S. – the first sixteen years“ (Auswirkungen von genetisch veränderten Nutzpflanzen auf den Pestizideinsatz in den USA – die ersten sechzehn Jahre), Environmental Sciences Europe, 28. September 2012, Bd. 24(1), </w:t>
      </w:r>
      <w:bookmarkStart w:id="9" w:name="_Hlk219208485"/>
      <w:hyperlink r:id="rId18" w:history="1">
        <w:r w:rsidRPr="00812B7D">
          <w:rPr>
            <w:rStyle w:val="Hyperlink"/>
            <w:sz w:val="24"/>
            <w:lang w:val="de-DE"/>
          </w:rPr>
          <w:t>https://doi.org/10.1186/2190-4715-24-24</w:t>
        </w:r>
      </w:hyperlink>
      <w:r w:rsidRPr="00812B7D">
        <w:rPr>
          <w:sz w:val="24"/>
          <w:shd w:val="clear" w:color="auto" w:fill="FFFFFF"/>
          <w:lang w:val="de-DE"/>
        </w:rPr>
        <w:t>.</w:t>
      </w:r>
      <w:bookmarkEnd w:id="9"/>
      <w:r w:rsidRPr="00812B7D">
        <w:rPr>
          <w:sz w:val="24"/>
          <w:shd w:val="clear" w:color="auto" w:fill="FFFFFF"/>
          <w:lang w:val="de-DE"/>
        </w:rPr>
        <w:t xml:space="preserve"> </w:t>
      </w:r>
    </w:p>
  </w:footnote>
  <w:footnote w:id="10">
    <w:p w:rsidR="00E86016" w:rsidRPr="00812B7D" w:rsidP="00812B7D" w14:paraId="5C509537" w14:textId="15FD3D2D">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Siehe z. B.:</w:t>
      </w:r>
      <w:bookmarkStart w:id="10" w:name="_Hlk219286352"/>
      <w:bookmarkStart w:id="11" w:name="_Hlk219208511"/>
      <w:r w:rsidRPr="00812B7D">
        <w:rPr>
          <w:rStyle w:val="Hyperlink"/>
          <w:sz w:val="24"/>
          <w:lang w:val="de-DE"/>
        </w:rPr>
        <w:t xml:space="preserve"> </w:t>
      </w:r>
      <w:hyperlink r:id="rId19" w:history="1">
        <w:r w:rsidRPr="00812B7D">
          <w:rPr>
            <w:rStyle w:val="Hyperlink"/>
            <w:sz w:val="24"/>
            <w:lang w:val="de-DE"/>
          </w:rPr>
          <w:t>https://doi.org/10.1002/ps.8105</w:t>
        </w:r>
      </w:hyperlink>
      <w:r w:rsidRPr="00812B7D">
        <w:rPr>
          <w:sz w:val="24"/>
          <w:shd w:val="clear" w:color="auto" w:fill="FFFFFF"/>
          <w:lang w:val="de-DE"/>
        </w:rPr>
        <w:t xml:space="preserve"> und</w:t>
      </w:r>
      <w:bookmarkEnd w:id="10"/>
      <w:r w:rsidRPr="00812B7D">
        <w:rPr>
          <w:sz w:val="24"/>
          <w:shd w:val="clear" w:color="auto" w:fill="FFFFFF"/>
          <w:lang w:val="de-DE"/>
        </w:rPr>
        <w:t xml:space="preserve"> </w:t>
      </w:r>
      <w:hyperlink r:id="rId20" w:history="1">
        <w:r w:rsidRPr="00812B7D">
          <w:rPr>
            <w:rStyle w:val="Hyperlink"/>
            <w:sz w:val="24"/>
            <w:lang w:val="de-DE"/>
          </w:rPr>
          <w:t>https://doi.org/10.1016/j.geoforum.2009.03.009</w:t>
        </w:r>
      </w:hyperlink>
      <w:r w:rsidRPr="00812B7D">
        <w:rPr>
          <w:sz w:val="24"/>
          <w:lang w:val="de-DE"/>
        </w:rPr>
        <w:t>.</w:t>
      </w:r>
      <w:bookmarkEnd w:id="11"/>
    </w:p>
  </w:footnote>
  <w:footnote w:id="11">
    <w:p w:rsidR="00E86016" w:rsidRPr="00812B7D" w:rsidP="00812B7D" w14:paraId="1A7933A7" w14:textId="322B9DAD">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Verordnung (EG) Nr. 1107/2009 des Europäischen Parlaments und des Rates vom 21. Oktober 2009 über das Inverkehrbringen von Pflanzenschutzmitteln und zur Aufhebung der Richtlinien 79/117/EWG und 91/414/EWG des Rates (ABl. L 309 vom 24.11.2009, S. 1, ELI: </w:t>
      </w:r>
      <w:hyperlink r:id="rId21" w:tooltip="Ermöglicht den Zugriff auf dieses Dokument über seinen ELI-URI." w:history="1">
        <w:r w:rsidRPr="00812B7D">
          <w:rPr>
            <w:rStyle w:val="Hyperlink"/>
            <w:sz w:val="24"/>
            <w:lang w:val="de-DE"/>
          </w:rPr>
          <w:t>http://data.europa.eu/eli/reg/2009/1107/oj</w:t>
        </w:r>
      </w:hyperlink>
      <w:r w:rsidRPr="00812B7D">
        <w:rPr>
          <w:sz w:val="24"/>
          <w:lang w:val="de-DE"/>
        </w:rPr>
        <w:t>).</w:t>
      </w:r>
    </w:p>
  </w:footnote>
  <w:footnote w:id="12">
    <w:p w:rsidR="00E86016" w:rsidRPr="00812B7D" w:rsidP="00812B7D" w14:paraId="36BF4AE3" w14:textId="4E8C83A2">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 xml:space="preserve">Siehe z. B. </w:t>
      </w:r>
      <w:hyperlink r:id="rId22" w:history="1">
        <w:r w:rsidRPr="00812B7D">
          <w:rPr>
            <w:rStyle w:val="Hyperlink"/>
            <w:sz w:val="24"/>
            <w:lang w:val="de-DE"/>
          </w:rPr>
          <w:t>https://doi.org/10.1016/j.mrrev.2019.02.001</w:t>
        </w:r>
      </w:hyperlink>
      <w:r w:rsidRPr="00812B7D">
        <w:rPr>
          <w:sz w:val="24"/>
          <w:lang w:val="de-DE"/>
        </w:rPr>
        <w:t xml:space="preserve">, </w:t>
      </w:r>
      <w:hyperlink r:id="rId23" w:history="1">
        <w:r w:rsidRPr="00812B7D">
          <w:rPr>
            <w:rStyle w:val="Hyperlink"/>
            <w:sz w:val="24"/>
            <w:lang w:val="de-DE"/>
          </w:rPr>
          <w:t>https://doi.org/10.1093/ije/dyz017</w:t>
        </w:r>
      </w:hyperlink>
      <w:r w:rsidRPr="00812B7D">
        <w:rPr>
          <w:sz w:val="24"/>
          <w:lang w:val="de-DE"/>
        </w:rPr>
        <w:t xml:space="preserve">, </w:t>
      </w:r>
      <w:hyperlink r:id="rId24" w:history="1">
        <w:r w:rsidRPr="00812B7D">
          <w:rPr>
            <w:rStyle w:val="Hyperlink"/>
            <w:sz w:val="24"/>
            <w:lang w:val="de-DE"/>
          </w:rPr>
          <w:t>https://doi.org/10.1371/journal.pone.0219610</w:t>
        </w:r>
      </w:hyperlink>
      <w:r w:rsidRPr="00812B7D">
        <w:rPr>
          <w:sz w:val="24"/>
          <w:lang w:val="de-DE"/>
        </w:rPr>
        <w:t xml:space="preserve"> und </w:t>
      </w:r>
      <w:hyperlink r:id="rId25" w:history="1">
        <w:r w:rsidRPr="00812B7D">
          <w:rPr>
            <w:rStyle w:val="Hyperlink"/>
            <w:sz w:val="24"/>
            <w:lang w:val="de-DE"/>
          </w:rPr>
          <w:t>https://doi.org/10.1186/s13045-019-0767-9</w:t>
        </w:r>
      </w:hyperlink>
      <w:r w:rsidRPr="00812B7D">
        <w:rPr>
          <w:sz w:val="24"/>
          <w:lang w:val="de-DE"/>
        </w:rPr>
        <w:t xml:space="preserve">. </w:t>
      </w:r>
    </w:p>
  </w:footnote>
  <w:footnote w:id="13">
    <w:p w:rsidR="00E86016" w:rsidRPr="00812B7D" w:rsidP="00812B7D" w14:paraId="63A8A94D" w14:textId="59A9869F">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hyperlink r:id="rId26" w:tgtFrame="_blank" w:tooltip="Permanenter Link unter Verwendung eines digitalen Objektidentifikators" w:history="1">
        <w:r w:rsidRPr="00812B7D">
          <w:rPr>
            <w:rStyle w:val="Hyperlink"/>
            <w:sz w:val="24"/>
            <w:lang w:val="de-DE"/>
          </w:rPr>
          <w:t>https://doi.org/10.1006/rtph.1999.1371</w:t>
        </w:r>
      </w:hyperlink>
      <w:r w:rsidRPr="00812B7D">
        <w:rPr>
          <w:sz w:val="24"/>
          <w:lang w:val="de-DE"/>
        </w:rPr>
        <w:t>.</w:t>
      </w:r>
    </w:p>
  </w:footnote>
  <w:footnote w:id="14">
    <w:p w:rsidR="00E86016" w:rsidRPr="00812B7D" w:rsidP="00812B7D" w14:paraId="5873C9B6" w14:textId="0E365A86">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 xml:space="preserve">Bei Glyphosat ist dies tatsächlich der Fall, was in der mit Gründen versehene Stellungnahme der EFSA mit dem Titel „Review of the existing maximum residue levels for glyphosate according to Article 12 of Regulation (EC) No 396/2005“ (Überprüfung der geltenden Höchstgehalte für Rückstände von Glyphosat gemäß Artikel 12 der Verordnung (EG) Nr. 396/2005) (EFSA Journal 2018, Bd. 16(5):e05263, S. 12, </w:t>
      </w:r>
      <w:bookmarkStart w:id="13" w:name="_Hlk231549693"/>
      <w:hyperlink r:id="rId27" w:history="1">
        <w:r w:rsidRPr="00812B7D">
          <w:rPr>
            <w:rStyle w:val="Hyperlink"/>
            <w:sz w:val="24"/>
            <w:lang w:val="de-DE"/>
          </w:rPr>
          <w:t>https://doi.org/10.2903/j.efsa.2018.5263</w:t>
        </w:r>
      </w:hyperlink>
      <w:bookmarkEnd w:id="13"/>
      <w:r w:rsidRPr="00812B7D">
        <w:rPr>
          <w:sz w:val="24"/>
          <w:lang w:val="de-DE"/>
        </w:rPr>
        <w:t>) festgestellt wurde.</w:t>
      </w:r>
    </w:p>
  </w:footnote>
  <w:footnote w:id="15">
    <w:p w:rsidR="00E86016" w:rsidRPr="00812B7D" w:rsidP="00812B7D" w14:paraId="6D0E23AE" w14:textId="775A97E6">
      <w:pPr>
        <w:pStyle w:val="FootnoteText"/>
        <w:ind w:left="567" w:hanging="567"/>
        <w:rPr>
          <w:sz w:val="24"/>
          <w:lang w:val="de-DE"/>
        </w:rPr>
      </w:pPr>
      <w:r w:rsidRPr="00812B7D">
        <w:rPr>
          <w:rStyle w:val="FootnoteReference"/>
          <w:sz w:val="24"/>
          <w:lang w:val="de-DE"/>
        </w:rPr>
        <w:footnoteRef/>
      </w:r>
      <w:r w:rsidRPr="00812B7D" w:rsidR="00812B7D">
        <w:rPr>
          <w:color w:val="000000" w:themeColor="text1"/>
          <w:sz w:val="24"/>
          <w:lang w:val="de-DE"/>
        </w:rPr>
        <w:t xml:space="preserve"> </w:t>
      </w:r>
      <w:r w:rsidRPr="00812B7D" w:rsidR="00812B7D">
        <w:rPr>
          <w:color w:val="000000" w:themeColor="text1"/>
          <w:sz w:val="24"/>
          <w:lang w:val="de-DE"/>
        </w:rPr>
        <w:tab/>
      </w:r>
      <w:r w:rsidRPr="00812B7D">
        <w:rPr>
          <w:color w:val="000000" w:themeColor="text1"/>
          <w:sz w:val="24"/>
          <w:lang w:val="de-DE"/>
        </w:rPr>
        <w:t xml:space="preserve">Im Dezember 2022 wurde auf der 15. Tagung der Konferenz der Vertragsparteien des Übereinkommens der Vereinten Nationen über die biologische Vielfalt (COP 15) ein globaler Biodiversitätsrahmen vereinbart, der u. a. das globale Ziel umfasst, das Risiko durch Pestizide bis </w:t>
      </w:r>
      <w:r w:rsidRPr="00812B7D">
        <w:rPr>
          <w:color w:val="000000" w:themeColor="text1"/>
          <w:sz w:val="24"/>
          <w:lang w:val="de-DE"/>
        </w:rPr>
        <w:t>2030</w:t>
      </w:r>
      <w:r w:rsidRPr="00812B7D">
        <w:rPr>
          <w:color w:val="000000" w:themeColor="text1"/>
          <w:sz w:val="24"/>
          <w:lang w:val="de-DE"/>
        </w:rPr>
        <w:t xml:space="preserve"> um mindestens 50 % zu verringern (siehe: </w:t>
      </w:r>
      <w:hyperlink r:id="rId28" w:history="1">
        <w:r w:rsidRPr="00812B7D">
          <w:rPr>
            <w:rStyle w:val="Hyperlink"/>
            <w:sz w:val="24"/>
            <w:lang w:val="de-DE"/>
          </w:rPr>
          <w:t>https://ec.europa.eu/commission/presscorner/detail/de/ip_22_7834</w:t>
        </w:r>
      </w:hyperlink>
      <w:r w:rsidRPr="00812B7D">
        <w:rPr>
          <w:sz w:val="24"/>
          <w:lang w:val="de-DE"/>
        </w:rPr>
        <w:t xml:space="preserve">). </w:t>
      </w:r>
    </w:p>
  </w:footnote>
  <w:footnote w:id="16">
    <w:p w:rsidR="00E86016" w:rsidRPr="00812B7D" w:rsidP="00812B7D" w14:paraId="527BBEE0" w14:textId="2C2A6C45">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hyperlink r:id="rId29" w:history="1">
        <w:r w:rsidRPr="00812B7D">
          <w:rPr>
            <w:rStyle w:val="Hyperlink"/>
            <w:sz w:val="24"/>
            <w:lang w:val="de-DE"/>
          </w:rPr>
          <w:t>https://commission.europa.eu/topics/agriculture-and-rural-development/strategic-dialogue-future-eu-agriculture_de</w:t>
        </w:r>
      </w:hyperlink>
      <w:r w:rsidRPr="00812B7D">
        <w:rPr>
          <w:sz w:val="24"/>
          <w:lang w:val="de-DE"/>
        </w:rPr>
        <w:t xml:space="preserve">. </w:t>
      </w:r>
    </w:p>
  </w:footnote>
  <w:footnote w:id="17">
    <w:p w:rsidR="00E86016" w:rsidRPr="00812B7D" w:rsidP="00812B7D" w14:paraId="70566A2B" w14:textId="487D595F">
      <w:pPr>
        <w:pStyle w:val="FootnoteText"/>
        <w:ind w:left="567" w:hanging="567"/>
        <w:rPr>
          <w:sz w:val="24"/>
          <w:lang w:val="de-DE"/>
        </w:rPr>
      </w:pPr>
      <w:r w:rsidRPr="00812B7D">
        <w:rPr>
          <w:rStyle w:val="FootnoteReference"/>
          <w:sz w:val="24"/>
          <w:lang w:val="de-DE"/>
        </w:rPr>
        <w:footnoteRef/>
      </w:r>
      <w:r w:rsidRPr="00812B7D" w:rsidR="00812B7D">
        <w:rPr>
          <w:sz w:val="24"/>
          <w:lang w:val="de-DE"/>
        </w:rPr>
        <w:t xml:space="preserve"> </w:t>
      </w:r>
      <w:r w:rsidRPr="00812B7D" w:rsidR="00812B7D">
        <w:rPr>
          <w:sz w:val="24"/>
          <w:lang w:val="de-DE"/>
        </w:rPr>
        <w:tab/>
      </w:r>
      <w:r w:rsidRPr="00812B7D">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w:t>
      </w:r>
      <w:r w:rsidRPr="00812B7D">
        <w:rPr>
          <w:color w:val="000000" w:themeColor="text1"/>
          <w:sz w:val="24"/>
          <w:lang w:val="de-DE"/>
        </w:rPr>
        <w:t> </w:t>
      </w:r>
      <w:hyperlink r:id="rId30" w:tgtFrame="Gives access to this document through its ELI URI." w:history="1">
        <w:r w:rsidRPr="00812B7D">
          <w:rPr>
            <w:rStyle w:val="Hyperlink"/>
            <w:color w:val="0070C0"/>
            <w:sz w:val="24"/>
            <w:lang w:val="de-DE"/>
          </w:rPr>
          <w:t>http://data.europa.eu/eli/reg/2002/178/oj</w:t>
        </w:r>
      </w:hyperlink>
      <w:r w:rsidRPr="00812B7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2B7D" w14:paraId="2031730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2B7D" w14:paraId="14F8066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2B7D" w14:paraId="50CD469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8201602">
    <w:abstractNumId w:val="9"/>
  </w:num>
  <w:num w:numId="2" w16cid:durableId="1532649490">
    <w:abstractNumId w:val="9"/>
  </w:num>
  <w:num w:numId="3" w16cid:durableId="604650271">
    <w:abstractNumId w:val="7"/>
  </w:num>
  <w:num w:numId="4" w16cid:durableId="1577083197">
    <w:abstractNumId w:val="7"/>
  </w:num>
  <w:num w:numId="5" w16cid:durableId="22753131">
    <w:abstractNumId w:val="6"/>
  </w:num>
  <w:num w:numId="6" w16cid:durableId="98524200">
    <w:abstractNumId w:val="6"/>
  </w:num>
  <w:num w:numId="7" w16cid:durableId="818882089">
    <w:abstractNumId w:val="5"/>
  </w:num>
  <w:num w:numId="8" w16cid:durableId="1106580927">
    <w:abstractNumId w:val="5"/>
  </w:num>
  <w:num w:numId="9" w16cid:durableId="253586526">
    <w:abstractNumId w:val="4"/>
  </w:num>
  <w:num w:numId="10" w16cid:durableId="1354453742">
    <w:abstractNumId w:val="4"/>
  </w:num>
  <w:num w:numId="11" w16cid:durableId="1952470106">
    <w:abstractNumId w:val="8"/>
  </w:num>
  <w:num w:numId="12" w16cid:durableId="674067900">
    <w:abstractNumId w:val="8"/>
  </w:num>
  <w:num w:numId="13" w16cid:durableId="280190676">
    <w:abstractNumId w:val="3"/>
  </w:num>
  <w:num w:numId="14" w16cid:durableId="1599868456">
    <w:abstractNumId w:val="3"/>
  </w:num>
  <w:num w:numId="15" w16cid:durableId="63114774">
    <w:abstractNumId w:val="2"/>
  </w:num>
  <w:num w:numId="16" w16cid:durableId="9453848">
    <w:abstractNumId w:val="2"/>
  </w:num>
  <w:num w:numId="17" w16cid:durableId="965357976">
    <w:abstractNumId w:val="1"/>
  </w:num>
  <w:num w:numId="18" w16cid:durableId="1737892389">
    <w:abstractNumId w:val="1"/>
  </w:num>
  <w:num w:numId="19" w16cid:durableId="1007564403">
    <w:abstractNumId w:val="0"/>
  </w:num>
  <w:num w:numId="20" w16cid:durableId="519050851">
    <w:abstractNumId w:val="0"/>
  </w:num>
  <w:num w:numId="21" w16cid:durableId="549611425">
    <w:abstractNumId w:val="9"/>
  </w:num>
  <w:num w:numId="22" w16cid:durableId="1257900639">
    <w:abstractNumId w:val="7"/>
  </w:num>
  <w:num w:numId="23" w16cid:durableId="988707566">
    <w:abstractNumId w:val="6"/>
  </w:num>
  <w:num w:numId="24" w16cid:durableId="1822456170">
    <w:abstractNumId w:val="5"/>
  </w:num>
  <w:num w:numId="25" w16cid:durableId="2055034587">
    <w:abstractNumId w:val="4"/>
  </w:num>
  <w:num w:numId="26" w16cid:durableId="717357793">
    <w:abstractNumId w:val="8"/>
  </w:num>
  <w:num w:numId="27" w16cid:durableId="1126968864">
    <w:abstractNumId w:val="3"/>
  </w:num>
  <w:num w:numId="28" w16cid:durableId="2123913222">
    <w:abstractNumId w:val="2"/>
  </w:num>
  <w:num w:numId="29" w16cid:durableId="357317722">
    <w:abstractNumId w:val="1"/>
  </w:num>
  <w:num w:numId="30" w16cid:durableId="1238704842">
    <w:abstractNumId w:val="0"/>
  </w:num>
  <w:num w:numId="31" w16cid:durableId="1826705101">
    <w:abstractNumId w:val="9"/>
  </w:num>
  <w:num w:numId="32" w16cid:durableId="849026466">
    <w:abstractNumId w:val="7"/>
  </w:num>
  <w:num w:numId="33" w16cid:durableId="245769227">
    <w:abstractNumId w:val="6"/>
  </w:num>
  <w:num w:numId="34" w16cid:durableId="20203498">
    <w:abstractNumId w:val="5"/>
  </w:num>
  <w:num w:numId="35" w16cid:durableId="1613854996">
    <w:abstractNumId w:val="4"/>
  </w:num>
  <w:num w:numId="36" w16cid:durableId="425737376">
    <w:abstractNumId w:val="8"/>
  </w:num>
  <w:num w:numId="37" w16cid:durableId="2143885918">
    <w:abstractNumId w:val="3"/>
  </w:num>
  <w:num w:numId="38" w16cid:durableId="293296385">
    <w:abstractNumId w:val="2"/>
  </w:num>
  <w:num w:numId="39" w16cid:durableId="2129738221">
    <w:abstractNumId w:val="1"/>
  </w:num>
  <w:num w:numId="40" w16cid:durableId="1179268579">
    <w:abstractNumId w:val="0"/>
  </w:num>
  <w:num w:numId="41" w16cid:durableId="467281770">
    <w:abstractNumId w:val="10"/>
  </w:num>
  <w:num w:numId="42" w16cid:durableId="1565067184">
    <w:abstractNumId w:val="10"/>
  </w:num>
  <w:num w:numId="43" w16cid:durableId="1617516249">
    <w:abstractNumId w:val="10"/>
  </w:num>
  <w:num w:numId="44" w16cid:durableId="939990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D82"/>
    <w:rsid w:val="00002272"/>
    <w:rsid w:val="00064002"/>
    <w:rsid w:val="000677B9"/>
    <w:rsid w:val="000831BA"/>
    <w:rsid w:val="000A42CC"/>
    <w:rsid w:val="000E7DD9"/>
    <w:rsid w:val="0010095E"/>
    <w:rsid w:val="00125B37"/>
    <w:rsid w:val="00137540"/>
    <w:rsid w:val="0017105F"/>
    <w:rsid w:val="00187494"/>
    <w:rsid w:val="00193E36"/>
    <w:rsid w:val="001F32AE"/>
    <w:rsid w:val="002767FF"/>
    <w:rsid w:val="002B18FE"/>
    <w:rsid w:val="002B5493"/>
    <w:rsid w:val="00324F62"/>
    <w:rsid w:val="00343214"/>
    <w:rsid w:val="00361C00"/>
    <w:rsid w:val="00386B2C"/>
    <w:rsid w:val="00395FA1"/>
    <w:rsid w:val="003E15D4"/>
    <w:rsid w:val="00411CCE"/>
    <w:rsid w:val="0041666E"/>
    <w:rsid w:val="00421060"/>
    <w:rsid w:val="00471C19"/>
    <w:rsid w:val="004867E3"/>
    <w:rsid w:val="00494A28"/>
    <w:rsid w:val="004C0004"/>
    <w:rsid w:val="004C5D52"/>
    <w:rsid w:val="0050519A"/>
    <w:rsid w:val="005072A1"/>
    <w:rsid w:val="00514517"/>
    <w:rsid w:val="0053114C"/>
    <w:rsid w:val="00545827"/>
    <w:rsid w:val="00560270"/>
    <w:rsid w:val="005C2568"/>
    <w:rsid w:val="005F1B17"/>
    <w:rsid w:val="006037C0"/>
    <w:rsid w:val="006631B6"/>
    <w:rsid w:val="00680577"/>
    <w:rsid w:val="006D63F3"/>
    <w:rsid w:val="006F74FA"/>
    <w:rsid w:val="00731ADD"/>
    <w:rsid w:val="00734777"/>
    <w:rsid w:val="00743A8F"/>
    <w:rsid w:val="00747932"/>
    <w:rsid w:val="00751A4A"/>
    <w:rsid w:val="00756632"/>
    <w:rsid w:val="00762C74"/>
    <w:rsid w:val="00786EC0"/>
    <w:rsid w:val="007D1690"/>
    <w:rsid w:val="007E22AD"/>
    <w:rsid w:val="00812B7D"/>
    <w:rsid w:val="00817416"/>
    <w:rsid w:val="00842779"/>
    <w:rsid w:val="0085451F"/>
    <w:rsid w:val="00857AF0"/>
    <w:rsid w:val="00865F67"/>
    <w:rsid w:val="00881A7B"/>
    <w:rsid w:val="008840E5"/>
    <w:rsid w:val="00887B3E"/>
    <w:rsid w:val="008B194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738"/>
    <w:rsid w:val="00B051F8"/>
    <w:rsid w:val="00B12E95"/>
    <w:rsid w:val="00B22876"/>
    <w:rsid w:val="00B558F0"/>
    <w:rsid w:val="00BD48FE"/>
    <w:rsid w:val="00BD7BD8"/>
    <w:rsid w:val="00BE6ADC"/>
    <w:rsid w:val="00C05BFE"/>
    <w:rsid w:val="00C23CD4"/>
    <w:rsid w:val="00C61C0C"/>
    <w:rsid w:val="00C92E98"/>
    <w:rsid w:val="00C941CB"/>
    <w:rsid w:val="00CC2357"/>
    <w:rsid w:val="00CD14F6"/>
    <w:rsid w:val="00CF071A"/>
    <w:rsid w:val="00D058B8"/>
    <w:rsid w:val="00D56C11"/>
    <w:rsid w:val="00D834A0"/>
    <w:rsid w:val="00D872DF"/>
    <w:rsid w:val="00D91E21"/>
    <w:rsid w:val="00DA23A8"/>
    <w:rsid w:val="00DA7FCD"/>
    <w:rsid w:val="00E365E1"/>
    <w:rsid w:val="00E40D82"/>
    <w:rsid w:val="00E627CC"/>
    <w:rsid w:val="00E820A4"/>
    <w:rsid w:val="00E86016"/>
    <w:rsid w:val="00EA3CE3"/>
    <w:rsid w:val="00EB006A"/>
    <w:rsid w:val="00EB4772"/>
    <w:rsid w:val="00ED169E"/>
    <w:rsid w:val="00ED4235"/>
    <w:rsid w:val="00F04346"/>
    <w:rsid w:val="00F075DC"/>
    <w:rsid w:val="00F149E9"/>
    <w:rsid w:val="00F5134D"/>
    <w:rsid w:val="00F74202"/>
    <w:rsid w:val="00F768A2"/>
    <w:rsid w:val="00F87713"/>
    <w:rsid w:val="00FB4360"/>
    <w:rsid w:val="00FD0C70"/>
  </w:rsids>
  <w:docVars>
    <w:docVar w:name="dvdocse" w:val="B10-0335/2026"/>
    <w:docVar w:name="dvlangue" w:val="DE"/>
    <w:docVar w:name="dvnumam" w:val="0"/>
    <w:docVar w:name="dvpe" w:val="789.023"/>
    <w:docVar w:name="dvtitre" w:val="Entschließung des Europäischen Parlaments vom XX. XXX 2026 zu dem Entwurf eines Durchführungsbeschlusses der Kommission zur Erneuerung der Zulassung des Inverkehrbringens von Erzeugnissen, die genetisch veränderten Mais der Sorte NK603 × T25 enthalten, aus ihm bestehen oder aus ihm hergestellt werden, gemäß der Verordnung (EG) Nr. 1829/2003 des Europäischen Parlaments und des Rates (D115002 – 2026/2745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1DA488"/>
  <w15:chartTrackingRefBased/>
  <w15:docId w15:val="{683A0828-8267-47D4-B0DA-9D5C4EDAA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6016"/>
    <w:pPr>
      <w:spacing w:before="480" w:after="240"/>
    </w:pPr>
  </w:style>
  <w:style w:type="paragraph" w:customStyle="1" w:styleId="NormalHanging12a">
    <w:name w:val="NormalHanging12a"/>
    <w:basedOn w:val="Normal"/>
    <w:uiPriority w:val="99"/>
    <w:qFormat/>
    <w:rsid w:val="00E86016"/>
    <w:pPr>
      <w:spacing w:after="240"/>
      <w:ind w:left="567" w:hanging="567"/>
    </w:pPr>
  </w:style>
  <w:style w:type="character" w:styleId="Hyperlink">
    <w:name w:val="Hyperlink"/>
    <w:basedOn w:val="DefaultParagraphFont"/>
    <w:uiPriority w:val="99"/>
    <w:rsid w:val="00E86016"/>
    <w:rPr>
      <w:color w:val="0563C1" w:themeColor="hyperlink"/>
      <w:u w:val="single"/>
    </w:rPr>
  </w:style>
  <w:style w:type="character" w:customStyle="1" w:styleId="Funotenzeichen">
    <w:name w:val="Fußnotenzeichen"/>
    <w:basedOn w:val="DefaultParagraphFont"/>
    <w:uiPriority w:val="99"/>
    <w:qFormat/>
    <w:rsid w:val="00E86016"/>
    <w:rPr>
      <w:rFonts w:ascii="Times New Roman" w:hAnsi="Times New Roman" w:cs="Times New Roman" w:hint="default"/>
      <w:vertAlign w:val="superscript"/>
    </w:rPr>
  </w:style>
  <w:style w:type="paragraph" w:styleId="Revision">
    <w:name w:val="Revision"/>
    <w:hidden/>
    <w:uiPriority w:val="99"/>
    <w:semiHidden/>
    <w:rsid w:val="0017105F"/>
    <w:rPr>
      <w:sz w:val="24"/>
      <w:lang w:val="de-DE"/>
    </w:rPr>
  </w:style>
  <w:style w:type="character" w:styleId="CommentReference">
    <w:name w:val="annotation reference"/>
    <w:basedOn w:val="DefaultParagraphFont"/>
    <w:rsid w:val="00743A8F"/>
    <w:rPr>
      <w:sz w:val="16"/>
      <w:szCs w:val="16"/>
    </w:rPr>
  </w:style>
  <w:style w:type="paragraph" w:styleId="CommentText">
    <w:name w:val="annotation text"/>
    <w:basedOn w:val="Normal"/>
    <w:link w:val="CommentTextChar"/>
    <w:rsid w:val="00743A8F"/>
    <w:rPr>
      <w:sz w:val="20"/>
    </w:rPr>
  </w:style>
  <w:style w:type="character" w:customStyle="1" w:styleId="CommentTextChar">
    <w:name w:val="Comment Text Char"/>
    <w:basedOn w:val="DefaultParagraphFont"/>
    <w:link w:val="CommentText"/>
    <w:rsid w:val="00743A8F"/>
    <w:rPr>
      <w:lang w:val="de-DE"/>
    </w:rPr>
  </w:style>
  <w:style w:type="paragraph" w:styleId="CommentSubject">
    <w:name w:val="annotation subject"/>
    <w:basedOn w:val="CommentText"/>
    <w:next w:val="CommentText"/>
    <w:link w:val="CommentSubjectChar"/>
    <w:rsid w:val="00743A8F"/>
    <w:rPr>
      <w:b/>
      <w:bCs/>
    </w:rPr>
  </w:style>
  <w:style w:type="character" w:customStyle="1" w:styleId="CommentSubjectChar">
    <w:name w:val="Comment Subject Char"/>
    <w:basedOn w:val="CommentTextChar"/>
    <w:link w:val="CommentSubject"/>
    <w:rsid w:val="00743A8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1/182/oj" TargetMode="External" /><Relationship Id="rId10" Type="http://schemas.openxmlformats.org/officeDocument/2006/relationships/hyperlink" Target="http://data.europa.eu/eli/C/2025/1804/oj" TargetMode="External" /><Relationship Id="rId11" Type="http://schemas.openxmlformats.org/officeDocument/2006/relationships/hyperlink" Target="http://data.europa.eu/eli/C/2025/2246/oj" TargetMode="External" /><Relationship Id="rId12" Type="http://schemas.openxmlformats.org/officeDocument/2006/relationships/hyperlink" Target="http://data.europa.eu/eli/C/2025/2247/oj" TargetMode="External" /><Relationship Id="rId13" Type="http://schemas.openxmlformats.org/officeDocument/2006/relationships/hyperlink" Target="http://data.europa.eu/eli/C/2026/586/oj" TargetMode="External" /><Relationship Id="rId14" Type="http://schemas.openxmlformats.org/officeDocument/2006/relationships/hyperlink" Target="http://data.europa.eu/eli/C/2026/2151/oj" TargetMode="External" /><Relationship Id="rId15" Type="http://schemas.openxmlformats.org/officeDocument/2006/relationships/hyperlink" Target="http://data.europa.eu/eli/dec_impl/2015/2279/oj" TargetMode="External" /><Relationship Id="rId16" Type="http://schemas.openxmlformats.org/officeDocument/2006/relationships/hyperlink" Target="https://doi.org/10.2903/j.efsa.2015.4165" TargetMode="External" /><Relationship Id="rId17" Type="http://schemas.openxmlformats.org/officeDocument/2006/relationships/hyperlink" Target="https://doi.org/10.1007/s00267-015-0589-7" TargetMode="External" /><Relationship Id="rId18" Type="http://schemas.openxmlformats.org/officeDocument/2006/relationships/hyperlink" Target="https://doi.org/10.1186/2190-4715-24-24" TargetMode="External" /><Relationship Id="rId19" Type="http://schemas.openxmlformats.org/officeDocument/2006/relationships/hyperlink" Target="https://doi.org/10.1002/ps.8105" TargetMode="External" /><Relationship Id="rId2" Type="http://schemas.openxmlformats.org/officeDocument/2006/relationships/hyperlink" Target="https://doi.org/10.2903/j.efsa.2025.9745" TargetMode="External" /><Relationship Id="rId20" Type="http://schemas.openxmlformats.org/officeDocument/2006/relationships/hyperlink" Target="https://doi.org/10.1016/j.geoforum.2009.03.009" TargetMode="External" /><Relationship Id="rId21" Type="http://schemas.openxmlformats.org/officeDocument/2006/relationships/hyperlink" Target="http://data.europa.eu/eli/reg/2009/1107/oj" TargetMode="External" /><Relationship Id="rId22" Type="http://schemas.openxmlformats.org/officeDocument/2006/relationships/hyperlink" Target="https://doi.org/10.1016/j.mrrev.2019.02.001" TargetMode="External" /><Relationship Id="rId23" Type="http://schemas.openxmlformats.org/officeDocument/2006/relationships/hyperlink" Target="https://doi.org/10.1093/ije/dyz017" TargetMode="External" /><Relationship Id="rId24" Type="http://schemas.openxmlformats.org/officeDocument/2006/relationships/hyperlink" Target="https://doi.org/10.1371/journal.pone.0219610" TargetMode="External" /><Relationship Id="rId25" Type="http://schemas.openxmlformats.org/officeDocument/2006/relationships/hyperlink" Target="https://doi.org/10.1186/s13045-019-0767-9" TargetMode="External" /><Relationship Id="rId26" Type="http://schemas.openxmlformats.org/officeDocument/2006/relationships/hyperlink" Target="https://doi.org/10.1006/rtph.1999.1371" TargetMode="External" /><Relationship Id="rId27" Type="http://schemas.openxmlformats.org/officeDocument/2006/relationships/hyperlink" Target="https://doi.org/10.2903/j.efsa.2018.5263" TargetMode="External" /><Relationship Id="rId28" Type="http://schemas.openxmlformats.org/officeDocument/2006/relationships/hyperlink" Target="ttps://ec.europa.eu/commission/presscorner/detail/de/ip_22_7834" TargetMode="External" /><Relationship Id="rId29" Type="http://schemas.openxmlformats.org/officeDocument/2006/relationships/hyperlink" Target="https://commission.europa.eu/strategy-and-policy/priorities-2019-2024/european-green-deal/agriculture-and-green-deal/strategic-dialogue-future-eu-agriculture_de" TargetMode="External" /><Relationship Id="rId3" Type="http://schemas.openxmlformats.org/officeDocument/2006/relationships/hyperlink" Target="http://data.europa.eu/eli/C/2025/1797/oj" TargetMode="External" /><Relationship Id="rId30" Type="http://schemas.openxmlformats.org/officeDocument/2006/relationships/hyperlink" Target="http://data.europa.eu/eli/reg/2002/178/oj" TargetMode="External" /><Relationship Id="rId4" Type="http://schemas.openxmlformats.org/officeDocument/2006/relationships/hyperlink" Target="http://data.europa.eu/eli/C/2025/1798/oj" TargetMode="External" /><Relationship Id="rId5" Type="http://schemas.openxmlformats.org/officeDocument/2006/relationships/hyperlink" Target="http://data.europa.eu/eli/C/2025/1799/oj" TargetMode="External" /><Relationship Id="rId6" Type="http://schemas.openxmlformats.org/officeDocument/2006/relationships/hyperlink" Target="http://data.europa.eu/eli/C/2025/1800/oj" TargetMode="External" /><Relationship Id="rId7" Type="http://schemas.openxmlformats.org/officeDocument/2006/relationships/hyperlink" Target="http://data.europa.eu/eli/C/2025/1801/oj" TargetMode="External" /><Relationship Id="rId8" Type="http://schemas.openxmlformats.org/officeDocument/2006/relationships/hyperlink" Target="http://data.europa.eu/eli/C/2025/1802/oj" TargetMode="External" /><Relationship Id="rId9" Type="http://schemas.openxmlformats.org/officeDocument/2006/relationships/hyperlink" Target="http://data.europa.eu/eli/C/2025/180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1910</Words>
  <Characters>12510</Characters>
  <Application>Microsoft Office Word</Application>
  <DocSecurity>0</DocSecurity>
  <Lines>367</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2026-08-17T13:13:00Z</dcterms:created>
  <dcterms:modified xsi:type="dcterms:W3CDTF">2026-08-17T13:13:00Z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P10_TA(2026)0263_</vt:lpwstr>
  </property>
  <property fmtid="{D5CDD505-2E9C-101B-9397-08002B2CF9AE}" pid="4" name="&lt;Type&gt;">
    <vt:lpwstr>RR</vt:lpwstr>
  </property>
</Properties>
</file>