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62DFAF3" w14:textId="77777777" w:rsidTr="0010095E">
        <w:tblPrEx>
          <w:tblW w:w="9072" w:type="dxa"/>
          <w:tblLook w:val="01E0"/>
        </w:tblPrEx>
        <w:trPr>
          <w:trHeight w:hRule="exact" w:val="1418"/>
        </w:trPr>
        <w:tc>
          <w:tcPr>
            <w:tcW w:w="6804" w:type="dxa"/>
            <w:shd w:val="clear" w:color="auto" w:fill="auto"/>
            <w:vAlign w:val="center"/>
          </w:tcPr>
          <w:p w:rsidR="00751A4A" w:rsidRPr="000B2D39" w:rsidP="0010095E" w14:paraId="2B7CB9E3" w14:textId="77777777">
            <w:pPr>
              <w:pStyle w:val="EPName"/>
            </w:pPr>
            <w:r w:rsidRPr="000B2D39">
              <w:t>Eiropas Parlaments</w:t>
            </w:r>
          </w:p>
          <w:p w:rsidR="00751A4A" w:rsidRPr="000B2D39" w:rsidP="005F1B17" w14:paraId="6AF40464" w14:textId="77777777">
            <w:pPr>
              <w:pStyle w:val="EPTerm"/>
              <w:rPr>
                <w:rStyle w:val="HideTWBExt"/>
                <w:noProof w:val="0"/>
                <w:vanish w:val="0"/>
                <w:color w:val="auto"/>
              </w:rPr>
            </w:pPr>
            <w:r w:rsidRPr="000B2D39">
              <w:t>2024</w:t>
            </w:r>
            <w:r w:rsidRPr="000B2D39" w:rsidR="00817416">
              <w:t>-202</w:t>
            </w:r>
            <w:r w:rsidRPr="000B2D39">
              <w:t>9</w:t>
            </w:r>
          </w:p>
        </w:tc>
        <w:tc>
          <w:tcPr>
            <w:tcW w:w="2268" w:type="dxa"/>
            <w:shd w:val="clear" w:color="auto" w:fill="auto"/>
          </w:tcPr>
          <w:p w:rsidR="00751A4A" w:rsidRPr="000B2D39" w:rsidP="0010095E" w14:paraId="2E5962BF" w14:textId="77777777">
            <w:pPr>
              <w:pStyle w:val="EPLogo"/>
            </w:pPr>
            <w:r w:rsidRPr="000B2D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B2D39" w:rsidP="004C5D52" w14:paraId="1D0113A5" w14:textId="77777777">
      <w:pPr>
        <w:pStyle w:val="LineTop"/>
      </w:pPr>
    </w:p>
    <w:p w:rsidR="00680577" w:rsidRPr="000B2D39" w:rsidP="00680577" w14:paraId="4D5B72D6" w14:textId="77777777">
      <w:pPr>
        <w:pStyle w:val="EPBodyTA1"/>
      </w:pPr>
      <w:r w:rsidRPr="000B2D39">
        <w:t>PIEŅEMTIE TEKSTI</w:t>
      </w:r>
    </w:p>
    <w:p w:rsidR="00D058B8" w:rsidRPr="000B2D39" w:rsidP="00D058B8" w14:paraId="48516A09" w14:textId="77777777">
      <w:pPr>
        <w:pStyle w:val="LineBottom"/>
      </w:pPr>
    </w:p>
    <w:p w:rsidR="00BE5E11" w:rsidRPr="000B2D39" w:rsidP="00BE5E11" w14:paraId="765DC37E" w14:textId="5757AE82">
      <w:pPr>
        <w:pStyle w:val="ATHeading1"/>
      </w:pPr>
      <w:bookmarkStart w:id="0" w:name="TANumber"/>
      <w:r w:rsidRPr="000B2D39">
        <w:t>P10_TA(2026)0</w:t>
      </w:r>
      <w:bookmarkEnd w:id="0"/>
      <w:r w:rsidRPr="000B2D39" w:rsidR="000B2D39">
        <w:t>263</w:t>
      </w:r>
    </w:p>
    <w:p w:rsidR="00BE5E11" w:rsidRPr="000B2D39" w:rsidP="00BE5E11" w14:paraId="54D0D704" w14:textId="4A82FF54">
      <w:pPr>
        <w:pStyle w:val="ATHeading2"/>
      </w:pPr>
      <w:bookmarkStart w:id="1" w:name="title"/>
      <w:r w:rsidRPr="000B2D39">
        <w:t>Iebildumu izteikšana saskaņā ar Reglamenta 115. panta 2. un 3. punktu: ģenētiski modificēta</w:t>
      </w:r>
      <w:r w:rsidRPr="000B2D39" w:rsidR="00854BE4">
        <w:t xml:space="preserve"> </w:t>
      </w:r>
      <w:r w:rsidRPr="000B2D39">
        <w:t>kukurūza NK603 × T25</w:t>
      </w:r>
      <w:bookmarkEnd w:id="1"/>
    </w:p>
    <w:p w:rsidR="00BE5E11" w:rsidRPr="000B2D39" w:rsidP="00BE5E11" w14:paraId="6AD58BD1" w14:textId="77777777">
      <w:pPr>
        <w:rPr>
          <w:i/>
          <w:vanish/>
        </w:rPr>
      </w:pPr>
      <w:r>
        <w:rPr>
          <w:i/>
        </w:rPr>
        <w:fldChar w:fldCharType="begin"/>
      </w:r>
      <w:r w:rsidRPr="000B2D39">
        <w:rPr>
          <w:i/>
        </w:rPr>
        <w:instrText xml:space="preserve"> TC"(</w:instrText>
      </w:r>
      <w:bookmarkStart w:id="2" w:name="DocNumber"/>
      <w:r w:rsidRPr="000B2D39">
        <w:rPr>
          <w:i/>
        </w:rPr>
        <w:instrText>B10-0335/2026</w:instrText>
      </w:r>
      <w:bookmarkEnd w:id="2"/>
      <w:r w:rsidRPr="000B2D39">
        <w:rPr>
          <w:i/>
        </w:rPr>
        <w:instrText xml:space="preserve">)"\l3 \n&gt; \* MERGEFORMAT </w:instrText>
      </w:r>
      <w:r>
        <w:rPr>
          <w:i/>
        </w:rPr>
        <w:fldChar w:fldCharType="end"/>
      </w:r>
    </w:p>
    <w:p w:rsidR="00BE5E11" w:rsidRPr="000B2D39" w:rsidP="00BE5E11" w14:paraId="1D61C930" w14:textId="77777777">
      <w:pPr>
        <w:rPr>
          <w:vanish/>
        </w:rPr>
      </w:pPr>
      <w:bookmarkStart w:id="3" w:name="PE"/>
      <w:r w:rsidRPr="000B2D39">
        <w:rPr>
          <w:vanish/>
        </w:rPr>
        <w:t>PE789.023</w:t>
      </w:r>
      <w:bookmarkEnd w:id="3"/>
    </w:p>
    <w:p w:rsidR="00BE5E11" w:rsidRPr="000B2D39" w:rsidP="00BE5E11" w14:paraId="4B6FFE71" w14:textId="19740CCD">
      <w:pPr>
        <w:pStyle w:val="ATHeading3"/>
      </w:pPr>
      <w:bookmarkStart w:id="4" w:name="Sujet"/>
      <w:r w:rsidRPr="000B2D39">
        <w:t xml:space="preserve">Eiropas Parlamenta 2026. gada </w:t>
      </w:r>
      <w:r w:rsidRPr="000B2D39" w:rsidR="00854BE4">
        <w:t>8</w:t>
      </w:r>
      <w:r w:rsidRPr="000B2D39">
        <w:t xml:space="preserve">. </w:t>
      </w:r>
      <w:r w:rsidRPr="000B2D39" w:rsidR="00854BE4">
        <w:t>jūlija</w:t>
      </w:r>
      <w:r w:rsidRPr="000B2D39">
        <w:t xml:space="preserve"> rezolūcija par Komisijas </w:t>
      </w:r>
      <w:r w:rsidRPr="000B2D39" w:rsidR="00854BE4">
        <w:rPr>
          <w:bCs/>
        </w:rPr>
        <w:t xml:space="preserve">2026. gada 29. jūnija </w:t>
      </w:r>
      <w:r w:rsidRPr="000B2D39" w:rsidR="00204AFF">
        <w:t xml:space="preserve">Īstenošanas </w:t>
      </w:r>
      <w:r w:rsidRPr="000B2D39" w:rsidR="00854BE4">
        <w:t xml:space="preserve">Lēmumu </w:t>
      </w:r>
      <w:r w:rsidRPr="000B2D39" w:rsidR="00854BE4">
        <w:rPr>
          <w:bCs/>
        </w:rPr>
        <w:t>(ES) 2026/1417</w:t>
      </w:r>
      <w:r w:rsidRPr="000B2D39">
        <w:t>, ar kuru atbilstoši Eiropas Parlamenta un Padomes Regulai (EK) Nr. 1829/2003 atjauno atļauju laist tirgū produktus, kas satur ģenētiski modificētu kukurūzu NK603 × T25, no tās sastāv vai ir no tās ražoti</w:t>
      </w:r>
      <w:bookmarkEnd w:id="4"/>
      <w:r w:rsidRPr="000B2D39">
        <w:t xml:space="preserve"> </w:t>
      </w:r>
      <w:bookmarkStart w:id="5" w:name="References"/>
      <w:r w:rsidRPr="000B2D39">
        <w:t>(2026/2745(RSP))</w:t>
      </w:r>
      <w:bookmarkEnd w:id="5"/>
    </w:p>
    <w:p w:rsidR="00F026E2" w:rsidRPr="000B2D39" w:rsidP="00F026E2" w14:paraId="634D338E" w14:textId="77777777">
      <w:pPr>
        <w:pStyle w:val="EPComma"/>
      </w:pPr>
      <w:bookmarkStart w:id="6" w:name="TextBodyBegin"/>
      <w:bookmarkEnd w:id="6"/>
      <w:r w:rsidRPr="000B2D39">
        <w:rPr>
          <w:i/>
        </w:rPr>
        <w:t>Eiropas Parlaments</w:t>
      </w:r>
      <w:r w:rsidRPr="000B2D39">
        <w:t>,</w:t>
      </w:r>
    </w:p>
    <w:p w:rsidR="00F026E2" w:rsidRPr="000B2D39" w:rsidP="00F026E2" w14:paraId="23BFC92C" w14:textId="593AF9DE">
      <w:pPr>
        <w:pStyle w:val="NormalHanging12a"/>
      </w:pPr>
      <w:r w:rsidRPr="000B2D39">
        <w:t>–</w:t>
      </w:r>
      <w:r w:rsidRPr="000B2D39">
        <w:tab/>
        <w:t xml:space="preserve">ņemot vērā </w:t>
      </w:r>
      <w:r w:rsidRPr="000B2D39" w:rsidR="00854BE4">
        <w:t xml:space="preserve">Komisijas </w:t>
      </w:r>
      <w:r w:rsidRPr="000B2D39" w:rsidR="00854BE4">
        <w:rPr>
          <w:bCs/>
        </w:rPr>
        <w:t xml:space="preserve">2026. gada 29. jūnija </w:t>
      </w:r>
      <w:r w:rsidRPr="000B2D39" w:rsidR="00204AFF">
        <w:t>Ī</w:t>
      </w:r>
      <w:r w:rsidRPr="000B2D39" w:rsidR="00854BE4">
        <w:t xml:space="preserve">stenošanas Lēmumu </w:t>
      </w:r>
      <w:r w:rsidRPr="000B2D39" w:rsidR="00854BE4">
        <w:rPr>
          <w:bCs/>
        </w:rPr>
        <w:t>(ES) 2026/1417</w:t>
      </w:r>
      <w:r w:rsidRPr="000B2D39">
        <w:t>, ar kuru atbilstoši Eiropas Parlamenta un Padomes Regulai (EK) Nr. 1829/2003 atjauno atļauju laist tirgū produktus, kas satur ģenētiski modificētu kukurūzu NK603 × T25, no tās sastāv vai ir no tās ražoti</w:t>
      </w:r>
      <w:r>
        <w:rPr>
          <w:rStyle w:val="FootnoteReference"/>
        </w:rPr>
        <w:footnoteReference w:id="2"/>
      </w:r>
      <w:r w:rsidRPr="000B2D39">
        <w:t>,</w:t>
      </w:r>
    </w:p>
    <w:p w:rsidR="00F026E2" w:rsidRPr="000B2D39" w:rsidP="00F026E2" w14:paraId="0F9556C2" w14:textId="77777777">
      <w:pPr>
        <w:pStyle w:val="NormalHanging12a"/>
      </w:pPr>
      <w:r w:rsidRPr="000B2D39">
        <w:t>–</w:t>
      </w:r>
      <w:r w:rsidRPr="000B2D39">
        <w:tab/>
        <w:t>ņemot vērā Eiropas Parlamenta un Padomes 2003. gada 22. septembra Regulu (EK) Nr. 1829/2003 par ģenētiski modificētu pārtiku un barību</w:t>
      </w:r>
      <w:r>
        <w:rPr>
          <w:rStyle w:val="FootnoteReference"/>
        </w:rPr>
        <w:footnoteReference w:id="3"/>
      </w:r>
      <w:r w:rsidRPr="000B2D39">
        <w:t xml:space="preserve"> un jo īpaši tās 11. panta 3. punktu un 23. panta 3. punktu,</w:t>
      </w:r>
    </w:p>
    <w:p w:rsidR="00F026E2" w:rsidRPr="000B2D39" w:rsidP="00F026E2" w14:paraId="6F2E05AC" w14:textId="77777777">
      <w:pPr>
        <w:pStyle w:val="NormalHanging12a"/>
      </w:pPr>
      <w:r w:rsidRPr="000B2D39">
        <w:t>–</w:t>
      </w:r>
      <w:r w:rsidRPr="000B2D39">
        <w:tab/>
        <w:t xml:space="preserve">ņemot vērā Regulas (EK) Nr. 1829/2003 35. pantā minētās Augu, dzīvnieku, pārtikas aprites un dzīvnieku barības pastāvīgās komitejas 2026. gada 27. aprīļa balsojumu, kura dēļ atzinums netika sniegts, </w:t>
      </w:r>
      <w:bookmarkStart w:id="7" w:name="_Hlk219206484"/>
      <w:r w:rsidRPr="000B2D39">
        <w:t>un pārsūdzības komitejas 2026. gada 2. jūnija balsojumu, atkal nesniedzot atzinumu,</w:t>
      </w:r>
      <w:bookmarkEnd w:id="7"/>
    </w:p>
    <w:p w:rsidR="00F026E2" w:rsidRPr="000B2D39" w:rsidP="00F026E2" w14:paraId="539C9656" w14:textId="77777777">
      <w:pPr>
        <w:pStyle w:val="NormalHanging12a"/>
      </w:pPr>
      <w:r w:rsidRPr="000B2D39">
        <w:t>–</w:t>
      </w:r>
      <w:r w:rsidRPr="000B2D39">
        <w:tab/>
        <w:t>ņemot vērā 11. pantu Eiropas Parlamenta un Padomes 2011. gada 16. februāra Regulā (ES) Nr. 182/2011, ar ko nosaka normas un vispārīgus principus par dalībvalstu kontroles mehānismiem, kuri attiecas uz Komisijas īstenošanas pilnvaru izmantošanu</w:t>
      </w:r>
      <w:r>
        <w:rPr>
          <w:rStyle w:val="FootnoteReference"/>
        </w:rPr>
        <w:footnoteReference w:id="4"/>
      </w:r>
      <w:r w:rsidRPr="000B2D39">
        <w:t>,</w:t>
      </w:r>
    </w:p>
    <w:p w:rsidR="00F026E2" w:rsidRPr="000B2D39" w:rsidP="00F026E2" w14:paraId="39404F03" w14:textId="77777777">
      <w:pPr>
        <w:pStyle w:val="NormalHanging12a"/>
      </w:pPr>
      <w:r w:rsidRPr="000B2D39">
        <w:t>–</w:t>
      </w:r>
      <w:r w:rsidRPr="000B2D39">
        <w:tab/>
        <w:t>ņemot vērā Eiropas Pārtikas nekaitīguma iestādes (</w:t>
      </w:r>
      <w:r w:rsidRPr="000B2D39">
        <w:rPr>
          <w:i/>
          <w:iCs/>
        </w:rPr>
        <w:t>EFSA</w:t>
      </w:r>
      <w:r w:rsidRPr="000B2D39">
        <w:t xml:space="preserve">) 2025. gada 29. oktobrī </w:t>
      </w:r>
      <w:r w:rsidRPr="000B2D39">
        <w:t>pieņemto atzinumu, kas publicēts 2025. gada 27. novembrī</w:t>
      </w:r>
      <w:r>
        <w:rPr>
          <w:rStyle w:val="FootnoteReference"/>
        </w:rPr>
        <w:footnoteReference w:id="5"/>
      </w:r>
      <w:r w:rsidRPr="000B2D39">
        <w:t>,</w:t>
      </w:r>
    </w:p>
    <w:p w:rsidR="00F026E2" w:rsidRPr="000B2D39" w:rsidP="00F026E2" w14:paraId="732403E6" w14:textId="77777777">
      <w:pPr>
        <w:pStyle w:val="NormalHanging12a"/>
      </w:pPr>
      <w:r w:rsidRPr="000B2D39">
        <w:t>–</w:t>
      </w:r>
      <w:r w:rsidRPr="000B2D39">
        <w:tab/>
        <w:t>ņemot vērā Parlamenta iepriekšējās rezolūcijas, kurās iebilsts pret atļauju izmantot ģenētiski modificētus organismus (ĢMO)</w:t>
      </w:r>
      <w:r>
        <w:rPr>
          <w:rStyle w:val="FootnoteReference"/>
        </w:rPr>
        <w:footnoteReference w:id="6"/>
      </w:r>
      <w:r w:rsidRPr="000B2D39">
        <w:t>,</w:t>
      </w:r>
    </w:p>
    <w:p w:rsidR="00F026E2" w:rsidRPr="000B2D39" w:rsidP="00F026E2" w14:paraId="47B67847" w14:textId="77777777">
      <w:pPr>
        <w:pStyle w:val="NormalHanging12a"/>
      </w:pPr>
      <w:r w:rsidRPr="000B2D39">
        <w:t>–</w:t>
      </w:r>
      <w:r w:rsidRPr="000B2D39">
        <w:tab/>
        <w:t>ņemot vērā Reglamenta 115. panta 2. un 3. punktu,</w:t>
      </w:r>
    </w:p>
    <w:p w:rsidR="00F026E2" w:rsidRPr="000B2D39" w:rsidP="00F026E2" w14:paraId="3E312106" w14:textId="77777777">
      <w:pPr>
        <w:pStyle w:val="NormalHanging12a"/>
      </w:pPr>
      <w:r w:rsidRPr="000B2D39">
        <w:t>–</w:t>
      </w:r>
      <w:r w:rsidRPr="000B2D39">
        <w:tab/>
        <w:t>ņemot vērā Vides, klimata un pārtikas nekaitīguma komitejas rezolūcijas priekšlikumu,</w:t>
      </w:r>
    </w:p>
    <w:p w:rsidR="00F026E2" w:rsidRPr="000B2D39" w:rsidP="00F026E2" w14:paraId="7DCCA5DD" w14:textId="77777777">
      <w:pPr>
        <w:pStyle w:val="NormalHanging12a"/>
      </w:pPr>
      <w:r w:rsidRPr="000B2D39">
        <w:t>A.</w:t>
      </w:r>
      <w:r w:rsidRPr="000B2D39">
        <w:tab/>
        <w:t>tā kā ar Komisijas Īstenošanas lēmumu (ES) 2015/2279</w:t>
      </w:r>
      <w:r>
        <w:rPr>
          <w:rStyle w:val="FootnoteReference"/>
        </w:rPr>
        <w:footnoteReference w:id="7"/>
      </w:r>
      <w:r w:rsidRPr="000B2D39">
        <w:t xml:space="preserve"> ir atļauts laist tirgū pārtiku un barību, kas satur ģenētiski modificētu kukurūzu NK603 × T25 (turpmāk – “ĢM kukurūza”), no tās sastāv vai ir no tās ražota, tā kā šī atļauja darbojas arī attiecībā uz tādu produktu laišanu tirgū, kas nav pārtika vai barība un satur ĢM kukurūzu vai sastāv no tās un kas paredzēti izmantošanai tādos pašos veidos kā jebkura cita kukurūza, izņemot audzēšanu; </w:t>
      </w:r>
    </w:p>
    <w:p w:rsidR="00F026E2" w:rsidRPr="000B2D39" w:rsidP="00F026E2" w14:paraId="2F040274" w14:textId="77777777">
      <w:pPr>
        <w:pStyle w:val="NormalHanging12a"/>
      </w:pPr>
      <w:r w:rsidRPr="000B2D39">
        <w:t>B.</w:t>
      </w:r>
      <w:r w:rsidRPr="000B2D39">
        <w:tab/>
        <w:t xml:space="preserve">tā kā 2024. gada 19. aprīlī Beļģijā bāzētais uzņēmums </w:t>
      </w:r>
      <w:r w:rsidRPr="000B2D39">
        <w:rPr>
          <w:i/>
          <w:iCs/>
        </w:rPr>
        <w:t>Bayer Agriculture BV</w:t>
      </w:r>
      <w:r w:rsidRPr="000B2D39">
        <w:t xml:space="preserve"> Amerikas </w:t>
      </w:r>
      <w:r w:rsidRPr="000B2D39">
        <w:t xml:space="preserve">Savienotajās Valstīs bāzētā uzņēmuma </w:t>
      </w:r>
      <w:r w:rsidRPr="000B2D39">
        <w:rPr>
          <w:i/>
          <w:iCs/>
        </w:rPr>
        <w:t>Bayer CropScience LP</w:t>
      </w:r>
      <w:r w:rsidRPr="000B2D39">
        <w:t xml:space="preserve"> vārdā iesniedza Komisijai pieteikumu par minētās atļaujas atjaunošanu;</w:t>
      </w:r>
    </w:p>
    <w:p w:rsidR="00F026E2" w:rsidRPr="000B2D39" w:rsidP="00F026E2" w14:paraId="47DED6A9" w14:textId="77777777">
      <w:pPr>
        <w:pStyle w:val="NormalHanging12a"/>
      </w:pPr>
      <w:r w:rsidRPr="000B2D39">
        <w:t>C.</w:t>
      </w:r>
      <w:r w:rsidRPr="000B2D39">
        <w:tab/>
        <w:t xml:space="preserve">tā kā 2025. gada 27. novembrī </w:t>
      </w:r>
      <w:r w:rsidRPr="000B2D39">
        <w:rPr>
          <w:i/>
          <w:iCs/>
        </w:rPr>
        <w:t>EFSA</w:t>
      </w:r>
      <w:r w:rsidRPr="000B2D39">
        <w:t xml:space="preserve"> saskaņā ar Regulas (EK) Nr. 1829/2003 6. un 18. pantu izdeva labvēlīgu zinātnisko atzinumu; tā kā </w:t>
      </w:r>
      <w:r w:rsidRPr="000B2D39">
        <w:rPr>
          <w:i/>
          <w:iCs/>
        </w:rPr>
        <w:t>EFSA</w:t>
      </w:r>
      <w:r w:rsidRPr="000B2D39">
        <w:t xml:space="preserve"> secināja, ka atjaunošanas pieteikumā nav ietverti pierādījumi par jauniem apdraudējumiem, eksponētības izmaiņām vai zinātnisku nenoteiktību, kas liktu mainīt secinājumus, kuri izdarīti sākotnējā ĢM kukurūzas riska novērtējumā, ko Iestāde pieņēma 2015. gadā</w:t>
      </w:r>
      <w:r>
        <w:rPr>
          <w:rStyle w:val="FootnoteReference"/>
        </w:rPr>
        <w:footnoteReference w:id="8"/>
      </w:r>
      <w:r w:rsidRPr="000B2D39">
        <w:t xml:space="preserve">; tā kā minētajos atzinumos nav aplūkotas vairākas plašākas vidiskās, sociālekonomiskās un kumulatīvās ietekmes, kuras </w:t>
      </w:r>
      <w:r w:rsidRPr="000B2D39">
        <w:rPr>
          <w:i/>
          <w:iCs/>
        </w:rPr>
        <w:t>EFSA</w:t>
      </w:r>
      <w:r w:rsidRPr="000B2D39">
        <w:t xml:space="preserve"> ieskatā neietilpst tās kompetencē; </w:t>
      </w:r>
    </w:p>
    <w:p w:rsidR="00F026E2" w:rsidRPr="000B2D39" w:rsidP="00F026E2" w14:paraId="4ADDE5EA" w14:textId="77777777">
      <w:pPr>
        <w:pStyle w:val="NormalHanging12a"/>
      </w:pPr>
      <w:r w:rsidRPr="000B2D39">
        <w:t>D.</w:t>
      </w:r>
      <w:r w:rsidRPr="000B2D39">
        <w:tab/>
        <w:t xml:space="preserve">tā kā ĢM kukurūza ir pret herbicīdiem izturīga ģenētiski modificēta kukurūza, kas iegūta, apvienojot NK603 notikumu (glifozāta tolerance) un T25 notikumu (glufozinātamonija tolerance); </w:t>
      </w:r>
    </w:p>
    <w:p w:rsidR="00F026E2" w:rsidRPr="000B2D39" w:rsidP="00F026E2" w14:paraId="3DCA17A7" w14:textId="77777777">
      <w:pPr>
        <w:pStyle w:val="NormalHanging12a"/>
      </w:pPr>
      <w:r w:rsidRPr="000B2D39">
        <w:t>E.</w:t>
      </w:r>
      <w:r w:rsidRPr="000B2D39">
        <w:tab/>
        <w:t xml:space="preserve">tā kā </w:t>
      </w:r>
      <w:r w:rsidRPr="000B2D39">
        <w:rPr>
          <w:i/>
          <w:iCs/>
        </w:rPr>
        <w:t>EFSA</w:t>
      </w:r>
      <w:r w:rsidRPr="000B2D39">
        <w:t xml:space="preserve"> veiktajos riska novērtējumos netika iekļauti ne ilgtermiņa toksikoloģiskie pētījumi, ne detalizēta kumulatīvās un kombinētās ietekmes analīze, tostarp attiecībā uz potenciālo mijiedarbību ar kukurūzas audzēšanā parasti izmantoto pesticīdu atliekām;</w:t>
      </w:r>
    </w:p>
    <w:p w:rsidR="00F026E2" w:rsidRPr="000B2D39" w:rsidP="00F026E2" w14:paraId="0CFA2CC0" w14:textId="77777777">
      <w:pPr>
        <w:pStyle w:val="NormalHanging12a"/>
      </w:pPr>
      <w:r w:rsidRPr="000B2D39">
        <w:t>F.</w:t>
      </w:r>
      <w:r w:rsidRPr="000B2D39">
        <w:tab/>
        <w:t>tā kā lielākā daļa ĢM kultūraugu, arī ĢM kukurūza, ir ģenētiski modificēti, lai tie būtu izturīgi pret vienu vai vairākiem komplementāriem herbicīdiem, kurus var izmantot visā ĢM kultūraugu audzēšanas laikā, attiecīgajam kultūraugam neiznīkstot, kā tas būtu gadījumā, ja izmantotu pret herbicīdiem neizturīgu kultūru; tā kā vairākos pētījumos konstatēts, ka herbicīdizturīgu ĢM kultūraugu audzēšanā vairāk izmanto komplementārus herbicīdus, un tas lielā mērā notiek tādēļ, ka ir parādījušās herbicīdizturīgas nezāles</w:t>
      </w:r>
      <w:r>
        <w:rPr>
          <w:vertAlign w:val="superscript"/>
        </w:rPr>
        <w:footnoteReference w:id="9"/>
      </w:r>
      <w:r w:rsidRPr="000B2D39">
        <w:t>;</w:t>
      </w:r>
    </w:p>
    <w:p w:rsidR="00F026E2" w:rsidRPr="000B2D39" w:rsidP="00F026E2" w14:paraId="7493755F" w14:textId="77777777">
      <w:pPr>
        <w:pStyle w:val="NormalHanging12a"/>
      </w:pPr>
      <w:r w:rsidRPr="000B2D39">
        <w:t>G.</w:t>
      </w:r>
      <w:r w:rsidRPr="000B2D39">
        <w:tab/>
        <w:t xml:space="preserve">tā kā herbicīdizturīgu ĢM kultūraugu izmantošanas dēļ lauksaimnieki ir piesaistīti nezāļu pārvaldības sistēmai, kas lielā mērā vai pilnībā ir atkarīga no herbicīdiem, nosakot augstāku cenu par ĢM sēklām un vienlaikus radot atkarību no komplementāru herbicīdu kā ražošanas sistēmas neatņemamas daļas izmantošanas; tā kā lielāka atkarība no komplementāriem herbicīdiem saimniecībās, kurās audzē ĢM kukurūzu,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biodaudzveidību virs un zem zemes virskārtas, kā arī palielina iedarbību uz cilvēkiem un dzīvniekiem, iespējams, arī tādēļ, ka lielāks daudzums herbicīdu atlieku nonāk pārtikā un dzīvnieku </w:t>
      </w:r>
      <w:r w:rsidRPr="000B2D39">
        <w:t>barībā</w:t>
      </w:r>
      <w:r>
        <w:rPr>
          <w:vertAlign w:val="superscript"/>
        </w:rPr>
        <w:footnoteReference w:id="10"/>
      </w:r>
      <w:r w:rsidRPr="000B2D39">
        <w:t>;</w:t>
      </w:r>
    </w:p>
    <w:p w:rsidR="00F026E2" w:rsidRPr="000B2D39" w:rsidP="00F026E2" w14:paraId="580AC37B" w14:textId="77777777">
      <w:pPr>
        <w:pStyle w:val="NormalHanging12a"/>
      </w:pPr>
      <w:r w:rsidRPr="000B2D39">
        <w:t>H.</w:t>
      </w:r>
      <w:r w:rsidRPr="000B2D39">
        <w:tab/>
        <w:t>tā kā glufozināts ir klasificēts kā reproduktīvajai sistēmai toksiska viela (1B) un tāpēc tam piemērojami Eiropas Parlamenta un Padomes Regulā (EK) Nr. 1107/2009</w:t>
      </w:r>
      <w:r>
        <w:rPr>
          <w:vertAlign w:val="superscript"/>
        </w:rPr>
        <w:footnoteReference w:id="11"/>
      </w:r>
      <w:r w:rsidRPr="000B2D39">
        <w:t xml:space="preserve"> noteiktie izslēgšanas kritēriji; tā kā termiņš atļaujai lietot glufozinātu Savienībā beidzās 2018. gada 31. jūlijā;</w:t>
      </w:r>
    </w:p>
    <w:p w:rsidR="00F026E2" w:rsidRPr="000B2D39" w:rsidP="00F026E2" w14:paraId="2FFA3D32" w14:textId="77777777">
      <w:pPr>
        <w:pStyle w:val="NormalHanging12a"/>
      </w:pPr>
      <w:r w:rsidRPr="000B2D39">
        <w:t>I.</w:t>
      </w:r>
      <w:r w:rsidRPr="000B2D39">
        <w:tab/>
        <w:t xml:space="preserve">tā kā joprojām pastāv būtiskas zinātniskas neskaidrības par glifozāta drošumu cilvēka veselībai un videi; tā kā </w:t>
      </w:r>
      <w:r w:rsidRPr="000B2D39">
        <w:rPr>
          <w:i/>
          <w:iCs/>
        </w:rPr>
        <w:t>EFSA</w:t>
      </w:r>
      <w:r w:rsidRPr="000B2D39">
        <w:t xml:space="preserve"> 2015. gada novembrī secināja, ka glifozāts, visticamāk, nav kancerogēns, un Eiropas Ķimikāliju aģentūra 2017. gada martā secināja, ka nav pamata to šādi klasificēt; tā kā pretēji tam 2015. gadā Starptautiskā Vēža izpētes aģentūra, kas ir specializētā Pasaules Veselības organizācijas vēža pētniecības aģentūra, glifozātu klasificēja kā iespējami kancerogēnu cilvēkam; tā kā vairāki neseni zinātniski recenzēti pētījumi apstiprina to, ka glifozāts varētu būt kancerogēns</w:t>
      </w:r>
      <w:r>
        <w:rPr>
          <w:rStyle w:val="FootnoteReference"/>
        </w:rPr>
        <w:footnoteReference w:id="12"/>
      </w:r>
      <w:r w:rsidRPr="000B2D39">
        <w:t xml:space="preserve">; </w:t>
      </w:r>
      <w:bookmarkStart w:id="12" w:name="_Hlk218688545"/>
      <w:r w:rsidRPr="000B2D39">
        <w:t>tā kā žurnāls “</w:t>
      </w:r>
      <w:r w:rsidRPr="000B2D39">
        <w:rPr>
          <w:i/>
          <w:iCs/>
        </w:rPr>
        <w:t>Regulatory Toxicology and Pharmacology</w:t>
      </w:r>
      <w:r w:rsidRPr="000B2D39">
        <w:t>” ir oficiāli atsaucis 2000. gadā publicēto zinātnisko rakstu “</w:t>
      </w:r>
      <w:r w:rsidRPr="000B2D39">
        <w:rPr>
          <w:i/>
          <w:iCs/>
        </w:rPr>
        <w:t>Safety Evaluation and Risk Assessment of the Herbicide Roundup and Its Active Ingredient, Glyphosate, for Humans</w:t>
      </w:r>
      <w:r w:rsidRPr="000B2D39">
        <w:t>”, kas daudzos riska novērtējumos tika izmantots, lai aizstāvētu glifozāta drošību, jo “radās bažas par tā autorību, pētījuma rezultātu derīgumu autoru un pētījuma sponsora sniegtā ieguldījuma sagrozīšanas kontekstā un autoru iespējamiem interešu konfliktiem”</w:t>
      </w:r>
      <w:r>
        <w:rPr>
          <w:rStyle w:val="FootnoteReference"/>
        </w:rPr>
        <w:footnoteReference w:id="13"/>
      </w:r>
      <w:r w:rsidRPr="000B2D39">
        <w:t>;</w:t>
      </w:r>
      <w:bookmarkEnd w:id="12"/>
    </w:p>
    <w:p w:rsidR="00F026E2" w:rsidRPr="000B2D39" w:rsidP="00F026E2" w14:paraId="2E0A7624" w14:textId="77777777">
      <w:pPr>
        <w:pStyle w:val="NormalHanging12a"/>
      </w:pPr>
      <w:r w:rsidRPr="000B2D39">
        <w:t>J.</w:t>
      </w:r>
      <w:r w:rsidRPr="000B2D39">
        <w:tab/>
        <w:t xml:space="preserve">tā kā ĢM augos atrasto herbicīdu atlieku un metabolītu izvērtēšana neietilpst </w:t>
      </w:r>
      <w:r w:rsidRPr="000B2D39">
        <w:rPr>
          <w:i/>
          <w:iCs/>
        </w:rPr>
        <w:t>EFSA</w:t>
      </w:r>
      <w:r w:rsidRPr="000B2D39">
        <w:t xml:space="preserve"> Ģenētiski modificēto organismu komisijas kompetencē, un līdz ar to šāds novērtējums nav daļa no ĢMO apstiprināšanas; tā kā šāda situācija rada problēmu, jo ģenētiska modifikācija pati par sevi var ietekmēt veidu, kā attiecīgajā ĢM augā noārdās papildu herbicīdi, kā arī var izmainīt metabolītu sastāvu un attiecīgi izraisīt toksiskumu</w:t>
      </w:r>
      <w:r>
        <w:rPr>
          <w:rStyle w:val="FootnoteReference"/>
        </w:rPr>
        <w:footnoteReference w:id="14"/>
      </w:r>
      <w:r w:rsidRPr="000B2D39">
        <w:t>;</w:t>
      </w:r>
    </w:p>
    <w:p w:rsidR="00F026E2" w:rsidRPr="000B2D39" w:rsidP="00F026E2" w14:paraId="626307C9" w14:textId="77777777">
      <w:pPr>
        <w:pStyle w:val="NormalHanging12a"/>
      </w:pPr>
      <w:r w:rsidRPr="000B2D39">
        <w:t>K.</w:t>
      </w:r>
      <w:r w:rsidRPr="000B2D39">
        <w:tab/>
        <w:t>tā kā joprojām nav pietiekami nodrošināts neatkarīgs monitorings un novērošana attiecībā uz iespējamo nelabvēlīgo ietekmi uz biodaudzveidību, augsnes veselību, apputeksnētājiem un nemērķa organismiem;</w:t>
      </w:r>
    </w:p>
    <w:p w:rsidR="00F026E2" w:rsidRPr="000B2D39" w:rsidP="00F026E2" w14:paraId="0C2E9984" w14:textId="77777777">
      <w:pPr>
        <w:pStyle w:val="NormalHanging12a"/>
      </w:pPr>
      <w:r w:rsidRPr="000B2D39">
        <w:t>L.</w:t>
      </w:r>
      <w:r w:rsidRPr="000B2D39">
        <w:tab/>
        <w:t>tā kā zinātniskās nenoteiktības gadījumos būtu jāpiemēro piesardzības princips, kas ir noteikts Līguma par Eiropas Savienības darbību 191. pantā;</w:t>
      </w:r>
    </w:p>
    <w:p w:rsidR="00F026E2" w:rsidRPr="000B2D39" w:rsidP="00F026E2" w14:paraId="72C41B37" w14:textId="77777777">
      <w:pPr>
        <w:pStyle w:val="NormalHanging12a"/>
      </w:pPr>
      <w:r w:rsidRPr="000B2D39">
        <w:t>M.</w:t>
      </w:r>
      <w:r w:rsidRPr="000B2D39">
        <w:tab/>
        <w:t xml:space="preserve">tā kā Regulā (EK) Nr. 1829/2003 ir noteikts, ka ĢM pārtika un barība nedrīkst </w:t>
      </w:r>
      <w:r w:rsidRPr="000B2D39">
        <w:t>nelabvēlīgi ietekmēt cilvēku veselību, dzīvnieku veselību vai vidi;</w:t>
      </w:r>
    </w:p>
    <w:p w:rsidR="00F026E2" w:rsidRPr="000B2D39" w:rsidP="00F026E2" w14:paraId="68550B02" w14:textId="77777777">
      <w:pPr>
        <w:pStyle w:val="NormalHanging12a"/>
      </w:pPr>
      <w:r w:rsidRPr="000B2D39">
        <w:t>N.</w:t>
      </w:r>
      <w:r w:rsidRPr="000B2D39">
        <w:tab/>
        <w:t>tā kā ĢM kukurūzas atļaujas atjaunošana Savienībā būtu pretrunā starptautiskajām saistībām pesticīdu lietošanas samazināšanā</w:t>
      </w:r>
      <w:r>
        <w:rPr>
          <w:vertAlign w:val="superscript"/>
        </w:rPr>
        <w:footnoteReference w:id="15"/>
      </w:r>
      <w:r w:rsidRPr="000B2D39">
        <w:t>, jo valstīs, kurās audzē šos herbicīdizturīgos ĢM kultūraugus, palielinātos cilvēku, dzīvnieku un vides eksponētība glifozātam un glufozinātam, kā arī varētu rasties nopietnas ar to saistītas sekas veselībai;</w:t>
      </w:r>
    </w:p>
    <w:p w:rsidR="00F026E2" w:rsidRPr="000B2D39" w:rsidP="00F026E2" w14:paraId="219439A6" w14:textId="77777777">
      <w:pPr>
        <w:pStyle w:val="NormalHanging12a"/>
      </w:pPr>
      <w:r w:rsidRPr="000B2D39">
        <w:t>O.</w:t>
      </w:r>
      <w:r w:rsidRPr="000B2D39">
        <w:tab/>
        <w:t>tā kā Savienībā nav atļauts audzēt ĢM kukurūzu;</w:t>
      </w:r>
    </w:p>
    <w:p w:rsidR="00F026E2" w:rsidRPr="000B2D39" w:rsidP="00F026E2" w14:paraId="4E745AB0" w14:textId="357F3CAD">
      <w:pPr>
        <w:pStyle w:val="NormalHanging12a"/>
      </w:pPr>
      <w:r w:rsidRPr="000B2D39">
        <w:t>P.</w:t>
      </w:r>
      <w:r w:rsidRPr="000B2D39">
        <w:tab/>
        <w:t xml:space="preserve">tā kā ar Komisijas </w:t>
      </w:r>
      <w:r w:rsidRPr="000B2D39" w:rsidR="00204AFF">
        <w:t xml:space="preserve">Īstenošanas Lēmumu </w:t>
      </w:r>
      <w:r w:rsidRPr="000B2D39" w:rsidR="00204AFF">
        <w:rPr>
          <w:bCs/>
        </w:rPr>
        <w:t>(ES) 2026/1417</w:t>
      </w:r>
      <w:r w:rsidRPr="000B2D39">
        <w:t xml:space="preserve"> tiktu atļauts arī turpmāk Savienībā importēt produktus, kas neatbilst Savienības lauksaimnieku ievērotajiem standartiem, un tādējādi viņiem tiktu radīti neizdevīgi konkurences apstākļi;</w:t>
      </w:r>
    </w:p>
    <w:p w:rsidR="00F026E2" w:rsidRPr="000B2D39" w:rsidP="00F026E2" w14:paraId="60C7F36B" w14:textId="574A0856">
      <w:pPr>
        <w:pStyle w:val="NormalHanging12a"/>
      </w:pPr>
      <w:r>
        <w:t>Q</w:t>
      </w:r>
      <w:r w:rsidRPr="000B2D39">
        <w:t>.</w:t>
      </w:r>
      <w:r w:rsidRPr="000B2D39">
        <w:tab/>
        <w:t>tā kā stratēģiskā dialoga par lauksaimniecības nākotni Eiropas Savienībā secinājumos</w:t>
      </w:r>
      <w:r>
        <w:rPr>
          <w:vertAlign w:val="superscript"/>
        </w:rPr>
        <w:footnoteReference w:id="16"/>
      </w:r>
      <w:r w:rsidRPr="000B2D39">
        <w:t xml:space="preserve"> Komisija tiek aicināta atkārtoti izvērtēt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2024. un 2025. gada demonstrāciju laikā;</w:t>
      </w:r>
    </w:p>
    <w:p w:rsidR="00F026E2" w:rsidRPr="000B2D39" w:rsidP="00F026E2" w14:paraId="71D235C5" w14:textId="77777777">
      <w:pPr>
        <w:pStyle w:val="NormalHanging12a"/>
      </w:pPr>
      <w:r w:rsidRPr="000B2D39">
        <w:t>R.</w:t>
      </w:r>
      <w:r w:rsidRPr="000B2D39">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rsidR="00F026E2" w:rsidRPr="000B2D39" w:rsidP="00F026E2" w14:paraId="2865C7F8" w14:textId="77777777">
      <w:pPr>
        <w:pStyle w:val="NormalHanging12a"/>
      </w:pPr>
      <w:r w:rsidRPr="000B2D39">
        <w:t>S.</w:t>
      </w:r>
      <w:r w:rsidRPr="000B2D39">
        <w:tab/>
        <w:t>tā kā Komisija turpina piešķirt atļaujas ĢMO, neraugoties uz pašas atzītajām nepilnībām demokrātiskā lēmumu pieņemšanas procesā, dalībvalstu atbalsta trūkumu un Parlamenta iebildumiem;</w:t>
      </w:r>
    </w:p>
    <w:p w:rsidR="00F026E2" w:rsidRPr="000B2D39" w:rsidP="00F026E2" w14:paraId="63B5433E" w14:textId="77777777">
      <w:pPr>
        <w:pStyle w:val="NormalHanging12a"/>
      </w:pPr>
      <w:r w:rsidRPr="000B2D39">
        <w:t>T.</w:t>
      </w:r>
      <w:r w:rsidRPr="000B2D39">
        <w:tab/>
        <w:t>tā kā pieeja “Viena veselība” paredz, ka, novērtējot ĢMO ilgtermiņa ilgtspēju un drošumu, ir jāņem vērā cilvēku, dzīvnieku, augu un vides veselības savstarpējā atkarība;</w:t>
      </w:r>
    </w:p>
    <w:p w:rsidR="00F026E2" w:rsidRPr="000B2D39" w:rsidP="00F026E2" w14:paraId="3BE18CAC" w14:textId="6D47813A">
      <w:pPr>
        <w:pStyle w:val="NormalHanging12a"/>
      </w:pPr>
      <w:r w:rsidRPr="000B2D39">
        <w:t>1.</w:t>
      </w:r>
      <w:r w:rsidRPr="000B2D39">
        <w:tab/>
        <w:t xml:space="preserve">uzskata, ka Komisijas </w:t>
      </w:r>
      <w:r w:rsidRPr="000B2D39" w:rsidR="00204AFF">
        <w:t xml:space="preserve">Īstenošanas Lēmums </w:t>
      </w:r>
      <w:r w:rsidRPr="000B2D39" w:rsidR="00204AFF">
        <w:rPr>
          <w:bCs/>
        </w:rPr>
        <w:t>(ES) 2026/1417</w:t>
      </w:r>
      <w:r w:rsidRPr="000B2D39" w:rsidR="00204AFF">
        <w:t xml:space="preserve"> </w:t>
      </w:r>
      <w:r w:rsidRPr="000B2D39">
        <w:t>pārsniedz Regulā (EK) Nr. 1829/2003 paredzētās īstenošanas pilnvaras;</w:t>
      </w:r>
    </w:p>
    <w:p w:rsidR="00F026E2" w:rsidRPr="000B2D39" w:rsidP="00F026E2" w14:paraId="56DE7295" w14:textId="6B3579BD">
      <w:pPr>
        <w:pStyle w:val="NormalHanging12a"/>
      </w:pPr>
      <w:r w:rsidRPr="000B2D39">
        <w:t>2.</w:t>
      </w:r>
      <w:r w:rsidRPr="000B2D39">
        <w:tab/>
        <w:t xml:space="preserve">uzskata, ka Komisijas </w:t>
      </w:r>
      <w:r w:rsidRPr="000B2D39" w:rsidR="00204AFF">
        <w:t xml:space="preserve">Īstenošanas Lēmums </w:t>
      </w:r>
      <w:r w:rsidRPr="000B2D39" w:rsidR="00204AFF">
        <w:rPr>
          <w:bCs/>
        </w:rPr>
        <w:t>(ES) 2026/1417</w:t>
      </w:r>
      <w:r w:rsidRPr="000B2D39" w:rsidR="00204AFF">
        <w:t xml:space="preserve"> </w:t>
      </w:r>
      <w:r w:rsidRPr="000B2D39">
        <w:t>neatbilst Savienības tiesību aktiem, jo nav saderīgs ar Regulas (EK) Nr. 1829/2003 mērķi, proti, saskaņā ar Eiropas Parlamenta un Padomes Regulā (EK) Nr. 178/2002</w:t>
      </w:r>
      <w:r>
        <w:rPr>
          <w:vertAlign w:val="superscript"/>
        </w:rPr>
        <w:footnoteReference w:id="17"/>
      </w:r>
      <w:r w:rsidRPr="000B2D39">
        <w:t xml:space="preserve"> izklāstītiem vispārējiem principiem nodrošināt pamatu tam, ka saistībā ar ĢM pārtiku un barību augstā līmenī ir garantēta cilvēka dzīvības un veselības, dzīvnieku veselības un labturības, vides un </w:t>
      </w:r>
      <w:r w:rsidRPr="000B2D39">
        <w:t xml:space="preserve">patērētāju interešu aizsardzība, vienlaikus nodrošinot efektīvu iekšējā tirgus darbību; </w:t>
      </w:r>
    </w:p>
    <w:p w:rsidR="00F026E2" w:rsidRPr="000B2D39" w:rsidP="00F026E2" w14:paraId="2EDE9EA3" w14:textId="7D8C489C">
      <w:pPr>
        <w:spacing w:after="240"/>
        <w:ind w:left="567" w:hanging="567"/>
      </w:pPr>
      <w:r w:rsidRPr="000B2D39">
        <w:t>3.</w:t>
      </w:r>
      <w:r w:rsidRPr="000B2D39">
        <w:tab/>
        <w:t xml:space="preserve">prasa Komisijai atsaukt </w:t>
      </w:r>
      <w:r w:rsidRPr="000B2D39" w:rsidR="00204AFF">
        <w:t xml:space="preserve">Komisijas Īstenošanas Lēmumu </w:t>
      </w:r>
      <w:r w:rsidRPr="000B2D39" w:rsidR="00204AFF">
        <w:rPr>
          <w:bCs/>
        </w:rPr>
        <w:t>(ES) 2026/1417</w:t>
      </w:r>
      <w:r w:rsidRPr="000B2D39">
        <w:t>;</w:t>
      </w:r>
    </w:p>
    <w:p w:rsidR="00F026E2" w:rsidRPr="000B2D39" w:rsidP="00F026E2" w14:paraId="2D78AB42" w14:textId="77777777">
      <w:pPr>
        <w:spacing w:after="240"/>
        <w:ind w:left="567" w:hanging="567"/>
      </w:pPr>
      <w:bookmarkStart w:id="14" w:name="_Hlk218675841"/>
      <w:r w:rsidRPr="000B2D39">
        <w:t>4.</w:t>
      </w:r>
      <w:r w:rsidRPr="000B2D39">
        <w:tab/>
        <w:t>aicina Komisiju neatjaunot ĢM kukurūzas atļauju, jo nav pietiekamu pierādījumu par tās ilgtermiņa ietekmi uz biodaudzveidību, pārtikas nekaitīgumu, lauksaimnieku iztikas līdzekļiem un dzīvnieku veselību saskaņā ar pieeju “Viena veselība”;</w:t>
      </w:r>
    </w:p>
    <w:p w:rsidR="00F026E2" w:rsidRPr="000B2D39" w:rsidP="00F026E2" w14:paraId="094EC6DE" w14:textId="77777777">
      <w:pPr>
        <w:spacing w:after="240"/>
        <w:ind w:left="567" w:hanging="567"/>
      </w:pPr>
      <w:bookmarkStart w:id="15" w:name="_Hlk210900300"/>
      <w:r w:rsidRPr="000B2D39">
        <w:t>5.</w:t>
      </w:r>
      <w:r w:rsidRPr="000B2D39">
        <w:tab/>
        <w:t>Calls on aicina Komisiju nekavējoties iesniegt tiesību akta priekšlikumu, lai reformētu lēmumu pieņemšanas procedūru attiecībā uz ĢMO, reaģējot uz Parlamenta konsekventajiem iebildumiem un kvalificēta vairākuma atbalsta trūkumu starp dalībvalstīm</w:t>
      </w:r>
      <w:bookmarkEnd w:id="15"/>
      <w:r w:rsidRPr="000B2D39">
        <w:t>;</w:t>
      </w:r>
    </w:p>
    <w:p w:rsidR="00F026E2" w:rsidRPr="000B2D39" w:rsidP="00F026E2" w14:paraId="2E2FD57E" w14:textId="77777777">
      <w:pPr>
        <w:spacing w:after="240"/>
        <w:ind w:left="567" w:hanging="567"/>
      </w:pPr>
      <w:bookmarkStart w:id="16" w:name="_Hlk210900241"/>
      <w:r w:rsidRPr="000B2D39">
        <w:t>6.</w:t>
      </w:r>
      <w:r w:rsidRPr="000B2D39">
        <w:tab/>
        <w:t>šajā saistībā uzsver, ka atļauja izmantošanai pārtikā, dzīvnieku barībā vai produktos importēt ĢM augus, kas ir herbicīdizturīgi pret Savienībā aizliegtiem herbicīdiem, piemēram, glufozinātu, ir pretrunā Savienības starptautiskajām saistībām, kuras cita starpā noteiktas ANO Biodaudzveidības konvencijā un ANO ilgtspējīgas attīstības mērķos, tostarp nesen pieņemtajā Kuņminas-Monreālas satvarā, un ka tā rada nevienlīdzīgus konkurences apstākļus Savienības lauksaimniekiem;</w:t>
      </w:r>
    </w:p>
    <w:bookmarkEnd w:id="16"/>
    <w:p w:rsidR="00C002D5" w:rsidRPr="000B2D39" w:rsidP="00C002D5" w14:paraId="7C1E0801" w14:textId="48753491">
      <w:pPr>
        <w:spacing w:after="240"/>
        <w:ind w:left="567" w:hanging="567"/>
      </w:pPr>
      <w:r w:rsidRPr="000B2D39">
        <w:t>7.</w:t>
      </w:r>
      <w:r w:rsidRPr="000B2D39">
        <w:tab/>
      </w:r>
      <w:bookmarkEnd w:id="14"/>
      <w:r w:rsidRPr="000B2D39">
        <w:t>uzdod priekšsēdētājai šo rezolūciju nosūtīt Padomei un Komisijai, kā arī dalībvalstu valdībām un parlamentiem.</w:t>
      </w:r>
    </w:p>
    <w:p w:rsidR="00E365E1" w:rsidRPr="000B2D39" w:rsidP="00BE5E11" w14:paraId="09A774BB" w14:textId="2AC7750E"/>
    <w:sectPr w:rsidSect="00C002D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2D5" w14:paraId="282926A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2D5" w14:paraId="3EB802D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2D5" w14:paraId="574A64D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E5E11" w:rsidRPr="00C002D5" w14:paraId="3A3A5236" w14:textId="77777777">
      <w:r w:rsidRPr="00C002D5">
        <w:separator/>
      </w:r>
    </w:p>
  </w:footnote>
  <w:footnote w:type="continuationSeparator" w:id="1">
    <w:p w:rsidR="00BE5E11" w:rsidRPr="00C002D5" w14:paraId="02138656" w14:textId="77777777">
      <w:r w:rsidRPr="00C002D5">
        <w:continuationSeparator/>
      </w:r>
    </w:p>
  </w:footnote>
  <w:footnote w:id="2">
    <w:p w:rsidR="00854BE4" w:rsidRPr="000B2D39" w:rsidP="000B2D39" w14:paraId="3BE69D92" w14:textId="6A4622D5">
      <w:pPr>
        <w:pStyle w:val="FootnoteText"/>
        <w:ind w:left="567" w:hanging="567"/>
        <w:rPr>
          <w:lang w:val="lv-LV"/>
        </w:rPr>
      </w:pPr>
      <w:r w:rsidRPr="00854BE4">
        <w:rPr>
          <w:rStyle w:val="FootnoteReference"/>
        </w:rPr>
        <w:footnoteRef/>
      </w:r>
      <w:r w:rsidRPr="000B2D39">
        <w:rPr>
          <w:lang w:val="fi-FI"/>
        </w:rPr>
        <w:t xml:space="preserve"> </w:t>
      </w:r>
      <w:r w:rsidRPr="00854BE4">
        <w:rPr>
          <w:lang w:val="lv-LV"/>
        </w:rPr>
        <w:tab/>
      </w:r>
      <w:r w:rsidRPr="000B2D39">
        <w:rPr>
          <w:sz w:val="24"/>
          <w:szCs w:val="24"/>
          <w:lang w:val="fi-FI"/>
        </w:rPr>
        <w:t xml:space="preserve">OV L, 2026/1417, 3.7.2026., ELI: </w:t>
      </w:r>
      <w:hyperlink r:id="rId1" w:history="1">
        <w:r w:rsidRPr="000B2D39">
          <w:rPr>
            <w:rStyle w:val="Hyperlink"/>
            <w:sz w:val="24"/>
            <w:szCs w:val="24"/>
            <w:lang w:val="fi-FI"/>
          </w:rPr>
          <w:t>http://data.europa.eu/eli/dec_impl/2026/1417/oj</w:t>
        </w:r>
      </w:hyperlink>
      <w:r>
        <w:rPr>
          <w:sz w:val="24"/>
          <w:szCs w:val="24"/>
          <w:lang w:val="fi-FI"/>
        </w:rPr>
        <w:t>.</w:t>
      </w:r>
    </w:p>
  </w:footnote>
  <w:footnote w:id="3">
    <w:p w:rsidR="00F026E2" w:rsidRPr="00C002D5" w:rsidP="00C002D5" w14:paraId="2F8E2AC7" w14:textId="37AD253F">
      <w:pPr>
        <w:pStyle w:val="FootnoteText"/>
        <w:ind w:left="567" w:hanging="567"/>
        <w:rPr>
          <w:sz w:val="24"/>
          <w:lang w:val="lv-LV"/>
        </w:rPr>
      </w:pPr>
      <w:r w:rsidRPr="00C002D5">
        <w:rPr>
          <w:rStyle w:val="Funotenzeichen"/>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OV L 268, 18.10.2003., 1. lpp., ELI: </w:t>
      </w:r>
      <w:hyperlink r:id="rId2" w:tooltip="Gives access to this document through its ELI URI." w:history="1">
        <w:r w:rsidRPr="000B2D39" w:rsidR="00854BE4">
          <w:rPr>
            <w:rStyle w:val="Hyperlink"/>
            <w:sz w:val="24"/>
            <w:szCs w:val="24"/>
            <w:lang w:val="sv-SE"/>
          </w:rPr>
          <w:t>http://data.europa.eu/eli/reg/2003/1829/oj</w:t>
        </w:r>
      </w:hyperlink>
      <w:r w:rsidRPr="00854BE4" w:rsidR="00854BE4">
        <w:rPr>
          <w:sz w:val="24"/>
          <w:lang w:val="lv-LV"/>
        </w:rPr>
        <w:t>.</w:t>
      </w:r>
    </w:p>
  </w:footnote>
  <w:footnote w:id="4">
    <w:p w:rsidR="00F026E2" w:rsidRPr="00C002D5" w:rsidP="00C002D5" w14:paraId="7C0BE570" w14:textId="087AB6B6">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OV L 55, 28.2.2011., 13. lpp., ELI: </w:t>
      </w:r>
      <w:hyperlink r:id="rId3" w:tooltip="https://eur-lex.europa.eu/eli/reg/2011/182/oj;" w:history="1">
        <w:r w:rsidRPr="00C002D5">
          <w:rPr>
            <w:rStyle w:val="Hyperlink"/>
            <w:sz w:val="24"/>
            <w:lang w:val="lv-LV"/>
          </w:rPr>
          <w:t>http://data.europa.eu/eli/reg/2011/182/oj</w:t>
        </w:r>
      </w:hyperlink>
      <w:r w:rsidR="00854BE4">
        <w:rPr>
          <w:sz w:val="24"/>
          <w:lang w:val="lv-LV"/>
        </w:rPr>
        <w:t>.</w:t>
      </w:r>
    </w:p>
  </w:footnote>
  <w:footnote w:id="5">
    <w:p w:rsidR="00F026E2" w:rsidRPr="00C002D5" w:rsidP="00C002D5" w14:paraId="6F6DEF06" w14:textId="0621ED7A">
      <w:pPr>
        <w:pStyle w:val="FootnoteText"/>
        <w:ind w:left="567" w:hanging="567"/>
        <w:rPr>
          <w:sz w:val="24"/>
          <w:lang w:val="lv-LV"/>
        </w:rPr>
      </w:pPr>
      <w:r w:rsidRPr="00C002D5">
        <w:rPr>
          <w:rStyle w:val="Funotenzeichen"/>
          <w:sz w:val="24"/>
          <w:lang w:val="lv-LV"/>
        </w:rPr>
        <w:footnoteRef/>
      </w:r>
      <w:r w:rsidRPr="00C002D5" w:rsidR="00C002D5">
        <w:rPr>
          <w:i/>
          <w:iCs/>
          <w:sz w:val="24"/>
          <w:lang w:val="lv-LV"/>
        </w:rPr>
        <w:t xml:space="preserve"> </w:t>
      </w:r>
      <w:r w:rsidRPr="00C002D5" w:rsidR="00C002D5">
        <w:rPr>
          <w:i/>
          <w:iCs/>
          <w:sz w:val="24"/>
          <w:lang w:val="lv-LV"/>
        </w:rPr>
        <w:tab/>
      </w:r>
      <w:r w:rsidRPr="00C002D5">
        <w:rPr>
          <w:i/>
          <w:iCs/>
          <w:sz w:val="24"/>
          <w:lang w:val="lv-LV"/>
        </w:rPr>
        <w:t>EFSA</w:t>
      </w:r>
      <w:r w:rsidRPr="00C002D5">
        <w:rPr>
          <w:sz w:val="24"/>
          <w:lang w:val="lv-LV"/>
        </w:rPr>
        <w:t xml:space="preserve"> Ekspertu grupas ģenētiski modificētu organismu jautājumos zinātniskais atzinums par dokumentu “</w:t>
      </w:r>
      <w:r w:rsidRPr="00C002D5">
        <w:rPr>
          <w:i/>
          <w:iCs/>
          <w:sz w:val="24"/>
          <w:lang w:val="lv-LV"/>
        </w:rPr>
        <w:t>Assessment of genetically modified maize NK603 × T25 (dossier</w:t>
      </w:r>
      <w:r w:rsidRPr="00C002D5">
        <w:rPr>
          <w:sz w:val="24"/>
          <w:lang w:val="lv-LV"/>
        </w:rPr>
        <w:t xml:space="preserve"> GMFF-2023-21252)”, </w:t>
      </w:r>
      <w:r w:rsidRPr="00C002D5">
        <w:rPr>
          <w:i/>
          <w:iCs/>
          <w:sz w:val="24"/>
          <w:lang w:val="lv-LV"/>
        </w:rPr>
        <w:t>EFSA Journal</w:t>
      </w:r>
      <w:r w:rsidRPr="00C002D5">
        <w:rPr>
          <w:sz w:val="24"/>
          <w:lang w:val="lv-LV"/>
        </w:rPr>
        <w:t xml:space="preserve">, 2025, 23. sēj. (11.):e9745, </w:t>
      </w:r>
      <w:hyperlink r:id="rId4" w:history="1">
        <w:r w:rsidRPr="00C002D5">
          <w:rPr>
            <w:rStyle w:val="Hyperlink"/>
            <w:sz w:val="24"/>
            <w:lang w:val="lv-LV"/>
          </w:rPr>
          <w:t>https://doi.org/10.2903/j.efsa.2025.9745</w:t>
        </w:r>
      </w:hyperlink>
      <w:r w:rsidRPr="00C002D5">
        <w:rPr>
          <w:rStyle w:val="Hyperlink"/>
          <w:sz w:val="24"/>
          <w:lang w:val="lv-LV"/>
        </w:rPr>
        <w:t>.</w:t>
      </w:r>
    </w:p>
  </w:footnote>
  <w:footnote w:id="6">
    <w:p w:rsidR="00F026E2" w:rsidRPr="00C002D5" w:rsidP="00C002D5" w14:paraId="6777A466" w14:textId="1C05D7D4">
      <w:pPr>
        <w:pStyle w:val="FootnoteText"/>
        <w:ind w:left="567" w:hanging="567"/>
        <w:rPr>
          <w:color w:val="000000" w:themeColor="text1"/>
          <w:sz w:val="24"/>
          <w:vertAlign w:val="superscript"/>
          <w:lang w:val="lv-LV"/>
        </w:rPr>
      </w:pPr>
      <w:r w:rsidRPr="00C002D5">
        <w:rPr>
          <w:rStyle w:val="Funotenzeichen"/>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Parlaments astotajā sasaukumā pieņēma 36 rezolūcijas un devītajā sasaukumā – 38 rezolūcijas, ar ko iebilda pret atļauju izmantot ĢMO.</w:t>
      </w:r>
      <w:r w:rsidRPr="00C002D5">
        <w:rPr>
          <w:color w:val="000000" w:themeColor="text1"/>
          <w:sz w:val="24"/>
          <w:lang w:val="lv-LV"/>
        </w:rPr>
        <w:t xml:space="preserve"> Turklāt desmitajā sasaukumā Parlaments ir pieņēmis šādas rezolūcijas:</w:t>
      </w:r>
    </w:p>
    <w:p w:rsidR="00F026E2" w:rsidRPr="00C002D5" w:rsidP="000B2D39" w14:paraId="73EADA8F" w14:textId="66C008E8">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5" w:history="1">
        <w:r w:rsidRPr="00C002D5">
          <w:rPr>
            <w:rStyle w:val="Hyperlink"/>
            <w:sz w:val="24"/>
            <w:lang w:val="lv-LV"/>
          </w:rPr>
          <w:t>http://data.europa.eu/eli/C/2025/1797/oj</w:t>
        </w:r>
      </w:hyperlink>
      <w:r w:rsidRPr="00C002D5">
        <w:rPr>
          <w:color w:val="000000" w:themeColor="text1"/>
          <w:sz w:val="24"/>
          <w:lang w:val="lv-LV"/>
        </w:rPr>
        <w:t>);</w:t>
      </w:r>
    </w:p>
    <w:p w:rsidR="00F026E2" w:rsidRPr="00C002D5" w:rsidP="000B2D39" w14:paraId="13CF834F" w14:textId="789138A5">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6" w:history="1">
        <w:r w:rsidRPr="00C002D5">
          <w:rPr>
            <w:rStyle w:val="Hyperlink"/>
            <w:sz w:val="24"/>
            <w:lang w:val="lv-LV"/>
          </w:rPr>
          <w:t>http://data.europa.eu/eli/C/2025/1798/oj</w:t>
        </w:r>
      </w:hyperlink>
      <w:r w:rsidRPr="00C002D5">
        <w:rPr>
          <w:color w:val="000000" w:themeColor="text1"/>
          <w:sz w:val="24"/>
          <w:lang w:val="lv-LV"/>
        </w:rPr>
        <w:t>);</w:t>
      </w:r>
    </w:p>
    <w:p w:rsidR="00F026E2" w:rsidRPr="00C002D5" w:rsidP="000B2D39" w14:paraId="1AED1BC8" w14:textId="3883B56A">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7" w:history="1">
        <w:r w:rsidRPr="00C002D5">
          <w:rPr>
            <w:rStyle w:val="Hyperlink"/>
            <w:sz w:val="24"/>
            <w:lang w:val="lv-LV"/>
          </w:rPr>
          <w:t>http://data.europa.eu/eli/C/2025/1799/oj</w:t>
        </w:r>
      </w:hyperlink>
      <w:r w:rsidRPr="00C002D5">
        <w:rPr>
          <w:color w:val="000000" w:themeColor="text1"/>
          <w:sz w:val="24"/>
          <w:lang w:val="lv-LV"/>
        </w:rPr>
        <w:t>);</w:t>
      </w:r>
    </w:p>
    <w:p w:rsidR="00F026E2" w:rsidRPr="00C002D5" w:rsidP="000B2D39" w14:paraId="154F9655" w14:textId="5F6B51C7">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8" w:history="1">
        <w:r w:rsidRPr="00C002D5">
          <w:rPr>
            <w:rStyle w:val="Hyperlink"/>
            <w:sz w:val="24"/>
            <w:lang w:val="lv-LV"/>
          </w:rPr>
          <w:t>http://data.europa.eu/eli/C/2025/1800/oj</w:t>
        </w:r>
      </w:hyperlink>
      <w:r w:rsidRPr="00C002D5">
        <w:rPr>
          <w:color w:val="000000" w:themeColor="text1"/>
          <w:sz w:val="24"/>
          <w:lang w:val="lv-LV"/>
        </w:rPr>
        <w:t>);</w:t>
      </w:r>
    </w:p>
    <w:p w:rsidR="00F026E2" w:rsidRPr="00C002D5" w:rsidP="000B2D39" w14:paraId="29470A14" w14:textId="67CD551F">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9" w:history="1">
        <w:r w:rsidRPr="00C002D5">
          <w:rPr>
            <w:rStyle w:val="Hyperlink"/>
            <w:sz w:val="24"/>
            <w:lang w:val="lv-LV"/>
          </w:rPr>
          <w:t>https://eur-lex.europa.eu/eli/C/2025/1801/oj</w:t>
        </w:r>
      </w:hyperlink>
      <w:r w:rsidRPr="00C002D5">
        <w:rPr>
          <w:color w:val="000000" w:themeColor="text1"/>
          <w:sz w:val="24"/>
          <w:lang w:val="lv-LV"/>
        </w:rPr>
        <w:t>);</w:t>
      </w:r>
    </w:p>
    <w:p w:rsidR="00F026E2" w:rsidRPr="00C002D5" w:rsidP="000B2D39" w14:paraId="255A7AE2" w14:textId="0D4CCAF7">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10" w:history="1">
        <w:r w:rsidRPr="00C002D5">
          <w:rPr>
            <w:rStyle w:val="Hyperlink"/>
            <w:sz w:val="24"/>
            <w:lang w:val="lv-LV"/>
          </w:rPr>
          <w:t>http://data.europa.eu/eli/C/2025/1802/oj</w:t>
        </w:r>
      </w:hyperlink>
      <w:r w:rsidRPr="00C002D5">
        <w:rPr>
          <w:color w:val="000000" w:themeColor="text1"/>
          <w:sz w:val="24"/>
          <w:lang w:val="lv-LV"/>
        </w:rPr>
        <w:t>);</w:t>
      </w:r>
    </w:p>
    <w:p w:rsidR="00F026E2" w:rsidRPr="00C002D5" w:rsidP="000B2D39" w14:paraId="1B28ECDF" w14:textId="3519DF2B">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1" w:history="1">
        <w:r w:rsidRPr="00C002D5">
          <w:rPr>
            <w:rStyle w:val="Hyperlink"/>
            <w:sz w:val="24"/>
            <w:lang w:val="lv-LV"/>
          </w:rPr>
          <w:t>http://data.europa.eu/eli/C/2025/1803/oj</w:t>
        </w:r>
      </w:hyperlink>
      <w:r w:rsidRPr="00C002D5">
        <w:rPr>
          <w:color w:val="000000" w:themeColor="text1"/>
          <w:sz w:val="24"/>
          <w:lang w:val="lv-LV"/>
        </w:rPr>
        <w:t>);</w:t>
      </w:r>
    </w:p>
    <w:p w:rsidR="00F026E2" w:rsidRPr="00C002D5" w:rsidP="000B2D39" w14:paraId="0C13E668" w14:textId="7A3B9647">
      <w:pPr>
        <w:pStyle w:val="FootnoteText"/>
        <w:ind w:left="1128" w:hanging="567"/>
        <w:rPr>
          <w:color w:val="000000" w:themeColor="text1"/>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color w:val="000000" w:themeColor="text1"/>
          <w:sz w:val="24"/>
          <w:lang w:val="lv-LV"/>
        </w:rPr>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2" w:history="1">
        <w:r w:rsidRPr="00C002D5">
          <w:rPr>
            <w:rStyle w:val="Hyperlink"/>
            <w:sz w:val="24"/>
            <w:lang w:val="lv-LV"/>
          </w:rPr>
          <w:t>http://data.europa.eu/eli/C/2025/1804/oj</w:t>
        </w:r>
      </w:hyperlink>
      <w:r w:rsidRPr="00C002D5">
        <w:rPr>
          <w:color w:val="000000" w:themeColor="text1"/>
          <w:sz w:val="24"/>
          <w:lang w:val="lv-LV"/>
        </w:rPr>
        <w:t>);</w:t>
      </w:r>
    </w:p>
    <w:p w:rsidR="00F026E2" w:rsidRPr="00C002D5" w:rsidP="000B2D39" w14:paraId="727ACA84" w14:textId="54349462">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3" w:history="1">
        <w:r w:rsidRPr="00C002D5">
          <w:rPr>
            <w:rStyle w:val="Hyperlink"/>
            <w:sz w:val="24"/>
            <w:lang w:val="lv-LV"/>
          </w:rPr>
          <w:t>http://data.europa.eu/eli/C/2025/2246/oj</w:t>
        </w:r>
      </w:hyperlink>
      <w:r w:rsidRPr="00C002D5">
        <w:rPr>
          <w:sz w:val="24"/>
          <w:lang w:val="lv-LV"/>
        </w:rPr>
        <w:t>);</w:t>
      </w:r>
    </w:p>
    <w:p w:rsidR="00F026E2" w:rsidRPr="00C002D5" w:rsidP="000B2D39" w14:paraId="6BB826A2" w14:textId="68A12FF3">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4" w:history="1">
        <w:r w:rsidRPr="00C002D5">
          <w:rPr>
            <w:rStyle w:val="Hyperlink"/>
            <w:sz w:val="24"/>
            <w:lang w:val="lv-LV"/>
          </w:rPr>
          <w:t>http://data.europa.eu/eli/C/2025/2247/oj</w:t>
        </w:r>
      </w:hyperlink>
      <w:r w:rsidRPr="00C002D5">
        <w:rPr>
          <w:sz w:val="24"/>
          <w:lang w:val="lv-LV"/>
        </w:rPr>
        <w:t>).</w:t>
      </w:r>
    </w:p>
    <w:p w:rsidR="00F026E2" w:rsidRPr="00C002D5" w:rsidP="000B2D39" w14:paraId="12AEF849" w14:textId="04FC46B1">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(OV C, C/2026/586, 24.2.2026., ELI: </w:t>
      </w:r>
      <w:hyperlink r:id="rId15" w:tooltip="Nodrošina piekļuvi šim dokumentam pēc tā ELI URI." w:history="1">
        <w:r w:rsidRPr="00C002D5">
          <w:rPr>
            <w:rStyle w:val="Hyperlink"/>
            <w:sz w:val="24"/>
            <w:lang w:val="lv-LV"/>
          </w:rPr>
          <w:t>http://data.europa.eu/eli/C/2026/586/oj</w:t>
        </w:r>
      </w:hyperlink>
      <w:r w:rsidRPr="00C002D5">
        <w:rPr>
          <w:sz w:val="24"/>
          <w:lang w:val="lv-LV"/>
        </w:rPr>
        <w:t>);</w:t>
      </w:r>
    </w:p>
    <w:p w:rsidR="00F026E2" w:rsidRPr="00C002D5" w:rsidP="000B2D39" w14:paraId="5D77BD7E" w14:textId="2DCF7868">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8. oktobra rezolūcija rezolūcija par Komisijas 2025. gada 22. septembra īstenošanas Lēmumu (ES) 2025/1898, ar ko atbilstoši Eiropas Parlamenta un Padomes Regulai (EK) Nr. 1829/2003 atļauj laist tirgū produktus, kas satur ģenētiski modificētu kukurūzu DP51291, sastāv vai ir ražoti no tās (OV C, C/2026/1523, 15.4.2026., ELI: http://data.europa.eu/eli/C/2026/1523/oj);</w:t>
      </w:r>
    </w:p>
    <w:p w:rsidR="00F026E2" w:rsidRPr="00C002D5" w:rsidP="000B2D39" w14:paraId="55AD74B9" w14:textId="57761BAF">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(OV C, C/2026/1703, 24.4.2026., ELI: http://data.europa.eu/eli/C/2026/1703/oj);</w:t>
      </w:r>
    </w:p>
    <w:p w:rsidR="00F026E2" w:rsidRPr="00C002D5" w:rsidP="000B2D39" w14:paraId="7A63B0E6" w14:textId="49B65811">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(OV C, C/2026/1704, 24.4.2026., ELI: http://data.europa.eu/eli/C/2026/1704/oj);</w:t>
      </w:r>
    </w:p>
    <w:p w:rsidR="00F026E2" w:rsidRPr="00C002D5" w:rsidP="000B2D39" w14:paraId="5D8663A2" w14:textId="5DBC0A58">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(OV C, C/2026/1705, 24.4.2026., ELI: http://data.europa.eu/eli/C/2026/1705/oj);</w:t>
      </w:r>
    </w:p>
    <w:p w:rsidR="00F026E2" w:rsidRPr="00C002D5" w:rsidP="000B2D39" w14:paraId="07A93644" w14:textId="32A0FA03">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(OV C, C/2026/1706, 24.4.2026., ELI: http://data.europa.eu/eli/C/2026/1706/oj);</w:t>
      </w:r>
    </w:p>
    <w:p w:rsidR="00F026E2" w:rsidRPr="00C002D5" w:rsidP="000B2D39" w14:paraId="01937E36" w14:textId="00E1C213">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(OV C, C/2026/1707, 24.4.2026., ELI: </w:t>
      </w:r>
      <w:hyperlink r:id="rId16" w:history="1">
        <w:r w:rsidRPr="00B54B48">
          <w:rPr>
            <w:rStyle w:val="Hyperlink"/>
            <w:sz w:val="24"/>
            <w:lang w:val="lv-LV"/>
          </w:rPr>
          <w:t>http://d</w:t>
        </w:r>
        <w:r w:rsidRPr="00B54B48">
          <w:rPr>
            <w:rStyle w:val="Hyperlink"/>
            <w:sz w:val="24"/>
            <w:lang w:val="lv-LV"/>
          </w:rPr>
          <w:t>a</w:t>
        </w:r>
        <w:r w:rsidRPr="00B54B48">
          <w:rPr>
            <w:rStyle w:val="Hyperlink"/>
            <w:sz w:val="24"/>
            <w:lang w:val="lv-LV"/>
          </w:rPr>
          <w:t>ta.europa.eu/eli/C/2026/1707/oj</w:t>
        </w:r>
      </w:hyperlink>
      <w:r w:rsidRPr="00C002D5">
        <w:rPr>
          <w:sz w:val="24"/>
          <w:lang w:val="lv-LV"/>
        </w:rPr>
        <w:t>);</w:t>
      </w:r>
    </w:p>
    <w:p w:rsidR="00F026E2" w:rsidRPr="00C002D5" w:rsidP="000B2D39" w14:paraId="125D973D" w14:textId="5ACBFA84">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16. decembra rezolūcija par projektu Komisijas īstenošanas lēmumam, ar kuru atbilstoši Eiropas Parlamenta un Padomes Regulai (EK) Nr. 1829/2003 atjauno atļauju laist tirgū produktus, kas satur ģenētiski modificētu kukurūzu NK603, no tās sastāv vai ir no tās ražoti (OV C, C/2026/2150, 6.5.2026., ELI: http://data.europa.eu/eli/C/2026/2150/oj);</w:t>
      </w:r>
    </w:p>
    <w:p w:rsidR="00F026E2" w:rsidRPr="00C002D5" w:rsidP="000B2D39" w14:paraId="2B7FCCCA" w14:textId="38CCC014">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 (OV C, C/2026/2151, 6.5.2026., ELI: </w:t>
      </w:r>
      <w:hyperlink r:id="rId17" w:history="1">
        <w:r w:rsidRPr="00C002D5">
          <w:rPr>
            <w:rStyle w:val="Hyperlink"/>
            <w:sz w:val="24"/>
            <w:lang w:val="lv-LV"/>
          </w:rPr>
          <w:t>http://data.europa.eu/eli/C/2026/2151/oj</w:t>
        </w:r>
      </w:hyperlink>
      <w:r w:rsidRPr="00C002D5">
        <w:rPr>
          <w:sz w:val="24"/>
          <w:lang w:val="lv-LV"/>
        </w:rPr>
        <w:t>);</w:t>
      </w:r>
    </w:p>
    <w:p w:rsidR="00F026E2" w:rsidRPr="00C002D5" w:rsidP="000B2D39" w14:paraId="60E02740" w14:textId="4B691F8B">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2026. gada 11. februāra rezolūcija par projektu Komisijas īstenošanas lēmumam, ar ko atbilstoši Eiropas Parlamenta un Padomes Regulai (EK) Nr. 1829/2003 atļauj laist tirgū produktus, kas satur ģenētiski modificētas sojas pupas DBN-09004-6, sastāv vai ir ražoti no tām (Pieņemtie teksti, P10_TA(2026)0041);</w:t>
      </w:r>
    </w:p>
    <w:p w:rsidR="00F026E2" w:rsidRPr="00C002D5" w:rsidP="000B2D39" w14:paraId="124EBDD9" w14:textId="67A7ACA5">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2026. gada 11. februāra rezolūcija par projektu Komisijas īstenošanas lēmumam, ar ko atbilstoši Eiropas Parlamenta un Padomes Regulai (EK) Nr. 1829/2003 tiek atjaunota atļauja laist tirgū produktus, kas satur ģenētiski modificētu kukurūzu T25 (ACS-ZMØØ3-2), sastāv vai ir ražoti no tās (Pieņemtie teksti, P10_TA(2026)0042);</w:t>
      </w:r>
    </w:p>
    <w:p w:rsidR="00F026E2" w:rsidRPr="00C002D5" w:rsidP="000B2D39" w14:paraId="71D5E5BA" w14:textId="11782174">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2026. gada 11. februāra rezolūcija par projektu Komisijas īstenošanas lēmumam, ar ko atbilstoši Eiropas Parlamenta un Padomes Regulai (EK) Nr. 1829/2003 atjauno atļauju laist tirgū produktus, kas satur ģenētiski modificētu kokvilnu GHB614 × LLCotton25, sastāv vai ir ražoti no tās (Pieņemtie teksti, P10_TA(2026)0043);</w:t>
      </w:r>
    </w:p>
    <w:p w:rsidR="00F026E2" w:rsidRPr="00C002D5" w:rsidP="000B2D39" w14:paraId="35DAFDBE" w14:textId="7451D862">
      <w:pPr>
        <w:pStyle w:val="FootnoteText"/>
        <w:ind w:left="1128" w:hanging="567"/>
        <w:rPr>
          <w:sz w:val="24"/>
          <w:vertAlign w:val="superscript"/>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2026. gada 11. februāra rezolūcija par projektu Komisijas īstenošanas lēmumam, ar ko atbilstoši Eiropas Parlamenta un Padomes Regulai (EK) Nr. 1829/2003 tiek atjaunota atļauja laist tirgū produktus, kas satur ģenētiski modificētu kokvilnu T304-40, sastāv vai ir ražoti no tās (Pieņemtie teksti, P10_TA(2026)0044).</w:t>
      </w:r>
    </w:p>
    <w:p w:rsidR="00F026E2" w:rsidRPr="00C002D5" w:rsidP="000B2D39" w14:paraId="2D452E87" w14:textId="79AF72FD">
      <w:pPr>
        <w:pStyle w:val="FootnoteText"/>
        <w:ind w:left="1128" w:hanging="567"/>
        <w:rPr>
          <w:sz w:val="24"/>
          <w:lang w:val="lv-LV"/>
        </w:rPr>
      </w:pPr>
      <w:r w:rsidRPr="00C002D5">
        <w:rPr>
          <w:color w:val="000000" w:themeColor="text1"/>
          <w:sz w:val="24"/>
          <w:lang w:val="lv-LV"/>
        </w:rPr>
        <w:t>–</w:t>
      </w:r>
      <w:r w:rsidRPr="00C002D5">
        <w:rPr>
          <w:color w:val="000000" w:themeColor="text1"/>
          <w:sz w:val="24"/>
          <w:lang w:val="lv-LV"/>
        </w:rPr>
        <w:tab/>
      </w:r>
      <w:r w:rsidRPr="00C002D5">
        <w:rPr>
          <w:sz w:val="24"/>
          <w:lang w:val="lv-LV"/>
        </w:rPr>
        <w:t>Eiropas Parlamenta 2026. gada 29. aprīļa rezolūcija par projektu Komisijas īstenošanas lēmumam, ar ko atbilstoši Eiropas Parlamenta un Padomes Regulai (EK) Nr. 1829/2003 atļauj laist tirgū produktus, kas satur ģenētiski modificētas sojas pupas MON 94637, sastāv vai ir ražoti no tām (Pieņemtie teksti, P10_TA(2026)0150);</w:t>
      </w:r>
    </w:p>
  </w:footnote>
  <w:footnote w:id="7">
    <w:p w:rsidR="00F026E2" w:rsidRPr="00C002D5" w:rsidP="00C002D5" w14:paraId="5216B5FA" w14:textId="1394892E">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Komisijas Īstenošanas lēmums (ES) 2015/2279 (2015. gada 4. decembris), ar ko atbilstīgi Eiropas Parlamenta un Padomes Regulai (EK) Nr. 1829/2003 atļauj laist tirgū produktus, kas satur ģenētiski modificētu kukurūzu NK603 × T25 (MON-ØØ6Ø3-6 × ACS-ZMØØ3-2), sastāv vai ir ražoti no tās (OV L 322, 8.12.2015., 58. lpp., ELI: </w:t>
      </w:r>
      <w:hyperlink r:id="rId18" w:history="1">
        <w:r w:rsidRPr="00C002D5">
          <w:rPr>
            <w:rStyle w:val="Hyperlink"/>
            <w:sz w:val="24"/>
            <w:lang w:val="lv-LV"/>
          </w:rPr>
          <w:t>http://data.europa.eu/eli/dec_impl/2015/2279/oj</w:t>
        </w:r>
      </w:hyperlink>
      <w:r w:rsidRPr="00C002D5">
        <w:rPr>
          <w:sz w:val="24"/>
          <w:lang w:val="lv-LV"/>
        </w:rPr>
        <w:t>);</w:t>
      </w:r>
    </w:p>
  </w:footnote>
  <w:footnote w:id="8">
    <w:p w:rsidR="00F026E2" w:rsidRPr="00C002D5" w:rsidP="00C002D5" w14:paraId="4C5015DB" w14:textId="3C2F5053">
      <w:pPr>
        <w:pStyle w:val="FootnoteText"/>
        <w:ind w:left="567" w:hanging="567"/>
        <w:rPr>
          <w:sz w:val="24"/>
          <w:lang w:val="lv-LV"/>
        </w:rPr>
      </w:pPr>
      <w:r w:rsidRPr="00C002D5">
        <w:rPr>
          <w:rStyle w:val="FootnoteReference"/>
          <w:sz w:val="24"/>
          <w:lang w:val="lv-LV"/>
        </w:rPr>
        <w:footnoteRef/>
      </w:r>
      <w:r w:rsidRPr="00C002D5" w:rsidR="00C002D5">
        <w:rPr>
          <w:i/>
          <w:iCs/>
          <w:sz w:val="24"/>
          <w:lang w:val="lv-LV"/>
        </w:rPr>
        <w:t xml:space="preserve"> </w:t>
      </w:r>
      <w:r w:rsidRPr="00C002D5" w:rsidR="00C002D5">
        <w:rPr>
          <w:i/>
          <w:iCs/>
          <w:sz w:val="24"/>
          <w:lang w:val="lv-LV"/>
        </w:rPr>
        <w:tab/>
      </w:r>
      <w:r w:rsidRPr="00C002D5">
        <w:rPr>
          <w:i/>
          <w:iCs/>
          <w:sz w:val="24"/>
          <w:lang w:val="lv-LV"/>
        </w:rPr>
        <w:t>EFSA</w:t>
      </w:r>
      <w:r w:rsidRPr="00C002D5">
        <w:rPr>
          <w:sz w:val="24"/>
          <w:lang w:val="lv-LV"/>
        </w:rPr>
        <w:t xml:space="preserve"> Ekspertu grupas ģenētiski modificētu organismu jautājumos zinātniskais atzinums par </w:t>
      </w:r>
      <w:r w:rsidRPr="00C002D5">
        <w:rPr>
          <w:i/>
          <w:iCs/>
          <w:sz w:val="24"/>
          <w:lang w:val="lv-LV"/>
        </w:rPr>
        <w:t>Bayer CropScience</w:t>
      </w:r>
      <w:r w:rsidRPr="00C002D5">
        <w:rPr>
          <w:sz w:val="24"/>
          <w:lang w:val="lv-LV"/>
        </w:rPr>
        <w:t xml:space="preserve"> pieteikumu (EFSA-GMO-NL-2010-80) atļaujai laist tirgū pret herbicīdizturīgu ģenētiski modificētu kukurūzu NK603 × T25 izmantošanai pārtikā un barībā, importam un pārstrādei saskaņā ar Regulu (EK) Nr. 1829/2003, </w:t>
      </w:r>
      <w:r w:rsidRPr="00C002D5">
        <w:rPr>
          <w:i/>
          <w:iCs/>
          <w:sz w:val="24"/>
          <w:lang w:val="lv-LV"/>
        </w:rPr>
        <w:t>EFSA Journal</w:t>
      </w:r>
      <w:r w:rsidRPr="00C002D5">
        <w:rPr>
          <w:sz w:val="24"/>
          <w:lang w:val="lv-LV"/>
        </w:rPr>
        <w:t xml:space="preserve">, 2015, 13. sēj. (7.):4165, </w:t>
      </w:r>
      <w:hyperlink r:id="rId19" w:history="1">
        <w:r w:rsidRPr="00C002D5">
          <w:rPr>
            <w:rStyle w:val="Hyperlink"/>
            <w:sz w:val="24"/>
            <w:lang w:val="lv-LV"/>
          </w:rPr>
          <w:t>https://doi.org/10.2903/j.efsa.2015.4165</w:t>
        </w:r>
      </w:hyperlink>
      <w:r w:rsidRPr="00C002D5">
        <w:rPr>
          <w:sz w:val="24"/>
          <w:lang w:val="lv-LV"/>
        </w:rPr>
        <w:t>.</w:t>
      </w:r>
    </w:p>
  </w:footnote>
  <w:footnote w:id="9">
    <w:p w:rsidR="00F026E2" w:rsidRPr="00C002D5" w:rsidP="00C002D5" w14:paraId="37634AD3" w14:textId="0AC73214">
      <w:pPr>
        <w:pStyle w:val="FootnoteText"/>
        <w:ind w:left="567" w:hanging="567"/>
        <w:rPr>
          <w:sz w:val="24"/>
          <w:lang w:val="lv-LV"/>
        </w:rPr>
      </w:pPr>
      <w:r w:rsidRPr="00C002D5">
        <w:rPr>
          <w:rStyle w:val="FootnoteReference"/>
          <w:sz w:val="24"/>
          <w:lang w:val="lv-LV"/>
        </w:rPr>
        <w:footnoteRef/>
      </w:r>
      <w:r w:rsidRPr="00C002D5" w:rsidR="00C002D5">
        <w:rPr>
          <w:sz w:val="24"/>
          <w:shd w:val="clear" w:color="auto" w:fill="FFFFFF"/>
          <w:lang w:val="lv-LV"/>
        </w:rPr>
        <w:t xml:space="preserve"> </w:t>
      </w:r>
      <w:r w:rsidRPr="00C002D5" w:rsidR="00C002D5">
        <w:rPr>
          <w:sz w:val="24"/>
          <w:shd w:val="clear" w:color="auto" w:fill="FFFFFF"/>
          <w:lang w:val="lv-LV"/>
        </w:rPr>
        <w:tab/>
      </w:r>
      <w:r w:rsidRPr="00C002D5">
        <w:rPr>
          <w:sz w:val="24"/>
          <w:shd w:val="clear" w:color="auto" w:fill="FFFFFF"/>
          <w:lang w:val="lv-LV"/>
        </w:rPr>
        <w:t xml:space="preserve">Sk., piemēram, </w:t>
      </w:r>
      <w:r w:rsidRPr="00C002D5">
        <w:rPr>
          <w:i/>
          <w:iCs/>
          <w:sz w:val="24"/>
          <w:shd w:val="clear" w:color="auto" w:fill="FFFFFF"/>
          <w:lang w:val="lv-LV"/>
        </w:rPr>
        <w:t>Bonny, S., “Genetically Modified Herbicide-Tolerant Crops, Weeds, and Herbicides:</w:t>
      </w:r>
      <w:r w:rsidRPr="00C002D5">
        <w:rPr>
          <w:sz w:val="24"/>
          <w:shd w:val="clear" w:color="auto" w:fill="FFFFFF"/>
          <w:lang w:val="lv-LV"/>
        </w:rPr>
        <w:t xml:space="preserve"> </w:t>
      </w:r>
      <w:r w:rsidRPr="00C002D5">
        <w:rPr>
          <w:i/>
          <w:iCs/>
          <w:sz w:val="24"/>
          <w:lang w:val="lv-LV"/>
        </w:rPr>
        <w:t>Overview and Impact”, Environmental Management</w:t>
      </w:r>
      <w:r w:rsidRPr="00C002D5">
        <w:rPr>
          <w:sz w:val="24"/>
          <w:lang w:val="lv-LV"/>
        </w:rPr>
        <w:t xml:space="preserve">, 2016. gada janvāris; 57. sēj. (1.), 31.–48. lpp., https://www.ncbi.nlm.nih.gov/pubmed/26296738 un </w:t>
      </w:r>
      <w:r w:rsidRPr="00C002D5">
        <w:rPr>
          <w:i/>
          <w:iCs/>
          <w:sz w:val="24"/>
          <w:lang w:val="lv-LV"/>
        </w:rPr>
        <w:t>Benbrook, C.M., “Impacts of genetically engineered crops on pesticide use in the U.S. - the first sixteen years”</w:t>
      </w:r>
      <w:r w:rsidRPr="00C002D5">
        <w:rPr>
          <w:sz w:val="24"/>
          <w:lang w:val="lv-LV"/>
        </w:rPr>
        <w:t xml:space="preserve">, </w:t>
      </w:r>
      <w:r w:rsidRPr="00C002D5">
        <w:rPr>
          <w:i/>
          <w:iCs/>
          <w:sz w:val="24"/>
          <w:lang w:val="lv-LV"/>
        </w:rPr>
        <w:t xml:space="preserve">Environmental Sciences Europe, </w:t>
      </w:r>
      <w:r w:rsidRPr="00C002D5">
        <w:rPr>
          <w:sz w:val="24"/>
          <w:lang w:val="lv-LV"/>
        </w:rPr>
        <w:t>2012. gada 28. septembris, 24. sēj. (1.), .</w:t>
      </w:r>
      <w:hyperlink r:id="rId20" w:history="1">
        <w:r w:rsidRPr="00C002D5">
          <w:rPr>
            <w:rStyle w:val="Hyperlink"/>
            <w:sz w:val="24"/>
            <w:shd w:val="clear" w:color="auto" w:fill="FFFFFF"/>
            <w:lang w:val="lv-LV"/>
          </w:rPr>
          <w:t>https://doi.org/10.1007/s00267-015-0589-7</w:t>
        </w:r>
      </w:hyperlink>
      <w:hyperlink r:id="rId21" w:history="1">
        <w:r w:rsidRPr="00C002D5">
          <w:rPr>
            <w:rStyle w:val="Hyperlink"/>
            <w:sz w:val="24"/>
            <w:lang w:val="lv-LV"/>
          </w:rPr>
          <w:t>https://doi.org/10.1186/2190-4715-24-24</w:t>
        </w:r>
      </w:hyperlink>
      <w:bookmarkStart w:id="8" w:name="_Hlk219208464"/>
      <w:bookmarkStart w:id="9" w:name="_Hlk219208485"/>
      <w:bookmarkEnd w:id="8"/>
      <w:bookmarkEnd w:id="9"/>
      <w:r w:rsidRPr="00C002D5">
        <w:rPr>
          <w:sz w:val="24"/>
          <w:shd w:val="clear" w:color="auto" w:fill="FFFFFF"/>
          <w:lang w:val="lv-LV"/>
        </w:rPr>
        <w:t xml:space="preserve"> </w:t>
      </w:r>
    </w:p>
  </w:footnote>
  <w:footnote w:id="10">
    <w:p w:rsidR="00F026E2" w:rsidRPr="00C002D5" w:rsidP="00C002D5" w14:paraId="773A5970" w14:textId="4157B0E8">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Sk., piemēram:</w:t>
      </w:r>
      <w:bookmarkStart w:id="10" w:name="_Hlk219286352"/>
      <w:bookmarkStart w:id="11" w:name="_Hlk219208511"/>
      <w:r w:rsidRPr="00C002D5">
        <w:rPr>
          <w:rStyle w:val="Hyperlink"/>
          <w:sz w:val="24"/>
          <w:lang w:val="lv-LV"/>
        </w:rPr>
        <w:t xml:space="preserve"> </w:t>
      </w:r>
      <w:hyperlink r:id="rId22" w:history="1">
        <w:r w:rsidRPr="00C002D5">
          <w:rPr>
            <w:rStyle w:val="Hyperlink"/>
            <w:sz w:val="24"/>
            <w:lang w:val="lv-LV"/>
          </w:rPr>
          <w:t>https://doi.org/10.1002/ps.8105</w:t>
        </w:r>
      </w:hyperlink>
      <w:r w:rsidRPr="00C002D5">
        <w:rPr>
          <w:sz w:val="24"/>
          <w:lang w:val="lv-LV"/>
        </w:rPr>
        <w:t xml:space="preserve"> un</w:t>
      </w:r>
      <w:bookmarkEnd w:id="10"/>
      <w:r w:rsidRPr="00C002D5">
        <w:rPr>
          <w:sz w:val="24"/>
          <w:lang w:val="lv-LV"/>
        </w:rPr>
        <w:t xml:space="preserve"> </w:t>
      </w:r>
      <w:hyperlink r:id="rId23" w:history="1">
        <w:r w:rsidRPr="00C002D5">
          <w:rPr>
            <w:rStyle w:val="Hyperlink"/>
            <w:sz w:val="24"/>
            <w:lang w:val="lv-LV"/>
          </w:rPr>
          <w:t>https://doi.org/10.1016/j.geoforum.2009.03.009</w:t>
        </w:r>
      </w:hyperlink>
      <w:r w:rsidRPr="00C002D5">
        <w:rPr>
          <w:sz w:val="24"/>
          <w:lang w:val="lv-LV"/>
        </w:rPr>
        <w:t>.</w:t>
      </w:r>
      <w:bookmarkEnd w:id="11"/>
    </w:p>
  </w:footnote>
  <w:footnote w:id="11">
    <w:p w:rsidR="00F026E2" w:rsidRPr="00C002D5" w:rsidP="00C002D5" w14:paraId="14862742" w14:textId="71E33974">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Eiropas Parlamenta un Padomes Regula (EK) Nr. 1107/2009 (2009. gada 21. oktobris ) par augu aizsardzības līdzekļu laišanu tirgū, ar ko atceļ Padomes Direktīvas 79/117/EEK un 91/414/EEK (OV L 309, 24.11.2009., 1. lpp., ELI: </w:t>
      </w:r>
      <w:hyperlink r:id="rId24" w:tooltip="Nodrošina piekļuvi šim dokumentam pēc tā ELI URI." w:history="1">
        <w:r w:rsidRPr="00C002D5">
          <w:rPr>
            <w:rStyle w:val="Hyperlink"/>
            <w:sz w:val="24"/>
            <w:lang w:val="lv-LV"/>
          </w:rPr>
          <w:t>http://data.europa.eu/eli/reg/2009/1107/oj</w:t>
        </w:r>
      </w:hyperlink>
      <w:r w:rsidRPr="00C002D5">
        <w:rPr>
          <w:sz w:val="24"/>
          <w:lang w:val="lv-LV"/>
        </w:rPr>
        <w:t>).</w:t>
      </w:r>
    </w:p>
  </w:footnote>
  <w:footnote w:id="12">
    <w:p w:rsidR="00F026E2" w:rsidRPr="00C002D5" w:rsidP="00C002D5" w14:paraId="799CD555" w14:textId="22E44C2C">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 xml:space="preserve">Skatīt, piemēram, </w:t>
      </w:r>
      <w:hyperlink r:id="rId25" w:history="1">
        <w:r w:rsidRPr="00C002D5">
          <w:rPr>
            <w:rStyle w:val="Hyperlink"/>
            <w:sz w:val="24"/>
            <w:lang w:val="lv-LV"/>
          </w:rPr>
          <w:t>https://doi.org/10.1016/j.mrrev.2019.02.001</w:t>
        </w:r>
      </w:hyperlink>
      <w:r w:rsidRPr="00C002D5">
        <w:rPr>
          <w:sz w:val="24"/>
          <w:lang w:val="lv-LV"/>
        </w:rPr>
        <w:t xml:space="preserve">, </w:t>
      </w:r>
      <w:hyperlink r:id="rId26" w:history="1">
        <w:r w:rsidRPr="00C002D5">
          <w:rPr>
            <w:rStyle w:val="Hyperlink"/>
            <w:sz w:val="24"/>
            <w:lang w:val="lv-LV"/>
          </w:rPr>
          <w:t>https://doi.org/10.1093/ije/dyz017</w:t>
        </w:r>
      </w:hyperlink>
      <w:r w:rsidRPr="00C002D5">
        <w:rPr>
          <w:sz w:val="24"/>
          <w:lang w:val="lv-LV"/>
        </w:rPr>
        <w:t xml:space="preserve">, </w:t>
      </w:r>
      <w:hyperlink r:id="rId27" w:history="1">
        <w:r w:rsidRPr="00C002D5">
          <w:rPr>
            <w:rStyle w:val="Hyperlink"/>
            <w:sz w:val="24"/>
            <w:lang w:val="lv-LV"/>
          </w:rPr>
          <w:t>https://doi.org/10.1371/journal.pone.0219610</w:t>
        </w:r>
      </w:hyperlink>
      <w:r w:rsidRPr="00C002D5">
        <w:rPr>
          <w:sz w:val="24"/>
          <w:lang w:val="lv-LV"/>
        </w:rPr>
        <w:t xml:space="preserve"> un </w:t>
      </w:r>
      <w:hyperlink r:id="rId28" w:history="1">
        <w:r w:rsidRPr="00C002D5">
          <w:rPr>
            <w:rStyle w:val="Hyperlink"/>
            <w:sz w:val="24"/>
            <w:lang w:val="lv-LV"/>
          </w:rPr>
          <w:t>https://doi.org/10.1186/s13045-019-0767-9</w:t>
        </w:r>
      </w:hyperlink>
      <w:r w:rsidRPr="00C002D5">
        <w:rPr>
          <w:sz w:val="24"/>
          <w:lang w:val="lv-LV"/>
        </w:rPr>
        <w:t xml:space="preserve">. </w:t>
      </w:r>
    </w:p>
  </w:footnote>
  <w:footnote w:id="13">
    <w:p w:rsidR="00F026E2" w:rsidRPr="00C002D5" w:rsidP="00C002D5" w14:paraId="10B10D3A" w14:textId="36A15181">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hyperlink r:id="rId29" w:tgtFrame="_blank" w:tooltip="Pastāvīga saite, izmantojot digitālo objekta identifikatoru" w:history="1">
        <w:r w:rsidRPr="00C002D5">
          <w:rPr>
            <w:rStyle w:val="Hyperlink"/>
            <w:sz w:val="24"/>
            <w:lang w:val="lv-LV"/>
          </w:rPr>
          <w:t>https://doi.org/10.1006/rtph.1999.1371</w:t>
        </w:r>
      </w:hyperlink>
      <w:r w:rsidRPr="00C002D5">
        <w:rPr>
          <w:sz w:val="24"/>
          <w:lang w:val="lv-LV"/>
        </w:rPr>
        <w:t>.</w:t>
      </w:r>
    </w:p>
  </w:footnote>
  <w:footnote w:id="14">
    <w:p w:rsidR="00F026E2" w:rsidRPr="00C002D5" w:rsidP="00C002D5" w14:paraId="73551A8C" w14:textId="12CC3CE3">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 xml:space="preserve">Tas patiešām attiecas uz glifozātu, kā norādīts </w:t>
      </w:r>
      <w:r w:rsidRPr="00C002D5">
        <w:rPr>
          <w:i/>
          <w:iCs/>
          <w:sz w:val="24"/>
          <w:lang w:val="lv-LV"/>
        </w:rPr>
        <w:t>EFSA</w:t>
      </w:r>
      <w:r w:rsidRPr="00C002D5">
        <w:rPr>
          <w:sz w:val="24"/>
          <w:lang w:val="lv-LV"/>
        </w:rPr>
        <w:t xml:space="preserve"> publikācijā “</w:t>
      </w:r>
      <w:r w:rsidRPr="00C002D5">
        <w:rPr>
          <w:i/>
          <w:iCs/>
          <w:sz w:val="24"/>
          <w:lang w:val="lv-LV"/>
        </w:rPr>
        <w:t>Review of the existing maximum residue levels for glyphosate according to Article 12 of Regulation (EC) No 396/2005</w:t>
      </w:r>
      <w:r w:rsidRPr="00C002D5">
        <w:rPr>
          <w:sz w:val="24"/>
          <w:lang w:val="lv-LV"/>
        </w:rPr>
        <w:t xml:space="preserve">” (Pārskats par pašreizējo glifozāta maksimālo atlieku līmeni saskaņā ar Regulas (EK) Nr. 396/2005 12. pantu), </w:t>
      </w:r>
      <w:r w:rsidRPr="00C002D5">
        <w:rPr>
          <w:i/>
          <w:iCs/>
          <w:sz w:val="24"/>
          <w:lang w:val="lv-LV"/>
        </w:rPr>
        <w:t>EFSA Journal</w:t>
      </w:r>
      <w:r w:rsidRPr="00C002D5">
        <w:rPr>
          <w:sz w:val="24"/>
          <w:lang w:val="lv-LV"/>
        </w:rPr>
        <w:t xml:space="preserve">, 2018. gads, 16. sēj. (5.):e05263, 12. lpp., </w:t>
      </w:r>
      <w:bookmarkStart w:id="13" w:name="_Hlk231549693"/>
      <w:hyperlink r:id="rId30" w:history="1">
        <w:r w:rsidRPr="00C002D5">
          <w:rPr>
            <w:rStyle w:val="Hyperlink"/>
            <w:sz w:val="24"/>
            <w:lang w:val="lv-LV"/>
          </w:rPr>
          <w:t>https://doi.org/10.2903/j.efsa.2018.5263</w:t>
        </w:r>
      </w:hyperlink>
      <w:r w:rsidRPr="00C002D5">
        <w:rPr>
          <w:sz w:val="24"/>
          <w:lang w:val="lv-LV"/>
        </w:rPr>
        <w:t>;</w:t>
      </w:r>
      <w:bookmarkEnd w:id="13"/>
    </w:p>
  </w:footnote>
  <w:footnote w:id="15">
    <w:p w:rsidR="00F026E2" w:rsidRPr="00C002D5" w:rsidP="00C002D5" w14:paraId="22E85AB5" w14:textId="23753F7D">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2022. gada decembrī Apvienoto Nāciju Organizācijas Konvencijas par bioloģisko daudzveidību Pušu konferences 15. sesijā tika panākta vienošanās par globālo biodaudzveidības satvaru, kas ietver globālu mērķi līdz 2030. gadam vismaz par 50 % samazināt pesticīdu radīto apdraudējumu (skatīt:</w:t>
      </w:r>
      <w:r w:rsidRPr="00C002D5">
        <w:rPr>
          <w:color w:val="000000" w:themeColor="text1"/>
          <w:sz w:val="24"/>
          <w:lang w:val="lv-LV"/>
        </w:rPr>
        <w:t xml:space="preserve"> </w:t>
      </w:r>
      <w:hyperlink r:id="rId31" w:history="1">
        <w:r w:rsidRPr="00C002D5">
          <w:rPr>
            <w:rStyle w:val="Hyperlink"/>
            <w:sz w:val="24"/>
            <w:lang w:val="lv-LV"/>
          </w:rPr>
          <w:t>https://ec.europa.eu/commission/presscorner/detail/lv/ip_22_7834</w:t>
        </w:r>
      </w:hyperlink>
      <w:r w:rsidRPr="00C002D5">
        <w:rPr>
          <w:sz w:val="24"/>
          <w:lang w:val="lv-LV"/>
        </w:rPr>
        <w:t xml:space="preserve">). </w:t>
      </w:r>
    </w:p>
  </w:footnote>
  <w:footnote w:id="16">
    <w:p w:rsidR="00F026E2" w:rsidRPr="00C002D5" w:rsidP="00C002D5" w14:paraId="46EC9052" w14:textId="3BCEFD05">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hyperlink r:id="rId32" w:history="1">
        <w:r w:rsidRPr="00C002D5">
          <w:rPr>
            <w:rStyle w:val="Hyperlink"/>
            <w:sz w:val="24"/>
            <w:lang w:val="lv-LV"/>
          </w:rPr>
          <w:t>https://commission.europa.eu/topics/agriculture-and-rural-development/strategic-dialogue-future-eu-agriculture_lv</w:t>
        </w:r>
      </w:hyperlink>
      <w:r w:rsidRPr="00C002D5">
        <w:rPr>
          <w:rStyle w:val="Hyperlink"/>
          <w:sz w:val="24"/>
          <w:lang w:val="lv-LV"/>
        </w:rPr>
        <w:t>.</w:t>
      </w:r>
      <w:r w:rsidRPr="00C002D5">
        <w:rPr>
          <w:sz w:val="24"/>
          <w:lang w:val="lv-LV"/>
        </w:rPr>
        <w:t xml:space="preserve"> </w:t>
      </w:r>
    </w:p>
  </w:footnote>
  <w:footnote w:id="17">
    <w:p w:rsidR="00F026E2" w:rsidRPr="00C002D5" w:rsidP="00C002D5" w14:paraId="7C6966F6" w14:textId="25824343">
      <w:pPr>
        <w:pStyle w:val="FootnoteText"/>
        <w:ind w:left="567" w:hanging="567"/>
        <w:rPr>
          <w:sz w:val="24"/>
          <w:lang w:val="lv-LV"/>
        </w:rPr>
      </w:pPr>
      <w:r w:rsidRPr="00C002D5">
        <w:rPr>
          <w:rStyle w:val="FootnoteReference"/>
          <w:sz w:val="24"/>
          <w:lang w:val="lv-LV"/>
        </w:rPr>
        <w:footnoteRef/>
      </w:r>
      <w:r w:rsidRPr="00C002D5" w:rsidR="00C002D5">
        <w:rPr>
          <w:sz w:val="24"/>
          <w:lang w:val="lv-LV"/>
        </w:rPr>
        <w:t xml:space="preserve"> </w:t>
      </w:r>
      <w:r w:rsidRPr="00C002D5" w:rsidR="00C002D5">
        <w:rPr>
          <w:sz w:val="24"/>
          <w:lang w:val="lv-LV"/>
        </w:rPr>
        <w:tab/>
      </w:r>
      <w:r w:rsidRPr="00C002D5">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w:t>
      </w:r>
      <w:r w:rsidRPr="00C002D5">
        <w:rPr>
          <w:color w:val="000000" w:themeColor="text1"/>
          <w:sz w:val="24"/>
          <w:lang w:val="lv-LV"/>
        </w:rPr>
        <w:t> </w:t>
      </w:r>
      <w:hyperlink r:id="rId33" w:tgtFrame="Gives access to this document through its ELI URI." w:history="1">
        <w:r w:rsidRPr="00C002D5">
          <w:rPr>
            <w:rStyle w:val="Hyperlink"/>
            <w:color w:val="0070C0"/>
            <w:sz w:val="24"/>
            <w:lang w:val="lv-LV"/>
          </w:rPr>
          <w:t>http://data.europa.eu/eli/reg/2002/178/oj</w:t>
        </w:r>
      </w:hyperlink>
      <w:r w:rsidRPr="00C002D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2D5" w14:paraId="3E65B39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2D5" w14:paraId="30C4238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02D5" w14:paraId="50D91E7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634014">
    <w:abstractNumId w:val="9"/>
  </w:num>
  <w:num w:numId="2" w16cid:durableId="1254699732">
    <w:abstractNumId w:val="9"/>
  </w:num>
  <w:num w:numId="3" w16cid:durableId="693534513">
    <w:abstractNumId w:val="7"/>
  </w:num>
  <w:num w:numId="4" w16cid:durableId="2014792318">
    <w:abstractNumId w:val="7"/>
  </w:num>
  <w:num w:numId="5" w16cid:durableId="1114901584">
    <w:abstractNumId w:val="6"/>
  </w:num>
  <w:num w:numId="6" w16cid:durableId="1741907893">
    <w:abstractNumId w:val="6"/>
  </w:num>
  <w:num w:numId="7" w16cid:durableId="915823272">
    <w:abstractNumId w:val="5"/>
  </w:num>
  <w:num w:numId="8" w16cid:durableId="1288313859">
    <w:abstractNumId w:val="5"/>
  </w:num>
  <w:num w:numId="9" w16cid:durableId="1997109231">
    <w:abstractNumId w:val="4"/>
  </w:num>
  <w:num w:numId="10" w16cid:durableId="2084255008">
    <w:abstractNumId w:val="4"/>
  </w:num>
  <w:num w:numId="11" w16cid:durableId="460265856">
    <w:abstractNumId w:val="8"/>
  </w:num>
  <w:num w:numId="12" w16cid:durableId="477067523">
    <w:abstractNumId w:val="8"/>
  </w:num>
  <w:num w:numId="13" w16cid:durableId="517501002">
    <w:abstractNumId w:val="3"/>
  </w:num>
  <w:num w:numId="14" w16cid:durableId="444421207">
    <w:abstractNumId w:val="3"/>
  </w:num>
  <w:num w:numId="15" w16cid:durableId="945310611">
    <w:abstractNumId w:val="2"/>
  </w:num>
  <w:num w:numId="16" w16cid:durableId="2021934378">
    <w:abstractNumId w:val="2"/>
  </w:num>
  <w:num w:numId="17" w16cid:durableId="739450872">
    <w:abstractNumId w:val="1"/>
  </w:num>
  <w:num w:numId="18" w16cid:durableId="655885750">
    <w:abstractNumId w:val="1"/>
  </w:num>
  <w:num w:numId="19" w16cid:durableId="1191531646">
    <w:abstractNumId w:val="0"/>
  </w:num>
  <w:num w:numId="20" w16cid:durableId="930699271">
    <w:abstractNumId w:val="0"/>
  </w:num>
  <w:num w:numId="21" w16cid:durableId="1785225893">
    <w:abstractNumId w:val="9"/>
  </w:num>
  <w:num w:numId="22" w16cid:durableId="1086923011">
    <w:abstractNumId w:val="7"/>
  </w:num>
  <w:num w:numId="23" w16cid:durableId="998310367">
    <w:abstractNumId w:val="6"/>
  </w:num>
  <w:num w:numId="24" w16cid:durableId="2008896559">
    <w:abstractNumId w:val="5"/>
  </w:num>
  <w:num w:numId="25" w16cid:durableId="178083943">
    <w:abstractNumId w:val="4"/>
  </w:num>
  <w:num w:numId="26" w16cid:durableId="971061215">
    <w:abstractNumId w:val="8"/>
  </w:num>
  <w:num w:numId="27" w16cid:durableId="219170815">
    <w:abstractNumId w:val="3"/>
  </w:num>
  <w:num w:numId="28" w16cid:durableId="1497381548">
    <w:abstractNumId w:val="2"/>
  </w:num>
  <w:num w:numId="29" w16cid:durableId="128862749">
    <w:abstractNumId w:val="1"/>
  </w:num>
  <w:num w:numId="30" w16cid:durableId="109781512">
    <w:abstractNumId w:val="0"/>
  </w:num>
  <w:num w:numId="31" w16cid:durableId="1614559045">
    <w:abstractNumId w:val="9"/>
  </w:num>
  <w:num w:numId="32" w16cid:durableId="969439794">
    <w:abstractNumId w:val="7"/>
  </w:num>
  <w:num w:numId="33" w16cid:durableId="136454171">
    <w:abstractNumId w:val="6"/>
  </w:num>
  <w:num w:numId="34" w16cid:durableId="996110764">
    <w:abstractNumId w:val="5"/>
  </w:num>
  <w:num w:numId="35" w16cid:durableId="22831948">
    <w:abstractNumId w:val="4"/>
  </w:num>
  <w:num w:numId="36" w16cid:durableId="1558471700">
    <w:abstractNumId w:val="8"/>
  </w:num>
  <w:num w:numId="37" w16cid:durableId="1748070927">
    <w:abstractNumId w:val="3"/>
  </w:num>
  <w:num w:numId="38" w16cid:durableId="1884907846">
    <w:abstractNumId w:val="2"/>
  </w:num>
  <w:num w:numId="39" w16cid:durableId="791244025">
    <w:abstractNumId w:val="1"/>
  </w:num>
  <w:num w:numId="40" w16cid:durableId="1401636092">
    <w:abstractNumId w:val="0"/>
  </w:num>
  <w:num w:numId="41" w16cid:durableId="2105346816">
    <w:abstractNumId w:val="10"/>
  </w:num>
  <w:num w:numId="42" w16cid:durableId="473525569">
    <w:abstractNumId w:val="10"/>
  </w:num>
  <w:num w:numId="43" w16cid:durableId="1631548528">
    <w:abstractNumId w:val="10"/>
  </w:num>
  <w:num w:numId="44" w16cid:durableId="21068796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E11"/>
    <w:rsid w:val="00002272"/>
    <w:rsid w:val="00064002"/>
    <w:rsid w:val="000677B9"/>
    <w:rsid w:val="000831BA"/>
    <w:rsid w:val="000A42CC"/>
    <w:rsid w:val="000B2D39"/>
    <w:rsid w:val="000E7DD9"/>
    <w:rsid w:val="0010095E"/>
    <w:rsid w:val="00107929"/>
    <w:rsid w:val="00125B37"/>
    <w:rsid w:val="00187494"/>
    <w:rsid w:val="001F32AE"/>
    <w:rsid w:val="00204AFF"/>
    <w:rsid w:val="002767FF"/>
    <w:rsid w:val="002B18FE"/>
    <w:rsid w:val="002B5493"/>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0FBC"/>
    <w:rsid w:val="00786EC0"/>
    <w:rsid w:val="007D1690"/>
    <w:rsid w:val="007E22AD"/>
    <w:rsid w:val="00817416"/>
    <w:rsid w:val="00842779"/>
    <w:rsid w:val="00854BE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B48"/>
    <w:rsid w:val="00B558F0"/>
    <w:rsid w:val="00BD48FE"/>
    <w:rsid w:val="00BD7BD8"/>
    <w:rsid w:val="00BE5E11"/>
    <w:rsid w:val="00BE6ADC"/>
    <w:rsid w:val="00C002D5"/>
    <w:rsid w:val="00C05BFE"/>
    <w:rsid w:val="00C23CD4"/>
    <w:rsid w:val="00C61C0C"/>
    <w:rsid w:val="00C941CB"/>
    <w:rsid w:val="00CC2357"/>
    <w:rsid w:val="00CE5045"/>
    <w:rsid w:val="00CF071A"/>
    <w:rsid w:val="00D058B8"/>
    <w:rsid w:val="00D304B5"/>
    <w:rsid w:val="00D56C11"/>
    <w:rsid w:val="00D834A0"/>
    <w:rsid w:val="00D872DF"/>
    <w:rsid w:val="00D91E21"/>
    <w:rsid w:val="00DA7FCD"/>
    <w:rsid w:val="00E365E1"/>
    <w:rsid w:val="00E820A4"/>
    <w:rsid w:val="00EB006A"/>
    <w:rsid w:val="00EB4772"/>
    <w:rsid w:val="00ED169E"/>
    <w:rsid w:val="00ED4235"/>
    <w:rsid w:val="00F026E2"/>
    <w:rsid w:val="00F04346"/>
    <w:rsid w:val="00F075DC"/>
    <w:rsid w:val="00F149E9"/>
    <w:rsid w:val="00F5134D"/>
    <w:rsid w:val="00F74202"/>
    <w:rsid w:val="00F87713"/>
    <w:rsid w:val="00FB4360"/>
    <w:rsid w:val="00FD0C70"/>
  </w:rsids>
  <w:docVars>
    <w:docVar w:name="dvdocse" w:val="B10-0335/2026"/>
    <w:docVar w:name="dvlangue" w:val="LV"/>
    <w:docVar w:name="dvnumam" w:val="0"/>
    <w:docVar w:name="dvpe" w:val="789.023"/>
    <w:docVar w:name="dvtitre" w:val="Eiropas Parlamenta 2026. gada XX. XXX  rezolūcija par projektu Komisijas īstenošanas lēmumam, ar kuru atbilstoši Eiropas Parlamenta un Padomes Regulai (EK) Nr. 1829/2003 atjauno atļauju laist tirgū produktus, kas satur ģenētiski modificētu kukurūzu NK603 × T25, no tās sastāv vai ir no tās ražoti(D115002 – 2026/2745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DA21AF7"/>
  <w15:chartTrackingRefBased/>
  <w15:docId w15:val="{B23B623A-8038-4C21-A41E-80D33DFE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26E2"/>
    <w:pPr>
      <w:spacing w:before="480" w:after="240"/>
    </w:pPr>
  </w:style>
  <w:style w:type="paragraph" w:customStyle="1" w:styleId="NormalBold12a">
    <w:name w:val="NormalBold12a"/>
    <w:basedOn w:val="Normal"/>
    <w:rsid w:val="00F026E2"/>
    <w:pPr>
      <w:spacing w:after="240"/>
    </w:pPr>
    <w:rPr>
      <w:b/>
    </w:rPr>
  </w:style>
  <w:style w:type="paragraph" w:customStyle="1" w:styleId="NormalHanging12a">
    <w:name w:val="NormalHanging12a"/>
    <w:basedOn w:val="Normal"/>
    <w:uiPriority w:val="99"/>
    <w:qFormat/>
    <w:rsid w:val="00F026E2"/>
    <w:pPr>
      <w:spacing w:after="240"/>
      <w:ind w:left="567" w:hanging="567"/>
    </w:pPr>
  </w:style>
  <w:style w:type="character" w:styleId="Hyperlink">
    <w:name w:val="Hyperlink"/>
    <w:basedOn w:val="DefaultParagraphFont"/>
    <w:uiPriority w:val="99"/>
    <w:rsid w:val="00F026E2"/>
    <w:rPr>
      <w:color w:val="0563C1" w:themeColor="hyperlink"/>
      <w:u w:val="single"/>
    </w:rPr>
  </w:style>
  <w:style w:type="character" w:customStyle="1" w:styleId="Funotenzeichen">
    <w:name w:val="Fußnotenzeichen"/>
    <w:basedOn w:val="DefaultParagraphFont"/>
    <w:uiPriority w:val="99"/>
    <w:qFormat/>
    <w:rsid w:val="00F026E2"/>
    <w:rPr>
      <w:rFonts w:ascii="Times New Roman" w:hAnsi="Times New Roman" w:cs="Times New Roman" w:hint="default"/>
      <w:vertAlign w:val="superscript"/>
    </w:rPr>
  </w:style>
  <w:style w:type="paragraph" w:styleId="Revision">
    <w:name w:val="Revision"/>
    <w:hidden/>
    <w:uiPriority w:val="99"/>
    <w:semiHidden/>
    <w:rsid w:val="00854BE4"/>
    <w:rPr>
      <w:sz w:val="24"/>
      <w:lang w:val="lv-LV"/>
    </w:rPr>
  </w:style>
  <w:style w:type="character" w:styleId="UnresolvedMention">
    <w:name w:val="Unresolved Mention"/>
    <w:basedOn w:val="DefaultParagraphFont"/>
    <w:uiPriority w:val="99"/>
    <w:semiHidden/>
    <w:unhideWhenUsed/>
    <w:rsid w:val="00B54B48"/>
    <w:rPr>
      <w:color w:val="605E5C"/>
      <w:shd w:val="clear" w:color="auto" w:fill="E1DFDD"/>
    </w:rPr>
  </w:style>
  <w:style w:type="character" w:styleId="FollowedHyperlink">
    <w:name w:val="FollowedHyperlink"/>
    <w:basedOn w:val="DefaultParagraphFont"/>
    <w:rsid w:val="00B54B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707/oj" TargetMode="External" /><Relationship Id="rId17" Type="http://schemas.openxmlformats.org/officeDocument/2006/relationships/hyperlink" Target="http://data.europa.eu/eli/C/2026/2151/oj;" TargetMode="External" /><Relationship Id="rId18" Type="http://schemas.openxmlformats.org/officeDocument/2006/relationships/hyperlink" Target="http://data.europa.eu/eli/dec_impl/2015/2279/oj;" TargetMode="External" /><Relationship Id="rId19" Type="http://schemas.openxmlformats.org/officeDocument/2006/relationships/hyperlink" Target="https://doi.org/10.2903/j.efsa.2015.4165" TargetMode="External" /><Relationship Id="rId2" Type="http://schemas.openxmlformats.org/officeDocument/2006/relationships/hyperlink" Target="http://data.europa.eu/eli/reg/2003/1829/oj" TargetMode="External" /><Relationship Id="rId20" Type="http://schemas.openxmlformats.org/officeDocument/2006/relationships/hyperlink" Target="https://doi.org/10.1007/s00267-015-0589-7" TargetMode="External" /><Relationship Id="rId21" Type="http://schemas.openxmlformats.org/officeDocument/2006/relationships/hyperlink" Target="https://doi.org/10.1186/2190-4715-24-24" TargetMode="External" /><Relationship Id="rId22" Type="http://schemas.openxmlformats.org/officeDocument/2006/relationships/hyperlink" Target="https://doi.org/10.1002/ps.8105" TargetMode="External" /><Relationship Id="rId23" Type="http://schemas.openxmlformats.org/officeDocument/2006/relationships/hyperlink" Target="https://doi.org/10.1016/j.geoforum.2009.03.009" TargetMode="External" /><Relationship Id="rId24" Type="http://schemas.openxmlformats.org/officeDocument/2006/relationships/hyperlink" Target="http://data.europa.eu/eli/reg/2009/1107/oj" TargetMode="External" /><Relationship Id="rId25" Type="http://schemas.openxmlformats.org/officeDocument/2006/relationships/hyperlink" Target="https://doi.org/10.1016/j.mrrev.2019.02.001" TargetMode="External" /><Relationship Id="rId26" Type="http://schemas.openxmlformats.org/officeDocument/2006/relationships/hyperlink" Target="https://doi.org/10.1093/ije/dyz017" TargetMode="External" /><Relationship Id="rId27" Type="http://schemas.openxmlformats.org/officeDocument/2006/relationships/hyperlink" Target="https://doi.org/10.1371/journal.pone.0219610" TargetMode="External" /><Relationship Id="rId28" Type="http://schemas.openxmlformats.org/officeDocument/2006/relationships/hyperlink" Target="https://doi.org/10.1186/s13045-019-0767-9" TargetMode="External" /><Relationship Id="rId29" Type="http://schemas.openxmlformats.org/officeDocument/2006/relationships/hyperlink" Target="https://doi.org/10.1006/rtph.1999.1371" TargetMode="External" /><Relationship Id="rId3" Type="http://schemas.openxmlformats.org/officeDocument/2006/relationships/hyperlink" Target="https://eur-lex.europa.eu/eli/reg/2011/182/oj;" TargetMode="External" /><Relationship Id="rId30" Type="http://schemas.openxmlformats.org/officeDocument/2006/relationships/hyperlink" Target="https://doi.org/10.2903/j.efsa.2018.5263" TargetMode="External" /><Relationship Id="rId31" Type="http://schemas.openxmlformats.org/officeDocument/2006/relationships/hyperlink" Target="https://ec.europa.eu/commission/presscorner/detail/lv/ip_22_7834" TargetMode="External" /><Relationship Id="rId32" Type="http://schemas.openxmlformats.org/officeDocument/2006/relationships/hyperlink" Target="https://commission.europa.eu/topics/agriculture-and-rural-development/strategic-dialogue-future-eu-agriculture_lv" TargetMode="External" /><Relationship Id="rId33"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s://eur-lex.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1477</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2026-09-03T10:54:00Z</dcterms:created>
  <dcterms:modified xsi:type="dcterms:W3CDTF">2026-09-03T10:54:00Z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P10_TA(2026)0263_</vt:lpwstr>
  </property>
  <property fmtid="{D5CDD505-2E9C-101B-9397-08002B2CF9AE}" pid="4" name="&lt;Type&gt;">
    <vt:lpwstr>RR</vt:lpwstr>
  </property>
</Properties>
</file>