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A85779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1CE4" w:rsidP="0010095E" w14:paraId="488908B7" w14:textId="77777777">
            <w:pPr>
              <w:pStyle w:val="EPName"/>
            </w:pPr>
            <w:r w:rsidRPr="005C1CE4">
              <w:t>Parlament Ewropew</w:t>
            </w:r>
          </w:p>
          <w:p w:rsidR="00751A4A" w:rsidRPr="005C1CE4" w:rsidP="005F1B17" w14:paraId="4C2029F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1CE4">
              <w:t>2024</w:t>
            </w:r>
            <w:r w:rsidRPr="005C1CE4" w:rsidR="00817416">
              <w:t>-202</w:t>
            </w:r>
            <w:r w:rsidRPr="005C1CE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C1CE4" w:rsidP="0010095E" w14:paraId="08F718F7" w14:textId="77777777">
            <w:pPr>
              <w:pStyle w:val="EPLogo"/>
            </w:pPr>
            <w:r w:rsidRPr="005C1CE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1CE4" w:rsidP="004C5D52" w14:paraId="3D4A0771" w14:textId="77777777">
      <w:pPr>
        <w:pStyle w:val="LineTop"/>
      </w:pPr>
    </w:p>
    <w:p w:rsidR="00680577" w:rsidRPr="005C1CE4" w:rsidP="00680577" w14:paraId="5C0C523D" w14:textId="77777777">
      <w:pPr>
        <w:pStyle w:val="EPBodyTA1"/>
      </w:pPr>
      <w:r w:rsidRPr="005C1CE4">
        <w:t>TESTI ADOTTATI</w:t>
      </w:r>
    </w:p>
    <w:p w:rsidR="00D058B8" w:rsidRPr="005C1CE4" w:rsidP="00D058B8" w14:paraId="5FBBE658" w14:textId="77777777">
      <w:pPr>
        <w:pStyle w:val="LineBottom"/>
      </w:pPr>
    </w:p>
    <w:p w:rsidR="006441F2" w:rsidRPr="005C1CE4" w:rsidP="006441F2" w14:paraId="4680A54B" w14:textId="35FA705F">
      <w:pPr>
        <w:pStyle w:val="ATHeading1"/>
      </w:pPr>
      <w:bookmarkStart w:id="0" w:name="TANumber"/>
      <w:r w:rsidRPr="005C1CE4">
        <w:t>P10_TA(2026)0</w:t>
      </w:r>
      <w:r w:rsidR="00FF10A7">
        <w:t>263</w:t>
      </w:r>
      <w:bookmarkEnd w:id="0"/>
    </w:p>
    <w:p w:rsidR="006441F2" w:rsidRPr="005C1CE4" w:rsidP="006441F2" w14:paraId="50521A97" w14:textId="1D532F52">
      <w:pPr>
        <w:pStyle w:val="ATHeading2"/>
      </w:pPr>
      <w:bookmarkStart w:id="1" w:name="title"/>
      <w:r>
        <w:t>Q</w:t>
      </w:r>
      <w:r w:rsidRPr="005C1CE4">
        <w:t>amħirrum ġenetikament modifikat NK603 × T25</w:t>
      </w:r>
      <w:bookmarkEnd w:id="1"/>
    </w:p>
    <w:p w:rsidR="006441F2" w:rsidRPr="005C1CE4" w:rsidP="006441F2" w14:paraId="78D305B8" w14:textId="77777777">
      <w:pPr>
        <w:rPr>
          <w:i/>
          <w:vanish/>
        </w:rPr>
      </w:pPr>
      <w:r>
        <w:rPr>
          <w:i/>
        </w:rPr>
        <w:fldChar w:fldCharType="begin"/>
      </w:r>
      <w:r w:rsidRPr="005C1CE4">
        <w:rPr>
          <w:i/>
        </w:rPr>
        <w:instrText xml:space="preserve"> TC"(</w:instrText>
      </w:r>
      <w:bookmarkStart w:id="2" w:name="DocNumber"/>
      <w:r w:rsidRPr="005C1CE4">
        <w:rPr>
          <w:i/>
        </w:rPr>
        <w:instrText>B10-0335/2026</w:instrText>
      </w:r>
      <w:bookmarkEnd w:id="2"/>
      <w:r w:rsidRPr="005C1CE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441F2" w:rsidRPr="005C1CE4" w:rsidP="006441F2" w14:paraId="528F4F24" w14:textId="77777777">
      <w:pPr>
        <w:rPr>
          <w:vanish/>
        </w:rPr>
      </w:pPr>
      <w:bookmarkStart w:id="3" w:name="PE"/>
      <w:r w:rsidRPr="005C1CE4">
        <w:rPr>
          <w:vanish/>
        </w:rPr>
        <w:t>PE789.023</w:t>
      </w:r>
      <w:bookmarkEnd w:id="3"/>
    </w:p>
    <w:p w:rsidR="006441F2" w:rsidRPr="005C1CE4" w:rsidP="00981149" w14:paraId="377D8ECD" w14:textId="05CA253C">
      <w:pPr>
        <w:pStyle w:val="ATHeading3"/>
      </w:pPr>
      <w:bookmarkStart w:id="4" w:name="Sujet"/>
      <w:r w:rsidRPr="005C1CE4">
        <w:t xml:space="preserve">Riżoluzzjoni tal-Parlament Ewropew </w:t>
      </w:r>
      <w:r w:rsidR="00981149">
        <w:t>tat-8 ta’ Lulju</w:t>
      </w:r>
      <w:r w:rsidRPr="005C1CE4">
        <w:t xml:space="preserve"> 2026 dwar l-abbozz ta’ Deċiżjoni ta’ implimentazzjoni tal-Kummissjoni </w:t>
      </w:r>
      <w:r w:rsidR="00597A3C">
        <w:t xml:space="preserve">(UE) 2026/1417 tad-29 ta’ Ġunju 20268 </w:t>
      </w:r>
      <w:r w:rsidRPr="005C1CE4">
        <w:t>li ġġedded l-awtorizzazzjoni għall-introduzzjoni fis-suq ta’ prodotti li fihom il-qamħirrum ġenetikament modifikat NK603 × T25, li jikkonsistu minnu, jew li huma prodotti minnu, skont ir-Regolament (KE) Nru 1829/2003 tal-Parlament Ewropew u tal-Kunsill</w:t>
      </w:r>
      <w:bookmarkEnd w:id="4"/>
      <w:r w:rsidRPr="005C1CE4">
        <w:t xml:space="preserve"> </w:t>
      </w:r>
      <w:bookmarkStart w:id="5" w:name="References"/>
      <w:r w:rsidRPr="005C1CE4">
        <w:t>(2026/2745(RSP))</w:t>
      </w:r>
      <w:bookmarkEnd w:id="5"/>
    </w:p>
    <w:p w:rsidR="0027484F" w:rsidRPr="005C1CE4" w:rsidP="0027484F" w14:paraId="5B0D30DD" w14:textId="77777777">
      <w:pPr>
        <w:pStyle w:val="EPComma"/>
      </w:pPr>
      <w:bookmarkStart w:id="6" w:name="TextBodyBegin"/>
      <w:bookmarkEnd w:id="6"/>
      <w:r w:rsidRPr="005C1CE4">
        <w:rPr>
          <w:i/>
        </w:rPr>
        <w:t>Il-Parlament Ewropew</w:t>
      </w:r>
      <w:r w:rsidRPr="005C1CE4">
        <w:t>,</w:t>
      </w:r>
    </w:p>
    <w:p w:rsidR="0027484F" w:rsidRPr="005C1CE4" w:rsidP="0027484F" w14:paraId="241870F8" w14:textId="21521C13">
      <w:pPr>
        <w:pStyle w:val="NormalHanging12a"/>
      </w:pPr>
      <w:r w:rsidRPr="005C1CE4">
        <w:t>–</w:t>
      </w:r>
      <w:r w:rsidRPr="005C1CE4">
        <w:tab/>
        <w:t xml:space="preserve">wara li kkunsidra </w:t>
      </w:r>
      <w:r w:rsidR="00981149">
        <w:t>d-D</w:t>
      </w:r>
      <w:r w:rsidRPr="005C1CE4">
        <w:t xml:space="preserve">eċiżjoni ta’ </w:t>
      </w:r>
      <w:r w:rsidR="00981149">
        <w:t>I</w:t>
      </w:r>
      <w:r w:rsidRPr="005C1CE4">
        <w:t xml:space="preserve">mplimentazzjoni tal-Kummissjoni </w:t>
      </w:r>
      <w:r w:rsidR="00981149">
        <w:t xml:space="preserve">(UE) 2026/1417 tad-29 ta’ Ġunju 2026 </w:t>
      </w:r>
      <w:r w:rsidRPr="005C1CE4">
        <w:t>li ġġedded l-awtorizzazzjoni għall-introduzzjoni fis-suq ta’ prodotti li fihom il-qamħirrum ġenetikament modifikat NK603 × T25, li jikkonsistu minnu, jew li huma prodotti minnu, skont ir-Regolament (KE) Nru 1829/2003 tal-Parlament Ewropew u tal-Kunsill</w:t>
      </w:r>
      <w:r>
        <w:rPr>
          <w:rStyle w:val="FootnoteReference"/>
        </w:rPr>
        <w:footnoteReference w:id="2"/>
      </w:r>
      <w:r w:rsidRPr="005C1CE4">
        <w:t>,</w:t>
      </w:r>
    </w:p>
    <w:p w:rsidR="0027484F" w:rsidRPr="005C1CE4" w:rsidP="0027484F" w14:paraId="58B29609" w14:textId="77777777">
      <w:pPr>
        <w:pStyle w:val="NormalHanging12a"/>
      </w:pPr>
      <w:r w:rsidRPr="005C1CE4">
        <w:t>–</w:t>
      </w:r>
      <w:r w:rsidRPr="005C1CE4">
        <w:tab/>
        <w:t>wara li kkunsidra r-Regolament (KE) Nru 1829/2003 tal-Parlament Ewropew u tal-Kunsill tat-22 ta’ Settembru 2003 dwar ikel u għalf modifikat ġenetikament</w:t>
      </w:r>
      <w:r>
        <w:rPr>
          <w:rStyle w:val="FootnoteReference"/>
        </w:rPr>
        <w:footnoteReference w:id="3"/>
      </w:r>
      <w:r w:rsidRPr="005C1CE4">
        <w:t>, u b’mod partikolari l-Artikolu 11(3) u l-Artikolu 23(3) tiegħu,</w:t>
      </w:r>
    </w:p>
    <w:p w:rsidR="0027484F" w:rsidRPr="005C1CE4" w:rsidP="0027484F" w14:paraId="5632BD19" w14:textId="77777777">
      <w:pPr>
        <w:pStyle w:val="NormalHanging12a"/>
      </w:pPr>
      <w:r w:rsidRPr="005C1CE4">
        <w:t>–</w:t>
      </w:r>
      <w:r w:rsidRPr="005C1CE4">
        <w:tab/>
        <w:t xml:space="preserve">wara li kkunsidra l-votazzjoni tal-Kumitat Permanenti dwar il-Pjanti, l-Annimali, l-Ikel u l-Għalf imsemmi fl-Artikolu 35 tar-Regolament (KE) Nru 1829/2003, tas-27 ta’ April 2026, fejn ma ngħatat ebda opinjoni, </w:t>
      </w:r>
      <w:bookmarkStart w:id="7" w:name="_Hlk219206484"/>
      <w:r w:rsidRPr="005C1CE4">
        <w:t xml:space="preserve">u l-vot tal-Kumitat ta’ Appell fit-2 ta’ Ġunju 2026, li fih għal </w:t>
      </w:r>
      <w:r w:rsidRPr="005C1CE4">
        <w:t>darb</w:t>
      </w:r>
      <w:r w:rsidRPr="005C1CE4">
        <w:t>’oħra ma ngħatat l-ebda opinjoni,</w:t>
      </w:r>
      <w:bookmarkEnd w:id="7"/>
    </w:p>
    <w:p w:rsidR="0027484F" w:rsidRPr="005C1CE4" w:rsidP="0027484F" w14:paraId="738D3C26" w14:textId="77777777">
      <w:pPr>
        <w:pStyle w:val="NormalHanging12a"/>
      </w:pPr>
      <w:r w:rsidRPr="005C1CE4">
        <w:t>–</w:t>
      </w:r>
      <w:r w:rsidRPr="005C1CE4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>
        <w:rPr>
          <w:rStyle w:val="FootnoteReference"/>
        </w:rPr>
        <w:footnoteReference w:id="4"/>
      </w:r>
      <w:r w:rsidRPr="005C1CE4">
        <w:t>,</w:t>
      </w:r>
    </w:p>
    <w:p w:rsidR="0027484F" w:rsidRPr="005C1CE4" w:rsidP="0027484F" w14:paraId="0C49765E" w14:textId="77777777">
      <w:pPr>
        <w:pStyle w:val="NormalHanging12a"/>
      </w:pPr>
      <w:r w:rsidRPr="005C1CE4">
        <w:t>–</w:t>
      </w:r>
      <w:r w:rsidRPr="005C1CE4">
        <w:tab/>
        <w:t xml:space="preserve">wara li kkunsidra l-opinjoni adottata mill-Awtorità Ewropea dwar is-Sigurtà fl-Ikel </w:t>
      </w:r>
      <w:r w:rsidRPr="005C1CE4">
        <w:t>(EFSA) fid-29 ta’ Ottubru 2025, u ppubblikata fis-27 ta’ Novembru 2025</w:t>
      </w:r>
      <w:r>
        <w:rPr>
          <w:rStyle w:val="FootnoteReference"/>
        </w:rPr>
        <w:footnoteReference w:id="5"/>
      </w:r>
      <w:r w:rsidRPr="005C1CE4">
        <w:t>,</w:t>
      </w:r>
    </w:p>
    <w:p w:rsidR="0027484F" w:rsidRPr="005C1CE4" w:rsidP="0027484F" w14:paraId="794EB1A9" w14:textId="77777777">
      <w:pPr>
        <w:pStyle w:val="NormalHanging12a"/>
      </w:pPr>
      <w:r w:rsidRPr="005C1CE4">
        <w:t>–</w:t>
      </w:r>
      <w:r w:rsidRPr="005C1CE4">
        <w:tab/>
        <w:t>wara li kkunsidra r-riżoluzzjonijiet preċedenti tiegħu li joġġezzjonaw għall-awtorizzazzjoni ta’ organiżmi ġenetikament modifikati (“OĠM”)</w:t>
      </w:r>
      <w:r>
        <w:rPr>
          <w:rStyle w:val="FootnoteReference"/>
        </w:rPr>
        <w:footnoteReference w:id="6"/>
      </w:r>
      <w:r w:rsidRPr="005C1CE4">
        <w:t>,</w:t>
      </w:r>
    </w:p>
    <w:p w:rsidR="0027484F" w:rsidRPr="005C1CE4" w:rsidP="0027484F" w14:paraId="5B02A577" w14:textId="77777777">
      <w:pPr>
        <w:pStyle w:val="NormalHanging12a"/>
      </w:pPr>
      <w:r w:rsidRPr="005C1CE4">
        <w:t>–</w:t>
      </w:r>
      <w:r w:rsidRPr="005C1CE4">
        <w:tab/>
        <w:t>wara li kkunsidra l-Artikolu 115(2) u (3) tar-Regoli ta’ Proċedura tiegħu,</w:t>
      </w:r>
    </w:p>
    <w:p w:rsidR="0027484F" w:rsidRPr="005C1CE4" w:rsidP="0027484F" w14:paraId="0F92B6DA" w14:textId="77777777">
      <w:pPr>
        <w:pStyle w:val="NormalHanging12a"/>
      </w:pPr>
      <w:r w:rsidRPr="005C1CE4">
        <w:t>–</w:t>
      </w:r>
      <w:r w:rsidRPr="005C1CE4">
        <w:tab/>
        <w:t>wara li kkunsidra l-mozzjoni għal riżoluzzjoni tal-Kumitat għall-Ambjent, il-Klima u s-Sikurezza tal-Ikel,</w:t>
      </w:r>
    </w:p>
    <w:p w:rsidR="0027484F" w:rsidRPr="005C1CE4" w:rsidP="0027484F" w14:paraId="0A7D7CE6" w14:textId="0A56E61F">
      <w:pPr>
        <w:pStyle w:val="NormalHanging12a"/>
      </w:pPr>
      <w:r w:rsidRPr="005C1CE4">
        <w:t>A.</w:t>
      </w:r>
      <w:r w:rsidRPr="005C1CE4">
        <w:tab/>
        <w:t>billi d-Deċiżjoni ta’ Implimentazzjoni tal-Kummissjoni (UE) 2015/2279</w:t>
      </w:r>
      <w:r>
        <w:rPr>
          <w:rStyle w:val="FootnoteReference"/>
        </w:rPr>
        <w:footnoteReference w:id="7"/>
      </w:r>
      <w:r w:rsidRPr="005C1CE4">
        <w:t xml:space="preserve"> awtorizzat l-introduzzjoni fis-suq ta’ ikel u għalf li fihom il-qamħirrum ġenetikament modifikat NK603 × T25 (il-</w:t>
      </w:r>
      <w:r w:rsidR="00981149">
        <w:t>“</w:t>
      </w:r>
      <w:r w:rsidRPr="005C1CE4">
        <w:t xml:space="preserve">qamħirrum ĠM”), li jikkonsistu minnu jew li huma prodotti minnu; billi l-kamp ta’ applikazzjoni ta’ dik l-awtorizzazzjoni kopra wkoll l-introduzzjoni fis-suq ta’ prodotti għajr ikel u għalf li fihom il-qamħirrum ĠM jew li jikkonsistu minnu, għall-istess użi bħal kwalunkwe qamħirrum ieħor, bl-eċċezzjoni tal-kultivazzjoni; </w:t>
      </w:r>
    </w:p>
    <w:p w:rsidR="0027484F" w:rsidRPr="005C1CE4" w:rsidP="0027484F" w14:paraId="0B2D43C6" w14:textId="77777777">
      <w:pPr>
        <w:pStyle w:val="NormalHanging12a"/>
      </w:pPr>
      <w:r w:rsidRPr="005C1CE4">
        <w:t>B.</w:t>
      </w:r>
      <w:r w:rsidRPr="005C1CE4">
        <w:tab/>
        <w:t xml:space="preserve">billi fid-19 ta’ April 2024, Bayer </w:t>
      </w:r>
      <w:r w:rsidRPr="005C1CE4">
        <w:t>Agriculture</w:t>
      </w:r>
      <w:r w:rsidRPr="005C1CE4">
        <w:t xml:space="preserve"> BV, ibbażata fil-Belġju, ressqet applikazzjoni lill-Kummissjoni f’isem Bayer </w:t>
      </w:r>
      <w:r w:rsidRPr="005C1CE4">
        <w:t>CropScience</w:t>
      </w:r>
      <w:r w:rsidRPr="005C1CE4">
        <w:t xml:space="preserve"> LP, ibbażata fl-Istati Uniti tal-Amerka, għat-tiġdid ta’ dik l-awtorizzazzjoni;</w:t>
      </w:r>
    </w:p>
    <w:p w:rsidR="0027484F" w:rsidRPr="005C1CE4" w:rsidP="0027484F" w14:paraId="628DA997" w14:textId="77777777">
      <w:pPr>
        <w:pStyle w:val="NormalHanging12a"/>
      </w:pPr>
      <w:r w:rsidRPr="005C1CE4">
        <w:t>C.</w:t>
      </w:r>
      <w:r w:rsidRPr="005C1CE4">
        <w:tab/>
        <w:t>billi, fis-27 ta’ Novembru 2025, l-EFSA ħarġet opinjoni xjentifika favorevoli dwar il-qamħirrum ĠM f’konformità mal-Artikoli 6 u 18 tar-Regolament (KE) Nru 1829/2003; billi kkonkludiet li l-applikazzjoni għat-tiġdid ma kienx fiha evidenza ta’ perikli ġodda, esponiment modifikat jew inċertezzi xjentifiċi li jistgħu jibdlu l-konklużjonijiet tal-valutazzjoni tar-riskju oriġinali dwar il-qamħirrum ĠM, adottata mill-EFSA fl-2015</w:t>
      </w:r>
      <w:r>
        <w:rPr>
          <w:rStyle w:val="FootnoteReference"/>
        </w:rPr>
        <w:footnoteReference w:id="8"/>
      </w:r>
      <w:r w:rsidRPr="005C1CE4">
        <w:t xml:space="preserve">; billi dawk l-opinjonijiet ma </w:t>
      </w:r>
      <w:r w:rsidRPr="005C1CE4">
        <w:t>indirizzawx</w:t>
      </w:r>
      <w:r w:rsidRPr="005C1CE4">
        <w:t xml:space="preserve"> diversi impatti ambjentali, </w:t>
      </w:r>
      <w:r w:rsidRPr="005C1CE4">
        <w:t>soċjoekonomiċi</w:t>
      </w:r>
      <w:r w:rsidRPr="005C1CE4">
        <w:t xml:space="preserve"> u </w:t>
      </w:r>
      <w:r w:rsidRPr="005C1CE4">
        <w:t>kumulattivi</w:t>
      </w:r>
      <w:r w:rsidRPr="005C1CE4">
        <w:t xml:space="preserve"> </w:t>
      </w:r>
      <w:r w:rsidRPr="005C1CE4">
        <w:t>usa</w:t>
      </w:r>
      <w:r w:rsidRPr="005C1CE4">
        <w:t xml:space="preserve">’ li l-EFSA tqis li jaqgħu barra mill-mandat tagħha; </w:t>
      </w:r>
    </w:p>
    <w:p w:rsidR="0027484F" w:rsidRPr="005C1CE4" w:rsidP="0027484F" w14:paraId="6FAFFB91" w14:textId="77777777">
      <w:pPr>
        <w:pStyle w:val="NormalHanging12a"/>
      </w:pPr>
      <w:r w:rsidRPr="005C1CE4">
        <w:t>D.</w:t>
      </w:r>
      <w:r w:rsidRPr="005C1CE4">
        <w:tab/>
        <w:t>billi l-</w:t>
      </w:r>
      <w:r w:rsidRPr="005C1CE4">
        <w:t>qamħirrum</w:t>
      </w:r>
      <w:r w:rsidRPr="005C1CE4">
        <w:t xml:space="preserve"> ĠM huwa </w:t>
      </w:r>
      <w:r w:rsidRPr="005C1CE4">
        <w:t>qamħirrum</w:t>
      </w:r>
      <w:r w:rsidRPr="005C1CE4">
        <w:t xml:space="preserve"> ġenetikament modifikat </w:t>
      </w:r>
      <w:r w:rsidRPr="005C1CE4">
        <w:t>tolleranti</w:t>
      </w:r>
      <w:r w:rsidRPr="005C1CE4">
        <w:t xml:space="preserve"> għall-erbiċidi </w:t>
      </w:r>
      <w:r w:rsidRPr="005C1CE4">
        <w:t xml:space="preserve">bi trasformazzjoni multipla żviluppat billi jiġi kkombinat l-event NK603 (tolleranza </w:t>
      </w:r>
      <w:r w:rsidRPr="005C1CE4">
        <w:t>għall-glifosat</w:t>
      </w:r>
      <w:r w:rsidRPr="005C1CE4">
        <w:t xml:space="preserve">) u l-event T25 (tolleranza </w:t>
      </w:r>
      <w:r w:rsidRPr="005C1CE4">
        <w:t>għall-glufosinat-ammonju</w:t>
      </w:r>
      <w:r w:rsidRPr="005C1CE4">
        <w:t xml:space="preserve">); </w:t>
      </w:r>
    </w:p>
    <w:p w:rsidR="0027484F" w:rsidRPr="005C1CE4" w:rsidP="0027484F" w14:paraId="4D52D13A" w14:textId="77777777">
      <w:pPr>
        <w:pStyle w:val="NormalHanging12a"/>
      </w:pPr>
      <w:r w:rsidRPr="005C1CE4">
        <w:t>E.</w:t>
      </w:r>
      <w:r w:rsidRPr="005C1CE4">
        <w:tab/>
        <w:t xml:space="preserve">billi l-valutazzjonijiet tar-riskju mwettqa mill-EFSA ma kinux jinkludu studji tossikoloġiċi fit-tul jew analiżi dettaljata tal-effetti </w:t>
      </w:r>
      <w:r w:rsidRPr="005C1CE4">
        <w:t>kumulattivi</w:t>
      </w:r>
      <w:r w:rsidRPr="005C1CE4">
        <w:t xml:space="preserve"> u </w:t>
      </w:r>
      <w:r w:rsidRPr="005C1CE4">
        <w:t>kombinatorji</w:t>
      </w:r>
      <w:r w:rsidRPr="005C1CE4">
        <w:t>, inklużi l-interazzjonijiet potenzjali ma’ residwi ta’ pestiċidi użati b’mod komuni fil-kultivazzjoni tal-qamħirrum;</w:t>
      </w:r>
    </w:p>
    <w:p w:rsidR="0027484F" w:rsidRPr="005C1CE4" w:rsidP="0027484F" w14:paraId="7D31791B" w14:textId="77777777">
      <w:pPr>
        <w:pStyle w:val="NormalHanging12a"/>
      </w:pPr>
      <w:r w:rsidRPr="005C1CE4">
        <w:t>F.</w:t>
      </w:r>
      <w:r w:rsidRPr="005C1CE4">
        <w:tab/>
        <w:t xml:space="preserve">billi l-maġġoranza l-kbira tal-għelejjel ĠM, inkluż il-qamħirrum ĠM, ġew ġenetikament modifikati sabiex ikunu </w:t>
      </w:r>
      <w:r w:rsidRPr="005C1CE4">
        <w:t>tolleranti</w:t>
      </w:r>
      <w:r w:rsidRPr="005C1CE4">
        <w:t xml:space="preserve"> għal erbiċida “komplementari” waħda jew aktar li jistgħu jintużaw matul il-kultivazzjoni tal-</w:t>
      </w:r>
      <w:r w:rsidRPr="005C1CE4">
        <w:t>għalla</w:t>
      </w:r>
      <w:r w:rsidRPr="005C1CE4">
        <w:t xml:space="preserve"> ĠM, mingħajr ma l-</w:t>
      </w:r>
      <w:r w:rsidRPr="005C1CE4">
        <w:t>għalla</w:t>
      </w:r>
      <w:r w:rsidRPr="005C1CE4">
        <w:t xml:space="preserve"> tmut, kif ikun il-każ għal </w:t>
      </w:r>
      <w:r w:rsidRPr="005C1CE4">
        <w:t>għalla</w:t>
      </w:r>
      <w:r w:rsidRPr="005C1CE4">
        <w:t xml:space="preserve"> mhux </w:t>
      </w:r>
      <w:r w:rsidRPr="005C1CE4">
        <w:t>tolleranti</w:t>
      </w:r>
      <w:r w:rsidRPr="005C1CE4">
        <w:t xml:space="preserve"> għall-erbiċidi; billi għadd ta’ studji juru li l-kultivazzjoni ta’ għelejjel ĠM </w:t>
      </w:r>
      <w:r w:rsidRPr="005C1CE4">
        <w:t>tolleranti</w:t>
      </w:r>
      <w:r w:rsidRPr="005C1CE4">
        <w:t xml:space="preserve"> għall-erbiċidi twassal għal użu akbar ta’ erbiċidi “komplementari”, fil-biċċa l-kbira minħabba t-tfaċċar ta’ ħaxix ħażin </w:t>
      </w:r>
      <w:r w:rsidRPr="005C1CE4">
        <w:t>tolleranti</w:t>
      </w:r>
      <w:r w:rsidRPr="005C1CE4">
        <w:t xml:space="preserve"> għall-erbiċidi</w:t>
      </w:r>
      <w:r>
        <w:rPr>
          <w:vertAlign w:val="superscript"/>
        </w:rPr>
        <w:footnoteReference w:id="9"/>
      </w:r>
      <w:r w:rsidRPr="005C1CE4">
        <w:t>;</w:t>
      </w:r>
    </w:p>
    <w:p w:rsidR="0027484F" w:rsidRPr="005C1CE4" w:rsidP="0027484F" w14:paraId="6DFFF53F" w14:textId="77777777">
      <w:pPr>
        <w:pStyle w:val="NormalHanging12a"/>
      </w:pPr>
      <w:r w:rsidRPr="005C1CE4">
        <w:t>G.</w:t>
      </w:r>
      <w:r w:rsidRPr="005C1CE4">
        <w:tab/>
        <w:t xml:space="preserve">billi l-għelejjel ĠM </w:t>
      </w:r>
      <w:r w:rsidRPr="005C1CE4">
        <w:t>tolleranti</w:t>
      </w:r>
      <w:r w:rsidRPr="005C1CE4">
        <w:t xml:space="preserve"> għall-erbiċidi jorbtu lill-bdiewa ma’ sistema ta’ ġestjoni tal-ħaxix ħażin li fil-biċċa l-kbira tkun jew kompletament dipendenti fuq erbiċidi, u tagħmel dan billi titlob </w:t>
      </w:r>
      <w:r w:rsidRPr="005C1CE4">
        <w:t>premium</w:t>
      </w:r>
      <w:r w:rsidRPr="005C1CE4">
        <w:t xml:space="preserve"> għaż-żrieragħ ĠM filwaqt li tinħoloq dipendenza fuq l-użu ta’ erbiċidi komplementari bħala parti integrali mis-sistema ta’ produzzjoni; billi dipendenza akbar fuq l-erbiċidi komplementari fuq azjendi agrikoli li jħawlu l-qamħirrum ĠM se tħaffef l-emerġenza mill-ġdid u mit-tixrid ta’ ħaxix ħażin reżistenti għal dawk l-erbiċidi, u b’hekk tikkawża l-ħtieġa ta’ aktar użu ta’ erbiċidi, ċirku </w:t>
      </w:r>
      <w:r w:rsidRPr="005C1CE4">
        <w:t>vizzjuż</w:t>
      </w:r>
      <w:r w:rsidRPr="005C1CE4">
        <w:t xml:space="preserve"> magħruf bħala “l-</w:t>
      </w:r>
      <w:r w:rsidRPr="005C1CE4">
        <w:t>ispirall</w:t>
      </w:r>
      <w:r w:rsidRPr="005C1CE4">
        <w:t xml:space="preserve"> tal-erbiċidi”; billi, bħala konsegwenza, l-impatti negattivi li jirriżultaw minn dipendenza eċċessiva fuq l-erbiċidi se jaggravaw is-saħħa tal-ħamrija, il-kwalità tal-ilma u l-bijodiversità ta’ taħt u ta’ fuq l-art, kif ukoll iwasslu għal żieda fl-esponiment tal-bniedem u tal-annimali, potenzjalment ukoll permezz ta’ żieda fir-residwi ta’ erbiċidi fuq l-ikel u l-għalf</w:t>
      </w:r>
      <w:r>
        <w:rPr>
          <w:vertAlign w:val="superscript"/>
        </w:rPr>
        <w:footnoteReference w:id="10"/>
      </w:r>
      <w:r w:rsidRPr="005C1CE4">
        <w:t>;</w:t>
      </w:r>
    </w:p>
    <w:p w:rsidR="0027484F" w:rsidRPr="005C1CE4" w:rsidP="0027484F" w14:paraId="0F705638" w14:textId="77777777">
      <w:pPr>
        <w:pStyle w:val="NormalHanging12a"/>
      </w:pPr>
      <w:r w:rsidRPr="005C1CE4">
        <w:t>H.</w:t>
      </w:r>
      <w:r w:rsidRPr="005C1CE4">
        <w:tab/>
        <w:t>billi l-</w:t>
      </w:r>
      <w:r w:rsidRPr="005C1CE4">
        <w:t>glufosinat</w:t>
      </w:r>
      <w:r w:rsidRPr="005C1CE4">
        <w:t xml:space="preserve"> huwa klassifikat bħala sustanza tossika għar-riproduzzjoni 1B u għalhekk jissodisfa l-“kriterji ta’ limitu” stabbiliti fir-Regolament (KE) Nru 1107/2009 tal-Parlament Ewropew u tal-Kunsill</w:t>
      </w:r>
      <w:r>
        <w:rPr>
          <w:vertAlign w:val="superscript"/>
        </w:rPr>
        <w:footnoteReference w:id="11"/>
      </w:r>
      <w:r w:rsidRPr="005C1CE4">
        <w:t>; billi l-approvazzjoni tal-</w:t>
      </w:r>
      <w:r w:rsidRPr="005C1CE4">
        <w:t>glufosinat</w:t>
      </w:r>
      <w:r w:rsidRPr="005C1CE4">
        <w:t xml:space="preserve"> għall-użu fl-Unjoni skadiet fil-31 ta’ Lulju 2018;</w:t>
      </w:r>
    </w:p>
    <w:p w:rsidR="0027484F" w:rsidRPr="005C1CE4" w:rsidP="0027484F" w14:paraId="63A85E36" w14:textId="77777777">
      <w:pPr>
        <w:pStyle w:val="NormalHanging12a"/>
      </w:pPr>
      <w:r w:rsidRPr="005C1CE4">
        <w:t>I.</w:t>
      </w:r>
      <w:r w:rsidRPr="005C1CE4">
        <w:tab/>
        <w:t>billi għad hemm inċertezzi xjentifiċi sinifikanti rigward is-sikurezza tal-</w:t>
      </w:r>
      <w:r w:rsidRPr="005C1CE4">
        <w:t>glifosat</w:t>
      </w:r>
      <w:r w:rsidRPr="005C1CE4">
        <w:t xml:space="preserve"> għas-saħħa tal-bniedem u għall-ambjent; billi l-EFSA kkonkludiet, f’Novembru 2015, li </w:t>
      </w:r>
      <w:r w:rsidRPr="005C1CE4">
        <w:t>huwa improbabbli li l-</w:t>
      </w:r>
      <w:r w:rsidRPr="005C1CE4">
        <w:t>glifosat</w:t>
      </w:r>
      <w:r w:rsidRPr="005C1CE4">
        <w:t xml:space="preserve"> huwa </w:t>
      </w:r>
      <w:r w:rsidRPr="005C1CE4">
        <w:t>karċinoġeniku</w:t>
      </w:r>
      <w:r w:rsidRPr="005C1CE4">
        <w:t xml:space="preserve"> u l-Aġenzija Ewropea għas-Sustanzi Kimiċi kkonkludiet f’Marzu 2017 li l-ebda klassifikazzjoni ma kienet </w:t>
      </w:r>
      <w:r w:rsidRPr="005C1CE4">
        <w:t>iġġustifikata</w:t>
      </w:r>
      <w:r w:rsidRPr="005C1CE4">
        <w:t>; billi, għall-kuntrarju, fl-2015, l-Aġenzija Internazzjonali għar-Riċerka dwar il-Kanċer, l-aġenzija speċjalizzata fil-kanċer tal-Organizzazzjoni Dinjija tas-Saħħa, ikklassifikat il-</w:t>
      </w:r>
      <w:r w:rsidRPr="005C1CE4">
        <w:t>glifosat</w:t>
      </w:r>
      <w:r w:rsidRPr="005C1CE4">
        <w:t xml:space="preserve"> bħala sustanza probabbilment </w:t>
      </w:r>
      <w:r w:rsidRPr="005C1CE4">
        <w:t>karċinoġenika</w:t>
      </w:r>
      <w:r w:rsidRPr="005C1CE4">
        <w:t xml:space="preserve"> għall-bnedmin; billi għadd ta’ studji xjentifiċi reċenti rieżaminati bejn il-pari jikkonfermaw il-potenzjal </w:t>
      </w:r>
      <w:r w:rsidRPr="005C1CE4">
        <w:t>karċinoġeniku</w:t>
      </w:r>
      <w:r w:rsidRPr="005C1CE4">
        <w:t xml:space="preserve"> tal-</w:t>
      </w:r>
      <w:r w:rsidRPr="005C1CE4">
        <w:t>glifosat</w:t>
      </w:r>
      <w:r>
        <w:rPr>
          <w:rStyle w:val="FootnoteReference"/>
        </w:rPr>
        <w:footnoteReference w:id="12"/>
      </w:r>
      <w:r w:rsidRPr="005C1CE4">
        <w:t xml:space="preserve">; </w:t>
      </w:r>
      <w:bookmarkStart w:id="12" w:name="_Hlk218688545"/>
      <w:r w:rsidRPr="005C1CE4">
        <w:t>billi l-ġurnal “</w:t>
      </w:r>
      <w:r w:rsidRPr="005C1CE4">
        <w:t>Regulatory</w:t>
      </w:r>
      <w:r w:rsidRPr="005C1CE4">
        <w:t xml:space="preserve"> </w:t>
      </w:r>
      <w:r w:rsidRPr="005C1CE4">
        <w:t>Toxicology</w:t>
      </w:r>
      <w:r w:rsidRPr="005C1CE4">
        <w:t xml:space="preserve"> </w:t>
      </w:r>
      <w:r w:rsidRPr="005C1CE4">
        <w:t>and</w:t>
      </w:r>
      <w:r w:rsidRPr="005C1CE4">
        <w:t xml:space="preserve"> </w:t>
      </w:r>
      <w:r w:rsidRPr="005C1CE4">
        <w:t>Pharmacology</w:t>
      </w:r>
      <w:r w:rsidRPr="005C1CE4">
        <w:t xml:space="preserve">” irtira formalment id-dokument xjentifiku Evalwazzjoni tas-Sikurezza u Valutazzjoni tar-Riskju tal-Erbiċida </w:t>
      </w:r>
      <w:r w:rsidRPr="005C1CE4">
        <w:t>Roundup</w:t>
      </w:r>
      <w:r w:rsidRPr="005C1CE4">
        <w:t xml:space="preserve"> u l-Ingredjent Attiv tagħha, il-</w:t>
      </w:r>
      <w:r w:rsidRPr="005C1CE4">
        <w:t>Glifosat</w:t>
      </w:r>
      <w:r w:rsidRPr="005C1CE4">
        <w:t>, għall-Bnedmin (</w:t>
      </w:r>
      <w:r w:rsidRPr="005C1CE4">
        <w:rPr>
          <w:shd w:val="clear" w:color="auto" w:fill="FFFFFF"/>
        </w:rPr>
        <w:t>“</w:t>
      </w:r>
      <w:r w:rsidRPr="005C1CE4">
        <w:t>Safety</w:t>
      </w:r>
      <w:r w:rsidRPr="005C1CE4">
        <w:t xml:space="preserve"> </w:t>
      </w:r>
      <w:r w:rsidRPr="005C1CE4">
        <w:t>Evaluation</w:t>
      </w:r>
      <w:r w:rsidRPr="005C1CE4">
        <w:t xml:space="preserve"> </w:t>
      </w:r>
      <w:r w:rsidRPr="005C1CE4">
        <w:t>and</w:t>
      </w:r>
      <w:r w:rsidRPr="005C1CE4">
        <w:t xml:space="preserve"> Risk Assessment of </w:t>
      </w:r>
      <w:r w:rsidRPr="005C1CE4">
        <w:t>the</w:t>
      </w:r>
      <w:r w:rsidRPr="005C1CE4">
        <w:t xml:space="preserve"> </w:t>
      </w:r>
      <w:r w:rsidRPr="005C1CE4">
        <w:t>Herbicide</w:t>
      </w:r>
      <w:r w:rsidRPr="005C1CE4">
        <w:t xml:space="preserve"> </w:t>
      </w:r>
      <w:r w:rsidRPr="005C1CE4">
        <w:t>Roundup</w:t>
      </w:r>
      <w:r w:rsidRPr="005C1CE4">
        <w:t xml:space="preserve"> </w:t>
      </w:r>
      <w:r w:rsidRPr="005C1CE4">
        <w:t>and</w:t>
      </w:r>
      <w:r w:rsidRPr="005C1CE4">
        <w:t xml:space="preserve"> </w:t>
      </w:r>
      <w:r w:rsidRPr="005C1CE4">
        <w:t>Its</w:t>
      </w:r>
      <w:r w:rsidRPr="005C1CE4">
        <w:t xml:space="preserve"> </w:t>
      </w:r>
      <w:r w:rsidRPr="005C1CE4">
        <w:t>Active</w:t>
      </w:r>
      <w:r w:rsidRPr="005C1CE4">
        <w:t xml:space="preserve"> </w:t>
      </w:r>
      <w:r w:rsidRPr="005C1CE4">
        <w:t>Ingredient</w:t>
      </w:r>
      <w:r w:rsidRPr="005C1CE4">
        <w:t xml:space="preserve">, </w:t>
      </w:r>
      <w:r w:rsidRPr="005C1CE4">
        <w:t>Glyphosate</w:t>
      </w:r>
      <w:r w:rsidRPr="005C1CE4">
        <w:t xml:space="preserve">, </w:t>
      </w:r>
      <w:r w:rsidRPr="005C1CE4">
        <w:t>for</w:t>
      </w:r>
      <w:r w:rsidRPr="005C1CE4">
        <w:t xml:space="preserve"> </w:t>
      </w:r>
      <w:r w:rsidRPr="005C1CE4">
        <w:t>Humans</w:t>
      </w:r>
      <w:r w:rsidRPr="005C1CE4">
        <w:rPr>
          <w:shd w:val="clear" w:color="auto" w:fill="FFFFFF"/>
        </w:rPr>
        <w:t>”</w:t>
      </w:r>
      <w:r w:rsidRPr="005C1CE4">
        <w:t>), ippubblikat fis-sena 2000, li ntuża biex tiġi difiża s-sikurezza tal-</w:t>
      </w:r>
      <w:r w:rsidRPr="005C1CE4">
        <w:t>glifosat</w:t>
      </w:r>
      <w:r w:rsidRPr="005C1CE4">
        <w:t xml:space="preserve"> f’ħafna valutazzjonijiet tar-riskju, peress li </w:t>
      </w:r>
      <w:r w:rsidRPr="005C1CE4">
        <w:rPr>
          <w:shd w:val="clear" w:color="auto" w:fill="FFFFFF"/>
        </w:rPr>
        <w:t>“</w:t>
      </w:r>
      <w:r w:rsidRPr="005C1CE4">
        <w:t>tqajjem tħassib dwar il-kitba tiegħu, il-validità tas-sejbiet tar-riċerka fil-kuntest ta’ rappreżentazzjoni ħażina tal-kontributi mill-awturi u mill-isponsor tal-istudju u kunflitti ta’ interess potenzjali tal-awturi”</w:t>
      </w:r>
      <w:r>
        <w:rPr>
          <w:rStyle w:val="FootnoteReference"/>
        </w:rPr>
        <w:footnoteReference w:id="13"/>
      </w:r>
      <w:r w:rsidRPr="005C1CE4">
        <w:t>;</w:t>
      </w:r>
      <w:bookmarkEnd w:id="12"/>
    </w:p>
    <w:p w:rsidR="0027484F" w:rsidRPr="005C1CE4" w:rsidP="0027484F" w14:paraId="4D331C7A" w14:textId="77777777">
      <w:pPr>
        <w:pStyle w:val="NormalHanging12a"/>
      </w:pPr>
      <w:r w:rsidRPr="005C1CE4">
        <w:t>J.</w:t>
      </w:r>
      <w:r w:rsidRPr="005C1CE4">
        <w:tab/>
        <w:t>billi l-valutazzjoni tar-residwi ta’ erbiċidi u l-</w:t>
      </w:r>
      <w:r w:rsidRPr="005C1CE4">
        <w:t>metaboliti</w:t>
      </w:r>
      <w:r w:rsidRPr="005C1CE4">
        <w:t xml:space="preserve"> misjuba fi pjanti ĠM hija </w:t>
      </w:r>
      <w:r w:rsidRPr="005C1CE4">
        <w:t>kkunsidrata</w:t>
      </w:r>
      <w:r w:rsidRPr="005C1CE4">
        <w:t xml:space="preserve"> li ma taqax taħt il-kompetenza tal-Bord tal-EFSA dwar Organiżmi Ġenetikament Modifikati u għalhekk ma </w:t>
      </w:r>
      <w:r w:rsidRPr="005C1CE4">
        <w:t>titwettaqx</w:t>
      </w:r>
      <w:r w:rsidRPr="005C1CE4">
        <w:t xml:space="preserve"> bħala parti mill-proċess ta’ awtorizzazzjoni għall-OĠM; billi dan huwa </w:t>
      </w:r>
      <w:r w:rsidRPr="005C1CE4">
        <w:t>problematiku</w:t>
      </w:r>
      <w:r w:rsidRPr="005C1CE4">
        <w:t xml:space="preserve"> peress li l-mod kif l-erbiċidi komplementari jiġu </w:t>
      </w:r>
      <w:r w:rsidRPr="005C1CE4">
        <w:t>dekomposti</w:t>
      </w:r>
      <w:r w:rsidRPr="005C1CE4">
        <w:t xml:space="preserve"> mill-pjanta ĠM ikkonċernata kif ukoll il-kompożizzjoni u għaldaqstant </w:t>
      </w:r>
      <w:r w:rsidRPr="005C1CE4">
        <w:t>it-tossiċità</w:t>
      </w:r>
      <w:r w:rsidRPr="005C1CE4">
        <w:t xml:space="preserve"> tal-</w:t>
      </w:r>
      <w:r w:rsidRPr="005C1CE4">
        <w:t>metaboliti</w:t>
      </w:r>
      <w:r w:rsidRPr="005C1CE4">
        <w:t xml:space="preserve"> jistgħu jiġu affettwati mill-modifika ġenetika stess</w:t>
      </w:r>
      <w:r>
        <w:rPr>
          <w:rStyle w:val="FootnoteReference"/>
        </w:rPr>
        <w:footnoteReference w:id="14"/>
      </w:r>
      <w:r w:rsidRPr="005C1CE4">
        <w:t>;</w:t>
      </w:r>
    </w:p>
    <w:p w:rsidR="0027484F" w:rsidRPr="005C1CE4" w:rsidP="0027484F" w14:paraId="3CD84C83" w14:textId="77777777">
      <w:pPr>
        <w:pStyle w:val="NormalHanging12a"/>
      </w:pPr>
      <w:r w:rsidRPr="005C1CE4">
        <w:t>K.</w:t>
      </w:r>
      <w:r w:rsidRPr="005C1CE4">
        <w:tab/>
        <w:t>billi l-monitoraġġ u s-sorveljanza indipendenti tal-effetti negattivi potenzjali fuq il-bijodiversità, is-saħħa tal-ħamrija, il-</w:t>
      </w:r>
      <w:r w:rsidRPr="005C1CE4">
        <w:t>pollinaturi</w:t>
      </w:r>
      <w:r w:rsidRPr="005C1CE4">
        <w:t xml:space="preserve"> u l-organiżmi mhux fil-mira għadhom mhumiex garantiti biżżejjed;</w:t>
      </w:r>
    </w:p>
    <w:p w:rsidR="0027484F" w:rsidRPr="005C1CE4" w:rsidP="0027484F" w14:paraId="50FC0F69" w14:textId="77777777">
      <w:pPr>
        <w:pStyle w:val="NormalHanging12a"/>
      </w:pPr>
      <w:r w:rsidRPr="005C1CE4">
        <w:t>L.</w:t>
      </w:r>
      <w:r w:rsidRPr="005C1CE4">
        <w:tab/>
        <w:t xml:space="preserve">billi l-prinċipju ta’ prekawzjoni, </w:t>
      </w:r>
      <w:r w:rsidRPr="005C1CE4">
        <w:t>imnaqqax</w:t>
      </w:r>
      <w:r w:rsidRPr="005C1CE4">
        <w:t xml:space="preserve"> fl-Artikolu 191 tat-Trattat dwar il-Funzjonament tal-Unjoni Ewropea, għandu japplika f’każijiet ta’ inċertezza xjentifika;</w:t>
      </w:r>
    </w:p>
    <w:p w:rsidR="0027484F" w:rsidRPr="005C1CE4" w:rsidP="0027484F" w14:paraId="70E81678" w14:textId="77777777">
      <w:pPr>
        <w:pStyle w:val="NormalHanging12a"/>
      </w:pPr>
      <w:r w:rsidRPr="005C1CE4">
        <w:t>M.</w:t>
      </w:r>
      <w:r w:rsidRPr="005C1CE4">
        <w:tab/>
        <w:t xml:space="preserve">billi r-Regolament (KE) Nru 1829/2003 jirrikjedi li l-ikel u l-għalf ĠM ma </w:t>
      </w:r>
      <w:r w:rsidRPr="005C1CE4">
        <w:t>jeħtiġilhomx</w:t>
      </w:r>
      <w:r w:rsidRPr="005C1CE4">
        <w:t xml:space="preserve"> ikollhom effetti negattivi fuq is-saħħa tal-bniedem, is-saħħa tal-annimali jew l-ambjent;</w:t>
      </w:r>
    </w:p>
    <w:p w:rsidR="0027484F" w:rsidRPr="005C1CE4" w:rsidP="0027484F" w14:paraId="12B2E5F1" w14:textId="77777777">
      <w:pPr>
        <w:pStyle w:val="NormalHanging12a"/>
      </w:pPr>
      <w:r w:rsidRPr="005C1CE4">
        <w:t>N.</w:t>
      </w:r>
      <w:r w:rsidRPr="005C1CE4">
        <w:tab/>
        <w:t>billi t-tiġdid min-naħa tal-Unjoni tal-awtorizzazzjoni tal-qamħirrum ĠM ma jkunx konsistenti mal-impenji internazzjonali dwar it-tnaqqis tal-pestiċidi</w:t>
      </w:r>
      <w:r>
        <w:rPr>
          <w:vertAlign w:val="superscript"/>
        </w:rPr>
        <w:footnoteReference w:id="15"/>
      </w:r>
      <w:r w:rsidRPr="005C1CE4">
        <w:t xml:space="preserve">, minħabba ż-żieda fl-esponiment tal-bniedem, tal-annimali u tal-ambjent </w:t>
      </w:r>
      <w:r w:rsidRPr="005C1CE4">
        <w:t>għall-glifosat</w:t>
      </w:r>
      <w:r w:rsidRPr="005C1CE4">
        <w:t xml:space="preserve"> u l-</w:t>
      </w:r>
      <w:r w:rsidRPr="005C1CE4">
        <w:t>glufosinat</w:t>
      </w:r>
      <w:r w:rsidRPr="005C1CE4">
        <w:t xml:space="preserve"> </w:t>
      </w:r>
      <w:r w:rsidRPr="005C1CE4">
        <w:t>f’pajjiżi li jkabbru din l-</w:t>
      </w:r>
      <w:r w:rsidRPr="005C1CE4">
        <w:t>għalla</w:t>
      </w:r>
      <w:r w:rsidRPr="005C1CE4">
        <w:t xml:space="preserve"> ĠM </w:t>
      </w:r>
      <w:r w:rsidRPr="005C1CE4">
        <w:t>tolleranti</w:t>
      </w:r>
      <w:r w:rsidRPr="005C1CE4">
        <w:t xml:space="preserve"> għall-erbiċidi, flimkien mar-riżultati fil-qasam tas-saħħa assoċjati potenzjalment serji;</w:t>
      </w:r>
    </w:p>
    <w:p w:rsidR="0027484F" w:rsidRPr="005C1CE4" w:rsidP="0027484F" w14:paraId="742C1B33" w14:textId="77777777">
      <w:pPr>
        <w:pStyle w:val="NormalHanging12a"/>
      </w:pPr>
      <w:r w:rsidRPr="005C1CE4">
        <w:t>O.</w:t>
      </w:r>
      <w:r w:rsidRPr="005C1CE4">
        <w:tab/>
        <w:t>billi l-kultivazzjoni tal-qamħirrum ĠM ma hijiex permessa fl-Unjoni;</w:t>
      </w:r>
    </w:p>
    <w:p w:rsidR="0027484F" w:rsidRPr="005C1CE4" w:rsidP="0027484F" w14:paraId="5B1C6CC3" w14:textId="61369ED0">
      <w:pPr>
        <w:pStyle w:val="NormalHanging12a"/>
      </w:pPr>
      <w:r w:rsidRPr="005C1CE4">
        <w:t>P.</w:t>
      </w:r>
      <w:r w:rsidRPr="005C1CE4">
        <w:tab/>
        <w:t xml:space="preserve">billi </w:t>
      </w:r>
      <w:r w:rsidR="00981149">
        <w:t>d-D</w:t>
      </w:r>
      <w:r w:rsidRPr="005C1CE4">
        <w:t xml:space="preserve">eċiżjoni ta’ </w:t>
      </w:r>
      <w:r w:rsidR="00981149">
        <w:t>I</w:t>
      </w:r>
      <w:r w:rsidRPr="005C1CE4">
        <w:t xml:space="preserve">mplimentazzjoni tal-Kummissjoni </w:t>
      </w:r>
      <w:r w:rsidR="00981149">
        <w:t xml:space="preserve">(UE) 2026/1417 </w:t>
      </w:r>
      <w:r w:rsidRPr="005C1CE4">
        <w:t>se tkompli tippermetti l-importazzjonijiet fl-Unjoni li ma jikkonformawx mal-istandards osservati mill-bdiewa tal-Unjoni, u b’hekk dan ipoġġihom fi żvantaġġ kompetittiv;</w:t>
      </w:r>
    </w:p>
    <w:p w:rsidR="0027484F" w:rsidRPr="005C1CE4" w:rsidP="0027484F" w14:paraId="6C854AC8" w14:textId="77777777">
      <w:pPr>
        <w:pStyle w:val="NormalHanging12a"/>
      </w:pPr>
      <w:r w:rsidRPr="005C1CE4">
        <w:t>Q.</w:t>
      </w:r>
      <w:r w:rsidRPr="005C1CE4">
        <w:tab/>
        <w:t>billi l-konklużjonijiet tad-Djalogu Strateġiku dwar il-Futur tal-Agrikoltura fl-UE</w:t>
      </w:r>
      <w:r>
        <w:rPr>
          <w:vertAlign w:val="superscript"/>
        </w:rPr>
        <w:footnoteReference w:id="16"/>
      </w:r>
      <w:r w:rsidRPr="005C1CE4">
        <w:t xml:space="preserve"> jistiednu lill-Kummissjoni tivvaluta mill-ġdid l-approċċ tagħha dwar l-aċċess għas-suq għall-importazzjonijiet u l-esportazzjonijiet agroalimentari, minħabba l-isfida tal-istandards diverġenti tal-Unjoni u tas-sħab kummerċjali tagħha; billi relazzjonijiet kummerċjali aktar ġusti, fuq livell globali, konsistenti mal-miri għal ambjent b’saħħtu kienu waħda mit-talbiet ewlenin tal-bdiewa matul id-dimostrazzjonijiet tal-2023, l-2024 u l-2025;</w:t>
      </w:r>
    </w:p>
    <w:p w:rsidR="0027484F" w:rsidRPr="005C1CE4" w:rsidP="0027484F" w14:paraId="5092C19B" w14:textId="77777777">
      <w:pPr>
        <w:pStyle w:val="NormalHanging12a"/>
      </w:pPr>
      <w:r w:rsidRPr="005C1CE4">
        <w:t>R.</w:t>
      </w:r>
      <w:r w:rsidRPr="005C1CE4">
        <w:tab/>
        <w:t>billi l-Parlament saħaq ripetutament li l-Kummissjoni ma għandhiex tawtorizza OĠM f’każijiet li fihom ma tintlaħaq l-ebda maġġoranza kwalifikata mill-Istati Membri fil-Kumitat Permanenti dwar il-Pjanti, l-Annimali, l-Ikel u l-Għalf jew fil-Kumitat ta’ Appell, sabiex jiġi indirizzat id-defiċit demokratiku persistenti;</w:t>
      </w:r>
    </w:p>
    <w:p w:rsidR="0027484F" w:rsidRPr="005C1CE4" w:rsidP="0027484F" w14:paraId="291A4754" w14:textId="77777777">
      <w:pPr>
        <w:pStyle w:val="NormalHanging12a"/>
      </w:pPr>
      <w:r w:rsidRPr="005C1CE4">
        <w:t>S.</w:t>
      </w:r>
      <w:r w:rsidRPr="005C1CE4">
        <w:tab/>
        <w:t>billi minkejja r-rikonoxximent tagħha stess tan-nuqqasijiet demokratiċi, in-nuqqas ta’ appoġġ mill-Istati Membri u l-oġġezzjonijiet tal-Parlament, il-Kummissjoni qed tkompli tawtorizza l-OĠM;</w:t>
      </w:r>
    </w:p>
    <w:p w:rsidR="0027484F" w:rsidRPr="005C1CE4" w:rsidP="0027484F" w14:paraId="702F2A32" w14:textId="77777777">
      <w:pPr>
        <w:pStyle w:val="NormalHanging12a"/>
      </w:pPr>
      <w:r w:rsidRPr="005C1CE4">
        <w:t>T.</w:t>
      </w:r>
      <w:r w:rsidRPr="005C1CE4">
        <w:tab/>
        <w:t>billi l-approċċ “Saħħa Waħda” jirrikjedi li titqies l-interdipendenza bejn is-saħħa tal-bniedem, tal-annimali, tal-pjanti u dik ambjentali meta jiġu vvalutati s-sostenibbiltà u s-sikurezza fit-tul tal-OĠM;</w:t>
      </w:r>
    </w:p>
    <w:p w:rsidR="0027484F" w:rsidRPr="005C1CE4" w:rsidP="0027484F" w14:paraId="5C72A158" w14:textId="07FA9D04">
      <w:pPr>
        <w:pStyle w:val="NormalHanging12a"/>
      </w:pPr>
      <w:r w:rsidRPr="005C1CE4">
        <w:t>1.</w:t>
      </w:r>
      <w:r w:rsidRPr="005C1CE4">
        <w:tab/>
        <w:t xml:space="preserve">Iqis li </w:t>
      </w:r>
      <w:r w:rsidR="00981149">
        <w:t>d-D</w:t>
      </w:r>
      <w:r w:rsidRPr="005C1CE4">
        <w:t xml:space="preserve">eċiżjoni ta’ </w:t>
      </w:r>
      <w:r w:rsidR="00981149">
        <w:t>I</w:t>
      </w:r>
      <w:r w:rsidRPr="005C1CE4">
        <w:t xml:space="preserve">mplimentazzjoni tal-Kummissjoni </w:t>
      </w:r>
      <w:r w:rsidR="00981149">
        <w:t xml:space="preserve">(UE) 2026/1417 </w:t>
      </w:r>
      <w:r w:rsidRPr="005C1CE4">
        <w:t>jisboq is-setgħat ta’ implimentazzjoni previsti fir-Regolament (KE) Nru 1829/2003;</w:t>
      </w:r>
    </w:p>
    <w:p w:rsidR="0027484F" w:rsidRPr="005C1CE4" w:rsidP="0027484F" w14:paraId="34A49D70" w14:textId="77C92368">
      <w:pPr>
        <w:pStyle w:val="NormalHanging12a"/>
      </w:pPr>
      <w:r w:rsidRPr="005C1CE4">
        <w:t>2.</w:t>
      </w:r>
      <w:r w:rsidRPr="005C1CE4">
        <w:tab/>
        <w:t xml:space="preserve">Iqis li </w:t>
      </w:r>
      <w:r w:rsidR="00981149">
        <w:t>d-D</w:t>
      </w:r>
      <w:r w:rsidRPr="005C1CE4">
        <w:t xml:space="preserve">eċiżjoni ta’ </w:t>
      </w:r>
      <w:r w:rsidR="00981149">
        <w:t>I</w:t>
      </w:r>
      <w:r w:rsidRPr="005C1CE4">
        <w:t xml:space="preserve">mplimentazzjoni tal-Kummissjoni </w:t>
      </w:r>
      <w:r w:rsidR="00981149">
        <w:t xml:space="preserve">(UE) 2026/1417 </w:t>
      </w:r>
      <w:r w:rsidRPr="005C1CE4">
        <w:t>ma huwiex konsistenti mad-dritt tal-Unjoni, peress li huwa ma huwiex kompatibbli mal-għan tar-Regolament (KE) Nru 1829/2003 li, f’konformità mal-prinċipji ġenerali stabbiliti fir-Regolament (KE) Nru 178/2002 tal-Parlament Ewropew u tal-Kunsill</w:t>
      </w:r>
      <w:r>
        <w:rPr>
          <w:vertAlign w:val="superscript"/>
        </w:rPr>
        <w:footnoteReference w:id="17"/>
      </w:r>
      <w:r w:rsidRPr="005C1CE4">
        <w:t xml:space="preserve">, huwa li jipprovdi l-bażi biex, fir-rigward tal-ikel u l-għalf ĠM, jiżgura livell għoli ta’ protezzjoni għall-ħajja u s-saħħa tal-bniedem, is-saħħa u l-benesseri tal-annimali, u l-interessi tal-ambjent u tal-konsumaturi, filwaqt li jiżgura l-funzjonament effettiv tas-suq intern; </w:t>
      </w:r>
    </w:p>
    <w:p w:rsidR="0027484F" w:rsidRPr="005C1CE4" w:rsidP="0027484F" w14:paraId="2A389DD1" w14:textId="60A3FBB3">
      <w:pPr>
        <w:spacing w:after="240"/>
        <w:ind w:left="567" w:hanging="567"/>
      </w:pPr>
      <w:r w:rsidRPr="005C1CE4">
        <w:t>3.</w:t>
      </w:r>
      <w:r w:rsidRPr="005C1CE4">
        <w:tab/>
        <w:t xml:space="preserve">Jistieden lill-Kummissjoni tirtira </w:t>
      </w:r>
      <w:r w:rsidR="00981149">
        <w:t>d-D</w:t>
      </w:r>
      <w:r w:rsidRPr="005C1CE4">
        <w:t xml:space="preserve">eċiżjoni ta’ </w:t>
      </w:r>
      <w:r w:rsidR="00981149">
        <w:t>I</w:t>
      </w:r>
      <w:r w:rsidRPr="005C1CE4">
        <w:t xml:space="preserve">mplimentazzjoni </w:t>
      </w:r>
      <w:r w:rsidR="00981149">
        <w:t xml:space="preserve">tal-Kummissjoni </w:t>
      </w:r>
      <w:r w:rsidR="00981149">
        <w:t>(UE) 2026</w:t>
      </w:r>
      <w:r w:rsidR="00FC40BB">
        <w:t>/</w:t>
      </w:r>
      <w:r w:rsidR="00981149">
        <w:t>1417</w:t>
      </w:r>
      <w:r w:rsidRPr="005C1CE4">
        <w:t>;</w:t>
      </w:r>
    </w:p>
    <w:p w:rsidR="0027484F" w:rsidRPr="005C1CE4" w:rsidP="0027484F" w14:paraId="590B2361" w14:textId="77777777">
      <w:pPr>
        <w:spacing w:after="240"/>
        <w:ind w:left="567" w:hanging="567"/>
      </w:pPr>
      <w:bookmarkStart w:id="14" w:name="_Hlk218675841"/>
      <w:r w:rsidRPr="005C1CE4">
        <w:t>4.</w:t>
      </w:r>
      <w:r w:rsidRPr="005C1CE4">
        <w:tab/>
        <w:t>Jistieden lill-Kummissjoni ma ġġeddidx l-awtorizzazzjoni tal-qamħirrum ĠM minħabba n-nuqqas ta’ evidenza suffiċjenti dwar l-impatti fit-tul fuq il-bijodiversità, is-sikurezza tal-ikel, l-għajxien tal-bdiewa u s-saħħa tal-annimali, f’konformità mal-approċċ “Saħħa Waħda”;</w:t>
      </w:r>
    </w:p>
    <w:p w:rsidR="0027484F" w:rsidRPr="005C1CE4" w:rsidP="0027484F" w14:paraId="1B5932E2" w14:textId="77777777">
      <w:pPr>
        <w:spacing w:after="240"/>
        <w:ind w:left="567" w:hanging="567"/>
      </w:pPr>
      <w:bookmarkStart w:id="15" w:name="_Hlk210900300"/>
      <w:r w:rsidRPr="005C1CE4">
        <w:t>5.</w:t>
      </w:r>
      <w:r w:rsidRPr="005C1CE4">
        <w:tab/>
        <w:t>Jistieden lill-Kummissjoni tippreżenta, mingħajr dewmien, proposta leġiżlattiva biex tirriforma l-proċedura tat-teħid ta’ deċiżjonijiet dwar l-OĠM sabiex tirrispondi għall-oġġezzjonijiet konsistenti tal-Parlament u għan-nuqqas ta’ appoġġ b’maġġoranza kwalifikata fost l-Istati Membri</w:t>
      </w:r>
      <w:bookmarkEnd w:id="15"/>
      <w:r w:rsidRPr="005C1CE4">
        <w:t>;</w:t>
      </w:r>
    </w:p>
    <w:p w:rsidR="0027484F" w:rsidRPr="005C1CE4" w:rsidP="0027484F" w14:paraId="4801B821" w14:textId="77777777">
      <w:pPr>
        <w:spacing w:after="240"/>
        <w:ind w:left="567" w:hanging="567"/>
      </w:pPr>
      <w:bookmarkStart w:id="16" w:name="_Hlk210900241"/>
      <w:r w:rsidRPr="005C1CE4">
        <w:t>6.</w:t>
      </w:r>
      <w:r w:rsidRPr="005C1CE4">
        <w:tab/>
        <w:t xml:space="preserve">Jenfasizza, f’dan ir-rigward, li l-awtorizzazzjoni tal-importazzjoni għal ikel, għalf jew prodotti ta’ kwalunkwe pjanta ĠM li tkun saret </w:t>
      </w:r>
      <w:r w:rsidRPr="005C1CE4">
        <w:t>tolleranti</w:t>
      </w:r>
      <w:r w:rsidRPr="005C1CE4">
        <w:t xml:space="preserve"> għall-erbiċidi li huma pprojbiti fl-Unjoni, </w:t>
      </w:r>
      <w:r w:rsidRPr="005C1CE4">
        <w:t>bħall-glufosinat</w:t>
      </w:r>
      <w:r w:rsidRPr="005C1CE4">
        <w:t xml:space="preserve">, hija inkonsistenti mal-impenji internazzjonali tal-Unjoni skont, fost l-oħrajn, il-Konvenzjoni tan-Nazzjonijiet Uniti (NU) dwar id-Diversità Bijoloġika u l-Għanijiet ta’ Żvilupp Sostenibbli </w:t>
      </w:r>
      <w:r w:rsidRPr="005C1CE4">
        <w:t>tan</w:t>
      </w:r>
      <w:r w:rsidRPr="005C1CE4">
        <w:t xml:space="preserve">-NU, inkluż il-Qafas </w:t>
      </w:r>
      <w:r w:rsidRPr="005C1CE4">
        <w:t>Kunming</w:t>
      </w:r>
      <w:r w:rsidRPr="005C1CE4">
        <w:t>-Montreal, u li toħloq kundizzjonijiet mhux ekwi għall-bdiewa tal-Unjoni;</w:t>
      </w:r>
    </w:p>
    <w:bookmarkEnd w:id="16"/>
    <w:p w:rsidR="00E365E1" w:rsidRPr="005C1CE4" w:rsidP="00981149" w14:paraId="26DB188C" w14:textId="651487DB">
      <w:pPr>
        <w:ind w:left="567" w:hanging="567"/>
      </w:pPr>
      <w:r w:rsidRPr="005C1CE4">
        <w:t>7.</w:t>
      </w:r>
      <w:r w:rsidRPr="005C1CE4">
        <w:tab/>
      </w:r>
      <w:bookmarkEnd w:id="14"/>
      <w:r w:rsidRPr="005C1CE4">
        <w:t>Jagħti istruzzjonijiet lill-President tiegħu biex tgħaddi din ir-riżoluzzjoni lill-Kunsill u lill-Kummissjoni, kif ukoll lill-gvernijiet u lill-parlamenti tal-Istati Membri.</w:t>
      </w:r>
    </w:p>
    <w:sectPr w:rsidSect="005C1C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C1CE4" w14:paraId="2645B60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C1CE4" w14:paraId="64E086D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C1CE4" w14:paraId="60F9791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441F2" w:rsidRPr="005C1CE4" w14:paraId="64E7C71B" w14:textId="77777777">
      <w:r w:rsidRPr="005C1CE4">
        <w:separator/>
      </w:r>
    </w:p>
  </w:footnote>
  <w:footnote w:type="continuationSeparator" w:id="1">
    <w:p w:rsidR="006441F2" w:rsidRPr="005C1CE4" w14:paraId="4685BB70" w14:textId="77777777">
      <w:r w:rsidRPr="005C1CE4">
        <w:continuationSeparator/>
      </w:r>
    </w:p>
  </w:footnote>
  <w:footnote w:id="2">
    <w:p w:rsidR="00981149" w:rsidRPr="00981149" w:rsidP="00981149" w14:paraId="660BDB84" w14:textId="70662D00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</w:rPr>
        <w:footnoteRef/>
      </w:r>
      <w:r w:rsidRPr="00FF10A7">
        <w:rPr>
          <w:sz w:val="24"/>
          <w:szCs w:val="24"/>
          <w:lang w:val="fi-FI"/>
        </w:rPr>
        <w:t xml:space="preserve"> </w:t>
      </w:r>
      <w:r w:rsidRPr="00981149">
        <w:rPr>
          <w:sz w:val="24"/>
          <w:szCs w:val="24"/>
          <w:lang w:val="mt-MT"/>
        </w:rPr>
        <w:tab/>
        <w:t xml:space="preserve">ĠU L, 2026/1417, 3.7.2026, ELI: </w:t>
      </w:r>
      <w:hyperlink r:id="rId1" w:history="1">
        <w:r w:rsidRPr="00981149">
          <w:rPr>
            <w:rStyle w:val="Hyperlink"/>
            <w:sz w:val="24"/>
            <w:szCs w:val="24"/>
            <w:lang w:val="mt-MT"/>
          </w:rPr>
          <w:t>http://data.europa.eu/eli/dec_impl/2026/1417/oj</w:t>
        </w:r>
      </w:hyperlink>
      <w:r w:rsidRPr="00981149">
        <w:rPr>
          <w:sz w:val="24"/>
          <w:szCs w:val="24"/>
          <w:lang w:val="mt-MT"/>
        </w:rPr>
        <w:t>.</w:t>
      </w:r>
    </w:p>
  </w:footnote>
  <w:footnote w:id="3">
    <w:p w:rsidR="0027484F" w:rsidRPr="00981149" w:rsidP="00981149" w14:paraId="2D72111C" w14:textId="05A00771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unotenzeichen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r w:rsidRPr="00981149">
        <w:rPr>
          <w:sz w:val="24"/>
          <w:szCs w:val="24"/>
          <w:lang w:val="mt-MT"/>
        </w:rPr>
        <w:t>ĠU L 268, 18.10.2003, p. 1, ELI: </w:t>
      </w:r>
      <w:hyperlink r:id="rId2" w:history="1">
        <w:r w:rsidRPr="00981149">
          <w:rPr>
            <w:rStyle w:val="Hyperlink"/>
            <w:sz w:val="24"/>
            <w:szCs w:val="24"/>
            <w:lang w:val="mt-MT"/>
          </w:rPr>
          <w:t>https://eur-lex.europa.eu/eli/reg/2003/1829/oj</w:t>
        </w:r>
      </w:hyperlink>
      <w:r w:rsidRPr="00981149">
        <w:rPr>
          <w:sz w:val="24"/>
          <w:szCs w:val="24"/>
          <w:lang w:val="mt-MT"/>
        </w:rPr>
        <w:t>.</w:t>
      </w:r>
    </w:p>
  </w:footnote>
  <w:footnote w:id="4">
    <w:p w:rsidR="0027484F" w:rsidRPr="00981149" w:rsidP="00981149" w14:paraId="0C071C2B" w14:textId="1AF01A88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r w:rsidRPr="00981149">
        <w:rPr>
          <w:sz w:val="24"/>
          <w:szCs w:val="24"/>
          <w:lang w:val="mt-MT"/>
        </w:rPr>
        <w:t>ĠU L 55, 28.2.2011, p. 13, ELI: </w:t>
      </w:r>
      <w:hyperlink r:id="rId3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http://data.europa.eu/eli/reg/2011/182/oj</w:t>
        </w:r>
      </w:hyperlink>
      <w:r w:rsidRPr="00981149">
        <w:rPr>
          <w:sz w:val="24"/>
          <w:szCs w:val="24"/>
          <w:lang w:val="mt-MT"/>
        </w:rPr>
        <w:t>.</w:t>
      </w:r>
    </w:p>
  </w:footnote>
  <w:footnote w:id="5">
    <w:p w:rsidR="0027484F" w:rsidRPr="00981149" w:rsidP="00981149" w14:paraId="07D04B8E" w14:textId="2FDB0D72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unotenzeichen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r w:rsidRPr="00981149">
        <w:rPr>
          <w:sz w:val="24"/>
          <w:szCs w:val="24"/>
          <w:lang w:val="mt-MT"/>
        </w:rPr>
        <w:t>“</w:t>
      </w:r>
      <w:r w:rsidRPr="00981149">
        <w:rPr>
          <w:sz w:val="24"/>
          <w:szCs w:val="24"/>
          <w:lang w:val="mt-MT"/>
        </w:rPr>
        <w:t>Scientific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opinion</w:t>
      </w:r>
      <w:r w:rsidRPr="00981149">
        <w:rPr>
          <w:sz w:val="24"/>
          <w:szCs w:val="24"/>
          <w:lang w:val="mt-MT"/>
        </w:rPr>
        <w:t xml:space="preserve"> of </w:t>
      </w:r>
      <w:r w:rsidRPr="00981149">
        <w:rPr>
          <w:sz w:val="24"/>
          <w:szCs w:val="24"/>
          <w:lang w:val="mt-MT"/>
        </w:rPr>
        <w:t>the</w:t>
      </w:r>
      <w:r w:rsidRPr="00981149">
        <w:rPr>
          <w:sz w:val="24"/>
          <w:szCs w:val="24"/>
          <w:lang w:val="mt-MT"/>
        </w:rPr>
        <w:t xml:space="preserve"> EFSA </w:t>
      </w:r>
      <w:r w:rsidRPr="00981149">
        <w:rPr>
          <w:sz w:val="24"/>
          <w:szCs w:val="24"/>
          <w:lang w:val="mt-MT"/>
        </w:rPr>
        <w:t>Panel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on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Genetically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Modified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Organisms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on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the</w:t>
      </w:r>
      <w:r w:rsidRPr="00981149">
        <w:rPr>
          <w:sz w:val="24"/>
          <w:szCs w:val="24"/>
          <w:lang w:val="mt-MT"/>
        </w:rPr>
        <w:t xml:space="preserve"> ‘Assessment of </w:t>
      </w:r>
      <w:r w:rsidRPr="00981149">
        <w:rPr>
          <w:sz w:val="24"/>
          <w:szCs w:val="24"/>
          <w:lang w:val="mt-MT"/>
        </w:rPr>
        <w:t>genetically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modified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maize</w:t>
      </w:r>
      <w:r w:rsidRPr="00981149">
        <w:rPr>
          <w:sz w:val="24"/>
          <w:szCs w:val="24"/>
          <w:lang w:val="mt-MT"/>
        </w:rPr>
        <w:t xml:space="preserve"> NK603 × T25 (</w:t>
      </w:r>
      <w:r w:rsidRPr="00981149">
        <w:rPr>
          <w:sz w:val="24"/>
          <w:szCs w:val="24"/>
          <w:lang w:val="mt-MT"/>
        </w:rPr>
        <w:t>dossier</w:t>
      </w:r>
      <w:r w:rsidRPr="00981149">
        <w:rPr>
          <w:sz w:val="24"/>
          <w:szCs w:val="24"/>
          <w:lang w:val="mt-MT"/>
        </w:rPr>
        <w:t xml:space="preserve"> GMFF-2023-21252)’” (Opinjoni xjentifika tal-Bord tal-EFSA dwar l-organiżmi ġenetikament modifikati bit-titolu “Assessment of </w:t>
      </w:r>
      <w:r w:rsidRPr="00981149">
        <w:rPr>
          <w:sz w:val="24"/>
          <w:szCs w:val="24"/>
          <w:lang w:val="mt-MT"/>
        </w:rPr>
        <w:t>genetically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modified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maize</w:t>
      </w:r>
      <w:r w:rsidRPr="00981149">
        <w:rPr>
          <w:sz w:val="24"/>
          <w:szCs w:val="24"/>
          <w:lang w:val="mt-MT"/>
        </w:rPr>
        <w:t xml:space="preserve"> NK603 × T25 (applikazzjoni GMFF-2023-21252)), </w:t>
      </w:r>
      <w:r w:rsidRPr="00981149">
        <w:rPr>
          <w:i/>
          <w:sz w:val="24"/>
          <w:szCs w:val="24"/>
          <w:lang w:val="mt-MT"/>
        </w:rPr>
        <w:t xml:space="preserve">EFSA </w:t>
      </w:r>
      <w:r w:rsidRPr="00981149">
        <w:rPr>
          <w:i/>
          <w:sz w:val="24"/>
          <w:szCs w:val="24"/>
          <w:lang w:val="mt-MT"/>
        </w:rPr>
        <w:t>Journal</w:t>
      </w:r>
      <w:r w:rsidRPr="00981149">
        <w:rPr>
          <w:i/>
          <w:sz w:val="24"/>
          <w:szCs w:val="24"/>
          <w:lang w:val="mt-MT"/>
        </w:rPr>
        <w:t xml:space="preserve">, </w:t>
      </w:r>
      <w:r w:rsidRPr="00981149">
        <w:rPr>
          <w:sz w:val="24"/>
          <w:szCs w:val="24"/>
          <w:lang w:val="mt-MT"/>
        </w:rPr>
        <w:t>2025,</w:t>
      </w:r>
      <w:r w:rsidRPr="00981149">
        <w:rPr>
          <w:i/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23(11):e9745, https://doi.org/10.2903/j.efsa.2025.9745</w:t>
      </w:r>
      <w:r w:rsidRPr="00981149">
        <w:rPr>
          <w:rStyle w:val="Hyperlink"/>
          <w:sz w:val="24"/>
          <w:szCs w:val="24"/>
          <w:lang w:val="mt-MT"/>
        </w:rPr>
        <w:t>.</w:t>
      </w:r>
    </w:p>
  </w:footnote>
  <w:footnote w:id="6">
    <w:p w:rsidR="0027484F" w:rsidRPr="00981149" w:rsidP="00981149" w14:paraId="5CEF4753" w14:textId="1F0051CD">
      <w:pPr>
        <w:pStyle w:val="FootnoteText"/>
        <w:ind w:left="709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981149">
        <w:rPr>
          <w:rStyle w:val="Funotenzeichen"/>
          <w:sz w:val="24"/>
          <w:szCs w:val="24"/>
          <w:lang w:val="mt-MT"/>
        </w:rPr>
        <w:footnoteRef/>
      </w:r>
      <w:r w:rsidRPr="00981149" w:rsidR="005C1CE4">
        <w:rPr>
          <w:color w:val="000000" w:themeColor="text1"/>
          <w:sz w:val="24"/>
          <w:szCs w:val="24"/>
          <w:lang w:val="mt-MT"/>
        </w:rPr>
        <w:t xml:space="preserve"> </w:t>
      </w:r>
      <w:r w:rsidRPr="00981149" w:rsidR="005C1CE4">
        <w:rPr>
          <w:color w:val="000000" w:themeColor="text1"/>
          <w:sz w:val="24"/>
          <w:szCs w:val="24"/>
          <w:lang w:val="mt-MT"/>
        </w:rPr>
        <w:tab/>
      </w:r>
      <w:r w:rsidRPr="00981149">
        <w:rPr>
          <w:color w:val="000000" w:themeColor="text1"/>
          <w:sz w:val="24"/>
          <w:szCs w:val="24"/>
          <w:lang w:val="mt-MT"/>
        </w:rPr>
        <w:t xml:space="preserve">Fit-tmien leġiżlatura tiegħu, il-Parlament adotta 36 riżoluzzjoni u, fid-disa’ leġiżlatura tiegħu, il-Parlament adotta 38 riżoluzzjoni </w:t>
      </w:r>
      <w:r w:rsidRPr="00981149">
        <w:rPr>
          <w:sz w:val="24"/>
          <w:szCs w:val="24"/>
          <w:lang w:val="mt-MT"/>
        </w:rPr>
        <w:t>li joġġezzjonaw</w:t>
      </w:r>
      <w:r w:rsidRPr="00981149">
        <w:rPr>
          <w:color w:val="000000" w:themeColor="text1"/>
          <w:sz w:val="24"/>
          <w:szCs w:val="24"/>
          <w:lang w:val="mt-MT"/>
        </w:rPr>
        <w:t xml:space="preserve"> għall-awtorizzazzjoni tal-OĠM. Barra minn hekk, fl-għaxar leġiżlatura tiegħu, il-Parlament adotta r-riżoluzzjonijiet li ġejjin:</w:t>
      </w:r>
    </w:p>
    <w:p w:rsidR="0027484F" w:rsidRPr="00981149" w:rsidP="00981149" w14:paraId="62901298" w14:textId="09B9077F">
      <w:pPr>
        <w:pStyle w:val="FootnoteText"/>
        <w:ind w:left="709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981149">
        <w:rPr>
          <w:color w:val="000000" w:themeColor="text1"/>
          <w:sz w:val="24"/>
          <w:szCs w:val="24"/>
          <w:lang w:val="mt-MT"/>
        </w:rPr>
        <w:t>–</w:t>
      </w:r>
      <w:r w:rsidRPr="00981149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 </w:t>
      </w:r>
      <w:hyperlink r:id="rId4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http://data.europa.eu/eli/C/2025/1797/oj</w:t>
        </w:r>
      </w:hyperlink>
      <w:r w:rsidRPr="00981149">
        <w:rPr>
          <w:color w:val="000000" w:themeColor="text1"/>
          <w:sz w:val="24"/>
          <w:szCs w:val="24"/>
          <w:lang w:val="mt-MT"/>
        </w:rPr>
        <w:t>).</w:t>
      </w:r>
    </w:p>
    <w:p w:rsidR="0027484F" w:rsidRPr="00981149" w:rsidP="00981149" w14:paraId="4C262A15" w14:textId="23039B05">
      <w:pPr>
        <w:pStyle w:val="FootnoteText"/>
        <w:ind w:left="709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981149">
        <w:rPr>
          <w:color w:val="000000" w:themeColor="text1"/>
          <w:sz w:val="24"/>
          <w:szCs w:val="24"/>
          <w:lang w:val="mt-MT"/>
        </w:rPr>
        <w:t>–</w:t>
      </w:r>
      <w:r w:rsidRPr="00981149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 </w:t>
      </w:r>
      <w:hyperlink r:id="rId5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http://data.europa.eu/eli/C/2025/1798/oj</w:t>
        </w:r>
      </w:hyperlink>
      <w:r w:rsidRPr="00981149">
        <w:rPr>
          <w:color w:val="000000" w:themeColor="text1"/>
          <w:sz w:val="24"/>
          <w:szCs w:val="24"/>
          <w:lang w:val="mt-MT"/>
        </w:rPr>
        <w:t>).</w:t>
      </w:r>
    </w:p>
    <w:p w:rsidR="0027484F" w:rsidRPr="00981149" w:rsidP="00981149" w14:paraId="6F2951CD" w14:textId="14B7776B">
      <w:pPr>
        <w:pStyle w:val="FootnoteText"/>
        <w:ind w:left="709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981149">
        <w:rPr>
          <w:color w:val="000000" w:themeColor="text1"/>
          <w:sz w:val="24"/>
          <w:szCs w:val="24"/>
          <w:lang w:val="mt-MT"/>
        </w:rPr>
        <w:t>–</w:t>
      </w:r>
      <w:r w:rsidRPr="00981149">
        <w:rPr>
          <w:color w:val="000000" w:themeColor="text1"/>
          <w:sz w:val="24"/>
          <w:szCs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 × 59122 u tmien </w:t>
      </w:r>
      <w:r w:rsidRPr="00981149">
        <w:rPr>
          <w:color w:val="000000" w:themeColor="text1"/>
          <w:sz w:val="24"/>
          <w:szCs w:val="24"/>
          <w:lang w:val="mt-MT"/>
        </w:rPr>
        <w:t>subkombinazzjonijiet</w:t>
      </w:r>
      <w:r w:rsidRPr="00981149">
        <w:rPr>
          <w:color w:val="000000" w:themeColor="text1"/>
          <w:sz w:val="24"/>
          <w:szCs w:val="24"/>
          <w:lang w:val="mt-MT"/>
        </w:rPr>
        <w:t xml:space="preserve"> tiegħu, skont ir-Regolament (KE) Nru 1829/2003 tal-Parlament Ewropew u tal-Kunsill (ĠU C, C/2025/1799, 4.4.2025, ELI: </w:t>
      </w:r>
      <w:hyperlink r:id="rId6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http://data.europa.eu/eli/C/2025/1799/oj</w:t>
        </w:r>
      </w:hyperlink>
      <w:r w:rsidRPr="00981149">
        <w:rPr>
          <w:color w:val="000000" w:themeColor="text1"/>
          <w:sz w:val="24"/>
          <w:szCs w:val="24"/>
          <w:lang w:val="mt-MT"/>
        </w:rPr>
        <w:t>).</w:t>
      </w:r>
    </w:p>
    <w:p w:rsidR="0027484F" w:rsidRPr="00981149" w:rsidP="00981149" w14:paraId="1F340E13" w14:textId="1F68CD59">
      <w:pPr>
        <w:pStyle w:val="FootnoteText"/>
        <w:ind w:left="709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981149">
        <w:rPr>
          <w:color w:val="000000" w:themeColor="text1"/>
          <w:sz w:val="24"/>
          <w:szCs w:val="24"/>
          <w:lang w:val="mt-MT"/>
        </w:rPr>
        <w:t>–</w:t>
      </w:r>
      <w:r w:rsidRPr="00981149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 </w:t>
      </w:r>
      <w:hyperlink r:id="rId7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http://data.europa.eu/eli/C/2025/1800/oj</w:t>
        </w:r>
      </w:hyperlink>
      <w:r w:rsidRPr="00981149">
        <w:rPr>
          <w:color w:val="000000" w:themeColor="text1"/>
          <w:sz w:val="24"/>
          <w:szCs w:val="24"/>
          <w:lang w:val="mt-MT"/>
        </w:rPr>
        <w:t>).</w:t>
      </w:r>
    </w:p>
    <w:p w:rsidR="0027484F" w:rsidRPr="00981149" w:rsidP="00981149" w14:paraId="2B0CB842" w14:textId="48750622">
      <w:pPr>
        <w:pStyle w:val="FootnoteText"/>
        <w:ind w:left="709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981149">
        <w:rPr>
          <w:color w:val="000000" w:themeColor="text1"/>
          <w:sz w:val="24"/>
          <w:szCs w:val="24"/>
          <w:lang w:val="mt-MT"/>
        </w:rPr>
        <w:t>–</w:t>
      </w:r>
      <w:r w:rsidRPr="00981149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 </w:t>
      </w:r>
      <w:hyperlink r:id="rId8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http://data.europa.eu/eli/C/2025/1801/oj</w:t>
        </w:r>
      </w:hyperlink>
      <w:r w:rsidRPr="00981149">
        <w:rPr>
          <w:color w:val="000000" w:themeColor="text1"/>
          <w:sz w:val="24"/>
          <w:szCs w:val="24"/>
          <w:lang w:val="mt-MT"/>
        </w:rPr>
        <w:t>).</w:t>
      </w:r>
    </w:p>
    <w:p w:rsidR="0027484F" w:rsidRPr="00981149" w:rsidP="00981149" w14:paraId="22058F26" w14:textId="0FBA80A4">
      <w:pPr>
        <w:pStyle w:val="FootnoteText"/>
        <w:ind w:left="709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981149">
        <w:rPr>
          <w:color w:val="000000" w:themeColor="text1"/>
          <w:sz w:val="24"/>
          <w:szCs w:val="24"/>
          <w:lang w:val="mt-MT"/>
        </w:rPr>
        <w:t>–</w:t>
      </w:r>
      <w:r w:rsidRPr="00981149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</w:t>
      </w:r>
      <w:r w:rsidRPr="00981149">
        <w:rPr>
          <w:color w:val="000000" w:themeColor="text1"/>
          <w:sz w:val="24"/>
          <w:szCs w:val="24"/>
          <w:lang w:val="mt-MT"/>
        </w:rPr>
        <w:t>Kummisssjoni</w:t>
      </w:r>
      <w:r w:rsidRPr="00981149">
        <w:rPr>
          <w:color w:val="000000" w:themeColor="text1"/>
          <w:sz w:val="24"/>
          <w:szCs w:val="24"/>
          <w:lang w:val="mt-MT"/>
        </w:rPr>
        <w:t xml:space="preserve"> (UE) 2024/1826 li tawtorizza l-introduzzjoni fis-suq ta’ prodotti li fihom il-qamħirrum ġenetikament modifikat DP23211, li jikkonsistu minnu, jew li huma prodotti minnu skont ir-Regolament (KE) Nru 1829/2003 tal-Parlament Ewropew u tal-Kunsill (ĠU C, C/2025/1802, 4.4.2025, ELI: </w:t>
      </w:r>
      <w:hyperlink r:id="rId9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http://data.europa.eu/eli/C/2025/1802/oj</w:t>
        </w:r>
      </w:hyperlink>
      <w:r w:rsidRPr="00981149">
        <w:rPr>
          <w:color w:val="000000" w:themeColor="text1"/>
          <w:sz w:val="24"/>
          <w:szCs w:val="24"/>
          <w:lang w:val="mt-MT"/>
        </w:rPr>
        <w:t>).</w:t>
      </w:r>
    </w:p>
    <w:p w:rsidR="0027484F" w:rsidRPr="00981149" w:rsidP="00981149" w14:paraId="4A51701B" w14:textId="4E6626E8">
      <w:pPr>
        <w:pStyle w:val="FootnoteText"/>
        <w:ind w:left="709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981149">
        <w:rPr>
          <w:color w:val="000000" w:themeColor="text1"/>
          <w:sz w:val="24"/>
          <w:szCs w:val="24"/>
          <w:lang w:val="mt-MT"/>
        </w:rPr>
        <w:t>–</w:t>
      </w:r>
      <w:r w:rsidRPr="00981149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</w:t>
      </w:r>
      <w:r w:rsidRPr="00981149">
        <w:rPr>
          <w:color w:val="000000" w:themeColor="text1"/>
          <w:sz w:val="24"/>
          <w:szCs w:val="24"/>
          <w:lang w:val="mt-MT"/>
        </w:rPr>
        <w:t>Kummisssjoni</w:t>
      </w:r>
      <w:r w:rsidRPr="00981149">
        <w:rPr>
          <w:color w:val="000000" w:themeColor="text1"/>
          <w:sz w:val="24"/>
          <w:szCs w:val="24"/>
          <w:lang w:val="mt-MT"/>
        </w:rPr>
        <w:t xml:space="preserve"> (UE) 2024/2618 li tawtorizza l-introduzzjoni fis-suq ta’ prodotti li fihom il-qamħirrum ġenetikament modifikat DP202216, li jikkonsistu minnu, jew li huma prodotti minnu skont ir-Regolament (KE) Nru 1829/2003 tal-Parlament Ewropew u tal-Kunsill (ĠU C, C/2025/1803, 4.4.2025, ELI: </w:t>
      </w:r>
      <w:hyperlink r:id="rId10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http://data.europa.eu/eli/C/2025/1803/oj</w:t>
        </w:r>
      </w:hyperlink>
      <w:r w:rsidRPr="00981149">
        <w:rPr>
          <w:color w:val="000000" w:themeColor="text1"/>
          <w:sz w:val="24"/>
          <w:szCs w:val="24"/>
          <w:lang w:val="mt-MT"/>
        </w:rPr>
        <w:t>).</w:t>
      </w:r>
    </w:p>
    <w:p w:rsidR="0027484F" w:rsidRPr="00981149" w:rsidP="00981149" w14:paraId="3146AAB4" w14:textId="78A4CDE8">
      <w:pPr>
        <w:pStyle w:val="FootnoteText"/>
        <w:ind w:left="709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981149">
        <w:rPr>
          <w:color w:val="000000" w:themeColor="text1"/>
          <w:sz w:val="24"/>
          <w:szCs w:val="24"/>
          <w:lang w:val="mt-MT"/>
        </w:rPr>
        <w:t>–</w:t>
      </w:r>
      <w:r w:rsidRPr="00981149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 </w:t>
      </w:r>
      <w:hyperlink r:id="rId11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http://data.europa.eu/eli/C/2025/1804/oj</w:t>
        </w:r>
      </w:hyperlink>
      <w:r w:rsidRPr="00981149">
        <w:rPr>
          <w:color w:val="000000" w:themeColor="text1"/>
          <w:sz w:val="24"/>
          <w:szCs w:val="24"/>
          <w:lang w:val="mt-MT"/>
        </w:rPr>
        <w:t>).</w:t>
      </w:r>
    </w:p>
    <w:p w:rsidR="0027484F" w:rsidRPr="00981149" w:rsidP="00981149" w14:paraId="7F0F8EA2" w14:textId="596DCE79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color w:val="000000" w:themeColor="text1"/>
          <w:sz w:val="24"/>
          <w:szCs w:val="24"/>
          <w:lang w:val="mt-MT"/>
        </w:rPr>
        <w:t>–</w:t>
      </w:r>
      <w:r w:rsidRPr="00981149">
        <w:rPr>
          <w:color w:val="000000" w:themeColor="text1"/>
          <w:sz w:val="24"/>
          <w:szCs w:val="24"/>
          <w:lang w:val="mt-MT"/>
        </w:rPr>
        <w:tab/>
      </w:r>
      <w:r w:rsidRPr="00981149">
        <w:rPr>
          <w:sz w:val="24"/>
          <w:szCs w:val="24"/>
          <w:lang w:val="mt-MT"/>
        </w:rPr>
        <w:t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C/2025/2246, 29.4.2025, ELI: </w:t>
      </w:r>
      <w:hyperlink r:id="rId12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http://data.europa.eu/eli/C/2025/2246/oj</w:t>
        </w:r>
      </w:hyperlink>
      <w:r w:rsidRPr="00981149">
        <w:rPr>
          <w:sz w:val="24"/>
          <w:szCs w:val="24"/>
          <w:lang w:val="mt-MT"/>
        </w:rPr>
        <w:t>).</w:t>
      </w:r>
    </w:p>
    <w:p w:rsidR="0027484F" w:rsidRPr="00981149" w:rsidP="00981149" w14:paraId="12DFD57D" w14:textId="782F8F7A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C, C/2025/2247, 29.4.2025, ELI: </w:t>
      </w:r>
      <w:hyperlink r:id="rId13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http://data.europa.eu/eli/C/2025/2247/oj</w:t>
        </w:r>
      </w:hyperlink>
      <w:r w:rsidRPr="00981149">
        <w:rPr>
          <w:sz w:val="24"/>
          <w:szCs w:val="24"/>
          <w:lang w:val="mt-MT"/>
        </w:rPr>
        <w:t>).</w:t>
      </w:r>
    </w:p>
    <w:p w:rsidR="0027484F" w:rsidRPr="00981149" w:rsidP="00981149" w14:paraId="300DE0F9" w14:textId="67E2CD53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 xml:space="preserve">Ir-riżoluzzjoni tal-Parlament Ewropew tat-8 ta’ Mejju 2025 dwar l-abbozz ta’ deċiżjoni ta’ implimentazzjoni tal-Kummissjoni li tawtorizza t-tqegħid fis-suq ta’ prodotti li fihom il-fażola </w:t>
      </w:r>
      <w:r w:rsidRPr="00981149">
        <w:rPr>
          <w:sz w:val="24"/>
          <w:szCs w:val="24"/>
          <w:lang w:val="mt-MT"/>
        </w:rPr>
        <w:t>tas-sojja</w:t>
      </w:r>
      <w:r w:rsidRPr="00981149">
        <w:rPr>
          <w:sz w:val="24"/>
          <w:szCs w:val="24"/>
          <w:lang w:val="mt-MT"/>
        </w:rPr>
        <w:t xml:space="preserve"> ġenetikament modifikata MON 87705 × MON 87708 × MON 89788, li jikkonsistu minnha jew li huma prodotti minnha, skont ir-Regolament (KE) Nru 1829/2003 tal-Parlament Ewropew u tal-Kunsill (ĠU C, C/2026/586, 24.2.2026, ELI: </w:t>
      </w:r>
      <w:hyperlink r:id="rId14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http://data.europa.eu/eli/C/2026/586/oj</w:t>
        </w:r>
      </w:hyperlink>
      <w:r w:rsidRPr="00981149">
        <w:rPr>
          <w:sz w:val="24"/>
          <w:szCs w:val="24"/>
          <w:lang w:val="mt-MT"/>
        </w:rPr>
        <w:t>).</w:t>
      </w:r>
    </w:p>
    <w:p w:rsidR="0027484F" w:rsidRPr="00981149" w:rsidP="00981149" w14:paraId="1F7C6BA7" w14:textId="65035468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>Ir-riżoluzzjoni tal-Parlament Ewropew tat-8 ta’ Ottubru 2025 dwar 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(ĠU C, C/2026/1523, 15.4.2026, ELI: </w:t>
      </w:r>
      <w:hyperlink r:id="rId15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http://data.europa.eu/eli/C/2026/1523/oj</w:t>
        </w:r>
      </w:hyperlink>
      <w:r w:rsidRPr="00981149">
        <w:rPr>
          <w:sz w:val="24"/>
          <w:szCs w:val="24"/>
          <w:lang w:val="mt-MT"/>
        </w:rPr>
        <w:t>).</w:t>
      </w:r>
    </w:p>
    <w:p w:rsidR="0027484F" w:rsidRPr="00981149" w:rsidP="00981149" w14:paraId="033AAC2E" w14:textId="21647413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>Ir-riżoluzzjoni tal-Parlament Ewropew tal-25 ta’ Novembru 2025 dwar l-abbozz ta’ deċiżjoni ta’ implimentazzjoni tal-Kummissjoni li tawtorizza l-introduzzjoni fis-suq ta’ prodotti li fihom, jikkonsistu minn, jew li huma prodotti minn qamħirrum ġenetikament modifikat DAS1131 skont ir-Regolament (KE) Nru 1829/2003 tal-Parlament Ewropew u tal-Kunsill (ĠU C, C/2026/1703, 24.4.2026, ELI: </w:t>
      </w:r>
      <w:hyperlink r:id="rId16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http://data.europa.eu/eli/C/2026/1703/oj</w:t>
        </w:r>
      </w:hyperlink>
      <w:r w:rsidRPr="00981149">
        <w:rPr>
          <w:sz w:val="24"/>
          <w:szCs w:val="24"/>
          <w:lang w:val="mt-MT"/>
        </w:rPr>
        <w:t>).</w:t>
      </w:r>
    </w:p>
    <w:p w:rsidR="0027484F" w:rsidRPr="00981149" w:rsidP="00981149" w14:paraId="7CEC1143" w14:textId="54014D96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il-qoton ġenetikament modifikat MON 88913 (MON-88913-8), li jikkonsistu minnu jew li huma prodotti minnu skont ir-Regolament (KE) Nru 1829/2003 tal-Parlament Ewropew u tal-Kunsill (ĠU C, C/2026/1704, 24.4.2026, ELI: </w:t>
      </w:r>
      <w:hyperlink r:id="rId17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http://data.europa.eu/eli/C/2026/1704/oj</w:t>
        </w:r>
      </w:hyperlink>
      <w:r w:rsidRPr="00981149">
        <w:rPr>
          <w:sz w:val="24"/>
          <w:szCs w:val="24"/>
          <w:lang w:val="mt-MT"/>
        </w:rPr>
        <w:t>).</w:t>
      </w:r>
    </w:p>
    <w:p w:rsidR="0027484F" w:rsidRPr="00981149" w:rsidP="00981149" w14:paraId="075F2C29" w14:textId="0D4C945B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>Ir-riżoluzzjoni tal-Parlament Ewropew tal-25 ta’ Novembru 202</w:t>
      </w:r>
      <w:r w:rsidR="005343E1">
        <w:rPr>
          <w:sz w:val="24"/>
          <w:szCs w:val="24"/>
          <w:lang w:val="mt-MT"/>
        </w:rPr>
        <w:t>5</w:t>
      </w:r>
      <w:r w:rsidRPr="00981149">
        <w:rPr>
          <w:sz w:val="24"/>
          <w:szCs w:val="24"/>
          <w:lang w:val="mt-MT"/>
        </w:rPr>
        <w:t xml:space="preserve"> dwar l-abbozz ta’ deċiżjoni ta’ implimentazzjoni tal-Kummissjoni li ġġedded l-awtorizzazzjoni għat-tqegħid fis-suq ta’ prodotti li fihom il-lift ġenetikament modifikat MON 88302, li jikkonsistu minnu jew li huma prodotti minnu, skont ir-Regolament (KE) Nru 1829/2003 tal-Parlament Ewropew u tal-Kunsill (ĠU C, C/2026/1705, 24.4.2026, ELI: </w:t>
      </w:r>
      <w:hyperlink r:id="rId18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http://data.europa.eu/eli/C/2026/1705/oj</w:t>
        </w:r>
      </w:hyperlink>
      <w:r w:rsidRPr="00981149">
        <w:rPr>
          <w:sz w:val="24"/>
          <w:szCs w:val="24"/>
          <w:lang w:val="mt-MT"/>
        </w:rPr>
        <w:t>).</w:t>
      </w:r>
    </w:p>
    <w:p w:rsidR="0027484F" w:rsidRPr="00981149" w:rsidP="00981149" w14:paraId="692DCBD4" w14:textId="41A93CC7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 xml:space="preserve">Ir-riżoluzzjoni tal-Parlament Ewropew tal-25 ta’ Novembru 2025 dwar id-Deċiżjoni ta’ Implimentazzjoni tal-Kummissjoni li ġġedded l-awtorizzazzjoni għall-introduzzjoni fis-suq ta’ prodotti li fihom il-fażola </w:t>
      </w:r>
      <w:r w:rsidRPr="00981149">
        <w:rPr>
          <w:sz w:val="24"/>
          <w:szCs w:val="24"/>
          <w:lang w:val="mt-MT"/>
        </w:rPr>
        <w:t>tas-sojja</w:t>
      </w:r>
      <w:r w:rsidRPr="00981149">
        <w:rPr>
          <w:sz w:val="24"/>
          <w:szCs w:val="24"/>
          <w:lang w:val="mt-MT"/>
        </w:rPr>
        <w:t xml:space="preserve"> ġenetikament modifikata MON 87708, li jikkonsistu minnha jew li huma prodotti minnha, skont ir-Regolament (KE) Nru 1829/2003 tal-Parlament Ewropew u tal-Kunsill (ĠU C, C/2026/1706, 24.4.2026, ELI: </w:t>
      </w:r>
      <w:hyperlink r:id="rId19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http://data.europa.eu/eli/C/2026/1706/oj</w:t>
        </w:r>
      </w:hyperlink>
      <w:r w:rsidRPr="00981149">
        <w:rPr>
          <w:sz w:val="24"/>
          <w:szCs w:val="24"/>
          <w:lang w:val="mt-MT"/>
        </w:rPr>
        <w:t>).</w:t>
      </w:r>
    </w:p>
    <w:p w:rsidR="0027484F" w:rsidRPr="00981149" w:rsidP="00981149" w14:paraId="1CF160EE" w14:textId="4979AB7A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il-qamħirrum ġenetikament modifikat MON 87427, li jikkonsistu minnu jew li huma prodotti minnu, skont ir-Regolament (KE) Nru 1829/2003 tal-Parlament Ewropew u tal-Kunsill (ĠU C, C/2026/1707, 24.4.2026, ELI: </w:t>
      </w:r>
      <w:hyperlink r:id="rId20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http://data.europa.eu/eli/C/2026/1707/oj</w:t>
        </w:r>
      </w:hyperlink>
      <w:r w:rsidRPr="00981149">
        <w:rPr>
          <w:sz w:val="24"/>
          <w:szCs w:val="24"/>
          <w:lang w:val="mt-MT"/>
        </w:rPr>
        <w:t>).</w:t>
      </w:r>
    </w:p>
    <w:p w:rsidR="0027484F" w:rsidRPr="00981149" w:rsidP="00981149" w14:paraId="732046ED" w14:textId="5294D1AE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>Ir-riżoluzzjoni tal-Parlament Ewropew tas-16 ta’ Diċembru 2025 dwar l-abbozz ta’ Deċiżjoni ta’ Implimentazzjoni tal-Kummissjoni li ġġedded l-awtorizzazzjoni għall-introduzzjoni fis-suq ta’ prodotti li fihom il-qamħirrum ġenetikament modifikat NK603, li jikkonsistu minnu jew li huma prodotti minnu skont ir-Regolament (KE) Nru 1829/2003 tal-Parlament Ewropew u tal-Kunsill(ĠU C, C/2026/2150, 6.5.2026, ELI: </w:t>
      </w:r>
      <w:hyperlink r:id="rId21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http://data.europa.eu/eli/C/2026/2150/oj</w:t>
        </w:r>
      </w:hyperlink>
      <w:r w:rsidRPr="00981149">
        <w:rPr>
          <w:sz w:val="24"/>
          <w:szCs w:val="24"/>
          <w:lang w:val="mt-MT"/>
        </w:rPr>
        <w:t>).</w:t>
      </w:r>
    </w:p>
    <w:p w:rsidR="0027484F" w:rsidRPr="00981149" w:rsidP="00981149" w14:paraId="384DE257" w14:textId="633B384E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 xml:space="preserve">Ir-riżoluzzjoni tal-Parlament Ewropew tas-16 ta’ Diċembru 2025 dwar l-abbozz ta’ Deċiżjoni ta’ Implimentazzjoni tal-Kummissjoni li tawtorizza l-introduzzjoni fis-suq ta’ ikel, ingredjenti tal-ikel u għalf prodotti minn </w:t>
      </w:r>
      <w:r w:rsidRPr="00981149">
        <w:rPr>
          <w:sz w:val="24"/>
          <w:szCs w:val="24"/>
          <w:lang w:val="mt-MT"/>
        </w:rPr>
        <w:t>pitrava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zokkrija</w:t>
      </w:r>
      <w:r w:rsidRPr="00981149">
        <w:rPr>
          <w:sz w:val="24"/>
          <w:szCs w:val="24"/>
          <w:lang w:val="mt-MT"/>
        </w:rPr>
        <w:t xml:space="preserve"> ġenetikament modifikata KWS20-1, skont ir-Regolament (KE) Nru 1829/2003 tal-Parlament Ewropew u tal-Kunsill (ĠU C, C/2026/2151, 6.5.2026, ELI: </w:t>
      </w:r>
      <w:hyperlink r:id="rId22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http://data.europa.eu/eli/C/2026/2151/oj</w:t>
        </w:r>
      </w:hyperlink>
      <w:r w:rsidRPr="00981149">
        <w:rPr>
          <w:sz w:val="24"/>
          <w:szCs w:val="24"/>
          <w:lang w:val="mt-MT"/>
        </w:rPr>
        <w:t>).</w:t>
      </w:r>
    </w:p>
    <w:p w:rsidR="0027484F" w:rsidRPr="00981149" w:rsidP="00981149" w14:paraId="1EF10158" w14:textId="611B064D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 xml:space="preserve">Ir-riżoluzzjoni tal-Parlament Ewropew tal-11 ta’ Frar 2026 dwar l-abbozz ta’ deċiżjoni ta’ implimentazzjoni tal-Kummissjoni li tawtorizza t-tqegħid fis-suq ta’ prodotti li fihom il-fażola </w:t>
      </w:r>
      <w:r w:rsidRPr="00981149">
        <w:rPr>
          <w:sz w:val="24"/>
          <w:szCs w:val="24"/>
          <w:lang w:val="mt-MT"/>
        </w:rPr>
        <w:t>tas-sojja</w:t>
      </w:r>
      <w:r w:rsidRPr="00981149">
        <w:rPr>
          <w:sz w:val="24"/>
          <w:szCs w:val="24"/>
          <w:lang w:val="mt-MT"/>
        </w:rPr>
        <w:t xml:space="preserve"> ġenetikament modifikata DBN-09004-6, li jikkonsistu minnha jew li huma prodotti minnha, skont ir-Regolament (KE) Nru 1829/2003 tal-Parlament Ewropew u tal-Kunsill (Testi adottati, P10_TA(2026)0041).</w:t>
      </w:r>
    </w:p>
    <w:p w:rsidR="0027484F" w:rsidRPr="00981149" w:rsidP="00981149" w14:paraId="1ECD495D" w14:textId="3F457461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>Ir-riżoluzzjoni tal-Parlament Ewropew tal-11 ta’ Frar 2026 dwar l-abbozz ta’ deċiżjoni ta’ implimentazzjoni tal-Kummissjoni li ġġedded l-awtorizzazzjoni għat-tqegħid fis suq ta’ prodotti li fihom il-qamħirrum ġenetikament modifikat T25 (ACS-ZMØØ3-2), li jikkonsistu minnu jew li huma prodotti minnu, skont ir-Regolament (KE) Nru 1829/2003 tal-Parlament Ewropew u tal-Kunsill (Testi adottati, P10_TA(2026)0042).</w:t>
      </w:r>
    </w:p>
    <w:p w:rsidR="0027484F" w:rsidRPr="00981149" w:rsidP="00981149" w14:paraId="448437B2" w14:textId="03EC86EF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>Ir-riżoluzzjoni tal-Parlament Ewropew tal-11 ta’ Frar 2026 dwar l-abbozz ta’ deċiżjoni ta’ implimentazzjoni tal-Kummissjoni li ġġedded l-awtorizzazzjoni għat-tqegħid fis-suq ta’ prodotti li fihom il-qoton ġenetikament modifikat GHB614 × LLCotton25, li jikkonsistu minnu jew li huma prodotti minnu, skont ir-Regolament (KE) Nru 1829/2003 tal-Parlament Ewropew u tal-Kunsill (Testi adottati, P10_TA(2026)0043).</w:t>
      </w:r>
    </w:p>
    <w:p w:rsidR="0027484F" w:rsidRPr="00981149" w:rsidP="00981149" w14:paraId="1F59895F" w14:textId="0DD05112">
      <w:pPr>
        <w:pStyle w:val="FootnoteText"/>
        <w:ind w:left="709" w:hanging="709"/>
        <w:rPr>
          <w:sz w:val="24"/>
          <w:szCs w:val="24"/>
          <w:vertAlign w:val="superscript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>Ir-riżoluzzjoni tal-Parlament Ewropew tal-11 ta’ Frar 2026 dwar l-abbozz ta’ Deċiżjoni ta’ Implimentazzjoni tal-Kummissjoni li ġġedded l-awtorizzazzjoni għat-tqegħid fis-suq ta’ prodotti li fihom il-qoton ġenetikament modifikat T304-40, li jikkonsistu minnu jew li huma prodotti minnu, skont ir-Regolament (KE) Nru 1829/2003 tal-Parlament Ewropew u tal-Kunsill (Testi adottati, P10_TA(2026)0044).</w:t>
      </w:r>
    </w:p>
    <w:p w:rsidR="0027484F" w:rsidRPr="00981149" w:rsidP="00981149" w14:paraId="48F7D5F5" w14:textId="4A826502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sz w:val="24"/>
          <w:szCs w:val="24"/>
          <w:lang w:val="mt-MT"/>
        </w:rPr>
        <w:t>–</w:t>
      </w:r>
      <w:r w:rsidRPr="00981149">
        <w:rPr>
          <w:sz w:val="24"/>
          <w:szCs w:val="24"/>
          <w:lang w:val="mt-MT"/>
        </w:rPr>
        <w:tab/>
        <w:t xml:space="preserve">Ir-riżoluzzjoni tal-Parlament Ewropew tad-29 ta’ April 2026 dwar l-abbozz ta’ deċiżjoni ta’ implimentazzjoni tal-Kummissjoni li tawtorizza t-tqegħid fis-suq ta’ prodotti li fihom il-fażola </w:t>
      </w:r>
      <w:r w:rsidRPr="00981149">
        <w:rPr>
          <w:sz w:val="24"/>
          <w:szCs w:val="24"/>
          <w:lang w:val="mt-MT"/>
        </w:rPr>
        <w:t>tas-sojja</w:t>
      </w:r>
      <w:r w:rsidRPr="00981149">
        <w:rPr>
          <w:sz w:val="24"/>
          <w:szCs w:val="24"/>
          <w:lang w:val="mt-MT"/>
        </w:rPr>
        <w:t xml:space="preserve"> ġenetikament modifikata MON 94637, li jikkonsistu minnha jew li huma prodotti minnha, skont ir-Regolament (KE) Nru 1829/2003 tal-Parlament Ewropew u tal-Kunsill (Testi adottati, P10_TA(2026)0150).</w:t>
      </w:r>
    </w:p>
  </w:footnote>
  <w:footnote w:id="7">
    <w:p w:rsidR="0027484F" w:rsidRPr="00981149" w:rsidP="00981149" w14:paraId="66D7E6AD" w14:textId="26FB83F9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r w:rsidRPr="00981149">
        <w:rPr>
          <w:sz w:val="24"/>
          <w:szCs w:val="24"/>
          <w:lang w:val="mt-MT"/>
        </w:rPr>
        <w:t>Id-Deċiżjoni ta’ Implimentazzjoni tal-Kummissjoni (UE) 2015/2279 tal-4 ta’ Diċembru 2015 li tawtorizza t-tqegħid fis-suq ta’ prodotti li fihom il-qamħirrum ġenetikament modifikat NK603 × T25 (MON-ØØ6Ø3-6 × ACS-ZMØØ3-2) jew li jikkonsistu jew li jkunu prodotti minnu skont ir-Regolament (KE) Nru 1829/2003 tal-Parlament Ewropew u tal-Kunsill (ĠU L 322, 8.12.2015, p. 58, ELI: </w:t>
      </w:r>
      <w:hyperlink r:id="rId23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http://data.europa.eu/eli/dec_impl/2015/2279/oj</w:t>
        </w:r>
      </w:hyperlink>
      <w:r w:rsidRPr="00981149">
        <w:rPr>
          <w:sz w:val="24"/>
          <w:szCs w:val="24"/>
          <w:lang w:val="mt-MT"/>
        </w:rPr>
        <w:t>).</w:t>
      </w:r>
    </w:p>
  </w:footnote>
  <w:footnote w:id="8">
    <w:p w:rsidR="0027484F" w:rsidRPr="00981149" w:rsidP="00981149" w14:paraId="03B9706A" w14:textId="6D1A89F5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r w:rsidRPr="00981149">
        <w:rPr>
          <w:sz w:val="24"/>
          <w:szCs w:val="24"/>
          <w:lang w:val="mt-MT"/>
        </w:rPr>
        <w:t xml:space="preserve">L-Opinjoni Xjentifika tal-Bord tal-EFSA dwar Organiżmi Ġenetikament Modifikati dwar applikazzjoni (EFSA-GMO-NL-2010-80) għall-introduzzjoni fis-suq ta’ qamħirrum NK603 × T25 ġenetikament modifikat u </w:t>
      </w:r>
      <w:r w:rsidRPr="00981149">
        <w:rPr>
          <w:sz w:val="24"/>
          <w:szCs w:val="24"/>
          <w:lang w:val="mt-MT"/>
        </w:rPr>
        <w:t>tolleranti</w:t>
      </w:r>
      <w:r w:rsidRPr="00981149">
        <w:rPr>
          <w:sz w:val="24"/>
          <w:szCs w:val="24"/>
          <w:lang w:val="mt-MT"/>
        </w:rPr>
        <w:t xml:space="preserve"> għall-erbiċidi għall-użu fl-ikel u l-għalf, u l-importazzjoni u l-ipproċessar skont ir-Regolament (KE) Nru 1829/2003 minn </w:t>
      </w:r>
      <w:r w:rsidRPr="00981149">
        <w:rPr>
          <w:sz w:val="24"/>
          <w:szCs w:val="24"/>
          <w:lang w:val="mt-MT"/>
        </w:rPr>
        <w:t>Monsanto</w:t>
      </w:r>
      <w:r w:rsidRPr="00981149">
        <w:rPr>
          <w:sz w:val="24"/>
          <w:szCs w:val="24"/>
          <w:lang w:val="mt-MT"/>
        </w:rPr>
        <w:t xml:space="preserve"> (“</w:t>
      </w:r>
      <w:r w:rsidRPr="00981149">
        <w:rPr>
          <w:sz w:val="24"/>
          <w:szCs w:val="24"/>
          <w:lang w:val="mt-MT"/>
        </w:rPr>
        <w:t>Scientific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Opinion</w:t>
      </w:r>
      <w:r w:rsidRPr="00981149">
        <w:rPr>
          <w:sz w:val="24"/>
          <w:szCs w:val="24"/>
          <w:lang w:val="mt-MT"/>
        </w:rPr>
        <w:t xml:space="preserve"> of </w:t>
      </w:r>
      <w:r w:rsidRPr="00981149">
        <w:rPr>
          <w:sz w:val="24"/>
          <w:szCs w:val="24"/>
          <w:lang w:val="mt-MT"/>
        </w:rPr>
        <w:t>the</w:t>
      </w:r>
      <w:r w:rsidRPr="00981149">
        <w:rPr>
          <w:sz w:val="24"/>
          <w:szCs w:val="24"/>
          <w:lang w:val="mt-MT"/>
        </w:rPr>
        <w:t xml:space="preserve"> EFSA </w:t>
      </w:r>
      <w:r w:rsidRPr="00981149">
        <w:rPr>
          <w:sz w:val="24"/>
          <w:szCs w:val="24"/>
          <w:lang w:val="mt-MT"/>
        </w:rPr>
        <w:t>Panel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on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Genetically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Modified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Organisms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on</w:t>
      </w:r>
      <w:r w:rsidRPr="00981149">
        <w:rPr>
          <w:sz w:val="24"/>
          <w:szCs w:val="24"/>
          <w:lang w:val="mt-MT"/>
        </w:rPr>
        <w:t xml:space="preserve"> an </w:t>
      </w:r>
      <w:r w:rsidRPr="00981149">
        <w:rPr>
          <w:sz w:val="24"/>
          <w:szCs w:val="24"/>
          <w:lang w:val="mt-MT"/>
        </w:rPr>
        <w:t>application</w:t>
      </w:r>
      <w:r w:rsidRPr="00981149">
        <w:rPr>
          <w:sz w:val="24"/>
          <w:szCs w:val="24"/>
          <w:lang w:val="mt-MT"/>
        </w:rPr>
        <w:t xml:space="preserve"> (EFSA-GMO-NL-2010-80) </w:t>
      </w:r>
      <w:r w:rsidRPr="00981149">
        <w:rPr>
          <w:sz w:val="24"/>
          <w:szCs w:val="24"/>
          <w:lang w:val="mt-MT"/>
        </w:rPr>
        <w:t>for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the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placing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on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the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market</w:t>
      </w:r>
      <w:r w:rsidRPr="00981149">
        <w:rPr>
          <w:sz w:val="24"/>
          <w:szCs w:val="24"/>
          <w:lang w:val="mt-MT"/>
        </w:rPr>
        <w:t xml:space="preserve"> of </w:t>
      </w:r>
      <w:r w:rsidRPr="00981149">
        <w:rPr>
          <w:sz w:val="24"/>
          <w:szCs w:val="24"/>
          <w:lang w:val="mt-MT"/>
        </w:rPr>
        <w:t>herbicide-tolerant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genetically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modified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maize</w:t>
      </w:r>
      <w:r w:rsidRPr="00981149">
        <w:rPr>
          <w:sz w:val="24"/>
          <w:szCs w:val="24"/>
          <w:lang w:val="mt-MT"/>
        </w:rPr>
        <w:t xml:space="preserve"> NK603 × T25 </w:t>
      </w:r>
      <w:r w:rsidRPr="00981149">
        <w:rPr>
          <w:sz w:val="24"/>
          <w:szCs w:val="24"/>
          <w:lang w:val="mt-MT"/>
        </w:rPr>
        <w:t>for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food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and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feed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uses</w:t>
      </w:r>
      <w:r w:rsidRPr="00981149">
        <w:rPr>
          <w:sz w:val="24"/>
          <w:szCs w:val="24"/>
          <w:lang w:val="mt-MT"/>
        </w:rPr>
        <w:t xml:space="preserve">, import </w:t>
      </w:r>
      <w:r w:rsidRPr="00981149">
        <w:rPr>
          <w:sz w:val="24"/>
          <w:szCs w:val="24"/>
          <w:lang w:val="mt-MT"/>
        </w:rPr>
        <w:t>and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processing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under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Regulation</w:t>
      </w:r>
      <w:r w:rsidRPr="00981149">
        <w:rPr>
          <w:sz w:val="24"/>
          <w:szCs w:val="24"/>
          <w:lang w:val="mt-MT"/>
        </w:rPr>
        <w:t xml:space="preserve"> (EC) </w:t>
      </w:r>
      <w:r w:rsidRPr="00981149">
        <w:rPr>
          <w:sz w:val="24"/>
          <w:szCs w:val="24"/>
          <w:lang w:val="mt-MT"/>
        </w:rPr>
        <w:t>No</w:t>
      </w:r>
      <w:r w:rsidRPr="00981149">
        <w:rPr>
          <w:sz w:val="24"/>
          <w:szCs w:val="24"/>
          <w:lang w:val="mt-MT"/>
        </w:rPr>
        <w:t xml:space="preserve"> 1829/2003 </w:t>
      </w:r>
      <w:r w:rsidRPr="00981149">
        <w:rPr>
          <w:sz w:val="24"/>
          <w:szCs w:val="24"/>
          <w:lang w:val="mt-MT"/>
        </w:rPr>
        <w:t>from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Monsanto</w:t>
      </w:r>
      <w:r w:rsidRPr="00981149">
        <w:rPr>
          <w:sz w:val="24"/>
          <w:szCs w:val="24"/>
          <w:lang w:val="mt-MT"/>
        </w:rPr>
        <w:t xml:space="preserve">”), </w:t>
      </w:r>
      <w:r w:rsidRPr="00981149">
        <w:rPr>
          <w:i/>
          <w:sz w:val="24"/>
          <w:szCs w:val="24"/>
          <w:lang w:val="mt-MT"/>
        </w:rPr>
        <w:t xml:space="preserve">EFSA </w:t>
      </w:r>
      <w:r w:rsidRPr="00981149">
        <w:rPr>
          <w:i/>
          <w:sz w:val="24"/>
          <w:szCs w:val="24"/>
          <w:lang w:val="mt-MT"/>
        </w:rPr>
        <w:t>Journal</w:t>
      </w:r>
      <w:r w:rsidRPr="00981149">
        <w:rPr>
          <w:sz w:val="24"/>
          <w:szCs w:val="24"/>
          <w:lang w:val="mt-MT"/>
        </w:rPr>
        <w:t xml:space="preserve">, 2015, 13(7):4165, </w:t>
      </w:r>
      <w:hyperlink r:id="rId24" w:history="1">
        <w:r w:rsidRPr="00981149">
          <w:rPr>
            <w:rStyle w:val="Hyperlink"/>
            <w:sz w:val="24"/>
            <w:szCs w:val="24"/>
            <w:lang w:val="mt-MT"/>
          </w:rPr>
          <w:t>https://doi.org/10.2903/j.efsa.2015.4165</w:t>
        </w:r>
      </w:hyperlink>
      <w:r w:rsidRPr="00981149">
        <w:rPr>
          <w:sz w:val="24"/>
          <w:szCs w:val="24"/>
          <w:lang w:val="mt-MT"/>
        </w:rPr>
        <w:t>.</w:t>
      </w:r>
    </w:p>
  </w:footnote>
  <w:footnote w:id="9">
    <w:p w:rsidR="0027484F" w:rsidRPr="00981149" w:rsidP="00981149" w14:paraId="7C1A45C1" w14:textId="5F63AE01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 w:rsidR="005C1CE4">
        <w:rPr>
          <w:sz w:val="24"/>
          <w:szCs w:val="24"/>
          <w:shd w:val="clear" w:color="auto" w:fill="FFFFFF"/>
          <w:lang w:val="mt-MT"/>
        </w:rPr>
        <w:tab/>
      </w:r>
      <w:r w:rsidRPr="00981149">
        <w:rPr>
          <w:sz w:val="24"/>
          <w:szCs w:val="24"/>
          <w:shd w:val="clear" w:color="auto" w:fill="FFFFFF"/>
          <w:lang w:val="mt-MT"/>
        </w:rPr>
        <w:t xml:space="preserve">Ara, pereżempju, </w:t>
      </w:r>
      <w:r w:rsidRPr="00981149">
        <w:rPr>
          <w:sz w:val="24"/>
          <w:szCs w:val="24"/>
          <w:shd w:val="clear" w:color="auto" w:fill="FFFFFF"/>
          <w:lang w:val="mt-MT"/>
        </w:rPr>
        <w:t>Bonny</w:t>
      </w:r>
      <w:r w:rsidRPr="00981149">
        <w:rPr>
          <w:sz w:val="24"/>
          <w:szCs w:val="24"/>
          <w:shd w:val="clear" w:color="auto" w:fill="FFFFFF"/>
          <w:lang w:val="mt-MT"/>
        </w:rPr>
        <w:t xml:space="preserve">, S., Għelejjel, Ħaxix Ħażin, u Erbiċidi Ġenetikament Modifikati </w:t>
      </w:r>
      <w:r w:rsidRPr="00981149">
        <w:rPr>
          <w:sz w:val="24"/>
          <w:szCs w:val="24"/>
          <w:shd w:val="clear" w:color="auto" w:fill="FFFFFF"/>
          <w:lang w:val="mt-MT"/>
        </w:rPr>
        <w:t>Tolleranti</w:t>
      </w:r>
      <w:r w:rsidRPr="00981149">
        <w:rPr>
          <w:sz w:val="24"/>
          <w:szCs w:val="24"/>
          <w:shd w:val="clear" w:color="auto" w:fill="FFFFFF"/>
          <w:lang w:val="mt-MT"/>
        </w:rPr>
        <w:t xml:space="preserve"> għall-Erbiċidi: Ħarsa Ġenerali u Impatt (“</w:t>
      </w:r>
      <w:r w:rsidRPr="00981149">
        <w:rPr>
          <w:sz w:val="24"/>
          <w:szCs w:val="24"/>
          <w:shd w:val="clear" w:color="auto" w:fill="FFFFFF"/>
          <w:lang w:val="mt-MT"/>
        </w:rPr>
        <w:t>Genetically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Modified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Herbicide-Tolerant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Crops</w:t>
      </w:r>
      <w:r w:rsidRPr="00981149">
        <w:rPr>
          <w:sz w:val="24"/>
          <w:szCs w:val="24"/>
          <w:shd w:val="clear" w:color="auto" w:fill="FFFFFF"/>
          <w:lang w:val="mt-MT"/>
        </w:rPr>
        <w:t xml:space="preserve">, </w:t>
      </w:r>
      <w:r w:rsidRPr="00981149">
        <w:rPr>
          <w:sz w:val="24"/>
          <w:szCs w:val="24"/>
          <w:shd w:val="clear" w:color="auto" w:fill="FFFFFF"/>
          <w:lang w:val="mt-MT"/>
        </w:rPr>
        <w:t>Weeds</w:t>
      </w:r>
      <w:r w:rsidRPr="00981149">
        <w:rPr>
          <w:sz w:val="24"/>
          <w:szCs w:val="24"/>
          <w:shd w:val="clear" w:color="auto" w:fill="FFFFFF"/>
          <w:lang w:val="mt-MT"/>
        </w:rPr>
        <w:t xml:space="preserve">, </w:t>
      </w:r>
      <w:r w:rsidRPr="00981149">
        <w:rPr>
          <w:sz w:val="24"/>
          <w:szCs w:val="24"/>
          <w:shd w:val="clear" w:color="auto" w:fill="FFFFFF"/>
          <w:lang w:val="mt-MT"/>
        </w:rPr>
        <w:t>and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Herbicides</w:t>
      </w:r>
      <w:r w:rsidRPr="00981149">
        <w:rPr>
          <w:sz w:val="24"/>
          <w:szCs w:val="24"/>
          <w:shd w:val="clear" w:color="auto" w:fill="FFFFFF"/>
          <w:lang w:val="mt-MT"/>
        </w:rPr>
        <w:t xml:space="preserve">: </w:t>
      </w:r>
      <w:r w:rsidRPr="00981149">
        <w:rPr>
          <w:sz w:val="24"/>
          <w:szCs w:val="24"/>
          <w:shd w:val="clear" w:color="auto" w:fill="FFFFFF"/>
          <w:lang w:val="mt-MT"/>
        </w:rPr>
        <w:t>Overview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and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Impact</w:t>
      </w:r>
      <w:r w:rsidRPr="00981149">
        <w:rPr>
          <w:sz w:val="24"/>
          <w:szCs w:val="24"/>
          <w:shd w:val="clear" w:color="auto" w:fill="FFFFFF"/>
          <w:lang w:val="mt-MT"/>
        </w:rPr>
        <w:t xml:space="preserve">”), </w:t>
      </w:r>
      <w:r w:rsidRPr="00981149">
        <w:rPr>
          <w:i/>
          <w:iCs/>
          <w:sz w:val="24"/>
          <w:szCs w:val="24"/>
          <w:shd w:val="clear" w:color="auto" w:fill="FFFFFF"/>
          <w:lang w:val="mt-MT"/>
        </w:rPr>
        <w:t>Environmental</w:t>
      </w:r>
      <w:r w:rsidRPr="00981149">
        <w:rPr>
          <w:i/>
          <w:iCs/>
          <w:sz w:val="24"/>
          <w:szCs w:val="24"/>
          <w:shd w:val="clear" w:color="auto" w:fill="FFFFFF"/>
          <w:lang w:val="mt-MT"/>
        </w:rPr>
        <w:t xml:space="preserve"> Management</w:t>
      </w:r>
      <w:r w:rsidRPr="00981149">
        <w:rPr>
          <w:sz w:val="24"/>
          <w:szCs w:val="24"/>
          <w:shd w:val="clear" w:color="auto" w:fill="FFFFFF"/>
          <w:lang w:val="mt-MT"/>
        </w:rPr>
        <w:t xml:space="preserve">, Jannar 2016, 57(1), </w:t>
      </w:r>
      <w:r w:rsidRPr="00981149">
        <w:rPr>
          <w:sz w:val="24"/>
          <w:szCs w:val="24"/>
          <w:shd w:val="clear" w:color="auto" w:fill="FFFFFF"/>
          <w:lang w:val="mt-MT"/>
        </w:rPr>
        <w:t>pp</w:t>
      </w:r>
      <w:r w:rsidRPr="00981149">
        <w:rPr>
          <w:sz w:val="24"/>
          <w:szCs w:val="24"/>
          <w:shd w:val="clear" w:color="auto" w:fill="FFFFFF"/>
          <w:lang w:val="mt-MT"/>
        </w:rPr>
        <w:t>. 31-48,</w:t>
      </w:r>
      <w:bookmarkStart w:id="8" w:name="_Hlk219208464"/>
      <w:r w:rsidRPr="00981149">
        <w:rPr>
          <w:sz w:val="24"/>
          <w:szCs w:val="24"/>
          <w:shd w:val="clear" w:color="auto" w:fill="FFFFFF"/>
          <w:lang w:val="mt-MT"/>
        </w:rPr>
        <w:t xml:space="preserve">https://doi.org/10.1007/s00267-015-0589-7 </w:t>
      </w:r>
      <w:bookmarkEnd w:id="8"/>
      <w:r w:rsidRPr="00981149">
        <w:rPr>
          <w:sz w:val="24"/>
          <w:szCs w:val="24"/>
          <w:shd w:val="clear" w:color="auto" w:fill="FFFFFF"/>
          <w:lang w:val="mt-MT"/>
        </w:rPr>
        <w:t xml:space="preserve">u </w:t>
      </w:r>
      <w:r w:rsidRPr="00981149">
        <w:rPr>
          <w:sz w:val="24"/>
          <w:szCs w:val="24"/>
          <w:shd w:val="clear" w:color="auto" w:fill="FFFFFF"/>
          <w:lang w:val="mt-MT"/>
        </w:rPr>
        <w:t>Benbrook</w:t>
      </w:r>
      <w:r w:rsidRPr="00981149">
        <w:rPr>
          <w:sz w:val="24"/>
          <w:szCs w:val="24"/>
          <w:shd w:val="clear" w:color="auto" w:fill="FFFFFF"/>
          <w:lang w:val="mt-MT"/>
        </w:rPr>
        <w:t>, C.M., L-impatti tal-għelejjel modifikati bl-inġinerija ġenetika fuq l-użu tal-pestiċidi fl-Istati Uniti - l-ewwel sittax-il sena (“</w:t>
      </w:r>
      <w:r w:rsidRPr="00981149">
        <w:rPr>
          <w:sz w:val="24"/>
          <w:szCs w:val="24"/>
          <w:shd w:val="clear" w:color="auto" w:fill="FFFFFF"/>
          <w:lang w:val="mt-MT"/>
        </w:rPr>
        <w:t>Impacts</w:t>
      </w:r>
      <w:r w:rsidRPr="00981149">
        <w:rPr>
          <w:sz w:val="24"/>
          <w:szCs w:val="24"/>
          <w:shd w:val="clear" w:color="auto" w:fill="FFFFFF"/>
          <w:lang w:val="mt-MT"/>
        </w:rPr>
        <w:t xml:space="preserve"> of </w:t>
      </w:r>
      <w:r w:rsidRPr="00981149">
        <w:rPr>
          <w:sz w:val="24"/>
          <w:szCs w:val="24"/>
          <w:shd w:val="clear" w:color="auto" w:fill="FFFFFF"/>
          <w:lang w:val="mt-MT"/>
        </w:rPr>
        <w:t>genetically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engineered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crops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on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pesticide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use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in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the</w:t>
      </w:r>
      <w:r w:rsidRPr="00981149">
        <w:rPr>
          <w:sz w:val="24"/>
          <w:szCs w:val="24"/>
          <w:shd w:val="clear" w:color="auto" w:fill="FFFFFF"/>
          <w:lang w:val="mt-MT"/>
        </w:rPr>
        <w:t xml:space="preserve"> U.S. - </w:t>
      </w:r>
      <w:r w:rsidRPr="00981149">
        <w:rPr>
          <w:sz w:val="24"/>
          <w:szCs w:val="24"/>
          <w:shd w:val="clear" w:color="auto" w:fill="FFFFFF"/>
          <w:lang w:val="mt-MT"/>
        </w:rPr>
        <w:t>the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first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sixteen</w:t>
      </w:r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sz w:val="24"/>
          <w:szCs w:val="24"/>
          <w:shd w:val="clear" w:color="auto" w:fill="FFFFFF"/>
          <w:lang w:val="mt-MT"/>
        </w:rPr>
        <w:t>years</w:t>
      </w:r>
      <w:r w:rsidRPr="00981149">
        <w:rPr>
          <w:sz w:val="24"/>
          <w:szCs w:val="24"/>
          <w:shd w:val="clear" w:color="auto" w:fill="FFFFFF"/>
          <w:lang w:val="mt-MT"/>
        </w:rPr>
        <w:t xml:space="preserve">”), </w:t>
      </w:r>
      <w:r w:rsidRPr="00981149">
        <w:rPr>
          <w:i/>
          <w:iCs/>
          <w:sz w:val="24"/>
          <w:szCs w:val="24"/>
          <w:shd w:val="clear" w:color="auto" w:fill="FFFFFF"/>
          <w:lang w:val="mt-MT"/>
        </w:rPr>
        <w:t>Environmental</w:t>
      </w:r>
      <w:r w:rsidRPr="00981149">
        <w:rPr>
          <w:i/>
          <w:iCs/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i/>
          <w:iCs/>
          <w:sz w:val="24"/>
          <w:szCs w:val="24"/>
          <w:shd w:val="clear" w:color="auto" w:fill="FFFFFF"/>
          <w:lang w:val="mt-MT"/>
        </w:rPr>
        <w:t>Sciences</w:t>
      </w:r>
      <w:r w:rsidRPr="00981149">
        <w:rPr>
          <w:i/>
          <w:iCs/>
          <w:sz w:val="24"/>
          <w:szCs w:val="24"/>
          <w:shd w:val="clear" w:color="auto" w:fill="FFFFFF"/>
          <w:lang w:val="mt-MT"/>
        </w:rPr>
        <w:t xml:space="preserve"> </w:t>
      </w:r>
      <w:r w:rsidRPr="00981149">
        <w:rPr>
          <w:i/>
          <w:iCs/>
          <w:sz w:val="24"/>
          <w:szCs w:val="24"/>
          <w:shd w:val="clear" w:color="auto" w:fill="FFFFFF"/>
          <w:lang w:val="mt-MT"/>
        </w:rPr>
        <w:t>Europe</w:t>
      </w:r>
      <w:r w:rsidRPr="00981149">
        <w:rPr>
          <w:sz w:val="24"/>
          <w:szCs w:val="24"/>
          <w:shd w:val="clear" w:color="auto" w:fill="FFFFFF"/>
          <w:lang w:val="mt-MT"/>
        </w:rPr>
        <w:t xml:space="preserve">, it-28 ta’ Settembru 2012, </w:t>
      </w:r>
      <w:r w:rsidRPr="00981149">
        <w:rPr>
          <w:sz w:val="24"/>
          <w:szCs w:val="24"/>
          <w:shd w:val="clear" w:color="auto" w:fill="FFFFFF"/>
          <w:lang w:val="mt-MT"/>
        </w:rPr>
        <w:t>Vol</w:t>
      </w:r>
      <w:r w:rsidRPr="00981149">
        <w:rPr>
          <w:sz w:val="24"/>
          <w:szCs w:val="24"/>
          <w:shd w:val="clear" w:color="auto" w:fill="FFFFFF"/>
          <w:lang w:val="mt-MT"/>
        </w:rPr>
        <w:t>. 24(1),</w:t>
      </w:r>
      <w:bookmarkStart w:id="9" w:name="_Hlk219208485"/>
      <w:r w:rsidRPr="00981149" w:rsidR="00981149">
        <w:rPr>
          <w:sz w:val="24"/>
          <w:szCs w:val="24"/>
          <w:shd w:val="clear" w:color="auto" w:fill="FFFFFF"/>
          <w:lang w:val="mt-MT"/>
        </w:rPr>
        <w:t xml:space="preserve"> </w:t>
      </w:r>
      <w:hyperlink r:id="rId25" w:history="1">
        <w:r w:rsidRPr="00981149">
          <w:rPr>
            <w:rStyle w:val="Hyperlink"/>
            <w:sz w:val="24"/>
            <w:szCs w:val="24"/>
            <w:lang w:val="mt-MT"/>
          </w:rPr>
          <w:t>https://doi.org/10.1186/2190-4715-24-24</w:t>
        </w:r>
      </w:hyperlink>
      <w:r w:rsidRPr="00981149">
        <w:rPr>
          <w:sz w:val="24"/>
          <w:szCs w:val="24"/>
          <w:lang w:val="mt-MT"/>
        </w:rPr>
        <w:t>.</w:t>
      </w:r>
      <w:bookmarkEnd w:id="9"/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</w:p>
  </w:footnote>
  <w:footnote w:id="10">
    <w:p w:rsidR="0027484F" w:rsidRPr="00981149" w:rsidP="00981149" w14:paraId="16F3069C" w14:textId="4E853E27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r w:rsidRPr="00981149">
        <w:rPr>
          <w:sz w:val="24"/>
          <w:szCs w:val="24"/>
          <w:lang w:val="mt-MT"/>
        </w:rPr>
        <w:t>Aram pereżempju:</w:t>
      </w:r>
      <w:bookmarkStart w:id="10" w:name="_Hlk219286352"/>
      <w:bookmarkStart w:id="11" w:name="_Hlk219208511"/>
      <w:r w:rsidRPr="00981149">
        <w:rPr>
          <w:rStyle w:val="Hyperlink"/>
          <w:sz w:val="24"/>
          <w:szCs w:val="24"/>
          <w:lang w:val="mt-MT"/>
        </w:rPr>
        <w:t xml:space="preserve"> </w:t>
      </w:r>
      <w:hyperlink r:id="rId26" w:history="1">
        <w:r w:rsidRPr="00981149">
          <w:rPr>
            <w:rStyle w:val="Hyperlink"/>
            <w:sz w:val="24"/>
            <w:szCs w:val="24"/>
            <w:lang w:val="mt-MT"/>
          </w:rPr>
          <w:t>https://doi.org/10.1002/ps.8105</w:t>
        </w:r>
      </w:hyperlink>
      <w:r w:rsidRPr="00981149">
        <w:rPr>
          <w:sz w:val="24"/>
          <w:szCs w:val="24"/>
          <w:shd w:val="clear" w:color="auto" w:fill="FFFFFF"/>
          <w:lang w:val="mt-MT"/>
        </w:rPr>
        <w:t xml:space="preserve"> u</w:t>
      </w:r>
      <w:bookmarkEnd w:id="10"/>
      <w:r w:rsidRPr="00981149">
        <w:rPr>
          <w:sz w:val="24"/>
          <w:szCs w:val="24"/>
          <w:shd w:val="clear" w:color="auto" w:fill="FFFFFF"/>
          <w:lang w:val="mt-MT"/>
        </w:rPr>
        <w:t xml:space="preserve"> </w:t>
      </w:r>
      <w:hyperlink r:id="rId27" w:history="1">
        <w:r w:rsidRPr="00981149">
          <w:rPr>
            <w:rStyle w:val="Hyperlink"/>
            <w:sz w:val="24"/>
            <w:szCs w:val="24"/>
            <w:lang w:val="mt-MT"/>
          </w:rPr>
          <w:t>https://doi.org/10.1016/j.geoforum.2009.03.009</w:t>
        </w:r>
      </w:hyperlink>
      <w:r w:rsidRPr="00981149">
        <w:rPr>
          <w:sz w:val="24"/>
          <w:szCs w:val="24"/>
          <w:lang w:val="mt-MT"/>
        </w:rPr>
        <w:t>.</w:t>
      </w:r>
      <w:bookmarkEnd w:id="11"/>
    </w:p>
  </w:footnote>
  <w:footnote w:id="11">
    <w:p w:rsidR="0027484F" w:rsidRPr="00981149" w:rsidP="00981149" w14:paraId="04514E24" w14:textId="296F55D4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r w:rsidRPr="00981149">
        <w:rPr>
          <w:sz w:val="24"/>
          <w:szCs w:val="24"/>
          <w:lang w:val="mt-MT"/>
        </w:rPr>
        <w:t>Ir-Regolament (KE) Nru 1107/2009 tal-Parlament Ewropew u tal-Kunsill tal-21 ta’ Ottubru 2009 dwar it-tqegħid fis-suq ta’ prodotti għall-protezzjoni tal-pjanti u li jħassar id-Direttivi tal-Kunsill 79/117/KEE u 91/414/KEE (ĠU L 309, 24.11.2009, p. 1, ELI: </w:t>
      </w:r>
      <w:hyperlink r:id="rId28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http://data.europa.eu/eli/reg/2009/1107/oj</w:t>
        </w:r>
      </w:hyperlink>
      <w:r w:rsidRPr="00981149">
        <w:rPr>
          <w:sz w:val="24"/>
          <w:szCs w:val="24"/>
          <w:lang w:val="mt-MT"/>
        </w:rPr>
        <w:t>).</w:t>
      </w:r>
    </w:p>
  </w:footnote>
  <w:footnote w:id="12">
    <w:p w:rsidR="0027484F" w:rsidRPr="00981149" w:rsidP="00981149" w14:paraId="3E2F68C9" w14:textId="5F00C24B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r w:rsidRPr="00981149">
        <w:rPr>
          <w:sz w:val="24"/>
          <w:szCs w:val="24"/>
          <w:lang w:val="mt-MT"/>
        </w:rPr>
        <w:t xml:space="preserve">Ara, pereżempju, https://doi.org/10.1016/j.mrrev.2019.02.001, </w:t>
      </w:r>
      <w:hyperlink r:id="rId29" w:history="1">
        <w:r w:rsidRPr="00981149">
          <w:rPr>
            <w:rStyle w:val="Hyperlink"/>
            <w:sz w:val="24"/>
            <w:szCs w:val="24"/>
            <w:lang w:val="mt-MT"/>
          </w:rPr>
          <w:t>https://doi.org/10.1093/ije/dyz017, https://doi.org/10.1371/journal.pone.0219610</w:t>
        </w:r>
      </w:hyperlink>
      <w:r w:rsidRPr="00981149">
        <w:rPr>
          <w:sz w:val="24"/>
          <w:szCs w:val="24"/>
          <w:lang w:val="mt-MT"/>
        </w:rPr>
        <w:t xml:space="preserve"> u </w:t>
      </w:r>
      <w:hyperlink r:id="rId30" w:history="1">
        <w:r w:rsidRPr="00981149">
          <w:rPr>
            <w:rStyle w:val="Hyperlink"/>
            <w:sz w:val="24"/>
            <w:szCs w:val="24"/>
            <w:lang w:val="mt-MT"/>
          </w:rPr>
          <w:t>https://doi.org/10.1186/s13045-019-0767-9</w:t>
        </w:r>
      </w:hyperlink>
      <w:r w:rsidRPr="00981149">
        <w:rPr>
          <w:sz w:val="24"/>
          <w:szCs w:val="24"/>
          <w:lang w:val="mt-MT"/>
        </w:rPr>
        <w:t xml:space="preserve">. </w:t>
      </w:r>
    </w:p>
  </w:footnote>
  <w:footnote w:id="13">
    <w:p w:rsidR="0027484F" w:rsidRPr="00981149" w:rsidP="00981149" w14:paraId="3BD3B937" w14:textId="3C241176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hyperlink r:id="rId31" w:history="1">
        <w:r w:rsidRPr="00981149">
          <w:rPr>
            <w:rStyle w:val="Hyperlink"/>
            <w:sz w:val="24"/>
            <w:szCs w:val="24"/>
            <w:lang w:val="mt-MT"/>
          </w:rPr>
          <w:t>https://doi.org/10.1006/rtph.1999.1371</w:t>
        </w:r>
      </w:hyperlink>
      <w:r w:rsidRPr="00981149">
        <w:rPr>
          <w:sz w:val="24"/>
          <w:szCs w:val="24"/>
          <w:lang w:val="mt-MT"/>
        </w:rPr>
        <w:t>.</w:t>
      </w:r>
    </w:p>
  </w:footnote>
  <w:footnote w:id="14">
    <w:p w:rsidR="0027484F" w:rsidRPr="00981149" w:rsidP="00981149" w14:paraId="447556C9" w14:textId="06132C7A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r w:rsidRPr="00981149">
        <w:rPr>
          <w:sz w:val="24"/>
          <w:szCs w:val="24"/>
          <w:lang w:val="mt-MT"/>
        </w:rPr>
        <w:t xml:space="preserve">Dan huwa fil-fatt il-każ </w:t>
      </w:r>
      <w:r w:rsidRPr="00981149">
        <w:rPr>
          <w:sz w:val="24"/>
          <w:szCs w:val="24"/>
          <w:lang w:val="mt-MT"/>
        </w:rPr>
        <w:t>għall-glifosat</w:t>
      </w:r>
      <w:r w:rsidRPr="00981149">
        <w:rPr>
          <w:sz w:val="24"/>
          <w:szCs w:val="24"/>
          <w:lang w:val="mt-MT"/>
        </w:rPr>
        <w:t xml:space="preserve">, kif iddikjarat fl-Opinjoni Motivata tal-EFSA dwar ir-Rieżami tal-EFSA tal-livelli massimi ta’ residwi eżistenti </w:t>
      </w:r>
      <w:r w:rsidRPr="00981149">
        <w:rPr>
          <w:sz w:val="24"/>
          <w:szCs w:val="24"/>
          <w:lang w:val="mt-MT"/>
        </w:rPr>
        <w:t>għall-glifosat</w:t>
      </w:r>
      <w:r w:rsidRPr="00981149">
        <w:rPr>
          <w:sz w:val="24"/>
          <w:szCs w:val="24"/>
          <w:lang w:val="mt-MT"/>
        </w:rPr>
        <w:t xml:space="preserve"> skont l-Artikolu 12 tar-Regolament (KE) Nru 396/2005 (“</w:t>
      </w:r>
      <w:r w:rsidRPr="00981149">
        <w:rPr>
          <w:sz w:val="24"/>
          <w:szCs w:val="24"/>
          <w:lang w:val="mt-MT"/>
        </w:rPr>
        <w:t>Review</w:t>
      </w:r>
      <w:r w:rsidRPr="00981149">
        <w:rPr>
          <w:sz w:val="24"/>
          <w:szCs w:val="24"/>
          <w:lang w:val="mt-MT"/>
        </w:rPr>
        <w:t xml:space="preserve"> of </w:t>
      </w:r>
      <w:r w:rsidRPr="00981149">
        <w:rPr>
          <w:sz w:val="24"/>
          <w:szCs w:val="24"/>
          <w:lang w:val="mt-MT"/>
        </w:rPr>
        <w:t>the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existing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maximum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residue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levels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for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glyphosate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according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to</w:t>
      </w:r>
      <w:r w:rsidRPr="00981149">
        <w:rPr>
          <w:sz w:val="24"/>
          <w:szCs w:val="24"/>
          <w:lang w:val="mt-MT"/>
        </w:rPr>
        <w:t xml:space="preserve"> </w:t>
      </w:r>
      <w:r w:rsidRPr="00981149">
        <w:rPr>
          <w:sz w:val="24"/>
          <w:szCs w:val="24"/>
          <w:lang w:val="mt-MT"/>
        </w:rPr>
        <w:t>Article</w:t>
      </w:r>
      <w:r w:rsidRPr="00981149">
        <w:rPr>
          <w:sz w:val="24"/>
          <w:szCs w:val="24"/>
          <w:lang w:val="mt-MT"/>
        </w:rPr>
        <w:t xml:space="preserve"> 12 of </w:t>
      </w:r>
      <w:r w:rsidRPr="00981149">
        <w:rPr>
          <w:sz w:val="24"/>
          <w:szCs w:val="24"/>
          <w:lang w:val="mt-MT"/>
        </w:rPr>
        <w:t>Regulation</w:t>
      </w:r>
      <w:r w:rsidRPr="00981149">
        <w:rPr>
          <w:sz w:val="24"/>
          <w:szCs w:val="24"/>
          <w:lang w:val="mt-MT"/>
        </w:rPr>
        <w:t xml:space="preserve"> (EC) </w:t>
      </w:r>
      <w:r w:rsidRPr="00981149">
        <w:rPr>
          <w:sz w:val="24"/>
          <w:szCs w:val="24"/>
          <w:lang w:val="mt-MT"/>
        </w:rPr>
        <w:t>No</w:t>
      </w:r>
      <w:r w:rsidRPr="00981149">
        <w:rPr>
          <w:sz w:val="24"/>
          <w:szCs w:val="24"/>
          <w:lang w:val="mt-MT"/>
        </w:rPr>
        <w:t xml:space="preserve"> 396/2005”), </w:t>
      </w:r>
      <w:r w:rsidRPr="00981149">
        <w:rPr>
          <w:i/>
          <w:sz w:val="24"/>
          <w:szCs w:val="24"/>
          <w:lang w:val="mt-MT"/>
        </w:rPr>
        <w:t xml:space="preserve">EFSA </w:t>
      </w:r>
      <w:r w:rsidRPr="00981149">
        <w:rPr>
          <w:i/>
          <w:sz w:val="24"/>
          <w:szCs w:val="24"/>
          <w:lang w:val="mt-MT"/>
        </w:rPr>
        <w:t>Journal</w:t>
      </w:r>
      <w:r w:rsidRPr="00981149">
        <w:rPr>
          <w:i/>
          <w:sz w:val="24"/>
          <w:szCs w:val="24"/>
          <w:lang w:val="mt-MT"/>
        </w:rPr>
        <w:t>,</w:t>
      </w:r>
      <w:r w:rsidRPr="00981149">
        <w:rPr>
          <w:sz w:val="24"/>
          <w:szCs w:val="24"/>
          <w:lang w:val="mt-MT"/>
        </w:rPr>
        <w:t xml:space="preserve"> 2018, 16(5):e05263, p. 12, </w:t>
      </w:r>
      <w:bookmarkStart w:id="13" w:name="_Hlk231549693"/>
      <w:hyperlink r:id="rId32" w:history="1">
        <w:r w:rsidRPr="00981149">
          <w:rPr>
            <w:rStyle w:val="Hyperlink"/>
            <w:sz w:val="24"/>
            <w:szCs w:val="24"/>
            <w:lang w:val="mt-MT"/>
          </w:rPr>
          <w:t>https://doi.org/10.2903/j.efsa.2018.5263</w:t>
        </w:r>
      </w:hyperlink>
      <w:r w:rsidRPr="00981149">
        <w:rPr>
          <w:sz w:val="24"/>
          <w:szCs w:val="24"/>
          <w:lang w:val="mt-MT"/>
        </w:rPr>
        <w:t>.</w:t>
      </w:r>
      <w:bookmarkEnd w:id="13"/>
    </w:p>
  </w:footnote>
  <w:footnote w:id="15">
    <w:p w:rsidR="0027484F" w:rsidRPr="00981149" w:rsidP="00981149" w14:paraId="648F34C2" w14:textId="73825EAE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color w:val="000000" w:themeColor="text1"/>
          <w:sz w:val="24"/>
          <w:szCs w:val="24"/>
          <w:lang w:val="mt-MT"/>
        </w:rPr>
        <w:t xml:space="preserve"> </w:t>
      </w:r>
      <w:r w:rsidRPr="00981149" w:rsidR="005C1CE4">
        <w:rPr>
          <w:color w:val="000000" w:themeColor="text1"/>
          <w:sz w:val="24"/>
          <w:szCs w:val="24"/>
          <w:lang w:val="mt-MT"/>
        </w:rPr>
        <w:tab/>
      </w:r>
      <w:r w:rsidRPr="00981149">
        <w:rPr>
          <w:color w:val="000000" w:themeColor="text1"/>
          <w:sz w:val="24"/>
          <w:szCs w:val="24"/>
          <w:lang w:val="mt-MT"/>
        </w:rPr>
        <w:t>F’Diċembru 2022, intlaħaq qbil dwar qafas globali dwar il-bijodiversità fis-COP15 tal-Konvenzjoni tan-Nazzjonijiet Uniti dwar id-Diversità Bijoloġika li jinkludi mira globali għat-tnaqqis tar-riskju tal-pestiċidi b’mill-inqas 50</w:t>
      </w:r>
      <w:r w:rsidRPr="00981149">
        <w:rPr>
          <w:sz w:val="24"/>
          <w:szCs w:val="24"/>
          <w:lang w:val="mt-MT"/>
        </w:rPr>
        <w:t> </w:t>
      </w:r>
      <w:r w:rsidRPr="00981149">
        <w:rPr>
          <w:color w:val="000000" w:themeColor="text1"/>
          <w:sz w:val="24"/>
          <w:szCs w:val="24"/>
          <w:lang w:val="mt-MT"/>
        </w:rPr>
        <w:t xml:space="preserve">% sal-2030 (ara: </w:t>
      </w:r>
      <w:hyperlink r:id="rId33" w:history="1">
        <w:r w:rsidRPr="00981149">
          <w:rPr>
            <w:rStyle w:val="Hyperlink"/>
            <w:sz w:val="24"/>
            <w:szCs w:val="24"/>
            <w:lang w:val="mt-MT"/>
          </w:rPr>
          <w:t>https://ec.europa.eu/commission/presscorner/detail/mt/ip_22_7834</w:t>
        </w:r>
      </w:hyperlink>
      <w:r w:rsidRPr="00981149">
        <w:rPr>
          <w:sz w:val="24"/>
          <w:szCs w:val="24"/>
          <w:lang w:val="mt-MT"/>
        </w:rPr>
        <w:t xml:space="preserve">). </w:t>
      </w:r>
    </w:p>
  </w:footnote>
  <w:footnote w:id="16">
    <w:p w:rsidR="0027484F" w:rsidRPr="00981149" w:rsidP="00981149" w14:paraId="64E7EB37" w14:textId="1CC89393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hyperlink r:id="rId34" w:history="1">
        <w:r w:rsidRPr="00981149">
          <w:rPr>
            <w:rStyle w:val="Hyperlink"/>
            <w:sz w:val="24"/>
            <w:szCs w:val="24"/>
            <w:lang w:val="mt-MT"/>
          </w:rPr>
          <w:t>https://commission.europa.eu/strategy-and-policy/priorities-2019-2024/european-green-deal/agriculture-and-green-deal/strategic-dialogue-future-eu-agriculture_mt</w:t>
        </w:r>
      </w:hyperlink>
      <w:r w:rsidRPr="00981149">
        <w:rPr>
          <w:rStyle w:val="Hyperlink"/>
          <w:sz w:val="24"/>
          <w:szCs w:val="24"/>
          <w:lang w:val="mt-MT"/>
        </w:rPr>
        <w:t>.</w:t>
      </w:r>
      <w:r w:rsidRPr="00981149">
        <w:rPr>
          <w:sz w:val="24"/>
          <w:szCs w:val="24"/>
          <w:lang w:val="mt-MT"/>
        </w:rPr>
        <w:t xml:space="preserve"> </w:t>
      </w:r>
    </w:p>
  </w:footnote>
  <w:footnote w:id="17">
    <w:p w:rsidR="0027484F" w:rsidRPr="00981149" w:rsidP="00981149" w14:paraId="303776AC" w14:textId="4BC66138">
      <w:pPr>
        <w:pStyle w:val="FootnoteText"/>
        <w:ind w:left="709" w:hanging="709"/>
        <w:rPr>
          <w:sz w:val="24"/>
          <w:szCs w:val="24"/>
          <w:lang w:val="mt-MT"/>
        </w:rPr>
      </w:pPr>
      <w:r w:rsidRPr="00981149">
        <w:rPr>
          <w:rStyle w:val="FootnoteReference"/>
          <w:sz w:val="24"/>
          <w:szCs w:val="24"/>
          <w:lang w:val="mt-MT"/>
        </w:rPr>
        <w:footnoteRef/>
      </w:r>
      <w:r w:rsidRPr="00981149" w:rsidR="005C1CE4">
        <w:rPr>
          <w:sz w:val="24"/>
          <w:szCs w:val="24"/>
          <w:lang w:val="mt-MT"/>
        </w:rPr>
        <w:t xml:space="preserve"> </w:t>
      </w:r>
      <w:r w:rsidRPr="00981149" w:rsidR="005C1CE4">
        <w:rPr>
          <w:sz w:val="24"/>
          <w:szCs w:val="24"/>
          <w:lang w:val="mt-MT"/>
        </w:rPr>
        <w:tab/>
      </w:r>
      <w:r w:rsidRPr="00981149">
        <w:rPr>
          <w:sz w:val="24"/>
          <w:szCs w:val="24"/>
          <w:lang w:val="mt-MT"/>
        </w:rPr>
        <w:t xml:space="preserve">Ir-Regolament tal-Parlament Ewropew u tal-Kunsill (KE) Nru 178/2002 tat-28 ta’ Jannar 2002 li jistabbilixxi l-prinċipji ġenerali u l-ħtiġijiet tal-liġi dwar l-ikel, li </w:t>
      </w:r>
      <w:r w:rsidRPr="00981149">
        <w:rPr>
          <w:sz w:val="24"/>
          <w:szCs w:val="24"/>
          <w:lang w:val="mt-MT"/>
        </w:rPr>
        <w:t>jistabilixxi</w:t>
      </w:r>
      <w:r w:rsidRPr="00981149">
        <w:rPr>
          <w:sz w:val="24"/>
          <w:szCs w:val="24"/>
          <w:lang w:val="mt-MT"/>
        </w:rPr>
        <w:t xml:space="preserve"> l-Awtorità Ewropea dwar is-Sigurtà fl-Ikel u jistabbilixxi l-proċeduri fi kwistjonijiet ta’ sigurtà tal-ikel (ĠU L 31, 1.2.2002, p. 1,</w:t>
      </w:r>
      <w:r w:rsidRPr="00981149">
        <w:rPr>
          <w:color w:val="000000" w:themeColor="text1"/>
          <w:sz w:val="24"/>
          <w:szCs w:val="24"/>
          <w:lang w:val="mt-MT"/>
        </w:rPr>
        <w:t xml:space="preserve"> ELI: </w:t>
      </w:r>
      <w:hyperlink r:id="rId35" w:history="1">
        <w:r w:rsidRPr="00981149" w:rsidR="00981149">
          <w:rPr>
            <w:rStyle w:val="Hyperlink"/>
            <w:sz w:val="24"/>
            <w:szCs w:val="24"/>
            <w:lang w:val="mt-MT"/>
          </w:rPr>
          <w:t>http://data.europa.eu/eli/reg/2002/178/oj</w:t>
        </w:r>
      </w:hyperlink>
      <w:r w:rsidRPr="00981149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C1CE4" w14:paraId="35631A0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C1CE4" w14:paraId="4FCD82C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C1CE4" w14:paraId="2FABF98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8010641">
    <w:abstractNumId w:val="9"/>
  </w:num>
  <w:num w:numId="2" w16cid:durableId="634606404">
    <w:abstractNumId w:val="9"/>
  </w:num>
  <w:num w:numId="3" w16cid:durableId="415134044">
    <w:abstractNumId w:val="7"/>
  </w:num>
  <w:num w:numId="4" w16cid:durableId="514854457">
    <w:abstractNumId w:val="7"/>
  </w:num>
  <w:num w:numId="5" w16cid:durableId="1677918731">
    <w:abstractNumId w:val="6"/>
  </w:num>
  <w:num w:numId="6" w16cid:durableId="29379055">
    <w:abstractNumId w:val="6"/>
  </w:num>
  <w:num w:numId="7" w16cid:durableId="1864392796">
    <w:abstractNumId w:val="5"/>
  </w:num>
  <w:num w:numId="8" w16cid:durableId="874543041">
    <w:abstractNumId w:val="5"/>
  </w:num>
  <w:num w:numId="9" w16cid:durableId="807674692">
    <w:abstractNumId w:val="4"/>
  </w:num>
  <w:num w:numId="10" w16cid:durableId="2066904237">
    <w:abstractNumId w:val="4"/>
  </w:num>
  <w:num w:numId="11" w16cid:durableId="1735618804">
    <w:abstractNumId w:val="8"/>
  </w:num>
  <w:num w:numId="12" w16cid:durableId="1195460841">
    <w:abstractNumId w:val="8"/>
  </w:num>
  <w:num w:numId="13" w16cid:durableId="2095272903">
    <w:abstractNumId w:val="3"/>
  </w:num>
  <w:num w:numId="14" w16cid:durableId="222526382">
    <w:abstractNumId w:val="3"/>
  </w:num>
  <w:num w:numId="15" w16cid:durableId="171845805">
    <w:abstractNumId w:val="2"/>
  </w:num>
  <w:num w:numId="16" w16cid:durableId="1350793025">
    <w:abstractNumId w:val="2"/>
  </w:num>
  <w:num w:numId="17" w16cid:durableId="168259061">
    <w:abstractNumId w:val="1"/>
  </w:num>
  <w:num w:numId="18" w16cid:durableId="1383942347">
    <w:abstractNumId w:val="1"/>
  </w:num>
  <w:num w:numId="19" w16cid:durableId="414405001">
    <w:abstractNumId w:val="0"/>
  </w:num>
  <w:num w:numId="20" w16cid:durableId="1640306478">
    <w:abstractNumId w:val="0"/>
  </w:num>
  <w:num w:numId="21" w16cid:durableId="986586744">
    <w:abstractNumId w:val="9"/>
  </w:num>
  <w:num w:numId="22" w16cid:durableId="129635398">
    <w:abstractNumId w:val="7"/>
  </w:num>
  <w:num w:numId="23" w16cid:durableId="66542908">
    <w:abstractNumId w:val="6"/>
  </w:num>
  <w:num w:numId="24" w16cid:durableId="890534718">
    <w:abstractNumId w:val="5"/>
  </w:num>
  <w:num w:numId="25" w16cid:durableId="2054034856">
    <w:abstractNumId w:val="4"/>
  </w:num>
  <w:num w:numId="26" w16cid:durableId="1275746341">
    <w:abstractNumId w:val="8"/>
  </w:num>
  <w:num w:numId="27" w16cid:durableId="649552785">
    <w:abstractNumId w:val="3"/>
  </w:num>
  <w:num w:numId="28" w16cid:durableId="64886080">
    <w:abstractNumId w:val="2"/>
  </w:num>
  <w:num w:numId="29" w16cid:durableId="1944266811">
    <w:abstractNumId w:val="1"/>
  </w:num>
  <w:num w:numId="30" w16cid:durableId="1712151661">
    <w:abstractNumId w:val="0"/>
  </w:num>
  <w:num w:numId="31" w16cid:durableId="703293146">
    <w:abstractNumId w:val="9"/>
  </w:num>
  <w:num w:numId="32" w16cid:durableId="497118054">
    <w:abstractNumId w:val="7"/>
  </w:num>
  <w:num w:numId="33" w16cid:durableId="1410735610">
    <w:abstractNumId w:val="6"/>
  </w:num>
  <w:num w:numId="34" w16cid:durableId="1959407331">
    <w:abstractNumId w:val="5"/>
  </w:num>
  <w:num w:numId="35" w16cid:durableId="140081110">
    <w:abstractNumId w:val="4"/>
  </w:num>
  <w:num w:numId="36" w16cid:durableId="725957417">
    <w:abstractNumId w:val="8"/>
  </w:num>
  <w:num w:numId="37" w16cid:durableId="1510489941">
    <w:abstractNumId w:val="3"/>
  </w:num>
  <w:num w:numId="38" w16cid:durableId="728194201">
    <w:abstractNumId w:val="2"/>
  </w:num>
  <w:num w:numId="39" w16cid:durableId="604576621">
    <w:abstractNumId w:val="1"/>
  </w:num>
  <w:num w:numId="40" w16cid:durableId="567957657">
    <w:abstractNumId w:val="0"/>
  </w:num>
  <w:num w:numId="41" w16cid:durableId="2014067911">
    <w:abstractNumId w:val="10"/>
  </w:num>
  <w:num w:numId="42" w16cid:durableId="1802454398">
    <w:abstractNumId w:val="10"/>
  </w:num>
  <w:num w:numId="43" w16cid:durableId="1032149802">
    <w:abstractNumId w:val="10"/>
  </w:num>
  <w:num w:numId="44" w16cid:durableId="12628389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F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D5E"/>
    <w:rsid w:val="0027484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3E1"/>
    <w:rsid w:val="00545827"/>
    <w:rsid w:val="00560270"/>
    <w:rsid w:val="00597A3C"/>
    <w:rsid w:val="005C1CE4"/>
    <w:rsid w:val="005C2568"/>
    <w:rsid w:val="005F1B17"/>
    <w:rsid w:val="005F2FE9"/>
    <w:rsid w:val="006037C0"/>
    <w:rsid w:val="00604B11"/>
    <w:rsid w:val="006441F2"/>
    <w:rsid w:val="006631B6"/>
    <w:rsid w:val="00680577"/>
    <w:rsid w:val="006D7F1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B3B"/>
    <w:rsid w:val="00817416"/>
    <w:rsid w:val="00842779"/>
    <w:rsid w:val="0086202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14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0BB"/>
    <w:rsid w:val="00FD0C70"/>
    <w:rsid w:val="00FF10A7"/>
  </w:rsids>
  <w:docVars>
    <w:docVar w:name="dvdocse" w:val="B10-0335/2026"/>
    <w:docVar w:name="dvlangue" w:val="MT"/>
    <w:docVar w:name="dvnumam" w:val="0"/>
    <w:docVar w:name="dvpe" w:val="789.023"/>
    <w:docVar w:name="dvtitre" w:val="Riżoluzzjoni tal-Parlament Ewropew xx xx xxxx 2026 dwar l-abbozz ta’ Deċiżjoni ta’ implimentazzjoni tal-Kummissjoni li ġġedded l-awtorizzazzjoni għall-introduzzjoni fis-suq ta’ prodotti li fihom il-qamħirrum ġenetikament modifikat NK603 × T25, li jikkonsistu minnu, jew li huma prodotti minnu, skont ir-Regolament (KE) Nru 1829/2003 tal-Parlament Ewropew u tal-Kunsill (D115002 – 2026/2745 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B73FFC9"/>
  <w15:chartTrackingRefBased/>
  <w15:docId w15:val="{DA9CBFB9-640E-4DA6-B7A4-5A1D956A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7484F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27484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27484F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27484F"/>
    <w:rPr>
      <w:rFonts w:ascii="Times New Roman" w:hAnsi="Times New Roman" w:cs="Times New Roman" w:hint="default"/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811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ec_impl/2026/1417/oj" TargetMode="External" /><Relationship Id="rId10" Type="http://schemas.openxmlformats.org/officeDocument/2006/relationships/hyperlink" Target="http://data.europa.eu/eli/C/2025/1803/oj" TargetMode="External" /><Relationship Id="rId11" Type="http://schemas.openxmlformats.org/officeDocument/2006/relationships/hyperlink" Target="http://data.europa.eu/eli/C/2025/1804/oj" TargetMode="External" /><Relationship Id="rId12" Type="http://schemas.openxmlformats.org/officeDocument/2006/relationships/hyperlink" Target="http://data.europa.eu/eli/C/2025/2246/oj" TargetMode="External" /><Relationship Id="rId13" Type="http://schemas.openxmlformats.org/officeDocument/2006/relationships/hyperlink" Target="http://data.europa.eu/eli/C/2025/2247/oj" TargetMode="External" /><Relationship Id="rId14" Type="http://schemas.openxmlformats.org/officeDocument/2006/relationships/hyperlink" Target="http://data.europa.eu/eli/C/2026/586/oj" TargetMode="External" /><Relationship Id="rId15" Type="http://schemas.openxmlformats.org/officeDocument/2006/relationships/hyperlink" Target="http://data.europa.eu/eli/C/2026/1523/oj" TargetMode="External" /><Relationship Id="rId16" Type="http://schemas.openxmlformats.org/officeDocument/2006/relationships/hyperlink" Target="http://data.europa.eu/eli/C/2026/1703/oj" TargetMode="External" /><Relationship Id="rId17" Type="http://schemas.openxmlformats.org/officeDocument/2006/relationships/hyperlink" Target="http://data.europa.eu/eli/C/2026/1704/oj" TargetMode="External" /><Relationship Id="rId18" Type="http://schemas.openxmlformats.org/officeDocument/2006/relationships/hyperlink" Target="http://data.europa.eu/eli/C/2026/1705/oj" TargetMode="External" /><Relationship Id="rId19" Type="http://schemas.openxmlformats.org/officeDocument/2006/relationships/hyperlink" Target="http://data.europa.eu/eli/C/2026/1706/oj" TargetMode="External" /><Relationship Id="rId2" Type="http://schemas.openxmlformats.org/officeDocument/2006/relationships/hyperlink" Target="https://eur-lex.europa.eu/eli/reg/2003/1829/oj" TargetMode="External" /><Relationship Id="rId20" Type="http://schemas.openxmlformats.org/officeDocument/2006/relationships/hyperlink" Target="http://data.europa.eu/eli/C/2026/1707/oj" TargetMode="External" /><Relationship Id="rId21" Type="http://schemas.openxmlformats.org/officeDocument/2006/relationships/hyperlink" Target="http://data.europa.eu/eli/C/2026/2150/oj" TargetMode="External" /><Relationship Id="rId22" Type="http://schemas.openxmlformats.org/officeDocument/2006/relationships/hyperlink" Target="http://data.europa.eu/eli/C/2026/2151/oj" TargetMode="External" /><Relationship Id="rId23" Type="http://schemas.openxmlformats.org/officeDocument/2006/relationships/hyperlink" Target="http://data.europa.eu/eli/dec_impl/2015/2279/oj" TargetMode="External" /><Relationship Id="rId24" Type="http://schemas.openxmlformats.org/officeDocument/2006/relationships/hyperlink" Target="https://doi.org/10.2903/j.efsa.2015.4165" TargetMode="External" /><Relationship Id="rId25" Type="http://schemas.openxmlformats.org/officeDocument/2006/relationships/hyperlink" Target="https://doi.org/10.1186/2190-4715-24-24" TargetMode="External" /><Relationship Id="rId26" Type="http://schemas.openxmlformats.org/officeDocument/2006/relationships/hyperlink" Target="https://doi.org/10.1002/ps.8105" TargetMode="External" /><Relationship Id="rId27" Type="http://schemas.openxmlformats.org/officeDocument/2006/relationships/hyperlink" Target="https://doi.org/10.1016/j.geoforum.2009.03.009" TargetMode="External" /><Relationship Id="rId28" Type="http://schemas.openxmlformats.org/officeDocument/2006/relationships/hyperlink" Target="http://data.europa.eu/eli/reg/2009/1107/oj" TargetMode="External" /><Relationship Id="rId29" Type="http://schemas.openxmlformats.org/officeDocument/2006/relationships/hyperlink" Target="https://doi.org/10.1093/ije/dyz017,%20https:/doi.org/10.1371/journal.pone.0219610" TargetMode="External" /><Relationship Id="rId3" Type="http://schemas.openxmlformats.org/officeDocument/2006/relationships/hyperlink" Target="http://data.europa.eu/eli/reg/2011/182/oj" TargetMode="External" /><Relationship Id="rId30" Type="http://schemas.openxmlformats.org/officeDocument/2006/relationships/hyperlink" Target="https://doi.org/10.1186/s13045-019-0767-9" TargetMode="External" /><Relationship Id="rId31" Type="http://schemas.openxmlformats.org/officeDocument/2006/relationships/hyperlink" Target="https://doi.org/10.1006/rtph.1999.1371" TargetMode="External" /><Relationship Id="rId32" Type="http://schemas.openxmlformats.org/officeDocument/2006/relationships/hyperlink" Target="https://doi.org/10.2903/j.efsa.2018.5263" TargetMode="External" /><Relationship Id="rId33" Type="http://schemas.openxmlformats.org/officeDocument/2006/relationships/hyperlink" Target="https://ec.europa.eu/commission/presscorner/detail/mt/ip_22_7834" TargetMode="External" /><Relationship Id="rId34" Type="http://schemas.openxmlformats.org/officeDocument/2006/relationships/hyperlink" Target="https://commission.europa.eu/strategy-and-policy/priorities-2019-2024/european-green-deal/agriculture-and-green-deal/strategic-dialogue-future-eu-agriculture_mt" TargetMode="External" /><Relationship Id="rId35" Type="http://schemas.openxmlformats.org/officeDocument/2006/relationships/hyperlink" Target="http://data.europa.eu/eli/reg/2002/178/oj" TargetMode="External" /><Relationship Id="rId4" Type="http://schemas.openxmlformats.org/officeDocument/2006/relationships/hyperlink" Target="http://data.europa.eu/eli/C/2025/1797/oj" TargetMode="External" /><Relationship Id="rId5" Type="http://schemas.openxmlformats.org/officeDocument/2006/relationships/hyperlink" Target="http://data.europa.eu/eli/C/2025/1798/oj" TargetMode="External" /><Relationship Id="rId6" Type="http://schemas.openxmlformats.org/officeDocument/2006/relationships/hyperlink" Target="http://data.europa.eu/eli/C/2025/1799/oj" TargetMode="External" /><Relationship Id="rId7" Type="http://schemas.openxmlformats.org/officeDocument/2006/relationships/hyperlink" Target="http://data.europa.eu/eli/C/2025/1800/oj" TargetMode="External" /><Relationship Id="rId8" Type="http://schemas.openxmlformats.org/officeDocument/2006/relationships/hyperlink" Target="http://data.europa.eu/eli/C/2025/1801/oj" TargetMode="External" /><Relationship Id="rId9" Type="http://schemas.openxmlformats.org/officeDocument/2006/relationships/hyperlink" Target="http://data.europa.eu/eli/C/2025/180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1485</Words>
  <Characters>11055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2026-08-14T10:20:00Z</dcterms:created>
  <dcterms:modified xsi:type="dcterms:W3CDTF">2026-08-14T10:20:00Z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P10_TA(2026)0263_</vt:lpwstr>
  </property>
  <property fmtid="{D5CDD505-2E9C-101B-9397-08002B2CF9AE}" pid="4" name="&lt;Type&gt;">
    <vt:lpwstr>RR</vt:lpwstr>
  </property>
</Properties>
</file>