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2EB1152" w14:textId="77777777" w:rsidTr="0010095E">
        <w:tblPrEx>
          <w:tblW w:w="9072" w:type="dxa"/>
          <w:tblLook w:val="01E0"/>
        </w:tblPrEx>
        <w:trPr>
          <w:trHeight w:hRule="exact" w:val="1418"/>
        </w:trPr>
        <w:tc>
          <w:tcPr>
            <w:tcW w:w="6804" w:type="dxa"/>
            <w:shd w:val="clear" w:color="auto" w:fill="auto"/>
            <w:vAlign w:val="center"/>
          </w:tcPr>
          <w:p w:rsidR="00751A4A" w:rsidRPr="00CD12F0" w:rsidP="0010095E" w14:paraId="64B85C87" w14:textId="124A3A1D">
            <w:pPr>
              <w:pStyle w:val="EPName"/>
            </w:pPr>
            <w:r w:rsidRPr="00CD12F0">
              <w:t>Европейски</w:t>
            </w:r>
            <w:r w:rsidRPr="00CD12F0" w:rsidR="00FF03AF">
              <w:t xml:space="preserve"> парламент</w:t>
            </w:r>
          </w:p>
          <w:p w:rsidR="00751A4A" w:rsidRPr="00CD12F0" w:rsidP="005F1B17" w14:paraId="0FC285AE" w14:textId="0FBCB5D9">
            <w:pPr>
              <w:pStyle w:val="EPTerm"/>
              <w:rPr>
                <w:rStyle w:val="HideTWBExt"/>
                <w:noProof w:val="0"/>
                <w:vanish w:val="0"/>
                <w:color w:val="auto"/>
              </w:rPr>
            </w:pPr>
            <w:r w:rsidRPr="00CD12F0">
              <w:t>2024</w:t>
            </w:r>
            <w:r w:rsidR="00AF3E64">
              <w:rPr>
                <w:lang w:val="en-GB"/>
              </w:rPr>
              <w:t> – </w:t>
            </w:r>
            <w:r w:rsidRPr="00CD12F0" w:rsidR="00817416">
              <w:t>202</w:t>
            </w:r>
            <w:r w:rsidRPr="00CD12F0">
              <w:t>9</w:t>
            </w:r>
          </w:p>
        </w:tc>
        <w:tc>
          <w:tcPr>
            <w:tcW w:w="2268" w:type="dxa"/>
            <w:shd w:val="clear" w:color="auto" w:fill="auto"/>
          </w:tcPr>
          <w:p w:rsidR="00751A4A" w:rsidRPr="00CD12F0" w:rsidP="0010095E" w14:paraId="348F277F" w14:textId="77777777">
            <w:pPr>
              <w:pStyle w:val="EPLogo"/>
            </w:pPr>
            <w:r w:rsidRPr="00CD12F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D12F0" w:rsidP="004C5D52" w14:paraId="3F045CFE" w14:textId="77777777">
      <w:pPr>
        <w:pStyle w:val="LineTop"/>
      </w:pPr>
    </w:p>
    <w:p w:rsidR="00680577" w:rsidRPr="00CD12F0" w:rsidP="00680577" w14:paraId="25704CD3" w14:textId="77777777">
      <w:pPr>
        <w:pStyle w:val="EPBodyTA1"/>
      </w:pPr>
      <w:r w:rsidRPr="00CD12F0">
        <w:t>ПРИЕТИ ТЕКСТОВЕ</w:t>
      </w:r>
    </w:p>
    <w:p w:rsidR="00D058B8" w:rsidRPr="00CD12F0" w:rsidP="00D058B8" w14:paraId="603FF83E" w14:textId="77777777">
      <w:pPr>
        <w:pStyle w:val="LineBottom"/>
      </w:pPr>
    </w:p>
    <w:p w:rsidR="00FF03AF" w:rsidRPr="00CD12F0" w:rsidP="00FF03AF" w14:paraId="11234834" w14:textId="5A319592">
      <w:pPr>
        <w:pStyle w:val="ATHeading1"/>
      </w:pPr>
      <w:bookmarkStart w:id="0" w:name="TANumber"/>
      <w:r w:rsidRPr="00CD12F0">
        <w:t>P10_TA(2026)0</w:t>
      </w:r>
      <w:r w:rsidRPr="00D154A3" w:rsidR="009F4B2A">
        <w:rPr>
          <w:lang w:val="ru-RU"/>
        </w:rPr>
        <w:t>264</w:t>
      </w:r>
      <w:bookmarkEnd w:id="0"/>
    </w:p>
    <w:p w:rsidR="00FF03AF" w:rsidRPr="00CD12F0" w:rsidP="00FF03AF" w14:paraId="1195B907" w14:textId="3328D56F">
      <w:pPr>
        <w:pStyle w:val="ATHeading2"/>
      </w:pPr>
      <w:bookmarkStart w:id="1" w:name="title"/>
      <w:r w:rsidRPr="00CD12F0">
        <w:t>Генетично модифицирана соя MON 87705</w:t>
      </w:r>
      <w:bookmarkEnd w:id="1"/>
    </w:p>
    <w:p w:rsidR="00FF03AF" w:rsidRPr="00CD12F0" w:rsidP="00FF03AF" w14:paraId="37E7F59E" w14:textId="77777777">
      <w:pPr>
        <w:rPr>
          <w:i/>
          <w:vanish/>
        </w:rPr>
      </w:pPr>
      <w:r>
        <w:rPr>
          <w:i/>
        </w:rPr>
        <w:fldChar w:fldCharType="begin"/>
      </w:r>
      <w:r w:rsidRPr="00CD12F0">
        <w:rPr>
          <w:i/>
        </w:rPr>
        <w:instrText xml:space="preserve"> TC"(</w:instrText>
      </w:r>
      <w:bookmarkStart w:id="2" w:name="DocNumber"/>
      <w:r w:rsidRPr="00CD12F0">
        <w:rPr>
          <w:i/>
        </w:rPr>
        <w:instrText>B10-0334/2026</w:instrText>
      </w:r>
      <w:bookmarkEnd w:id="2"/>
      <w:r w:rsidRPr="00CD12F0">
        <w:rPr>
          <w:i/>
        </w:rPr>
        <w:instrText xml:space="preserve">)"\l3 \n&gt; \* MERGEFORMAT </w:instrText>
      </w:r>
      <w:r>
        <w:rPr>
          <w:i/>
        </w:rPr>
        <w:fldChar w:fldCharType="end"/>
      </w:r>
    </w:p>
    <w:p w:rsidR="00FF03AF" w:rsidRPr="00CD12F0" w:rsidP="00FF03AF" w14:paraId="58C69174" w14:textId="77777777">
      <w:pPr>
        <w:rPr>
          <w:vanish/>
        </w:rPr>
      </w:pPr>
      <w:bookmarkStart w:id="3" w:name="PE"/>
      <w:r w:rsidRPr="00CD12F0">
        <w:rPr>
          <w:vanish/>
        </w:rPr>
        <w:t>PE789.024</w:t>
      </w:r>
      <w:bookmarkEnd w:id="3"/>
    </w:p>
    <w:p w:rsidR="00FF03AF" w:rsidRPr="00CD12F0" w:rsidP="00FF03AF" w14:paraId="54C6EDED" w14:textId="198E0F1B">
      <w:pPr>
        <w:pStyle w:val="ATHeading3"/>
      </w:pPr>
      <w:bookmarkStart w:id="4" w:name="Sujet"/>
      <w:bookmarkStart w:id="5" w:name="_Hlk234409291"/>
      <w:r w:rsidRPr="00CD12F0">
        <w:t xml:space="preserve">Резолюция на Европейския парламент от </w:t>
      </w:r>
      <w:r w:rsidRPr="00D154A3" w:rsidR="00AF3E64">
        <w:rPr>
          <w:lang w:val="ru-RU"/>
        </w:rPr>
        <w:t xml:space="preserve">8 </w:t>
      </w:r>
      <w:r w:rsidR="00AF3E64">
        <w:t>юли</w:t>
      </w:r>
      <w:r w:rsidRPr="00CD12F0">
        <w:t xml:space="preserve"> 2026 г. относно </w:t>
      </w:r>
      <w:r w:rsidR="00AF3E64">
        <w:t>Р</w:t>
      </w:r>
      <w:r w:rsidRPr="00CD12F0">
        <w:t xml:space="preserve">ешение за изпълнение </w:t>
      </w:r>
      <w:r w:rsidRPr="00AF3E64" w:rsidR="00AF3E64">
        <w:t>(ЕС) 2026/1419</w:t>
      </w:r>
      <w:r w:rsidR="00AF3E64">
        <w:t xml:space="preserve"> </w:t>
      </w:r>
      <w:r w:rsidRPr="00CD12F0">
        <w:t xml:space="preserve">на Комисията </w:t>
      </w:r>
      <w:r w:rsidR="008660C2">
        <w:t xml:space="preserve">от 29 юни 2026 г. </w:t>
      </w:r>
      <w:r w:rsidRPr="00CD12F0">
        <w:t xml:space="preserve">за подновяване на разрешението за пускане на пазара на продукти, съдържащи, състоящи се или произведени от генетично модифицирана соя MON 87705, </w:t>
      </w:r>
      <w:r w:rsidRPr="00AF3E64" w:rsidR="00AF3E64">
        <w:t>в съответствие с</w:t>
      </w:r>
      <w:r w:rsidRPr="00CD12F0">
        <w:t xml:space="preserve"> Регламент (ЕО) № 1829/2003 на Европейския парламент и на Съвета </w:t>
      </w:r>
      <w:bookmarkEnd w:id="4"/>
      <w:r w:rsidRPr="00CD12F0">
        <w:t xml:space="preserve"> </w:t>
      </w:r>
      <w:bookmarkStart w:id="6" w:name="References"/>
      <w:r w:rsidRPr="00CD12F0">
        <w:t>(D114998/03 – 2026/2747(RSP))</w:t>
      </w:r>
      <w:bookmarkEnd w:id="6"/>
      <w:bookmarkEnd w:id="5"/>
    </w:p>
    <w:p w:rsidR="003A40FD" w:rsidRPr="00CD12F0" w:rsidP="003A40FD" w14:paraId="04EE5118" w14:textId="77777777">
      <w:pPr>
        <w:pStyle w:val="EPComma"/>
      </w:pPr>
      <w:bookmarkStart w:id="7" w:name="TextBodyBegin"/>
      <w:bookmarkEnd w:id="7"/>
      <w:r w:rsidRPr="00CD12F0">
        <w:rPr>
          <w:i/>
        </w:rPr>
        <w:t>Европейският парламент</w:t>
      </w:r>
      <w:r w:rsidRPr="00CD12F0">
        <w:t>,</w:t>
      </w:r>
    </w:p>
    <w:p w:rsidR="003A40FD" w:rsidRPr="00CD12F0" w:rsidP="003A40FD" w14:paraId="45A9ABC8" w14:textId="2698749D">
      <w:pPr>
        <w:pStyle w:val="NormalHanging12a"/>
      </w:pPr>
      <w:r w:rsidRPr="00CD12F0">
        <w:t>–</w:t>
      </w:r>
      <w:r w:rsidRPr="00CD12F0">
        <w:tab/>
        <w:t xml:space="preserve">като взе предвид </w:t>
      </w:r>
      <w:r w:rsidR="00AF3E64">
        <w:t>Р</w:t>
      </w:r>
      <w:r w:rsidRPr="00CD12F0">
        <w:t xml:space="preserve">ешение за изпълнение </w:t>
      </w:r>
      <w:r w:rsidRPr="00AF3E64" w:rsidR="00AF3E64">
        <w:t>(ЕС) 2026/1419</w:t>
      </w:r>
      <w:r w:rsidR="00AF3E64">
        <w:t xml:space="preserve"> </w:t>
      </w:r>
      <w:r w:rsidRPr="00CD12F0">
        <w:t xml:space="preserve">на Комисията </w:t>
      </w:r>
      <w:r w:rsidR="00AF3E64">
        <w:t>от 29 юни 2026 г. за</w:t>
      </w:r>
      <w:r w:rsidRPr="00CD12F0">
        <w:t xml:space="preserve"> подновяване на разрешението за пускането на пазара на продукти, съдържащи, състоящи се или произведени от генетично модифицирана соя MON 87705, </w:t>
      </w:r>
      <w:r w:rsidR="00AF3E64">
        <w:t xml:space="preserve">в </w:t>
      </w:r>
      <w:r w:rsidRPr="00AF3E64" w:rsidR="00AF3E64">
        <w:t xml:space="preserve">съответствие с </w:t>
      </w:r>
      <w:r w:rsidRPr="00AF3E64">
        <w:t>Регламент (ЕО) № 1829/2003 на Европейския парламент и на Съвета</w:t>
      </w:r>
      <w:r>
        <w:rPr>
          <w:rStyle w:val="FootnoteReference"/>
        </w:rPr>
        <w:footnoteReference w:id="2"/>
      </w:r>
      <w:r w:rsidRPr="00CD12F0">
        <w:t>,</w:t>
      </w:r>
    </w:p>
    <w:p w:rsidR="003A40FD" w:rsidRPr="00CD12F0" w:rsidP="003A40FD" w14:paraId="192FFBFD" w14:textId="77777777">
      <w:pPr>
        <w:pStyle w:val="NormalHanging12a"/>
      </w:pPr>
      <w:r w:rsidRPr="00CD12F0">
        <w:t>–</w:t>
      </w:r>
      <w:r w:rsidRPr="00CD12F0">
        <w:tab/>
        <w:t>като взе предвид Регламент (ЕО) № 1829/2003 на Европейския парламент и на Съвета от 22 септември 2003 г. относно генетично модифицираните храни</w:t>
      </w:r>
      <w:r>
        <w:rPr>
          <w:rStyle w:val="FootnoteReference"/>
        </w:rPr>
        <w:footnoteReference w:id="3"/>
      </w:r>
      <w:r w:rsidRPr="00CD12F0">
        <w:t xml:space="preserve"> и фуражи, и по-специално член 11, параграф 3 и член 23, параграф 3 от него,</w:t>
      </w:r>
    </w:p>
    <w:p w:rsidR="003A40FD" w:rsidRPr="00CD12F0" w:rsidP="003A40FD" w14:paraId="60E2D4B4" w14:textId="77777777">
      <w:pPr>
        <w:pStyle w:val="NormalHanging12a"/>
      </w:pPr>
      <w:r w:rsidRPr="00CD12F0">
        <w:t>–</w:t>
      </w:r>
      <w:r w:rsidRPr="00CD12F0">
        <w:tab/>
        <w:t>като взе предвид гласуването на 27 април 2026 г. в Постоянния комитет по растенията, животните, храните и фуражите, посочен в член 35 от Регламент (ЕО) № 1829/2003, при което не беше изразено становище, както и гласуването в Апелативния комитет на 2 юни 2026 г., при което също не беше изразено становище,</w:t>
      </w:r>
    </w:p>
    <w:p w:rsidR="003A40FD" w:rsidRPr="00CD12F0" w:rsidP="003A40FD" w14:paraId="7906D547" w14:textId="77777777">
      <w:pPr>
        <w:pStyle w:val="NormalHanging12a"/>
      </w:pPr>
      <w:r w:rsidRPr="00CD12F0">
        <w:t>–</w:t>
      </w:r>
      <w:r w:rsidRPr="00CD12F0">
        <w:tab/>
        <w:t>като взе предвид член 11 от Регламент (ЕС) № 182/2011 на Европейския парламент и на Съвета от 16 февруари 2011 година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Pr>
          <w:rStyle w:val="FootnoteReference"/>
        </w:rPr>
        <w:footnoteReference w:id="4"/>
      </w:r>
      <w:r w:rsidRPr="00CD12F0">
        <w:t>,</w:t>
      </w:r>
    </w:p>
    <w:p w:rsidR="003A40FD" w:rsidRPr="00CD12F0" w:rsidP="003A40FD" w14:paraId="16310779" w14:textId="77777777">
      <w:pPr>
        <w:pStyle w:val="NormalHanging12a"/>
      </w:pPr>
      <w:r w:rsidRPr="00CD12F0">
        <w:t>–</w:t>
      </w:r>
      <w:r w:rsidRPr="00CD12F0">
        <w:tab/>
        <w:t xml:space="preserve">като взе предвид становището, прието от Европейския орган за безопасност на </w:t>
      </w:r>
      <w:r w:rsidRPr="00CD12F0">
        <w:t>храните (ЕОБХ) на 10 декември 2025 г. и публикувано на 12 януари 2026 г.</w:t>
      </w:r>
      <w:r>
        <w:rPr>
          <w:rStyle w:val="FootnoteReference"/>
        </w:rPr>
        <w:footnoteReference w:id="5"/>
      </w:r>
      <w:r w:rsidRPr="00CD12F0">
        <w:t>,</w:t>
      </w:r>
    </w:p>
    <w:p w:rsidR="003A40FD" w:rsidRPr="00CD12F0" w:rsidP="003A40FD" w14:paraId="71F8580A" w14:textId="77777777">
      <w:pPr>
        <w:pStyle w:val="NormalHanging12a"/>
      </w:pPr>
      <w:r w:rsidRPr="00CD12F0">
        <w:t>–</w:t>
      </w:r>
      <w:r w:rsidRPr="00CD12F0">
        <w:tab/>
        <w:t>като взе предвид предишните си резолюции, в които възразява срещу разрешаването на генетично модифицирани организми (ГМО)</w:t>
      </w:r>
      <w:r>
        <w:rPr>
          <w:rStyle w:val="FootnoteReference"/>
        </w:rPr>
        <w:footnoteReference w:id="6"/>
      </w:r>
      <w:r w:rsidRPr="00CD12F0">
        <w:t>,</w:t>
      </w:r>
    </w:p>
    <w:p w:rsidR="003A40FD" w:rsidRPr="00CD12F0" w:rsidP="003A40FD" w14:paraId="5F56627B" w14:textId="77777777">
      <w:pPr>
        <w:pStyle w:val="NormalHanging12a"/>
      </w:pPr>
      <w:r w:rsidRPr="00CD12F0">
        <w:t>–</w:t>
      </w:r>
      <w:r w:rsidRPr="00CD12F0">
        <w:tab/>
        <w:t>като взе предвид член 115, параграфи 2 и 3 от своя Правилник за дейността,</w:t>
      </w:r>
    </w:p>
    <w:p w:rsidR="003A40FD" w:rsidRPr="00CD12F0" w:rsidP="003A40FD" w14:paraId="100CE36D" w14:textId="77777777">
      <w:pPr>
        <w:pStyle w:val="NormalHanging12a"/>
      </w:pPr>
      <w:r w:rsidRPr="00CD12F0">
        <w:t>–</w:t>
      </w:r>
      <w:r w:rsidRPr="00CD12F0">
        <w:tab/>
        <w:t>като взе предвид предложението за резолюция на комисията по околна среда, климат и безопасност на храните,</w:t>
      </w:r>
    </w:p>
    <w:p w:rsidR="003A40FD" w:rsidRPr="00CD12F0" w:rsidP="003A40FD" w14:paraId="597D7ECC" w14:textId="77777777">
      <w:pPr>
        <w:spacing w:after="240"/>
        <w:ind w:left="567" w:hanging="567"/>
      </w:pPr>
      <w:r w:rsidRPr="00CD12F0">
        <w:t>А.</w:t>
      </w:r>
      <w:r w:rsidRPr="00CD12F0">
        <w:tab/>
        <w:t>като има предвид, че с Решение за изпълнение (ЕС) 2015/696 на Комисията</w:t>
      </w:r>
      <w:r>
        <w:rPr>
          <w:rStyle w:val="FootnoteReference"/>
        </w:rPr>
        <w:footnoteReference w:id="7"/>
      </w:r>
      <w:r w:rsidRPr="00CD12F0">
        <w:t xml:space="preserve"> беше разрешено пускането на пазара на храни и фуражи, съдържащи, състоящи се или произведени от генетично модифицирана соя MON 87705 („генетично модифицираната соя“). като има предвид, че в обхвата на това разрешение попада също така пускането на пазара на продукти, различни от храни и фуражи, съдържащи или състоящи се от генетично модифицирана соя, предназначени за същата употреба, както всеки друг вид соя, с изключение на отглеждане;</w:t>
      </w:r>
    </w:p>
    <w:p w:rsidR="003A40FD" w:rsidRPr="00CD12F0" w:rsidP="003A40FD" w14:paraId="3E764CC6" w14:textId="77777777">
      <w:pPr>
        <w:spacing w:after="240"/>
        <w:ind w:left="567" w:hanging="567"/>
      </w:pPr>
      <w:r w:rsidRPr="00CD12F0">
        <w:t>Б.</w:t>
      </w:r>
      <w:r w:rsidRPr="00CD12F0">
        <w:tab/>
        <w:t xml:space="preserve">като има предвид, че на 08 март 2024 г. Bayer </w:t>
      </w:r>
      <w:r w:rsidRPr="00CD12F0">
        <w:t>Agriculture</w:t>
      </w:r>
      <w:r w:rsidRPr="00CD12F0">
        <w:t xml:space="preserve"> BV, със седалище в Белгия, от името на Bayer </w:t>
      </w:r>
      <w:r w:rsidRPr="00CD12F0">
        <w:t>CropScience</w:t>
      </w:r>
      <w:r w:rsidRPr="00CD12F0">
        <w:t xml:space="preserve"> LP, със седалище в Съединените американски щати, подаде заявление до Комисията за подновяване на това разрешение;</w:t>
      </w:r>
    </w:p>
    <w:p w:rsidR="003A40FD" w:rsidRPr="00CD12F0" w:rsidP="003A40FD" w14:paraId="5B6C1AA6" w14:textId="77777777">
      <w:pPr>
        <w:spacing w:after="240"/>
        <w:ind w:left="567" w:hanging="567"/>
      </w:pPr>
      <w:r w:rsidRPr="00CD12F0">
        <w:t>В.</w:t>
      </w:r>
      <w:r w:rsidRPr="00CD12F0">
        <w:tab/>
        <w:t>като има предвид, че на 12 януари 2026 г. ЕОБХ излезе с положително научно становище относно генетично модифицираната соя</w:t>
      </w:r>
      <w:r>
        <w:rPr>
          <w:rStyle w:val="FootnoteReference"/>
        </w:rPr>
        <w:footnoteReference w:id="8"/>
      </w:r>
      <w:r w:rsidRPr="00CD12F0">
        <w:t xml:space="preserve"> в съответствие с членове 6 и 18 от Регламент (ЕО) № 1829/2003; като има предвид, че ЕОБХ стигна до заключението, че заявлението за подновяване не съдържа доказателства за нови опасности, променена експозиция или неясноти от научна гледна точка, които биха променили заключенията от първоначалната оценка на риска на генетично </w:t>
      </w:r>
      <w:r w:rsidRPr="00CD12F0">
        <w:t>модифицираната соя, приета от ЕОБХ през 2012 г.</w:t>
      </w:r>
      <w:r>
        <w:rPr>
          <w:rStyle w:val="FootnoteReference"/>
        </w:rPr>
        <w:footnoteReference w:id="9"/>
      </w:r>
      <w:r w:rsidRPr="00CD12F0">
        <w:t xml:space="preserve"> и 2013 г.</w:t>
      </w:r>
      <w:r>
        <w:rPr>
          <w:rStyle w:val="FootnoteReference"/>
        </w:rPr>
        <w:footnoteReference w:id="10"/>
      </w:r>
      <w:r w:rsidRPr="00CD12F0">
        <w:t>; като има предвид, че в тези становища не са разгледани няколко по-широки екологични, социално-икономически и кумулативни въздействия, за които ЕОБХ счита, че попадат извън обхвата на неговата компетентност;</w:t>
      </w:r>
    </w:p>
    <w:p w:rsidR="003A40FD" w:rsidRPr="00CD12F0" w:rsidP="003A40FD" w14:paraId="5D474086" w14:textId="77777777">
      <w:pPr>
        <w:pStyle w:val="NormalHanging12a"/>
      </w:pPr>
      <w:r w:rsidRPr="00CD12F0">
        <w:t>Г.</w:t>
      </w:r>
      <w:r w:rsidRPr="00CD12F0">
        <w:tab/>
        <w:t xml:space="preserve">като има предвид, че генетично модифицираната соя има повишено съдържание на </w:t>
      </w:r>
      <w:r w:rsidRPr="00CD12F0">
        <w:t>олеинова</w:t>
      </w:r>
      <w:r w:rsidRPr="00CD12F0">
        <w:t xml:space="preserve"> киселина и проявява поносимост към хербициди, съдържащи </w:t>
      </w:r>
      <w:r w:rsidRPr="00CD12F0">
        <w:t>глифосат</w:t>
      </w:r>
      <w:r w:rsidRPr="00CD12F0">
        <w:t>;</w:t>
      </w:r>
    </w:p>
    <w:p w:rsidR="003A40FD" w:rsidRPr="00CD12F0" w:rsidP="003A40FD" w14:paraId="118335F1" w14:textId="77777777">
      <w:pPr>
        <w:pStyle w:val="NormalHanging12a"/>
      </w:pPr>
      <w:r w:rsidRPr="00CD12F0">
        <w:t>Д.</w:t>
      </w:r>
      <w:r w:rsidRPr="00CD12F0">
        <w:tab/>
        <w:t>като има предвид, че в оценките на риска на ЕОБХ не са включени дългосрочни токсикологични проучвания или подробен анализ на кумулативните и комбинаторни ефекти, включително потенциални взаимодействия с остатъци от пестициди, които често се използват при отглеждането на соя;</w:t>
      </w:r>
    </w:p>
    <w:p w:rsidR="003A40FD" w:rsidRPr="00CD12F0" w:rsidP="003A40FD" w14:paraId="71B9092F" w14:textId="77777777">
      <w:pPr>
        <w:pStyle w:val="NormalHanging12a"/>
      </w:pPr>
      <w:r w:rsidRPr="00CD12F0">
        <w:t>Е.</w:t>
      </w:r>
      <w:r w:rsidRPr="00CD12F0">
        <w:tab/>
        <w:t>като има предвид, че по-голямата част от генетично модифицираните култури, включително генетично модифицираната соя, са били генетично модифицирани, за да бъдат устойчиви на един или повече „добавъчни“ хербициди, които могат да се използват по време на отглеждането на генетично модифицираната култура, без тя да загине, както би се случило с една неустойчива на хербициди култура; като има предвид, че съгласно редица изследвания генетично модифицираните култури, които са устойчиви на хербициди, водят до по-широка употреба на добавъчни хербициди, до голяма степен поради появата на плевели, които са устойчиви на хербициди;</w:t>
      </w:r>
    </w:p>
    <w:p w:rsidR="003A40FD" w:rsidRPr="00CD12F0" w:rsidP="003A40FD" w14:paraId="62A23779" w14:textId="77777777">
      <w:pPr>
        <w:pStyle w:val="NormalHanging12a"/>
      </w:pPr>
      <w:r w:rsidRPr="00CD12F0">
        <w:t>Ж.</w:t>
      </w:r>
      <w:r w:rsidRPr="00CD12F0">
        <w:tab/>
        <w:t xml:space="preserve">като има предвид, че устойчивите на хербициди генетично модифицирани култури принуждават земеделските стопани да използват система за управление на плевелите, която до голяма степен или изцяло е зависима от хербициди, и при това начисляват премия за генетично модифицирани семена, като същевременно се създава зависимост от използването на добавъчни хербициди като неразделна част от производствената система; като има предвид, че засилената зависимост от добавъчните хербициди в земеделските стопанства, в които се засажда генетично модифицираната соя, ще ускори появата и разпространението на плевели, устойчиви на тези хербициди, и по този начин ще доведе до необходимостта от още по-голяма употреба на хербициди, създавайки своеобразен порочен кръг за земеделските стопани; като има предвид, че вследствие на това неблагоприятните </w:t>
      </w:r>
      <w:r w:rsidRPr="00CD12F0">
        <w:t>въздействия, произтичащи от прекомерната зависимост от хербициди, ще влошат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и поради увеличаване на остатъчните вещества от хербициди в храните и фуражите;</w:t>
      </w:r>
    </w:p>
    <w:p w:rsidR="003A40FD" w:rsidRPr="00CD12F0" w:rsidP="003A40FD" w14:paraId="04371047" w14:textId="77777777">
      <w:pPr>
        <w:pStyle w:val="NormalHanging12a"/>
      </w:pPr>
      <w:r w:rsidRPr="00CD12F0">
        <w:t>З.</w:t>
      </w:r>
      <w:r w:rsidRPr="00CD12F0">
        <w:tab/>
        <w:t>като има предвид, че съгласно редица изследвания генетично модифицираните култури, които са устойчиви на хербициди, водят до по-широка употреба на добавъчни хербициди, до голяма степен поради появата на плевели, които са устойчиви на хербициди</w:t>
      </w:r>
      <w:r>
        <w:rPr>
          <w:vertAlign w:val="superscript"/>
        </w:rPr>
        <w:footnoteReference w:id="11"/>
      </w:r>
      <w:r w:rsidRPr="00CD12F0">
        <w:t xml:space="preserve">; като има предвид, че вследствие на това се очаква, че генетично модифицираната соя ще бъде изложена на по-високи и многократни дози </w:t>
      </w:r>
      <w:r w:rsidRPr="00CD12F0">
        <w:t>глифосат</w:t>
      </w:r>
      <w:r w:rsidRPr="00CD12F0">
        <w:t xml:space="preserve"> и че следователно в реколтите може да e налично по-голямо количество остатъчни вещества и продукти на тяхното разграждане (метаболити);</w:t>
      </w:r>
    </w:p>
    <w:p w:rsidR="003A40FD" w:rsidRPr="00CD12F0" w:rsidP="003A40FD" w14:paraId="4F7815CF" w14:textId="77777777">
      <w:pPr>
        <w:pStyle w:val="NormalHanging12a"/>
      </w:pPr>
      <w:r w:rsidRPr="00CD12F0">
        <w:t>И.</w:t>
      </w:r>
      <w:r w:rsidRPr="00CD12F0">
        <w:tab/>
        <w:t xml:space="preserve">като има предвид, че все още има значителна научна несигурност по отношение на безопасността на </w:t>
      </w:r>
      <w:r w:rsidRPr="00CD12F0">
        <w:t>глифосата</w:t>
      </w:r>
      <w:r w:rsidRPr="00CD12F0">
        <w:t xml:space="preserve"> за човешкото здраве и околната среда; като има предвид, че през ноември 2015 г. ЕОБХ заключи, че е малко вероятно </w:t>
      </w:r>
      <w:r w:rsidRPr="00CD12F0">
        <w:t>глифосатът</w:t>
      </w:r>
      <w:r w:rsidRPr="00CD12F0">
        <w:t xml:space="preserve"> да е канцерогенен, а през март 2017 г. Европейската агенция по химикали заключи, че не е необходимо класифициране; като има предвид, че напротив, през 2015 г. Международната агенция за изследване на рака (специализираната агенция по ракови заболявания на Световната здравна организация) класифицира </w:t>
      </w:r>
      <w:r w:rsidRPr="00CD12F0">
        <w:t>глифосата</w:t>
      </w:r>
      <w:r w:rsidRPr="00CD12F0">
        <w:t xml:space="preserve"> като вещество, което вероятно е канцерогенно за хората; като има предвид, че редица други неотдавнашни рецензирани научни изследвания потвърждават канцерогенния потенциал на </w:t>
      </w:r>
      <w:r w:rsidRPr="00CD12F0">
        <w:t>глифосата</w:t>
      </w:r>
      <w:r>
        <w:rPr>
          <w:vertAlign w:val="superscript"/>
        </w:rPr>
        <w:footnoteReference w:id="12"/>
      </w:r>
      <w:r w:rsidRPr="00CD12F0">
        <w:t xml:space="preserve">; </w:t>
      </w:r>
      <w:bookmarkStart w:id="10" w:name="_Hlk218688545"/>
      <w:r w:rsidRPr="00CD12F0">
        <w:t>като има предвид, че списанието „</w:t>
      </w:r>
      <w:r w:rsidRPr="00CD12F0">
        <w:t>Regulatory</w:t>
      </w:r>
      <w:r w:rsidRPr="00CD12F0">
        <w:t xml:space="preserve"> </w:t>
      </w:r>
      <w:r w:rsidRPr="00CD12F0">
        <w:t>Toxicology</w:t>
      </w:r>
      <w:r w:rsidRPr="00CD12F0">
        <w:t xml:space="preserve"> </w:t>
      </w:r>
      <w:r w:rsidRPr="00CD12F0">
        <w:t>and</w:t>
      </w:r>
      <w:r w:rsidRPr="00CD12F0">
        <w:t xml:space="preserve"> </w:t>
      </w:r>
      <w:r w:rsidRPr="00CD12F0">
        <w:t>Pharmacology</w:t>
      </w:r>
      <w:r w:rsidRPr="00CD12F0">
        <w:t xml:space="preserve">“ официално оттегли научния документ </w:t>
      </w:r>
      <w:r w:rsidRPr="00CD12F0">
        <w:rPr>
          <w:shd w:val="clear" w:color="auto" w:fill="FFFFFF"/>
        </w:rPr>
        <w:t>„</w:t>
      </w:r>
      <w:r w:rsidRPr="00CD12F0">
        <w:t xml:space="preserve">Safety </w:t>
      </w:r>
      <w:r w:rsidRPr="00CD12F0">
        <w:t>Evaluation</w:t>
      </w:r>
      <w:r w:rsidRPr="00CD12F0">
        <w:t xml:space="preserve"> </w:t>
      </w:r>
      <w:r w:rsidRPr="00CD12F0">
        <w:t>and</w:t>
      </w:r>
      <w:r w:rsidRPr="00CD12F0">
        <w:t xml:space="preserve"> </w:t>
      </w:r>
      <w:r w:rsidRPr="00CD12F0">
        <w:t>Risk</w:t>
      </w:r>
      <w:r w:rsidRPr="00CD12F0">
        <w:t xml:space="preserve"> </w:t>
      </w:r>
      <w:r w:rsidRPr="00CD12F0">
        <w:t>Assessment</w:t>
      </w:r>
      <w:r w:rsidRPr="00CD12F0">
        <w:t xml:space="preserve"> </w:t>
      </w:r>
      <w:r w:rsidRPr="00CD12F0">
        <w:t>of</w:t>
      </w:r>
      <w:r w:rsidRPr="00CD12F0">
        <w:t xml:space="preserve"> </w:t>
      </w:r>
      <w:r w:rsidRPr="00CD12F0">
        <w:t>the</w:t>
      </w:r>
      <w:r w:rsidRPr="00CD12F0">
        <w:t xml:space="preserve"> </w:t>
      </w:r>
      <w:r w:rsidRPr="00CD12F0">
        <w:t>Herbicide</w:t>
      </w:r>
      <w:r w:rsidRPr="00CD12F0">
        <w:t xml:space="preserve"> </w:t>
      </w:r>
      <w:r w:rsidRPr="00CD12F0">
        <w:t>Roundup</w:t>
      </w:r>
      <w:r w:rsidRPr="00CD12F0">
        <w:t xml:space="preserve"> </w:t>
      </w:r>
      <w:r w:rsidRPr="00CD12F0">
        <w:t>and</w:t>
      </w:r>
      <w:r w:rsidRPr="00CD12F0">
        <w:t xml:space="preserve"> </w:t>
      </w:r>
      <w:r w:rsidRPr="00CD12F0">
        <w:t>Its</w:t>
      </w:r>
      <w:r w:rsidRPr="00CD12F0">
        <w:t xml:space="preserve"> </w:t>
      </w:r>
      <w:r w:rsidRPr="00CD12F0">
        <w:t>Active</w:t>
      </w:r>
      <w:r w:rsidRPr="00CD12F0">
        <w:t xml:space="preserve"> </w:t>
      </w:r>
      <w:r w:rsidRPr="00CD12F0">
        <w:t>Ingredient</w:t>
      </w:r>
      <w:r w:rsidRPr="00CD12F0">
        <w:t xml:space="preserve">, </w:t>
      </w:r>
      <w:r w:rsidRPr="00CD12F0">
        <w:t>Glyphosate</w:t>
      </w:r>
      <w:r w:rsidRPr="00CD12F0">
        <w:t xml:space="preserve">, </w:t>
      </w:r>
      <w:r w:rsidRPr="00CD12F0">
        <w:t>for</w:t>
      </w:r>
      <w:r w:rsidRPr="00CD12F0">
        <w:t xml:space="preserve"> </w:t>
      </w:r>
      <w:r w:rsidRPr="00CD12F0">
        <w:t>Humans</w:t>
      </w:r>
      <w:r w:rsidRPr="00CD12F0">
        <w:rPr>
          <w:shd w:val="clear" w:color="auto" w:fill="FFFFFF"/>
        </w:rPr>
        <w:t>“</w:t>
      </w:r>
      <w:r w:rsidRPr="00CD12F0">
        <w:t xml:space="preserve"> (Оценка на безопасността и на риска за хората от хербицида </w:t>
      </w:r>
      <w:r w:rsidRPr="00CD12F0">
        <w:t>Roundup</w:t>
      </w:r>
      <w:r w:rsidRPr="00CD12F0">
        <w:t xml:space="preserve"> и неговата активна съставка </w:t>
      </w:r>
      <w:r w:rsidRPr="00CD12F0">
        <w:t>глифосат</w:t>
      </w:r>
      <w:r w:rsidRPr="00CD12F0">
        <w:t xml:space="preserve">), публикуван през 2000 г., който беше използван за защита на безопасността на </w:t>
      </w:r>
      <w:r w:rsidRPr="00CD12F0">
        <w:t>глифосата</w:t>
      </w:r>
      <w:r w:rsidRPr="00CD12F0">
        <w:t xml:space="preserve"> в много оценки на риска, тъй като </w:t>
      </w:r>
      <w:r w:rsidRPr="00CD12F0">
        <w:rPr>
          <w:shd w:val="clear" w:color="auto" w:fill="FFFFFF"/>
        </w:rPr>
        <w:t>„</w:t>
      </w:r>
      <w:r w:rsidRPr="00CD12F0">
        <w:t>бяха изразени опасения относно неговото авторство, валидността на констатациите от научните изследвания в контекста на погрешното представяне на приноса на авторите и спонсора на проучването и потенциалните конфликти на интереси на авторите“</w:t>
      </w:r>
      <w:r>
        <w:rPr>
          <w:rStyle w:val="FootnoteReference"/>
        </w:rPr>
        <w:footnoteReference w:id="13"/>
      </w:r>
      <w:r w:rsidRPr="00CD12F0">
        <w:t>;</w:t>
      </w:r>
      <w:bookmarkEnd w:id="10"/>
    </w:p>
    <w:p w:rsidR="003A40FD" w:rsidRPr="00CD12F0" w:rsidP="003A40FD" w14:paraId="4CE991DF" w14:textId="77777777">
      <w:pPr>
        <w:pStyle w:val="NormalHanging12a"/>
      </w:pPr>
      <w:r w:rsidRPr="00CD12F0">
        <w:t>Й.</w:t>
      </w:r>
      <w:r w:rsidRPr="00CD12F0">
        <w:tab/>
        <w:t xml:space="preserve">като има предвид, че се счита, че оценката на остатъчните вещества от хербициди и техните метаболити, открити в генетично модифицираните растения, е извън правомощията на Експертната група на ЕОБХ по генетично модифицирани организми, и че следователно такава оценка не се извършва като част от процеса на разрешаване на генетично модифицирани организми; като има предвид, че </w:t>
      </w:r>
      <w:r w:rsidRPr="00CD12F0">
        <w:t>това представлява проблем, защото начинът, по който добавъчните хербициди се разграждат в съответното генетично модифицирано растение, както и съставът, а оттам и токсичността на метаболитите, могат да бъдат повлияни от самата генетична модификация</w:t>
      </w:r>
      <w:r>
        <w:rPr>
          <w:vertAlign w:val="superscript"/>
        </w:rPr>
        <w:footnoteReference w:id="14"/>
      </w:r>
      <w:r w:rsidRPr="00CD12F0">
        <w:t>;</w:t>
      </w:r>
    </w:p>
    <w:p w:rsidR="003A40FD" w:rsidRPr="00CD12F0" w:rsidP="003A40FD" w14:paraId="378DF287" w14:textId="77777777">
      <w:pPr>
        <w:pStyle w:val="NormalHanging12a"/>
      </w:pPr>
      <w:r w:rsidRPr="00CD12F0">
        <w:t>К.</w:t>
      </w:r>
      <w:r w:rsidRPr="00CD12F0">
        <w:tab/>
        <w:t xml:space="preserve">като има предвид, че анализът на състава показа, че генетично модифицираната соя има значително променен профил на мастните киселини в сравнение с конвенционалното си съответствие, с увеличаване на </w:t>
      </w:r>
      <w:r w:rsidRPr="00CD12F0">
        <w:t>олеиновата</w:t>
      </w:r>
      <w:r w:rsidRPr="00CD12F0">
        <w:t xml:space="preserve"> киселина и съпътстващо намаляване на </w:t>
      </w:r>
      <w:r w:rsidRPr="00CD12F0">
        <w:t>линоловата</w:t>
      </w:r>
      <w:r w:rsidRPr="00CD12F0">
        <w:t xml:space="preserve"> киселина и </w:t>
      </w:r>
      <w:r w:rsidRPr="00CD12F0">
        <w:t>палмитиновата</w:t>
      </w:r>
      <w:r w:rsidRPr="00CD12F0">
        <w:t xml:space="preserve"> киселина; като има предвид, че опасенията от научно естество се съсредоточават върху дългосрочните хранителни последици от по-широкото излагане на населението на този променен профил, по-специално за потребителите, които разчитат в голяма степен на соево масло; като има предвид, че ЕОБХ разгледа оценките на хранителния прием, за да оцени хранителната значимост на промените, като използва различни допускания за сценариите на консумация и замяна; като има предвид, че въз основа на тези допускания ЕОБХ препоръча само план за мониторинг след пускането на пазара, съсредоточен върху събирането на данни за вноса в Съюза и извършването на актуализирана оценка на хранителните стойности, ако наличната информация за моделите на консумация се различава от тази, използвана по време на първоначалната оценка на риска;</w:t>
      </w:r>
    </w:p>
    <w:p w:rsidR="003A40FD" w:rsidRPr="00CD12F0" w:rsidP="003A40FD" w14:paraId="5B9DE8B4" w14:textId="77777777">
      <w:pPr>
        <w:pStyle w:val="NormalHanging12a"/>
      </w:pPr>
      <w:r w:rsidRPr="00CD12F0">
        <w:t>Л.</w:t>
      </w:r>
      <w:r w:rsidRPr="00CD12F0">
        <w:tab/>
        <w:t>като има предвид, че в Регламент (ЕО) № 1829/2003 се изисква генетично модифицираните храни и фуражи да не оказват неблагоприятно въздействие върху човешкото здраве, здравето на животните или околната среда, и се изисква при изготвянето на решението си Комисията да взема предвид всички съответни разпоредби на законодателството на Съюза и други легитимни фактори, свързани с разглеждания въпрос; като има предвид, че такива основателни фактори следва да включват задълженията на Съюза по целите на ООН за устойчиво развитие (ЦУР на ООН), Парижкото споразумение относно изменението на климата</w:t>
      </w:r>
      <w:r>
        <w:rPr>
          <w:rStyle w:val="FootnoteReference"/>
        </w:rPr>
        <w:footnoteReference w:id="15"/>
      </w:r>
      <w:r w:rsidRPr="00CD12F0">
        <w:t xml:space="preserve"> и Конвенцията на ООН за биологичното разнообразие</w:t>
      </w:r>
      <w:r>
        <w:rPr>
          <w:rStyle w:val="FootnoteReference"/>
        </w:rPr>
        <w:footnoteReference w:id="16"/>
      </w:r>
      <w:r w:rsidRPr="00CD12F0">
        <w:t xml:space="preserve"> (КБР);</w:t>
      </w:r>
    </w:p>
    <w:p w:rsidR="003A40FD" w:rsidRPr="00CD12F0" w:rsidP="003A40FD" w14:paraId="53F51C0E" w14:textId="77777777">
      <w:pPr>
        <w:pStyle w:val="NormalHanging12a"/>
      </w:pPr>
      <w:r w:rsidRPr="00CD12F0">
        <w:t>М.</w:t>
      </w:r>
      <w:r w:rsidRPr="00CD12F0">
        <w:tab/>
        <w:t xml:space="preserve">като има предвид, че независимият мониторинг и наблюдение на потенциалните неблагоприятни последици за биологичното разнообразие, здравето на почвите, </w:t>
      </w:r>
      <w:r w:rsidRPr="00CD12F0">
        <w:t>опрашителите</w:t>
      </w:r>
      <w:r w:rsidRPr="00CD12F0">
        <w:t xml:space="preserve"> и нецелевите организми продължава да бъде недостатъчно гарантиран;</w:t>
      </w:r>
    </w:p>
    <w:p w:rsidR="003A40FD" w:rsidRPr="00CD12F0" w:rsidP="003A40FD" w14:paraId="7D4216AE" w14:textId="77777777">
      <w:pPr>
        <w:pStyle w:val="NormalHanging12a"/>
      </w:pPr>
      <w:r w:rsidRPr="00CD12F0">
        <w:t>Н.</w:t>
      </w:r>
      <w:r w:rsidRPr="00CD12F0">
        <w:tab/>
        <w:t>като има предвид, че при наличието на научна несигурност следва да се прилага принципът на предпазливост, установен в член 191 от Договора за функционирането на Европейския съюз;</w:t>
      </w:r>
    </w:p>
    <w:p w:rsidR="003A40FD" w:rsidRPr="00CD12F0" w:rsidP="003A40FD" w14:paraId="6B6D09FE" w14:textId="77777777">
      <w:pPr>
        <w:pStyle w:val="NormalHanging12a"/>
      </w:pPr>
      <w:r w:rsidRPr="00CD12F0">
        <w:t>О.</w:t>
      </w:r>
      <w:r w:rsidRPr="00CD12F0">
        <w:tab/>
        <w:t xml:space="preserve">като има предвид, че Съюзът, като договаряща страна по Конвенцията на ООН за биологичното разнообразие, и в съответствие с член 3 от нея, носи отговорност за това да гарантира, че дейностите в рамките на неговата юрисдикция или контрол </w:t>
      </w:r>
      <w:r w:rsidRPr="00CD12F0">
        <w:t>не причиняват вреди на околната среда на други държави;</w:t>
      </w:r>
    </w:p>
    <w:p w:rsidR="003A40FD" w:rsidRPr="00CD12F0" w:rsidP="003A40FD" w14:paraId="51254DFB" w14:textId="77777777">
      <w:pPr>
        <w:pStyle w:val="NormalHanging12a"/>
      </w:pPr>
      <w:r w:rsidRPr="00CD12F0">
        <w:t>П.</w:t>
      </w:r>
      <w:r w:rsidRPr="00CD12F0">
        <w:tab/>
        <w:t>като има предвид, че подновяването на разрешението за генетично модифицираната соя от страна на Съюза не би било в съответствие с международните ангажименти за намаляване на пестицидите</w:t>
      </w:r>
      <w:r>
        <w:rPr>
          <w:vertAlign w:val="superscript"/>
        </w:rPr>
        <w:footnoteReference w:id="17"/>
      </w:r>
      <w:r w:rsidRPr="00CD12F0">
        <w:t xml:space="preserve">, като се има предвид повишената експозиция на хората, животните и околната среда на </w:t>
      </w:r>
      <w:r w:rsidRPr="00CD12F0">
        <w:t>глифосат</w:t>
      </w:r>
      <w:r w:rsidRPr="00CD12F0">
        <w:t xml:space="preserve"> в държавите, в които се отглежда тази устойчива на хербициди генно модифицирана култура, както и потенциално сериозните последици за здравето във връзка с това;</w:t>
      </w:r>
    </w:p>
    <w:p w:rsidR="003A40FD" w:rsidRPr="00CD12F0" w:rsidP="003A40FD" w14:paraId="1F2D8801" w14:textId="41BE68B4">
      <w:pPr>
        <w:pStyle w:val="NormalHanging12a"/>
      </w:pPr>
      <w:r w:rsidRPr="00CD12F0">
        <w:t>Р.</w:t>
      </w:r>
      <w:r w:rsidRPr="00CD12F0">
        <w:tab/>
        <w:t>като има предвид, че отглеждането на генетично модифицирана соя не е разрешено в Съюза;</w:t>
      </w:r>
    </w:p>
    <w:p w:rsidR="003A40FD" w:rsidRPr="00CD12F0" w:rsidP="003A40FD" w14:paraId="30C73E78" w14:textId="40C387AC">
      <w:pPr>
        <w:pStyle w:val="NormalHanging12a"/>
      </w:pPr>
      <w:r w:rsidRPr="00CD12F0">
        <w:t>С.</w:t>
      </w:r>
      <w:r w:rsidRPr="00CD12F0">
        <w:tab/>
        <w:t xml:space="preserve">като има предвид, че </w:t>
      </w:r>
      <w:r w:rsidR="00AF3E64">
        <w:t>Р</w:t>
      </w:r>
      <w:r w:rsidRPr="00CD12F0">
        <w:t>ешение за изпълнение</w:t>
      </w:r>
      <w:r w:rsidR="00AF3E64">
        <w:t xml:space="preserve"> </w:t>
      </w:r>
      <w:r w:rsidRPr="00AF3E64" w:rsidR="00AF3E64">
        <w:t>(ЕС) 2026/1419</w:t>
      </w:r>
      <w:r w:rsidRPr="00CD12F0">
        <w:t xml:space="preserve"> на Комисията ще позволи внос в Съюза, който не отговаря на стандартите, спазвани от земеделските стопани в Съюза, като по този начин ще ги постави в неблагоприятно конкурентно положение;</w:t>
      </w:r>
    </w:p>
    <w:p w:rsidR="003A40FD" w:rsidRPr="00CD12F0" w:rsidP="003A40FD" w14:paraId="66B44C98" w14:textId="77777777">
      <w:pPr>
        <w:pStyle w:val="NormalHanging12a"/>
      </w:pPr>
      <w:r w:rsidRPr="00CD12F0">
        <w:t>Т.</w:t>
      </w:r>
      <w:r w:rsidRPr="00CD12F0">
        <w:tab/>
        <w:t>като има предвид, че в заключенията на стратегическия диалог относно бъдещето на селското стопанство в ЕС</w:t>
      </w:r>
      <w:r>
        <w:rPr>
          <w:vertAlign w:val="superscript"/>
        </w:rPr>
        <w:footnoteReference w:id="18"/>
      </w:r>
      <w:r w:rsidRPr="00CD12F0">
        <w:t xml:space="preserve"> Комисията се призовава да преразгледа своя подход към достъпа до пазара за внос и износ на селскостопански хранителни продукти предвид предизвикателството, свързано с различаващите се стандарти на Съюза и на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стопани по време на демонстрациите през 2023, 2024 и 2025 г.;</w:t>
      </w:r>
    </w:p>
    <w:p w:rsidR="003A40FD" w:rsidRPr="00CD12F0" w:rsidP="003A40FD" w14:paraId="2DEB5C9B" w14:textId="77777777">
      <w:pPr>
        <w:pStyle w:val="NormalHanging12a"/>
      </w:pPr>
      <w:r w:rsidRPr="00CD12F0">
        <w:t>У.</w:t>
      </w:r>
      <w:r w:rsidRPr="00CD12F0">
        <w:tab/>
        <w:t>като има предвид, че Парламентът многократно е подчертавал, че Комисията не следва да разрешава ГМО в случаите, когато държавите членки не са постигали квалифицирано мнозинство в Постоянния комитет по растенията, животните, храните и фуражите или в Апелативния комитет, за да се противодейства на трайния демократичен дефицит;</w:t>
      </w:r>
    </w:p>
    <w:p w:rsidR="003A40FD" w:rsidRPr="00CD12F0" w:rsidP="003A40FD" w14:paraId="394C63AD" w14:textId="77777777">
      <w:pPr>
        <w:pStyle w:val="NormalHanging12a"/>
      </w:pPr>
      <w:r w:rsidRPr="00CD12F0">
        <w:t>Ф.</w:t>
      </w:r>
      <w:r w:rsidRPr="00CD12F0">
        <w:tab/>
        <w:t>като има предвид, че макар и сама да отчита недостатъците по отношение на демократичността, липсата на подкрепа от страна на държавите членки и възраженията на Парламента, Комисията продължава да разрешава ГМО;</w:t>
      </w:r>
    </w:p>
    <w:p w:rsidR="003A40FD" w:rsidRPr="00CD12F0" w:rsidP="003A40FD" w14:paraId="4298B49F" w14:textId="77777777">
      <w:pPr>
        <w:pStyle w:val="NormalHanging12a"/>
      </w:pPr>
      <w:r w:rsidRPr="00CD12F0">
        <w:t>Х.</w:t>
      </w:r>
      <w:r w:rsidRPr="00CD12F0">
        <w:tab/>
        <w:t>като има предвид, че подходът „Едно здраве“ изисква при оценката на дългосрочната устойчивост и безопасност на ГМО да се отчита взаимозависимостта между здравето на хората, животните, растенията и околната среда;</w:t>
      </w:r>
    </w:p>
    <w:p w:rsidR="003A40FD" w:rsidRPr="00CD12F0" w:rsidP="003A40FD" w14:paraId="77560A41" w14:textId="2838B9DC">
      <w:pPr>
        <w:pStyle w:val="NormalHanging12a"/>
      </w:pPr>
      <w:r w:rsidRPr="00CD12F0">
        <w:t>1.</w:t>
      </w:r>
      <w:r w:rsidRPr="00CD12F0">
        <w:tab/>
        <w:t xml:space="preserve">счита, че </w:t>
      </w:r>
      <w:r w:rsidR="00AF3E64">
        <w:t>Р</w:t>
      </w:r>
      <w:r w:rsidRPr="00CD12F0">
        <w:t xml:space="preserve">ешение за изпълнение </w:t>
      </w:r>
      <w:r w:rsidRPr="00AF3E64" w:rsidR="00AF3E64">
        <w:t>(ЕС) 2026/1419</w:t>
      </w:r>
      <w:r w:rsidR="00AF3E64">
        <w:t xml:space="preserve"> </w:t>
      </w:r>
      <w:r w:rsidRPr="00CD12F0">
        <w:t xml:space="preserve">на Комисията превишава </w:t>
      </w:r>
      <w:r w:rsidRPr="00CD12F0">
        <w:t>изпълнителните правомощия, предвидени в Регламент (ЕО) № 1829/2003;</w:t>
      </w:r>
    </w:p>
    <w:p w:rsidR="003A40FD" w:rsidRPr="00CD12F0" w:rsidP="003A40FD" w14:paraId="3AD45F4B" w14:textId="233F07BD">
      <w:pPr>
        <w:pStyle w:val="NormalHanging12a"/>
      </w:pPr>
      <w:r w:rsidRPr="00CD12F0">
        <w:t>2.</w:t>
      </w:r>
      <w:r w:rsidRPr="00CD12F0">
        <w:tab/>
        <w:t xml:space="preserve">счита, че </w:t>
      </w:r>
      <w:r w:rsidR="00AF3E64">
        <w:t>Р</w:t>
      </w:r>
      <w:r w:rsidRPr="00CD12F0">
        <w:t xml:space="preserve">ешение за изпълнение </w:t>
      </w:r>
      <w:r w:rsidRPr="00AF3E64" w:rsidR="00AF3E64">
        <w:t>(ЕС) 2026/1419</w:t>
      </w:r>
      <w:r w:rsidR="00AF3E64">
        <w:t xml:space="preserve"> </w:t>
      </w:r>
      <w:r w:rsidRPr="00CD12F0">
        <w:t>на Комисията не е в съответствие с правото на Съюза, тъй като не е съвместим с целта на Регламент (ЕО) № 1829/2003, която в съответствие с общите принципи, определени в Регламент (ЕО) № 178/2002 на Европейския парламент и Съвета</w:t>
      </w:r>
      <w:r>
        <w:rPr>
          <w:vertAlign w:val="superscript"/>
        </w:rPr>
        <w:footnoteReference w:id="19"/>
      </w:r>
      <w:r w:rsidRPr="00CD12F0">
        <w:t>, е да се създаде основа за висока степен на защита на човешкия живот и здраве, здравето на животните и хуманното отношение към тях, опазването на околната среда и интересите на потребителите във връзка с генетично модифицираните храни и фуражи, като същевременно се гарантира ефективното функциониране на вътрешния пазар;</w:t>
      </w:r>
    </w:p>
    <w:p w:rsidR="003A40FD" w:rsidRPr="00D154A3" w:rsidP="003A40FD" w14:paraId="00588782" w14:textId="7E5F338E">
      <w:pPr>
        <w:pStyle w:val="NormalHanging12a"/>
        <w:rPr>
          <w:lang w:val="ru-RU"/>
        </w:rPr>
      </w:pPr>
      <w:r w:rsidRPr="00CD12F0">
        <w:t>3.</w:t>
      </w:r>
      <w:r w:rsidRPr="00CD12F0">
        <w:tab/>
        <w:t xml:space="preserve">отправя искане към Комисията да </w:t>
      </w:r>
      <w:r w:rsidR="00BA5DA2">
        <w:t xml:space="preserve">отмени </w:t>
      </w:r>
      <w:r w:rsidR="00AF3E64">
        <w:t>Р</w:t>
      </w:r>
      <w:r w:rsidRPr="00CD12F0">
        <w:t>ешение за изпълнение</w:t>
      </w:r>
      <w:r w:rsidR="00AF3E64">
        <w:t xml:space="preserve"> </w:t>
      </w:r>
      <w:r w:rsidRPr="00AF3E64" w:rsidR="00AF3E64">
        <w:t>(ЕС) 2026/1419</w:t>
      </w:r>
      <w:r w:rsidR="00AF3E64">
        <w:t xml:space="preserve"> на Комисията</w:t>
      </w:r>
      <w:r w:rsidRPr="00CD12F0">
        <w:t>;</w:t>
      </w:r>
    </w:p>
    <w:p w:rsidR="003A40FD" w:rsidRPr="00CD12F0" w:rsidP="003A40FD" w14:paraId="5F532FBC" w14:textId="4E78AD2A">
      <w:pPr>
        <w:pStyle w:val="NormalHanging12a"/>
      </w:pPr>
      <w:r w:rsidRPr="00CD12F0">
        <w:t>4.</w:t>
      </w:r>
      <w:r w:rsidRPr="00CD12F0">
        <w:tab/>
        <w:t xml:space="preserve">призовава Комисията да не разрешава вноса на устойчиви на хербициди генетично модифицирани култури поради свързаната с това повишена употреба на добавъчни хербициди, и следователно повишените рискове за биологичното разнообразие, </w:t>
      </w:r>
      <w:r w:rsidRPr="00CD12F0">
        <w:t>бе</w:t>
      </w:r>
      <w:r w:rsidR="00D154A3">
        <w:t>ф</w:t>
      </w:r>
      <w:r w:rsidRPr="00CD12F0">
        <w:t>зопасността</w:t>
      </w:r>
      <w:r w:rsidRPr="00CD12F0">
        <w:t xml:space="preserve"> на храните и здравето на работниците;</w:t>
      </w:r>
    </w:p>
    <w:p w:rsidR="003A40FD" w:rsidRPr="00CD12F0" w:rsidP="003A40FD" w14:paraId="155B3144" w14:textId="77777777">
      <w:pPr>
        <w:pStyle w:val="NormalHanging12a"/>
      </w:pPr>
      <w:r w:rsidRPr="00CD12F0">
        <w:t>5.</w:t>
      </w:r>
      <w:r w:rsidRPr="00CD12F0">
        <w:tab/>
        <w:t>приветства факта, че в писмо от 11 септември 2020 г. до членовете на ЕП Комисията призна необходимостта да се взема предвид устойчивостта, когато става въпрос за решения за разрешаване на ГМО</w:t>
      </w:r>
      <w:r>
        <w:rPr>
          <w:vertAlign w:val="superscript"/>
        </w:rPr>
        <w:footnoteReference w:id="20"/>
      </w:r>
      <w:r w:rsidRPr="00CD12F0">
        <w:t>; изразява обаче силно разочарование поради това, че впоследствие Комисията продължи да разрешава вноса на ГМО в Съюза, въпреки продължаващите възражения от страна на Парламента и факта, че мнозинството от държавите членки са гласували против;</w:t>
      </w:r>
    </w:p>
    <w:p w:rsidR="003A40FD" w:rsidRPr="00CD12F0" w:rsidP="003A40FD" w14:paraId="667DCA21" w14:textId="77777777">
      <w:pPr>
        <w:pStyle w:val="NormalHanging12a"/>
      </w:pPr>
      <w:r w:rsidRPr="00CD12F0">
        <w:t>6.</w:t>
      </w:r>
      <w:r w:rsidRPr="00CD12F0">
        <w:tab/>
        <w:t xml:space="preserve">отново настоятелно призовава Комисията да вземе предвид задълженията на Съюза съгласно международните споразумения, като например Парижкото споразумение относно изменението на климата, Конвенцията на ООН за биологичното разнообразие и ЦУР на ООН; отново призовава проектите на актове за изпълнение да бъдат придружени от обяснителен меморандум, в който да се разяснява по какъв начин в съответните текстове е спазен принципът за </w:t>
      </w:r>
      <w:r w:rsidRPr="00CD12F0">
        <w:t>ненанасяне</w:t>
      </w:r>
      <w:r w:rsidRPr="00CD12F0">
        <w:t xml:space="preserve"> на вреда</w:t>
      </w:r>
      <w:r>
        <w:rPr>
          <w:vertAlign w:val="superscript"/>
        </w:rPr>
        <w:footnoteReference w:id="21"/>
      </w:r>
      <w:r w:rsidRPr="00CD12F0">
        <w:t>;</w:t>
      </w:r>
    </w:p>
    <w:p w:rsidR="003A40FD" w:rsidRPr="00CD12F0" w:rsidP="003A40FD" w14:paraId="02C03852" w14:textId="77777777">
      <w:pPr>
        <w:pStyle w:val="NormalHanging12a"/>
      </w:pPr>
      <w:r w:rsidRPr="00CD12F0">
        <w:t>7.</w:t>
      </w:r>
      <w:r w:rsidRPr="00CD12F0">
        <w:tab/>
        <w:t>подчертава, че в измененията, приети от Европейския парламент на 17 декември 2020 г. към предложението за регламент на Европейския парламент и на Съвета за изменение на Регламент (ЕС) № 182/2011</w:t>
      </w:r>
      <w:r>
        <w:rPr>
          <w:vertAlign w:val="superscript"/>
        </w:rPr>
        <w:footnoteReference w:id="22"/>
      </w:r>
      <w:r w:rsidRPr="00CD12F0">
        <w:t xml:space="preserve">, които бяха одобрени от Парламента като основа за преговори със Съвета, се посочва, че Комисията не трябва да разрешава ГМО, когато няма подкрепата на квалифицирано мнозинство от държавите членки за това; настоява Комисията да зачита тази позиция и призовава Съвета да продължи работата си и спешно да приеме общ подход по </w:t>
      </w:r>
      <w:r w:rsidRPr="00CD12F0">
        <w:t>това досие;</w:t>
      </w:r>
    </w:p>
    <w:p w:rsidR="00CD12F0" w:rsidRPr="00CD12F0" w:rsidP="00CD12F0" w14:paraId="233D5D95" w14:textId="09B12220">
      <w:pPr>
        <w:pStyle w:val="NormalHanging12a"/>
      </w:pPr>
      <w:r w:rsidRPr="00CD12F0">
        <w:t>8.</w:t>
      </w:r>
      <w:r w:rsidRPr="00CD12F0">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rsidR="00E365E1" w:rsidRPr="00CD12F0" w:rsidP="003A40FD" w14:paraId="08A18DF7" w14:textId="37BDA194"/>
    <w:sectPr w:rsidSect="00CD12F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12F0" w14:paraId="71E1D8A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12F0" w14:paraId="06AE2BA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12F0" w14:paraId="5D74454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F03AF" w:rsidRPr="00CD12F0" w14:paraId="0CBD2F17" w14:textId="77777777">
      <w:r w:rsidRPr="00CD12F0">
        <w:separator/>
      </w:r>
    </w:p>
  </w:footnote>
  <w:footnote w:type="continuationSeparator" w:id="1">
    <w:p w:rsidR="00FF03AF" w:rsidRPr="00CD12F0" w14:paraId="125AB9D7" w14:textId="77777777">
      <w:r w:rsidRPr="00CD12F0">
        <w:continuationSeparator/>
      </w:r>
    </w:p>
  </w:footnote>
  <w:footnote w:id="2">
    <w:p w:rsidR="00AF3E64" w:rsidRPr="00D154A3" w:rsidP="00AF3E64" w14:paraId="597C894C" w14:textId="4F0F7918">
      <w:pPr>
        <w:pStyle w:val="FootnoteText"/>
        <w:ind w:left="567" w:hanging="567"/>
        <w:rPr>
          <w:sz w:val="24"/>
          <w:szCs w:val="24"/>
          <w:lang w:val="ru-RU"/>
        </w:rPr>
      </w:pPr>
      <w:r w:rsidRPr="009F4B2A">
        <w:rPr>
          <w:rStyle w:val="FootnoteReference"/>
          <w:sz w:val="24"/>
          <w:szCs w:val="24"/>
        </w:rPr>
        <w:footnoteRef/>
      </w:r>
      <w:r w:rsidRPr="00D154A3">
        <w:rPr>
          <w:sz w:val="24"/>
          <w:szCs w:val="24"/>
          <w:lang w:val="ru-RU"/>
        </w:rPr>
        <w:t xml:space="preserve"> </w:t>
      </w:r>
      <w:r w:rsidRPr="00D154A3">
        <w:rPr>
          <w:sz w:val="24"/>
          <w:szCs w:val="24"/>
          <w:lang w:val="ru-RU"/>
        </w:rPr>
        <w:tab/>
      </w:r>
      <w:r w:rsidRPr="009F4B2A">
        <w:rPr>
          <w:color w:val="333333"/>
          <w:sz w:val="24"/>
          <w:szCs w:val="24"/>
          <w:shd w:val="clear" w:color="auto" w:fill="FFFFFF"/>
          <w:lang w:val="pl-PL" w:eastAsia="en-GB"/>
        </w:rPr>
        <w:t>O</w:t>
      </w:r>
      <w:r w:rsidRPr="009F4B2A">
        <w:rPr>
          <w:color w:val="333333"/>
          <w:sz w:val="24"/>
          <w:szCs w:val="24"/>
          <w:shd w:val="clear" w:color="auto" w:fill="FFFFFF"/>
          <w:lang w:val="bg-BG" w:eastAsia="en-GB"/>
        </w:rPr>
        <w:t>В</w:t>
      </w:r>
      <w:r w:rsidRPr="00D154A3">
        <w:rPr>
          <w:color w:val="333333"/>
          <w:sz w:val="24"/>
          <w:szCs w:val="24"/>
          <w:shd w:val="clear" w:color="auto" w:fill="FFFFFF"/>
          <w:lang w:val="ru-RU" w:eastAsia="en-GB"/>
        </w:rPr>
        <w:t xml:space="preserve"> </w:t>
      </w:r>
      <w:r w:rsidRPr="009F4B2A">
        <w:rPr>
          <w:color w:val="333333"/>
          <w:sz w:val="24"/>
          <w:szCs w:val="24"/>
          <w:shd w:val="clear" w:color="auto" w:fill="FFFFFF"/>
          <w:lang w:val="pl-PL" w:eastAsia="en-GB"/>
        </w:rPr>
        <w:t>L</w:t>
      </w:r>
      <w:r w:rsidRPr="00D154A3">
        <w:rPr>
          <w:color w:val="333333"/>
          <w:sz w:val="24"/>
          <w:szCs w:val="24"/>
          <w:shd w:val="clear" w:color="auto" w:fill="FFFFFF"/>
          <w:lang w:val="ru-RU" w:eastAsia="en-GB"/>
        </w:rPr>
        <w:t xml:space="preserve">, 2026/1419, </w:t>
      </w:r>
      <w:r w:rsidRPr="00D154A3">
        <w:rPr>
          <w:color w:val="333333"/>
          <w:sz w:val="24"/>
          <w:szCs w:val="24"/>
          <w:shd w:val="clear" w:color="auto" w:fill="FFFFFF"/>
          <w:lang w:val="ru-RU" w:eastAsia="en-GB"/>
        </w:rPr>
        <w:t>3.7.2026</w:t>
      </w:r>
      <w:r w:rsidRPr="009F4B2A">
        <w:rPr>
          <w:color w:val="333333"/>
          <w:sz w:val="24"/>
          <w:szCs w:val="24"/>
          <w:shd w:val="clear" w:color="auto" w:fill="FFFFFF"/>
          <w:lang w:val="bg-BG" w:eastAsia="en-GB"/>
        </w:rPr>
        <w:t> г.</w:t>
      </w:r>
      <w:r w:rsidRPr="00D154A3">
        <w:rPr>
          <w:color w:val="333333"/>
          <w:sz w:val="24"/>
          <w:szCs w:val="24"/>
          <w:shd w:val="clear" w:color="auto" w:fill="FFFFFF"/>
          <w:lang w:val="ru-RU" w:eastAsia="en-GB"/>
        </w:rPr>
        <w:t xml:space="preserve">, </w:t>
      </w:r>
      <w:r w:rsidRPr="009F4B2A">
        <w:rPr>
          <w:color w:val="333333"/>
          <w:sz w:val="24"/>
          <w:szCs w:val="24"/>
          <w:shd w:val="clear" w:color="auto" w:fill="FFFFFF"/>
          <w:lang w:val="pl-PL" w:eastAsia="en-GB"/>
        </w:rPr>
        <w:t>ELI</w:t>
      </w:r>
      <w:r w:rsidRPr="00D154A3">
        <w:rPr>
          <w:color w:val="333333"/>
          <w:sz w:val="24"/>
          <w:szCs w:val="24"/>
          <w:shd w:val="clear" w:color="auto" w:fill="FFFFFF"/>
          <w:lang w:val="ru-RU" w:eastAsia="en-GB"/>
        </w:rPr>
        <w:t>:</w:t>
      </w:r>
      <w:r w:rsidRPr="009F4B2A">
        <w:rPr>
          <w:color w:val="333333"/>
          <w:sz w:val="24"/>
          <w:szCs w:val="24"/>
          <w:shd w:val="clear" w:color="auto" w:fill="FFFFFF"/>
          <w:lang w:val="pl-PL" w:eastAsia="en-GB"/>
        </w:rPr>
        <w:t> </w:t>
      </w:r>
      <w:hyperlink r:id="rId1" w:tgtFrame="_blank" w:tooltip="Dà accesso al documento attraverso il suo URI dell'ELI." w:history="1">
        <w:r w:rsidRPr="009F4B2A">
          <w:rPr>
            <w:color w:val="0E47CB"/>
            <w:sz w:val="24"/>
            <w:szCs w:val="24"/>
            <w:u w:val="single"/>
            <w:lang w:val="pl-PL" w:eastAsia="en-GB"/>
          </w:rPr>
          <w:t>http</w:t>
        </w:r>
        <w:r w:rsidRPr="00D154A3">
          <w:rPr>
            <w:color w:val="0E47CB"/>
            <w:sz w:val="24"/>
            <w:szCs w:val="24"/>
            <w:u w:val="single"/>
            <w:lang w:val="ru-RU" w:eastAsia="en-GB"/>
          </w:rPr>
          <w:t>://</w:t>
        </w:r>
        <w:r w:rsidRPr="009F4B2A">
          <w:rPr>
            <w:color w:val="0E47CB"/>
            <w:sz w:val="24"/>
            <w:szCs w:val="24"/>
            <w:u w:val="single"/>
            <w:lang w:val="pl-PL" w:eastAsia="en-GB"/>
          </w:rPr>
          <w:t>data</w:t>
        </w:r>
        <w:r w:rsidRPr="00D154A3">
          <w:rPr>
            <w:color w:val="0E47CB"/>
            <w:sz w:val="24"/>
            <w:szCs w:val="24"/>
            <w:u w:val="single"/>
            <w:lang w:val="ru-RU" w:eastAsia="en-GB"/>
          </w:rPr>
          <w:t>.</w:t>
        </w:r>
        <w:r w:rsidRPr="009F4B2A">
          <w:rPr>
            <w:color w:val="0E47CB"/>
            <w:sz w:val="24"/>
            <w:szCs w:val="24"/>
            <w:u w:val="single"/>
            <w:lang w:val="pl-PL" w:eastAsia="en-GB"/>
          </w:rPr>
          <w:t>europa</w:t>
        </w:r>
        <w:r w:rsidRPr="00D154A3">
          <w:rPr>
            <w:color w:val="0E47CB"/>
            <w:sz w:val="24"/>
            <w:szCs w:val="24"/>
            <w:u w:val="single"/>
            <w:lang w:val="ru-RU" w:eastAsia="en-GB"/>
          </w:rPr>
          <w:t>.</w:t>
        </w:r>
        <w:r w:rsidRPr="009F4B2A">
          <w:rPr>
            <w:color w:val="0E47CB"/>
            <w:sz w:val="24"/>
            <w:szCs w:val="24"/>
            <w:u w:val="single"/>
            <w:lang w:val="pl-PL" w:eastAsia="en-GB"/>
          </w:rPr>
          <w:t>eu</w:t>
        </w:r>
        <w:r w:rsidRPr="00D154A3">
          <w:rPr>
            <w:color w:val="0E47CB"/>
            <w:sz w:val="24"/>
            <w:szCs w:val="24"/>
            <w:u w:val="single"/>
            <w:lang w:val="ru-RU" w:eastAsia="en-GB"/>
          </w:rPr>
          <w:t>/</w:t>
        </w:r>
        <w:r w:rsidRPr="009F4B2A">
          <w:rPr>
            <w:color w:val="0E47CB"/>
            <w:sz w:val="24"/>
            <w:szCs w:val="24"/>
            <w:u w:val="single"/>
            <w:lang w:val="pl-PL" w:eastAsia="en-GB"/>
          </w:rPr>
          <w:t>eli</w:t>
        </w:r>
        <w:r w:rsidRPr="00D154A3">
          <w:rPr>
            <w:color w:val="0E47CB"/>
            <w:sz w:val="24"/>
            <w:szCs w:val="24"/>
            <w:u w:val="single"/>
            <w:lang w:val="ru-RU" w:eastAsia="en-GB"/>
          </w:rPr>
          <w:t>/</w:t>
        </w:r>
        <w:r w:rsidRPr="009F4B2A">
          <w:rPr>
            <w:color w:val="0E47CB"/>
            <w:sz w:val="24"/>
            <w:szCs w:val="24"/>
            <w:u w:val="single"/>
            <w:lang w:val="pl-PL" w:eastAsia="en-GB"/>
          </w:rPr>
          <w:t>dec</w:t>
        </w:r>
        <w:r w:rsidRPr="00D154A3">
          <w:rPr>
            <w:color w:val="0E47CB"/>
            <w:sz w:val="24"/>
            <w:szCs w:val="24"/>
            <w:u w:val="single"/>
            <w:lang w:val="ru-RU" w:eastAsia="en-GB"/>
          </w:rPr>
          <w:t>_</w:t>
        </w:r>
        <w:r w:rsidRPr="009F4B2A">
          <w:rPr>
            <w:color w:val="0E47CB"/>
            <w:sz w:val="24"/>
            <w:szCs w:val="24"/>
            <w:u w:val="single"/>
            <w:lang w:val="pl-PL" w:eastAsia="en-GB"/>
          </w:rPr>
          <w:t>impl</w:t>
        </w:r>
        <w:r w:rsidRPr="00D154A3">
          <w:rPr>
            <w:color w:val="0E47CB"/>
            <w:sz w:val="24"/>
            <w:szCs w:val="24"/>
            <w:u w:val="single"/>
            <w:lang w:val="ru-RU" w:eastAsia="en-GB"/>
          </w:rPr>
          <w:t>/2026/1419/</w:t>
        </w:r>
        <w:r w:rsidRPr="009F4B2A">
          <w:rPr>
            <w:color w:val="0E47CB"/>
            <w:sz w:val="24"/>
            <w:szCs w:val="24"/>
            <w:u w:val="single"/>
            <w:lang w:val="pl-PL" w:eastAsia="en-GB"/>
          </w:rPr>
          <w:t>oj</w:t>
        </w:r>
      </w:hyperlink>
      <w:r w:rsidRPr="00D154A3">
        <w:rPr>
          <w:color w:val="333333"/>
          <w:sz w:val="24"/>
          <w:szCs w:val="24"/>
          <w:shd w:val="clear" w:color="auto" w:fill="FFFFFF"/>
          <w:lang w:val="ru-RU" w:eastAsia="en-GB"/>
        </w:rPr>
        <w:t>.</w:t>
      </w:r>
    </w:p>
  </w:footnote>
  <w:footnote w:id="3">
    <w:p w:rsidR="003A40FD" w:rsidRPr="00CD12F0" w:rsidP="00CD12F0" w14:paraId="0B33B422" w14:textId="063EBF27">
      <w:pPr>
        <w:pStyle w:val="FootnoteText"/>
        <w:ind w:left="567" w:hanging="567"/>
        <w:rPr>
          <w:sz w:val="24"/>
          <w:lang w:val="bg-BG"/>
        </w:rPr>
      </w:pPr>
      <w:r w:rsidRPr="00CD12F0">
        <w:rPr>
          <w:rStyle w:val="Funotenzeichen"/>
          <w:sz w:val="24"/>
          <w:lang w:val="bg-BG"/>
        </w:rPr>
        <w:footnoteRef/>
      </w:r>
      <w:r w:rsidRPr="00CD12F0" w:rsidR="00CD12F0">
        <w:rPr>
          <w:sz w:val="24"/>
          <w:lang w:val="bg-BG"/>
        </w:rPr>
        <w:t xml:space="preserve"> </w:t>
      </w:r>
      <w:r w:rsidRPr="00CD12F0" w:rsidR="00CD12F0">
        <w:rPr>
          <w:sz w:val="24"/>
          <w:lang w:val="bg-BG"/>
        </w:rPr>
        <w:tab/>
      </w:r>
      <w:r w:rsidRPr="00CD12F0">
        <w:rPr>
          <w:sz w:val="24"/>
          <w:lang w:val="bg-BG"/>
        </w:rPr>
        <w:t>ОВ L 268, 18.10.2003 г., стр. 1., ELI: </w:t>
      </w:r>
      <w:hyperlink r:id="rId2" w:tooltip="Достъп до този документ чрез неговия идентификатор ELI URI." w:history="1">
        <w:r w:rsidRPr="00CD12F0">
          <w:rPr>
            <w:rStyle w:val="Hyperlink"/>
            <w:sz w:val="24"/>
            <w:lang w:val="bg-BG"/>
          </w:rPr>
          <w:t>http://data.europa.eu/eli/reg/2003/1829/oj</w:t>
        </w:r>
      </w:hyperlink>
      <w:r w:rsidRPr="00CD12F0">
        <w:rPr>
          <w:sz w:val="24"/>
          <w:lang w:val="bg-BG"/>
        </w:rPr>
        <w:t>.</w:t>
      </w:r>
    </w:p>
  </w:footnote>
  <w:footnote w:id="4">
    <w:p w:rsidR="003A40FD" w:rsidRPr="00CD12F0" w:rsidP="00CD12F0" w14:paraId="599244BB" w14:textId="6EB40B6E">
      <w:pPr>
        <w:pStyle w:val="FootnoteText"/>
        <w:ind w:left="567" w:hanging="567"/>
        <w:rPr>
          <w:sz w:val="24"/>
          <w:lang w:val="bg-BG"/>
        </w:rPr>
      </w:pPr>
      <w:r w:rsidRPr="00CD12F0">
        <w:rPr>
          <w:rStyle w:val="FootnoteReference"/>
          <w:sz w:val="24"/>
          <w:lang w:val="bg-BG"/>
        </w:rPr>
        <w:footnoteRef/>
      </w:r>
      <w:r w:rsidRPr="00CD12F0" w:rsidR="00CD12F0">
        <w:rPr>
          <w:sz w:val="24"/>
          <w:lang w:val="bg-BG"/>
        </w:rPr>
        <w:t xml:space="preserve"> </w:t>
      </w:r>
      <w:r w:rsidRPr="00CD12F0" w:rsidR="00CD12F0">
        <w:rPr>
          <w:sz w:val="24"/>
          <w:lang w:val="bg-BG"/>
        </w:rPr>
        <w:tab/>
      </w:r>
      <w:r w:rsidRPr="00CD12F0">
        <w:rPr>
          <w:sz w:val="24"/>
          <w:lang w:val="bg-BG"/>
        </w:rPr>
        <w:t xml:space="preserve">ОВ L 55, 28.2.2011 г., стр. 13, ELI: </w:t>
      </w:r>
      <w:hyperlink r:id="rId3" w:tooltip="http://data.europa.eu/eli/reg/2011/182/oj" w:history="1">
        <w:r w:rsidRPr="00CD12F0">
          <w:rPr>
            <w:rStyle w:val="Hyperlink"/>
            <w:sz w:val="24"/>
            <w:lang w:val="bg-BG"/>
          </w:rPr>
          <w:t>http://data.europa.eu/eli/reg/2011/182/oj</w:t>
        </w:r>
      </w:hyperlink>
      <w:r w:rsidRPr="00CD12F0">
        <w:rPr>
          <w:sz w:val="24"/>
          <w:lang w:val="bg-BG"/>
        </w:rPr>
        <w:t>.</w:t>
      </w:r>
    </w:p>
  </w:footnote>
  <w:footnote w:id="5">
    <w:p w:rsidR="003A40FD" w:rsidRPr="00CD12F0" w:rsidP="00CD12F0" w14:paraId="5B63A59B" w14:textId="2549C80C">
      <w:pPr>
        <w:pStyle w:val="FootnoteText"/>
        <w:ind w:left="567" w:hanging="567"/>
        <w:rPr>
          <w:sz w:val="24"/>
          <w:lang w:val="bg-BG"/>
        </w:rPr>
      </w:pPr>
      <w:r w:rsidRPr="00CD12F0">
        <w:rPr>
          <w:rStyle w:val="Funotenzeichen"/>
          <w:sz w:val="24"/>
          <w:lang w:val="bg-BG"/>
        </w:rPr>
        <w:footnoteRef/>
      </w:r>
      <w:r w:rsidRPr="00CD12F0" w:rsidR="00CD12F0">
        <w:rPr>
          <w:sz w:val="24"/>
          <w:lang w:val="bg-BG"/>
        </w:rPr>
        <w:t xml:space="preserve"> </w:t>
      </w:r>
      <w:r w:rsidRPr="00CD12F0" w:rsidR="00CD12F0">
        <w:rPr>
          <w:sz w:val="24"/>
          <w:lang w:val="bg-BG"/>
        </w:rPr>
        <w:tab/>
      </w:r>
      <w:r w:rsidRPr="00CD12F0">
        <w:rPr>
          <w:sz w:val="24"/>
          <w:lang w:val="bg-BG"/>
        </w:rPr>
        <w:t>Научно становище на Експертната група на ЕОБХ по генетично модифицирани организми относно „Оценка на генетично модифицираната соя MON 87705 (заявление GMFF-2023-21236)“, Бюлетин на ЕОБХ, 2026 г.</w:t>
      </w:r>
      <w:r w:rsidR="00AF3E64">
        <w:rPr>
          <w:sz w:val="24"/>
          <w:lang w:val="bg-BG"/>
        </w:rPr>
        <w:t>,</w:t>
      </w:r>
      <w:r w:rsidRPr="00CD12F0">
        <w:rPr>
          <w:sz w:val="24"/>
          <w:lang w:val="bg-BG"/>
        </w:rPr>
        <w:t xml:space="preserve"> 24(1):e9846 , </w:t>
      </w:r>
      <w:hyperlink r:id="rId4" w:history="1">
        <w:r w:rsidRPr="00CD12F0">
          <w:rPr>
            <w:rStyle w:val="Hyperlink"/>
            <w:sz w:val="24"/>
            <w:lang w:val="bg-BG"/>
          </w:rPr>
          <w:t>https://doi.org/10.2903/j.efsa.2026.9846</w:t>
        </w:r>
      </w:hyperlink>
      <w:r w:rsidRPr="00CD12F0">
        <w:rPr>
          <w:rStyle w:val="Hyperlink"/>
          <w:sz w:val="24"/>
          <w:lang w:val="bg-BG"/>
        </w:rPr>
        <w:t>.</w:t>
      </w:r>
    </w:p>
  </w:footnote>
  <w:footnote w:id="6">
    <w:p w:rsidR="003A40FD" w:rsidRPr="00CD12F0" w:rsidP="00CD12F0" w14:paraId="18D505D3" w14:textId="012B846F">
      <w:pPr>
        <w:pStyle w:val="FootnoteText"/>
        <w:ind w:left="567" w:hanging="567"/>
        <w:rPr>
          <w:color w:val="000000" w:themeColor="text1"/>
          <w:sz w:val="24"/>
          <w:vertAlign w:val="superscript"/>
          <w:lang w:val="bg-BG"/>
        </w:rPr>
      </w:pPr>
      <w:r w:rsidRPr="00CD12F0">
        <w:rPr>
          <w:rStyle w:val="Funotenzeichen"/>
          <w:sz w:val="24"/>
          <w:lang w:val="bg-BG"/>
        </w:rPr>
        <w:footnoteRef/>
      </w:r>
      <w:r w:rsidRPr="00CD12F0" w:rsidR="00CD12F0">
        <w:rPr>
          <w:sz w:val="24"/>
          <w:lang w:val="bg-BG"/>
        </w:rPr>
        <w:t xml:space="preserve"> </w:t>
      </w:r>
      <w:r w:rsidRPr="00CD12F0" w:rsidR="00CD12F0">
        <w:rPr>
          <w:sz w:val="24"/>
          <w:lang w:val="bg-BG"/>
        </w:rPr>
        <w:tab/>
      </w:r>
      <w:r w:rsidRPr="00CD12F0">
        <w:rPr>
          <w:sz w:val="24"/>
          <w:lang w:val="bg-BG"/>
        </w:rPr>
        <w:t>По време на осмия си мандат Парламентът прие 36 резолюции, а през деветия си мандат – 38 резолюции, в които възразява срещу разрешаването на ГМО.</w:t>
      </w:r>
      <w:r w:rsidRPr="00CD12F0">
        <w:rPr>
          <w:color w:val="000000" w:themeColor="text1"/>
          <w:sz w:val="24"/>
          <w:lang w:val="bg-BG"/>
        </w:rPr>
        <w:t xml:space="preserve"> Освен това през десетия си мандат Парламентът прие следните резолюции:</w:t>
      </w:r>
    </w:p>
    <w:p w:rsidR="003A40FD" w:rsidRPr="00CD12F0" w:rsidP="009F4B2A" w14:paraId="3F4D3350" w14:textId="1A8C38C6">
      <w:pPr>
        <w:pStyle w:val="FootnoteText"/>
        <w:ind w:left="1134" w:hanging="567"/>
        <w:rPr>
          <w:color w:val="000000" w:themeColor="text1"/>
          <w:sz w:val="24"/>
          <w:vertAlign w:val="superscript"/>
          <w:lang w:val="bg-BG"/>
        </w:rPr>
      </w:pPr>
      <w:r w:rsidRPr="00CD12F0">
        <w:rPr>
          <w:color w:val="000000" w:themeColor="text1"/>
          <w:sz w:val="24"/>
          <w:lang w:val="bg-BG"/>
        </w:rPr>
        <w:t>–</w:t>
      </w:r>
      <w:r w:rsidRPr="00CD12F0">
        <w:rPr>
          <w:color w:val="000000" w:themeColor="text1"/>
          <w:sz w:val="24"/>
          <w:lang w:val="bg-BG"/>
        </w:rPr>
        <w:tab/>
        <w:t>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hyperlink r:id="rId5" w:history="1">
        <w:r w:rsidRPr="00CD12F0">
          <w:rPr>
            <w:rStyle w:val="Hyperlink"/>
            <w:sz w:val="24"/>
            <w:lang w:val="bg-BG"/>
          </w:rPr>
          <w:t>http://data.europa.eu/eli/C/2025/1797/oj</w:t>
        </w:r>
      </w:hyperlink>
      <w:r w:rsidRPr="00CD12F0">
        <w:rPr>
          <w:color w:val="000000" w:themeColor="text1"/>
          <w:sz w:val="24"/>
          <w:lang w:val="bg-BG"/>
        </w:rPr>
        <w:t>).</w:t>
      </w:r>
    </w:p>
    <w:p w:rsidR="003A40FD" w:rsidRPr="00CD12F0" w:rsidP="009F4B2A" w14:paraId="0FB65EBB" w14:textId="106AB131">
      <w:pPr>
        <w:pStyle w:val="FootnoteText"/>
        <w:ind w:left="1134" w:hanging="567"/>
        <w:rPr>
          <w:color w:val="000000" w:themeColor="text1"/>
          <w:sz w:val="24"/>
          <w:vertAlign w:val="superscript"/>
          <w:lang w:val="bg-BG"/>
        </w:rPr>
      </w:pPr>
      <w:r w:rsidRPr="00CD12F0">
        <w:rPr>
          <w:color w:val="000000" w:themeColor="text1"/>
          <w:sz w:val="24"/>
          <w:lang w:val="bg-BG"/>
        </w:rPr>
        <w:t>–</w:t>
      </w:r>
      <w:r w:rsidRPr="00CD12F0">
        <w:rPr>
          <w:color w:val="000000" w:themeColor="text1"/>
          <w:sz w:val="24"/>
          <w:lang w:val="bg-BG"/>
        </w:rPr>
        <w:tab/>
        <w:t>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hyperlink r:id="rId6" w:history="1">
        <w:r w:rsidRPr="00CD12F0">
          <w:rPr>
            <w:rStyle w:val="Hyperlink"/>
            <w:sz w:val="24"/>
            <w:lang w:val="bg-BG"/>
          </w:rPr>
          <w:t>http://data.europa.eu/eli/C/2025/1798/oj</w:t>
        </w:r>
      </w:hyperlink>
      <w:r w:rsidRPr="00CD12F0">
        <w:rPr>
          <w:color w:val="000000" w:themeColor="text1"/>
          <w:sz w:val="24"/>
          <w:lang w:val="bg-BG"/>
        </w:rPr>
        <w:t>).</w:t>
      </w:r>
    </w:p>
    <w:p w:rsidR="003A40FD" w:rsidRPr="00CD12F0" w:rsidP="009F4B2A" w14:paraId="625CD72A" w14:textId="681C4D2F">
      <w:pPr>
        <w:pStyle w:val="FootnoteText"/>
        <w:ind w:left="1134" w:hanging="567"/>
        <w:rPr>
          <w:color w:val="000000" w:themeColor="text1"/>
          <w:sz w:val="24"/>
          <w:vertAlign w:val="superscript"/>
          <w:lang w:val="bg-BG"/>
        </w:rPr>
      </w:pPr>
      <w:r w:rsidRPr="00CD12F0">
        <w:rPr>
          <w:color w:val="000000" w:themeColor="text1"/>
          <w:sz w:val="24"/>
          <w:lang w:val="bg-BG"/>
        </w:rPr>
        <w:t>–</w:t>
      </w:r>
      <w:r w:rsidRPr="00CD12F0">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MON 88017 × 59122 и осем нейни </w:t>
      </w:r>
      <w:r w:rsidRPr="00CD12F0">
        <w:rPr>
          <w:color w:val="000000" w:themeColor="text1"/>
          <w:sz w:val="24"/>
          <w:lang w:val="bg-BG"/>
        </w:rPr>
        <w:t>подкомбинации</w:t>
      </w:r>
      <w:r w:rsidRPr="00CD12F0">
        <w:rPr>
          <w:color w:val="000000" w:themeColor="text1"/>
          <w:sz w:val="24"/>
          <w:lang w:val="bg-BG"/>
        </w:rPr>
        <w:t>, съгласно Регламент (ЕО) № 1829/2003 на Европейския парламент и на Съвета (ОВ C, C/2025/1799, 4.4.2025 г., ELI: </w:t>
      </w:r>
      <w:hyperlink r:id="rId7" w:history="1">
        <w:r w:rsidRPr="00CD12F0">
          <w:rPr>
            <w:rStyle w:val="Hyperlink"/>
            <w:sz w:val="24"/>
            <w:lang w:val="bg-BG"/>
          </w:rPr>
          <w:t>http://data.europa.eu/eli/C/2025/1799/oj</w:t>
        </w:r>
      </w:hyperlink>
      <w:r w:rsidRPr="00CD12F0">
        <w:rPr>
          <w:color w:val="000000" w:themeColor="text1"/>
          <w:sz w:val="24"/>
          <w:lang w:val="bg-BG"/>
        </w:rPr>
        <w:t>).</w:t>
      </w:r>
    </w:p>
    <w:p w:rsidR="003A40FD" w:rsidRPr="00CD12F0" w:rsidP="009F4B2A" w14:paraId="1EB75F0B" w14:textId="20CA009B">
      <w:pPr>
        <w:pStyle w:val="FootnoteText"/>
        <w:ind w:left="1134" w:hanging="567"/>
        <w:rPr>
          <w:color w:val="000000" w:themeColor="text1"/>
          <w:sz w:val="24"/>
          <w:vertAlign w:val="superscript"/>
          <w:lang w:val="bg-BG"/>
        </w:rPr>
      </w:pPr>
      <w:r w:rsidRPr="00CD12F0">
        <w:rPr>
          <w:color w:val="000000" w:themeColor="text1"/>
          <w:sz w:val="24"/>
          <w:lang w:val="bg-BG"/>
        </w:rPr>
        <w:t>–</w:t>
      </w:r>
      <w:r w:rsidRPr="00CD12F0">
        <w:rPr>
          <w:color w:val="000000" w:themeColor="text1"/>
          <w:sz w:val="24"/>
          <w:lang w:val="bg-BG"/>
        </w:rPr>
        <w:tab/>
        <w:t>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hyperlink r:id="rId8" w:history="1">
        <w:r w:rsidRPr="00CD12F0">
          <w:rPr>
            <w:rStyle w:val="Hyperlink"/>
            <w:sz w:val="24"/>
            <w:lang w:val="bg-BG"/>
          </w:rPr>
          <w:t>http://data.europa.eu/eli/C/2025/1800/oj</w:t>
        </w:r>
      </w:hyperlink>
      <w:r w:rsidRPr="00CD12F0">
        <w:rPr>
          <w:color w:val="000000" w:themeColor="text1"/>
          <w:sz w:val="24"/>
          <w:lang w:val="bg-BG"/>
        </w:rPr>
        <w:t>).</w:t>
      </w:r>
    </w:p>
    <w:p w:rsidR="003A40FD" w:rsidRPr="00CD12F0" w:rsidP="009F4B2A" w14:paraId="7BC5FB57" w14:textId="00860FCE">
      <w:pPr>
        <w:pStyle w:val="FootnoteText"/>
        <w:ind w:left="1134" w:hanging="567"/>
        <w:rPr>
          <w:color w:val="000000" w:themeColor="text1"/>
          <w:sz w:val="24"/>
          <w:vertAlign w:val="superscript"/>
          <w:lang w:val="bg-BG"/>
        </w:rPr>
      </w:pPr>
      <w:r w:rsidRPr="00CD12F0">
        <w:rPr>
          <w:color w:val="000000" w:themeColor="text1"/>
          <w:sz w:val="24"/>
          <w:lang w:val="bg-BG"/>
        </w:rPr>
        <w:t>–</w:t>
      </w:r>
      <w:r w:rsidRPr="00CD12F0">
        <w:rPr>
          <w:color w:val="000000" w:themeColor="text1"/>
          <w:sz w:val="24"/>
          <w:lang w:val="bg-BG"/>
        </w:rPr>
        <w:tab/>
        <w:t>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hyperlink r:id="rId9" w:history="1">
        <w:r w:rsidRPr="00CD12F0">
          <w:rPr>
            <w:rStyle w:val="Hyperlink"/>
            <w:sz w:val="24"/>
            <w:lang w:val="bg-BG"/>
          </w:rPr>
          <w:t>http://data.europa.eu/eli/C/2025/1801/oj</w:t>
        </w:r>
      </w:hyperlink>
      <w:r w:rsidRPr="00CD12F0">
        <w:rPr>
          <w:color w:val="000000" w:themeColor="text1"/>
          <w:sz w:val="24"/>
          <w:lang w:val="bg-BG"/>
        </w:rPr>
        <w:t>).</w:t>
      </w:r>
    </w:p>
    <w:p w:rsidR="003A40FD" w:rsidRPr="00CD12F0" w:rsidP="009F4B2A" w14:paraId="75482A58" w14:textId="32190EFB">
      <w:pPr>
        <w:pStyle w:val="FootnoteText"/>
        <w:ind w:left="1134" w:hanging="567"/>
        <w:rPr>
          <w:color w:val="000000" w:themeColor="text1"/>
          <w:sz w:val="24"/>
          <w:vertAlign w:val="superscript"/>
          <w:lang w:val="bg-BG"/>
        </w:rPr>
      </w:pPr>
      <w:r w:rsidRPr="00CD12F0">
        <w:rPr>
          <w:color w:val="000000" w:themeColor="text1"/>
          <w:sz w:val="24"/>
          <w:lang w:val="bg-BG"/>
        </w:rPr>
        <w:t>–</w:t>
      </w:r>
      <w:r w:rsidRPr="00CD12F0">
        <w:rPr>
          <w:color w:val="000000" w:themeColor="text1"/>
          <w:sz w:val="24"/>
          <w:lang w:val="bg-BG"/>
        </w:rPr>
        <w:tab/>
        <w:t>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съгласно Регламент (ЕО) № 1829/2003 на Европейския парламент и на Съвета (ОВ C, C/2025/1802, 4.4.2025 г., ELI: </w:t>
      </w:r>
      <w:hyperlink r:id="rId10" w:history="1">
        <w:r w:rsidRPr="00CD12F0">
          <w:rPr>
            <w:rStyle w:val="Hyperlink"/>
            <w:sz w:val="24"/>
            <w:lang w:val="bg-BG"/>
          </w:rPr>
          <w:t>http://data.europa.eu/eli/C/2025/1802/oj</w:t>
        </w:r>
      </w:hyperlink>
      <w:r w:rsidRPr="00CD12F0">
        <w:rPr>
          <w:color w:val="000000" w:themeColor="text1"/>
          <w:sz w:val="24"/>
          <w:lang w:val="bg-BG"/>
        </w:rPr>
        <w:t>).</w:t>
      </w:r>
    </w:p>
    <w:p w:rsidR="003A40FD" w:rsidRPr="00CD12F0" w:rsidP="009F4B2A" w14:paraId="6C8D67FA" w14:textId="06606F0E">
      <w:pPr>
        <w:pStyle w:val="FootnoteText"/>
        <w:ind w:left="1134" w:hanging="567"/>
        <w:rPr>
          <w:color w:val="000000" w:themeColor="text1"/>
          <w:sz w:val="24"/>
          <w:vertAlign w:val="superscript"/>
          <w:lang w:val="bg-BG"/>
        </w:rPr>
      </w:pPr>
      <w:r w:rsidRPr="00CD12F0">
        <w:rPr>
          <w:color w:val="000000" w:themeColor="text1"/>
          <w:sz w:val="24"/>
          <w:lang w:val="bg-BG"/>
        </w:rPr>
        <w:t>–</w:t>
      </w:r>
      <w:r w:rsidRPr="00CD12F0">
        <w:rPr>
          <w:color w:val="000000" w:themeColor="text1"/>
          <w:sz w:val="24"/>
          <w:lang w:val="bg-BG"/>
        </w:rPr>
        <w:tab/>
        <w:t>Резолюция на Европейския парламент от 26 ноември 2024 г. относно Решение за изпълнение (EС)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hyperlink r:id="rId11" w:history="1">
        <w:r w:rsidRPr="00CD12F0">
          <w:rPr>
            <w:rStyle w:val="Hyperlink"/>
            <w:sz w:val="24"/>
            <w:lang w:val="bg-BG"/>
          </w:rPr>
          <w:t>http://data.europa.eu/eli/C/2025/1803/oj</w:t>
        </w:r>
      </w:hyperlink>
      <w:r w:rsidRPr="00CD12F0">
        <w:rPr>
          <w:color w:val="000000" w:themeColor="text1"/>
          <w:sz w:val="24"/>
          <w:lang w:val="bg-BG"/>
        </w:rPr>
        <w:t>).</w:t>
      </w:r>
    </w:p>
    <w:p w:rsidR="003A40FD" w:rsidRPr="00CD12F0" w:rsidP="009F4B2A" w14:paraId="07DAE553" w14:textId="3C913015">
      <w:pPr>
        <w:pStyle w:val="FootnoteText"/>
        <w:ind w:left="1134" w:hanging="567"/>
        <w:rPr>
          <w:color w:val="000000" w:themeColor="text1"/>
          <w:sz w:val="24"/>
          <w:vertAlign w:val="superscript"/>
          <w:lang w:val="bg-BG"/>
        </w:rPr>
      </w:pPr>
      <w:r w:rsidRPr="00CD12F0">
        <w:rPr>
          <w:color w:val="000000" w:themeColor="text1"/>
          <w:sz w:val="24"/>
          <w:lang w:val="bg-BG"/>
        </w:rPr>
        <w:t>–</w:t>
      </w:r>
      <w:r w:rsidRPr="00CD12F0">
        <w:rPr>
          <w:color w:val="000000" w:themeColor="text1"/>
          <w:sz w:val="24"/>
          <w:lang w:val="bg-BG"/>
        </w:rPr>
        <w:tab/>
        <w:t>Резолюция на Европейския парламент от 26 ноември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 (ОВ C, C/2025/1804, 4.4.2025 г., ELI: </w:t>
      </w:r>
      <w:hyperlink r:id="rId12" w:history="1">
        <w:r w:rsidRPr="00CD12F0">
          <w:rPr>
            <w:rStyle w:val="Hyperlink"/>
            <w:sz w:val="24"/>
            <w:lang w:val="bg-BG"/>
          </w:rPr>
          <w:t>http://data.europa.eu/eli/C/2025/1804/oj</w:t>
        </w:r>
      </w:hyperlink>
      <w:r w:rsidRPr="00CD12F0">
        <w:rPr>
          <w:color w:val="000000" w:themeColor="text1"/>
          <w:sz w:val="24"/>
          <w:lang w:val="bg-BG"/>
        </w:rPr>
        <w:t>).</w:t>
      </w:r>
    </w:p>
    <w:p w:rsidR="003A40FD" w:rsidRPr="00CD12F0" w:rsidP="009F4B2A" w14:paraId="739C4C3C" w14:textId="28EE7C78">
      <w:pPr>
        <w:pStyle w:val="FootnoteText"/>
        <w:ind w:left="1134" w:hanging="567"/>
        <w:rPr>
          <w:sz w:val="24"/>
          <w:vertAlign w:val="superscript"/>
          <w:lang w:val="bg-BG"/>
        </w:rPr>
      </w:pPr>
      <w:r w:rsidRPr="00CD12F0">
        <w:rPr>
          <w:color w:val="000000" w:themeColor="text1"/>
          <w:sz w:val="24"/>
          <w:lang w:val="bg-BG"/>
        </w:rPr>
        <w:t>–</w:t>
      </w:r>
      <w:r w:rsidRPr="00CD12F0">
        <w:rPr>
          <w:color w:val="000000" w:themeColor="text1"/>
          <w:sz w:val="24"/>
          <w:lang w:val="bg-BG"/>
        </w:rPr>
        <w:tab/>
      </w:r>
      <w:r w:rsidRPr="00CD12F0">
        <w:rPr>
          <w:sz w:val="24"/>
          <w:lang w:val="bg-BG"/>
        </w:rPr>
        <w:t>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hyperlink r:id="rId13" w:tooltip="Достъп до този документ чрез неговия идентификатор ELI URI." w:history="1">
        <w:r w:rsidRPr="00CD12F0">
          <w:rPr>
            <w:rStyle w:val="Hyperlink"/>
            <w:sz w:val="24"/>
            <w:lang w:val="bg-BG"/>
          </w:rPr>
          <w:t>http://data.europa.eu/eli/C/2025/2246/oj</w:t>
        </w:r>
      </w:hyperlink>
      <w:r w:rsidRPr="00CD12F0">
        <w:rPr>
          <w:sz w:val="24"/>
          <w:lang w:val="bg-BG"/>
        </w:rPr>
        <w:t>).</w:t>
      </w:r>
    </w:p>
    <w:p w:rsidR="003A40FD" w:rsidRPr="00CD12F0" w:rsidP="009F4B2A" w14:paraId="4E2584A5" w14:textId="6029D9DD">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12 февруари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95275, в съответствие с Регламент (ЕО) № 1829/2003 на Европейския парламент и на Съвета (ОВ C, C/2025/2247, 29.4.2025 г., ELI: </w:t>
      </w:r>
      <w:hyperlink r:id="rId14" w:tooltip="Достъп до този документ чрез неговия идентификатор ELI URI." w:history="1">
        <w:r w:rsidRPr="00CD12F0">
          <w:rPr>
            <w:rStyle w:val="Hyperlink"/>
            <w:sz w:val="24"/>
            <w:lang w:val="bg-BG"/>
          </w:rPr>
          <w:t>http://data.europa.eu/eli/C/2025/2247/oj</w:t>
        </w:r>
      </w:hyperlink>
      <w:r w:rsidRPr="00CD12F0">
        <w:rPr>
          <w:sz w:val="24"/>
          <w:lang w:val="bg-BG"/>
        </w:rPr>
        <w:t>).</w:t>
      </w:r>
    </w:p>
    <w:p w:rsidR="003A40FD" w:rsidRPr="00CD12F0" w:rsidP="009F4B2A" w14:paraId="105E88AF" w14:textId="4097DE0F">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(ОВ C, C/2026/586, 24.2.2026 г., ELI: </w:t>
      </w:r>
      <w:hyperlink r:id="rId15" w:tooltip="Достъп до този документ чрез неговия идентификатор ELI URI." w:history="1">
        <w:r w:rsidRPr="00CD12F0">
          <w:rPr>
            <w:rStyle w:val="Hyperlink"/>
            <w:sz w:val="24"/>
            <w:lang w:val="bg-BG"/>
          </w:rPr>
          <w:t>http://data.europa.eu/eli/C/2026/586/oj</w:t>
        </w:r>
      </w:hyperlink>
      <w:r w:rsidRPr="00CD12F0">
        <w:rPr>
          <w:sz w:val="24"/>
          <w:lang w:val="bg-BG"/>
        </w:rPr>
        <w:t>).</w:t>
      </w:r>
    </w:p>
    <w:p w:rsidR="003A40FD" w:rsidRPr="00CD12F0" w:rsidP="009F4B2A" w14:paraId="15AE53C7" w14:textId="1D2EB912">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8 октомври 2025 г. относно Решение за изпълнение (EС) 2025/1898 на Комисията 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 (ОВ C, C/2026/1523, 15.4.2026 г., ELI: </w:t>
      </w:r>
      <w:hyperlink r:id="rId16" w:history="1">
        <w:r w:rsidRPr="00CD12F0">
          <w:rPr>
            <w:rStyle w:val="Hyperlink"/>
            <w:sz w:val="24"/>
            <w:lang w:val="bg-BG"/>
          </w:rPr>
          <w:t>http://data.europa.eu/eli/C/2026/1523/oj</w:t>
        </w:r>
      </w:hyperlink>
      <w:r w:rsidRPr="00CD12F0">
        <w:rPr>
          <w:sz w:val="24"/>
          <w:lang w:val="bg-BG"/>
        </w:rPr>
        <w:t>).</w:t>
      </w:r>
    </w:p>
    <w:p w:rsidR="003A40FD" w:rsidRPr="00CD12F0" w:rsidP="009F4B2A" w14:paraId="5BD0C797" w14:textId="247EB64A">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25 ноември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DAS1131, в съответствие с Регламент (ЕО) № 1829/2003 на Европейския парламент и на Съвета (ОВ C, C/2026/1703, 24.4.2026 г., ELI: </w:t>
      </w:r>
      <w:hyperlink r:id="rId17" w:history="1">
        <w:r w:rsidRPr="00CD12F0">
          <w:rPr>
            <w:rStyle w:val="Hyperlink"/>
            <w:sz w:val="24"/>
            <w:lang w:val="bg-BG"/>
          </w:rPr>
          <w:t>http://data.europa.eu/eli/C/2026/1703/oj</w:t>
        </w:r>
      </w:hyperlink>
      <w:r w:rsidRPr="00CD12F0">
        <w:rPr>
          <w:sz w:val="24"/>
          <w:lang w:val="bg-BG"/>
        </w:rPr>
        <w:t>).</w:t>
      </w:r>
    </w:p>
    <w:p w:rsidR="003A40FD" w:rsidRPr="00CD12F0" w:rsidP="009F4B2A" w14:paraId="7385E4F0" w14:textId="2C240B0D">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MON 88913 (MON-88913-8), съгласно Регламент (ЕО) № 1829/2003 на Европейския парламент и на Съвета (ОВ C, C/2026/1704, 24.4.2026 г., ELI: </w:t>
      </w:r>
      <w:hyperlink r:id="rId18" w:history="1">
        <w:r w:rsidRPr="00CD12F0">
          <w:rPr>
            <w:rStyle w:val="Hyperlink"/>
            <w:sz w:val="24"/>
            <w:lang w:val="bg-BG"/>
          </w:rPr>
          <w:t>http://data.europa.eu/eli/C/2026/1704/oj</w:t>
        </w:r>
      </w:hyperlink>
      <w:r w:rsidRPr="00CD12F0">
        <w:rPr>
          <w:sz w:val="24"/>
          <w:lang w:val="bg-BG"/>
        </w:rPr>
        <w:t>).</w:t>
      </w:r>
    </w:p>
    <w:p w:rsidR="003A40FD" w:rsidRPr="00CD12F0" w:rsidP="009F4B2A" w14:paraId="72ACB967" w14:textId="7DC8C736">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маслодайна рапица MON 88302, съгласно Регламент (ЕО) № 1829/2003 на Европейския парламент и на Съвета (ОВ C, C/2026/1705, 24.4.2026 г., ELI: </w:t>
      </w:r>
      <w:hyperlink r:id="rId19" w:history="1">
        <w:r w:rsidRPr="00CD12F0">
          <w:rPr>
            <w:rStyle w:val="Hyperlink"/>
            <w:sz w:val="24"/>
            <w:lang w:val="bg-BG"/>
          </w:rPr>
          <w:t>http://data.europa.eu/eli/C/2026/1705/oj</w:t>
        </w:r>
      </w:hyperlink>
      <w:r w:rsidRPr="00CD12F0">
        <w:rPr>
          <w:sz w:val="24"/>
          <w:lang w:val="bg-BG"/>
        </w:rPr>
        <w:t>).</w:t>
      </w:r>
    </w:p>
    <w:p w:rsidR="003A40FD" w:rsidRPr="00CD12F0" w:rsidP="009F4B2A" w14:paraId="6751AC1C" w14:textId="1A8F6C7D">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25 ноември 2025 г. относно решението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соя MON 87708, съгласно Регламент (ЕО) № 1829/2003 на Европейския парламент и на Съвета (ОВ C, C/2026/1706, 24.4.2026 г., ELI: </w:t>
      </w:r>
      <w:hyperlink r:id="rId20" w:history="1">
        <w:r w:rsidRPr="00CD12F0">
          <w:rPr>
            <w:rStyle w:val="Hyperlink"/>
            <w:sz w:val="24"/>
            <w:lang w:val="bg-BG"/>
          </w:rPr>
          <w:t>http://data.europa.eu/eli/C/2026/1706/oj</w:t>
        </w:r>
      </w:hyperlink>
      <w:r w:rsidRPr="00CD12F0">
        <w:rPr>
          <w:sz w:val="24"/>
          <w:lang w:val="bg-BG"/>
        </w:rPr>
        <w:t>).</w:t>
      </w:r>
    </w:p>
    <w:p w:rsidR="003A40FD" w:rsidRPr="00CD12F0" w:rsidP="009F4B2A" w14:paraId="4344AC93" w14:textId="49F29FA3">
      <w:pPr>
        <w:pStyle w:val="FootnoteText"/>
        <w:ind w:left="1134" w:hanging="567"/>
        <w:rPr>
          <w:sz w:val="24"/>
          <w:vertAlign w:val="superscript"/>
          <w:lang w:val="bg-BG"/>
        </w:rPr>
      </w:pPr>
      <w:r w:rsidRPr="00CD12F0">
        <w:rPr>
          <w:sz w:val="24"/>
          <w:lang w:val="bg-BG"/>
        </w:rPr>
        <w:t>–</w:t>
      </w:r>
      <w:r w:rsidRPr="00CD12F0">
        <w:rPr>
          <w:sz w:val="24"/>
          <w:lang w:val="bg-BG"/>
        </w:rPr>
        <w:tab/>
        <w:t xml:space="preserve">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87427, съгласно Регламент </w:t>
      </w:r>
      <w:r w:rsidR="00D154A3">
        <w:rPr>
          <w:sz w:val="24"/>
          <w:lang w:val="bg-BG"/>
        </w:rPr>
        <w:t xml:space="preserve">(ЕО) </w:t>
      </w:r>
      <w:r w:rsidRPr="00CD12F0">
        <w:rPr>
          <w:sz w:val="24"/>
          <w:lang w:val="bg-BG"/>
        </w:rPr>
        <w:t>№ 1829/2003 на Европейския парламент и на Съвета (ОВ C, C/2026/1707, 24.4.2026 г., ELI: </w:t>
      </w:r>
      <w:hyperlink r:id="rId21" w:history="1">
        <w:r w:rsidRPr="00CD12F0">
          <w:rPr>
            <w:rStyle w:val="Hyperlink"/>
            <w:sz w:val="24"/>
            <w:lang w:val="bg-BG"/>
          </w:rPr>
          <w:t>http://data.europa.eu/eli/C/2026/1707/oj</w:t>
        </w:r>
      </w:hyperlink>
      <w:r w:rsidRPr="00CD12F0">
        <w:rPr>
          <w:sz w:val="24"/>
          <w:lang w:val="bg-BG"/>
        </w:rPr>
        <w:t>).</w:t>
      </w:r>
    </w:p>
    <w:p w:rsidR="003A40FD" w:rsidRPr="00CD12F0" w:rsidP="009F4B2A" w14:paraId="3C9D6DA7" w14:textId="728789A6">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16 декември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NK603, съгласно Регламент (ЕО) № 1829/2003 на Европейския парламент и на Съвета (ОВ C, C/2026/2150, 6.5.2026 г., ELI: </w:t>
      </w:r>
      <w:hyperlink r:id="rId22" w:history="1">
        <w:r w:rsidRPr="00CD12F0">
          <w:rPr>
            <w:rStyle w:val="Hyperlink"/>
            <w:sz w:val="24"/>
            <w:lang w:val="bg-BG"/>
          </w:rPr>
          <w:t>http://data.europa.eu/eli/C/2026/2150/oj</w:t>
        </w:r>
      </w:hyperlink>
      <w:r w:rsidRPr="00CD12F0">
        <w:rPr>
          <w:sz w:val="24"/>
          <w:lang w:val="bg-BG"/>
        </w:rPr>
        <w:t>).</w:t>
      </w:r>
    </w:p>
    <w:p w:rsidR="003A40FD" w:rsidRPr="00CD12F0" w:rsidP="009F4B2A" w14:paraId="7E8468DF" w14:textId="54B8A3DC">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16 декември 2025 г. относно проекта на решение за изпълнение на Комисията за разрешаване на пускането на пазара на храни, хранителни съставки и фуражи, произведени от генетично модифицирано захарно цвекло KWS20-1, съгласно Регламент (ЕО) № 1829/2003 на Европейския парламент и на Съвета (ОВ C, C/2026/2151, 6.5.2026 г., ELI: </w:t>
      </w:r>
      <w:hyperlink r:id="rId23" w:history="1">
        <w:r w:rsidRPr="00CD12F0">
          <w:rPr>
            <w:rStyle w:val="Hyperlink"/>
            <w:sz w:val="24"/>
            <w:lang w:val="bg-BG"/>
          </w:rPr>
          <w:t>http://data.europa.eu/eli/C/2026/2151/oj</w:t>
        </w:r>
      </w:hyperlink>
      <w:r w:rsidRPr="00CD12F0">
        <w:rPr>
          <w:sz w:val="24"/>
          <w:lang w:val="bg-BG"/>
        </w:rPr>
        <w:t>).</w:t>
      </w:r>
    </w:p>
    <w:p w:rsidR="003A40FD" w:rsidRPr="00CD12F0" w:rsidP="009F4B2A" w14:paraId="38B81E9C" w14:textId="4A7300D1">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11 февруари 2026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DBN-09004-6, в съответствие с Регламент (ЕО) № 1829/2003 на Европейския парламент и на Съвета (Приети текстове, P10_TA(2026)0041).</w:t>
      </w:r>
    </w:p>
    <w:p w:rsidR="003A40FD" w:rsidRPr="00CD12F0" w:rsidP="009F4B2A" w14:paraId="0A7B1A38" w14:textId="38F34039">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11 февруари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T25 (ACS-ZMØØ3-2), съгласно Регламент (ЕО) № 1829/2003 на Европейския парламент и на Съвета (Приети текстове, P10_TA(2026)0042).</w:t>
      </w:r>
    </w:p>
    <w:p w:rsidR="003A40FD" w:rsidRPr="00CD12F0" w:rsidP="009F4B2A" w14:paraId="2FA99E20" w14:textId="66F38C91">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11 февруари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GHB614 × LLCotton25, съгласно Регламент (ЕО) № 1829/2003 на Европейския парламент и на Съвета (Приети текстове, P10_TA(2026)0043).</w:t>
      </w:r>
    </w:p>
    <w:p w:rsidR="003A40FD" w:rsidRPr="00CD12F0" w:rsidP="009F4B2A" w14:paraId="19240BEB" w14:textId="286489EB">
      <w:pPr>
        <w:pStyle w:val="FootnoteText"/>
        <w:ind w:left="1134" w:hanging="567"/>
        <w:rPr>
          <w:sz w:val="24"/>
          <w:vertAlign w:val="superscript"/>
          <w:lang w:val="bg-BG"/>
        </w:rPr>
      </w:pPr>
      <w:r w:rsidRPr="00CD12F0">
        <w:rPr>
          <w:sz w:val="24"/>
          <w:lang w:val="bg-BG"/>
        </w:rPr>
        <w:t>–</w:t>
      </w:r>
      <w:r w:rsidRPr="00CD12F0">
        <w:rPr>
          <w:sz w:val="24"/>
          <w:lang w:val="bg-BG"/>
        </w:rPr>
        <w:tab/>
        <w:t>Резолюция на Европейския парламент от 11 февруари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T304-40, съгласно Регламент (ЕО) № 1829/2003 на Европейския парламент и на Съвета (Приети текстове, P10_TA(2026)0044).</w:t>
      </w:r>
    </w:p>
    <w:p w:rsidR="003A40FD" w:rsidRPr="00CD12F0" w:rsidP="009F4B2A" w14:paraId="16E9E521" w14:textId="340BBDC9">
      <w:pPr>
        <w:pStyle w:val="FootnoteText"/>
        <w:ind w:left="1134" w:hanging="567"/>
        <w:rPr>
          <w:sz w:val="24"/>
          <w:lang w:val="bg-BG"/>
        </w:rPr>
      </w:pPr>
      <w:r w:rsidRPr="00CD12F0">
        <w:rPr>
          <w:sz w:val="24"/>
          <w:lang w:val="bg-BG"/>
        </w:rPr>
        <w:t>–</w:t>
      </w:r>
      <w:r w:rsidRPr="00CD12F0">
        <w:rPr>
          <w:sz w:val="24"/>
          <w:lang w:val="bg-BG"/>
        </w:rPr>
        <w:tab/>
        <w:t>Резолюция на Европейския парламент от 29 април 2026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94637, в съответствие с Регламент (ЕО) № 1829/2003 на Европейския парламент и на Съвета (Приети текстове, P10_TA(2026)0150).</w:t>
      </w:r>
    </w:p>
  </w:footnote>
  <w:footnote w:id="7">
    <w:p w:rsidR="003A40FD" w:rsidRPr="00CD12F0" w:rsidP="00CD12F0" w14:paraId="2607E3A7" w14:textId="0181EBEA">
      <w:pPr>
        <w:pStyle w:val="FootnoteText"/>
        <w:ind w:left="567" w:hanging="567"/>
        <w:rPr>
          <w:sz w:val="24"/>
          <w:lang w:val="bg-BG"/>
        </w:rPr>
      </w:pPr>
      <w:r w:rsidRPr="00CD12F0">
        <w:rPr>
          <w:rStyle w:val="FootnoteReference"/>
          <w:sz w:val="24"/>
          <w:lang w:val="bg-BG"/>
        </w:rPr>
        <w:footnoteRef/>
      </w:r>
      <w:r w:rsidRPr="00CD12F0" w:rsidR="00CD12F0">
        <w:rPr>
          <w:sz w:val="24"/>
          <w:lang w:val="bg-BG"/>
        </w:rPr>
        <w:t xml:space="preserve"> </w:t>
      </w:r>
      <w:r w:rsidRPr="00CD12F0" w:rsidR="00CD12F0">
        <w:rPr>
          <w:sz w:val="24"/>
          <w:lang w:val="bg-BG"/>
        </w:rPr>
        <w:tab/>
      </w:r>
      <w:r w:rsidRPr="00CD12F0">
        <w:rPr>
          <w:sz w:val="24"/>
          <w:lang w:val="bg-BG"/>
        </w:rPr>
        <w:t xml:space="preserve">Решение за изпълнение (ЕС) 2015/696 на Комисията от 24 април 2015 г. за разрешаване на пускането на пазара на продукти, съдържащи, състоящи се или произведени от генетично модифицирана соя MON 87705 (MON-877Ø5-6) в съответствие с Регламент (ЕО) № 1829/2003 на Европейския парламент и на Съвета (ОВ L 112, 30.4.2015 г., стр. 60, ELI: </w:t>
      </w:r>
      <w:hyperlink r:id="rId24" w:history="1">
        <w:r w:rsidRPr="00CD12F0">
          <w:rPr>
            <w:rStyle w:val="Hyperlink"/>
            <w:sz w:val="24"/>
            <w:lang w:val="bg-BG"/>
          </w:rPr>
          <w:t>http://data.europa.eu/eli/dec_impl/2015/696/2021-02-16</w:t>
        </w:r>
      </w:hyperlink>
      <w:r w:rsidRPr="00CD12F0">
        <w:rPr>
          <w:sz w:val="24"/>
          <w:lang w:val="bg-BG"/>
        </w:rPr>
        <w:t>).</w:t>
      </w:r>
    </w:p>
  </w:footnote>
  <w:footnote w:id="8">
    <w:p w:rsidR="003A40FD" w:rsidRPr="00CD12F0" w:rsidP="00CD12F0" w14:paraId="17B54E25" w14:textId="523FF2C7">
      <w:pPr>
        <w:pStyle w:val="FootnoteText"/>
        <w:ind w:left="567" w:hanging="567"/>
        <w:rPr>
          <w:sz w:val="24"/>
          <w:lang w:val="bg-BG"/>
        </w:rPr>
      </w:pPr>
      <w:r w:rsidRPr="00CD12F0">
        <w:rPr>
          <w:rStyle w:val="FootnoteReference"/>
          <w:sz w:val="24"/>
          <w:lang w:val="bg-BG"/>
        </w:rPr>
        <w:footnoteRef/>
      </w:r>
      <w:r w:rsidRPr="00CD12F0" w:rsidR="00CD12F0">
        <w:rPr>
          <w:sz w:val="24"/>
          <w:lang w:val="bg-BG"/>
        </w:rPr>
        <w:t xml:space="preserve"> </w:t>
      </w:r>
      <w:r w:rsidRPr="00CD12F0" w:rsidR="00CD12F0">
        <w:rPr>
          <w:sz w:val="24"/>
          <w:lang w:val="bg-BG"/>
        </w:rPr>
        <w:tab/>
      </w:r>
      <w:r w:rsidRPr="00CD12F0">
        <w:rPr>
          <w:sz w:val="24"/>
          <w:lang w:val="bg-BG"/>
        </w:rPr>
        <w:t xml:space="preserve">Научно становище на Експертната група на ЕОБХ по генетично модифицирани организми относно оценката на генетично модифицираната соя MON 87705 за подновяване на разрешение съгласно Регламент (ЕО) № 1829/2003 (досие GMFF-2023-21236), EFSA </w:t>
      </w:r>
      <w:r w:rsidRPr="00CD12F0">
        <w:rPr>
          <w:sz w:val="24"/>
          <w:lang w:val="bg-BG"/>
        </w:rPr>
        <w:t>Journal</w:t>
      </w:r>
      <w:r w:rsidRPr="00CD12F0">
        <w:rPr>
          <w:sz w:val="24"/>
          <w:lang w:val="bg-BG"/>
        </w:rPr>
        <w:t xml:space="preserve"> (Бюлетин на ЕОБХ) 2026 г., 24(1):e9846, </w:t>
      </w:r>
      <w:hyperlink r:id="rId4" w:history="1">
        <w:r w:rsidRPr="00CD12F0">
          <w:rPr>
            <w:rStyle w:val="Hyperlink"/>
            <w:sz w:val="24"/>
            <w:lang w:val="bg-BG"/>
          </w:rPr>
          <w:t>https://doi.org/10.2903/j.efsa.2026.9846</w:t>
        </w:r>
      </w:hyperlink>
      <w:r w:rsidRPr="00CD12F0">
        <w:rPr>
          <w:sz w:val="24"/>
          <w:lang w:val="bg-BG"/>
        </w:rPr>
        <w:t>.</w:t>
      </w:r>
    </w:p>
  </w:footnote>
  <w:footnote w:id="9">
    <w:p w:rsidR="003A40FD" w:rsidRPr="00CD12F0" w:rsidP="00CD12F0" w14:paraId="21839811" w14:textId="23440A5A">
      <w:pPr>
        <w:pStyle w:val="FootnoteText"/>
        <w:ind w:left="567" w:hanging="567"/>
        <w:rPr>
          <w:sz w:val="24"/>
          <w:lang w:val="bg-BG"/>
        </w:rPr>
      </w:pPr>
      <w:r w:rsidRPr="00CD12F0">
        <w:rPr>
          <w:rStyle w:val="FootnoteReference"/>
          <w:sz w:val="24"/>
          <w:lang w:val="bg-BG"/>
        </w:rPr>
        <w:footnoteRef/>
      </w:r>
      <w:r w:rsidRPr="00CD12F0" w:rsidR="00CD12F0">
        <w:rPr>
          <w:sz w:val="24"/>
          <w:lang w:val="bg-BG"/>
        </w:rPr>
        <w:t xml:space="preserve"> </w:t>
      </w:r>
      <w:r w:rsidRPr="00CD12F0" w:rsidR="00CD12F0">
        <w:rPr>
          <w:sz w:val="24"/>
          <w:lang w:val="bg-BG"/>
        </w:rPr>
        <w:tab/>
      </w:r>
      <w:r w:rsidRPr="00CD12F0">
        <w:rPr>
          <w:sz w:val="24"/>
          <w:lang w:val="bg-BG"/>
        </w:rPr>
        <w:t>„</w:t>
      </w:r>
      <w:r w:rsidRPr="00CD12F0">
        <w:rPr>
          <w:sz w:val="24"/>
          <w:lang w:val="bg-BG"/>
        </w:rPr>
        <w:t>Scientific</w:t>
      </w:r>
      <w:r w:rsidRPr="00CD12F0">
        <w:rPr>
          <w:sz w:val="24"/>
          <w:lang w:val="bg-BG"/>
        </w:rPr>
        <w:t xml:space="preserve"> </w:t>
      </w:r>
      <w:r w:rsidRPr="00CD12F0">
        <w:rPr>
          <w:sz w:val="24"/>
          <w:lang w:val="bg-BG"/>
        </w:rPr>
        <w:t>Opinion</w:t>
      </w:r>
      <w:r w:rsidRPr="00CD12F0">
        <w:rPr>
          <w:sz w:val="24"/>
          <w:lang w:val="bg-BG"/>
        </w:rPr>
        <w:t xml:space="preserve"> </w:t>
      </w:r>
      <w:r w:rsidRPr="00CD12F0">
        <w:rPr>
          <w:sz w:val="24"/>
          <w:lang w:val="bg-BG"/>
        </w:rPr>
        <w:t>of</w:t>
      </w:r>
      <w:r w:rsidRPr="00CD12F0">
        <w:rPr>
          <w:sz w:val="24"/>
          <w:lang w:val="bg-BG"/>
        </w:rPr>
        <w:t xml:space="preserve"> </w:t>
      </w:r>
      <w:r w:rsidRPr="00CD12F0">
        <w:rPr>
          <w:sz w:val="24"/>
          <w:lang w:val="bg-BG"/>
        </w:rPr>
        <w:t>the</w:t>
      </w:r>
      <w:r w:rsidRPr="00CD12F0">
        <w:rPr>
          <w:sz w:val="24"/>
          <w:lang w:val="bg-BG"/>
        </w:rPr>
        <w:t xml:space="preserve"> EFSA </w:t>
      </w:r>
      <w:r w:rsidRPr="00CD12F0">
        <w:rPr>
          <w:sz w:val="24"/>
          <w:lang w:val="bg-BG"/>
        </w:rPr>
        <w:t>Panel</w:t>
      </w:r>
      <w:r w:rsidRPr="00CD12F0">
        <w:rPr>
          <w:sz w:val="24"/>
          <w:lang w:val="bg-BG"/>
        </w:rPr>
        <w:t xml:space="preserve"> </w:t>
      </w:r>
      <w:r w:rsidRPr="00CD12F0">
        <w:rPr>
          <w:sz w:val="24"/>
          <w:lang w:val="bg-BG"/>
        </w:rPr>
        <w:t>on</w:t>
      </w:r>
      <w:r w:rsidRPr="00CD12F0">
        <w:rPr>
          <w:sz w:val="24"/>
          <w:lang w:val="bg-BG"/>
        </w:rPr>
        <w:t xml:space="preserve"> </w:t>
      </w:r>
      <w:r w:rsidRPr="00CD12F0">
        <w:rPr>
          <w:sz w:val="24"/>
          <w:lang w:val="bg-BG"/>
        </w:rPr>
        <w:t>Genetically</w:t>
      </w:r>
      <w:r w:rsidRPr="00CD12F0">
        <w:rPr>
          <w:sz w:val="24"/>
          <w:lang w:val="bg-BG"/>
        </w:rPr>
        <w:t xml:space="preserve"> </w:t>
      </w:r>
      <w:r w:rsidRPr="00CD12F0">
        <w:rPr>
          <w:sz w:val="24"/>
          <w:lang w:val="bg-BG"/>
        </w:rPr>
        <w:t>Modified</w:t>
      </w:r>
      <w:r w:rsidRPr="00CD12F0">
        <w:rPr>
          <w:sz w:val="24"/>
          <w:lang w:val="bg-BG"/>
        </w:rPr>
        <w:t xml:space="preserve"> </w:t>
      </w:r>
      <w:r w:rsidRPr="00CD12F0">
        <w:rPr>
          <w:sz w:val="24"/>
          <w:lang w:val="bg-BG"/>
        </w:rPr>
        <w:t>Organisms</w:t>
      </w:r>
      <w:r w:rsidRPr="00CD12F0">
        <w:rPr>
          <w:sz w:val="24"/>
          <w:lang w:val="bg-BG"/>
        </w:rPr>
        <w:t xml:space="preserve"> </w:t>
      </w:r>
      <w:r w:rsidRPr="00CD12F0">
        <w:rPr>
          <w:sz w:val="24"/>
          <w:lang w:val="bg-BG"/>
        </w:rPr>
        <w:t>on</w:t>
      </w:r>
      <w:r w:rsidRPr="00CD12F0">
        <w:rPr>
          <w:sz w:val="24"/>
          <w:lang w:val="bg-BG"/>
        </w:rPr>
        <w:t xml:space="preserve"> </w:t>
      </w:r>
      <w:r w:rsidRPr="00CD12F0">
        <w:rPr>
          <w:sz w:val="24"/>
          <w:lang w:val="bg-BG"/>
        </w:rPr>
        <w:t>an</w:t>
      </w:r>
      <w:r w:rsidRPr="00CD12F0">
        <w:rPr>
          <w:sz w:val="24"/>
          <w:lang w:val="bg-BG"/>
        </w:rPr>
        <w:t xml:space="preserve"> </w:t>
      </w:r>
      <w:r w:rsidRPr="00CD12F0">
        <w:rPr>
          <w:sz w:val="24"/>
          <w:lang w:val="bg-BG"/>
        </w:rPr>
        <w:t>application</w:t>
      </w:r>
      <w:r w:rsidRPr="00CD12F0">
        <w:rPr>
          <w:sz w:val="24"/>
          <w:lang w:val="bg-BG"/>
        </w:rPr>
        <w:t xml:space="preserve"> EFSA-GMO-NL-2010-78 </w:t>
      </w:r>
      <w:r w:rsidRPr="00CD12F0">
        <w:rPr>
          <w:sz w:val="24"/>
          <w:lang w:val="bg-BG"/>
        </w:rPr>
        <w:t>for</w:t>
      </w:r>
      <w:r w:rsidRPr="00CD12F0">
        <w:rPr>
          <w:sz w:val="24"/>
          <w:lang w:val="bg-BG"/>
        </w:rPr>
        <w:t xml:space="preserve"> </w:t>
      </w:r>
      <w:r w:rsidRPr="00CD12F0">
        <w:rPr>
          <w:sz w:val="24"/>
          <w:lang w:val="bg-BG"/>
        </w:rPr>
        <w:t>the</w:t>
      </w:r>
      <w:r w:rsidRPr="00CD12F0">
        <w:rPr>
          <w:sz w:val="24"/>
          <w:lang w:val="bg-BG"/>
        </w:rPr>
        <w:t xml:space="preserve"> </w:t>
      </w:r>
      <w:r w:rsidRPr="00CD12F0">
        <w:rPr>
          <w:sz w:val="24"/>
          <w:lang w:val="bg-BG"/>
        </w:rPr>
        <w:t>placing</w:t>
      </w:r>
      <w:r w:rsidRPr="00CD12F0">
        <w:rPr>
          <w:sz w:val="24"/>
          <w:lang w:val="bg-BG"/>
        </w:rPr>
        <w:t xml:space="preserve"> </w:t>
      </w:r>
      <w:r w:rsidRPr="00CD12F0">
        <w:rPr>
          <w:sz w:val="24"/>
          <w:lang w:val="bg-BG"/>
        </w:rPr>
        <w:t>on</w:t>
      </w:r>
      <w:r w:rsidRPr="00CD12F0">
        <w:rPr>
          <w:sz w:val="24"/>
          <w:lang w:val="bg-BG"/>
        </w:rPr>
        <w:t xml:space="preserve"> </w:t>
      </w:r>
      <w:r w:rsidRPr="00CD12F0">
        <w:rPr>
          <w:sz w:val="24"/>
          <w:lang w:val="bg-BG"/>
        </w:rPr>
        <w:t>the</w:t>
      </w:r>
      <w:r w:rsidRPr="00CD12F0">
        <w:rPr>
          <w:sz w:val="24"/>
          <w:lang w:val="bg-BG"/>
        </w:rPr>
        <w:t xml:space="preserve"> </w:t>
      </w:r>
      <w:r w:rsidRPr="00CD12F0">
        <w:rPr>
          <w:sz w:val="24"/>
          <w:lang w:val="bg-BG"/>
        </w:rPr>
        <w:t>market</w:t>
      </w:r>
      <w:r w:rsidRPr="00CD12F0">
        <w:rPr>
          <w:sz w:val="24"/>
          <w:lang w:val="bg-BG"/>
        </w:rPr>
        <w:t xml:space="preserve"> </w:t>
      </w:r>
      <w:r w:rsidRPr="00CD12F0">
        <w:rPr>
          <w:sz w:val="24"/>
          <w:lang w:val="bg-BG"/>
        </w:rPr>
        <w:t>of</w:t>
      </w:r>
      <w:r w:rsidRPr="00CD12F0">
        <w:rPr>
          <w:sz w:val="24"/>
          <w:lang w:val="bg-BG"/>
        </w:rPr>
        <w:t xml:space="preserve"> </w:t>
      </w:r>
      <w:r w:rsidRPr="00CD12F0">
        <w:rPr>
          <w:sz w:val="24"/>
          <w:lang w:val="bg-BG"/>
        </w:rPr>
        <w:t>herbicide-tolerant</w:t>
      </w:r>
      <w:r w:rsidRPr="00CD12F0">
        <w:rPr>
          <w:sz w:val="24"/>
          <w:lang w:val="bg-BG"/>
        </w:rPr>
        <w:t xml:space="preserve"> </w:t>
      </w:r>
      <w:r w:rsidRPr="00CD12F0">
        <w:rPr>
          <w:sz w:val="24"/>
          <w:lang w:val="bg-BG"/>
        </w:rPr>
        <w:t>genetically</w:t>
      </w:r>
      <w:r w:rsidRPr="00CD12F0">
        <w:rPr>
          <w:sz w:val="24"/>
          <w:lang w:val="bg-BG"/>
        </w:rPr>
        <w:t xml:space="preserve"> </w:t>
      </w:r>
      <w:r w:rsidRPr="00CD12F0">
        <w:rPr>
          <w:sz w:val="24"/>
          <w:lang w:val="bg-BG"/>
        </w:rPr>
        <w:t>modified</w:t>
      </w:r>
      <w:r w:rsidRPr="00CD12F0">
        <w:rPr>
          <w:sz w:val="24"/>
          <w:lang w:val="bg-BG"/>
        </w:rPr>
        <w:t xml:space="preserve"> </w:t>
      </w:r>
      <w:r w:rsidRPr="00CD12F0">
        <w:rPr>
          <w:sz w:val="24"/>
          <w:lang w:val="bg-BG"/>
        </w:rPr>
        <w:t>soybean</w:t>
      </w:r>
      <w:r w:rsidRPr="00CD12F0">
        <w:rPr>
          <w:sz w:val="24"/>
          <w:lang w:val="bg-BG"/>
        </w:rPr>
        <w:t xml:space="preserve"> MON 87705 </w:t>
      </w:r>
      <w:r w:rsidRPr="00CD12F0">
        <w:rPr>
          <w:sz w:val="24"/>
          <w:lang w:val="bg-BG"/>
        </w:rPr>
        <w:t>for</w:t>
      </w:r>
      <w:r w:rsidRPr="00CD12F0">
        <w:rPr>
          <w:sz w:val="24"/>
          <w:lang w:val="bg-BG"/>
        </w:rPr>
        <w:t xml:space="preserve"> </w:t>
      </w:r>
      <w:r w:rsidRPr="00CD12F0">
        <w:rPr>
          <w:sz w:val="24"/>
          <w:lang w:val="bg-BG"/>
        </w:rPr>
        <w:t>food</w:t>
      </w:r>
      <w:r w:rsidRPr="00CD12F0">
        <w:rPr>
          <w:sz w:val="24"/>
          <w:lang w:val="bg-BG"/>
        </w:rPr>
        <w:t xml:space="preserve"> </w:t>
      </w:r>
      <w:r w:rsidRPr="00CD12F0">
        <w:rPr>
          <w:sz w:val="24"/>
          <w:lang w:val="bg-BG"/>
        </w:rPr>
        <w:t>and</w:t>
      </w:r>
      <w:r w:rsidRPr="00CD12F0">
        <w:rPr>
          <w:sz w:val="24"/>
          <w:lang w:val="bg-BG"/>
        </w:rPr>
        <w:t xml:space="preserve"> </w:t>
      </w:r>
      <w:r w:rsidRPr="00CD12F0">
        <w:rPr>
          <w:sz w:val="24"/>
          <w:lang w:val="bg-BG"/>
        </w:rPr>
        <w:t>feed</w:t>
      </w:r>
      <w:r w:rsidRPr="00CD12F0">
        <w:rPr>
          <w:sz w:val="24"/>
          <w:lang w:val="bg-BG"/>
        </w:rPr>
        <w:t xml:space="preserve"> </w:t>
      </w:r>
      <w:r w:rsidRPr="00CD12F0">
        <w:rPr>
          <w:sz w:val="24"/>
          <w:lang w:val="bg-BG"/>
        </w:rPr>
        <w:t>uses</w:t>
      </w:r>
      <w:r w:rsidRPr="00CD12F0">
        <w:rPr>
          <w:sz w:val="24"/>
          <w:lang w:val="bg-BG"/>
        </w:rPr>
        <w:t xml:space="preserve">, </w:t>
      </w:r>
      <w:r w:rsidRPr="00CD12F0">
        <w:rPr>
          <w:sz w:val="24"/>
          <w:lang w:val="bg-BG"/>
        </w:rPr>
        <w:t>import</w:t>
      </w:r>
      <w:r w:rsidRPr="00CD12F0">
        <w:rPr>
          <w:sz w:val="24"/>
          <w:lang w:val="bg-BG"/>
        </w:rPr>
        <w:t xml:space="preserve"> </w:t>
      </w:r>
      <w:r w:rsidRPr="00CD12F0">
        <w:rPr>
          <w:sz w:val="24"/>
          <w:lang w:val="bg-BG"/>
        </w:rPr>
        <w:t>and</w:t>
      </w:r>
      <w:r w:rsidRPr="00CD12F0">
        <w:rPr>
          <w:sz w:val="24"/>
          <w:lang w:val="bg-BG"/>
        </w:rPr>
        <w:t xml:space="preserve"> </w:t>
      </w:r>
      <w:r w:rsidRPr="00CD12F0">
        <w:rPr>
          <w:sz w:val="24"/>
          <w:lang w:val="bg-BG"/>
        </w:rPr>
        <w:t>processing</w:t>
      </w:r>
      <w:r w:rsidRPr="00CD12F0">
        <w:rPr>
          <w:sz w:val="24"/>
          <w:lang w:val="bg-BG"/>
        </w:rPr>
        <w:t xml:space="preserve"> </w:t>
      </w:r>
      <w:r w:rsidRPr="00CD12F0">
        <w:rPr>
          <w:sz w:val="24"/>
          <w:lang w:val="bg-BG"/>
        </w:rPr>
        <w:t>under</w:t>
      </w:r>
      <w:r w:rsidRPr="00CD12F0">
        <w:rPr>
          <w:sz w:val="24"/>
          <w:lang w:val="bg-BG"/>
        </w:rPr>
        <w:t xml:space="preserve"> </w:t>
      </w:r>
      <w:r w:rsidRPr="00CD12F0">
        <w:rPr>
          <w:sz w:val="24"/>
          <w:lang w:val="bg-BG"/>
        </w:rPr>
        <w:t>Regulation</w:t>
      </w:r>
      <w:r w:rsidRPr="00CD12F0">
        <w:rPr>
          <w:sz w:val="24"/>
          <w:lang w:val="bg-BG"/>
        </w:rPr>
        <w:t xml:space="preserve"> (EC) </w:t>
      </w:r>
      <w:r w:rsidRPr="00CD12F0">
        <w:rPr>
          <w:sz w:val="24"/>
          <w:lang w:val="bg-BG"/>
        </w:rPr>
        <w:t>No</w:t>
      </w:r>
      <w:r w:rsidRPr="00CD12F0">
        <w:rPr>
          <w:sz w:val="24"/>
          <w:lang w:val="bg-BG"/>
        </w:rPr>
        <w:t xml:space="preserve"> 1829/2003 </w:t>
      </w:r>
      <w:r w:rsidRPr="00CD12F0">
        <w:rPr>
          <w:sz w:val="24"/>
          <w:lang w:val="bg-BG"/>
        </w:rPr>
        <w:t>from</w:t>
      </w:r>
      <w:r w:rsidRPr="00CD12F0">
        <w:rPr>
          <w:sz w:val="24"/>
          <w:lang w:val="bg-BG"/>
        </w:rPr>
        <w:t xml:space="preserve"> </w:t>
      </w:r>
      <w:r w:rsidRPr="00CD12F0">
        <w:rPr>
          <w:sz w:val="24"/>
          <w:lang w:val="bg-BG"/>
        </w:rPr>
        <w:t>Monsanto</w:t>
      </w:r>
      <w:r w:rsidRPr="00CD12F0">
        <w:rPr>
          <w:sz w:val="24"/>
          <w:lang w:val="bg-BG"/>
        </w:rPr>
        <w:t xml:space="preserve">“ (Научно становище на Експертната група по генетично модифицирани организми на ЕОБХ относно заявление EFSA-GMO-NL-2010-78 за пускане на пазара на устойчива на хербициди генетично модифицирана соя MON 87705 за употреба като храна и фураж и за внос и преработка съгласно Регламент (ЕО) № 1829/2003 от страна на </w:t>
      </w:r>
      <w:r w:rsidRPr="00CD12F0">
        <w:rPr>
          <w:sz w:val="24"/>
          <w:lang w:val="bg-BG"/>
        </w:rPr>
        <w:t>Monsanto</w:t>
      </w:r>
      <w:r w:rsidRPr="00CD12F0">
        <w:rPr>
          <w:sz w:val="24"/>
          <w:lang w:val="bg-BG"/>
        </w:rPr>
        <w:t xml:space="preserve">), Бюлетин на ЕОБХ, 2012 г., 10(10):2909, </w:t>
      </w:r>
      <w:hyperlink r:id="rId25" w:history="1">
        <w:r w:rsidRPr="00CD12F0">
          <w:rPr>
            <w:rStyle w:val="Hyperlink"/>
            <w:sz w:val="24"/>
            <w:lang w:val="bg-BG"/>
          </w:rPr>
          <w:t>https://doi.org/10.2903/j.efsa.2012.2909</w:t>
        </w:r>
      </w:hyperlink>
      <w:r w:rsidRPr="00CD12F0">
        <w:rPr>
          <w:sz w:val="24"/>
          <w:lang w:val="bg-BG"/>
        </w:rPr>
        <w:t>.</w:t>
      </w:r>
    </w:p>
  </w:footnote>
  <w:footnote w:id="10">
    <w:p w:rsidR="003A40FD" w:rsidRPr="00CD12F0" w:rsidP="00CD12F0" w14:paraId="506D879C" w14:textId="0CC2799A">
      <w:pPr>
        <w:pStyle w:val="FootnoteText"/>
        <w:ind w:left="567" w:hanging="567"/>
        <w:rPr>
          <w:sz w:val="24"/>
          <w:lang w:val="bg-BG"/>
        </w:rPr>
      </w:pPr>
      <w:r w:rsidRPr="00CD12F0">
        <w:rPr>
          <w:rStyle w:val="FootnoteReference"/>
          <w:sz w:val="24"/>
          <w:lang w:val="bg-BG"/>
        </w:rPr>
        <w:footnoteRef/>
      </w:r>
      <w:r w:rsidRPr="00CD12F0" w:rsidR="00CD12F0">
        <w:rPr>
          <w:sz w:val="24"/>
          <w:lang w:val="bg-BG"/>
        </w:rPr>
        <w:t xml:space="preserve"> </w:t>
      </w:r>
      <w:r w:rsidRPr="00CD12F0" w:rsidR="00CD12F0">
        <w:rPr>
          <w:sz w:val="24"/>
          <w:lang w:val="bg-BG"/>
        </w:rPr>
        <w:tab/>
      </w:r>
      <w:r w:rsidRPr="00CD12F0">
        <w:rPr>
          <w:sz w:val="24"/>
          <w:lang w:val="bg-BG"/>
        </w:rPr>
        <w:t>Експертна група на ЕОБХ по генетично модифицирани организми, „</w:t>
      </w:r>
      <w:r w:rsidRPr="00CD12F0">
        <w:rPr>
          <w:sz w:val="24"/>
          <w:lang w:val="bg-BG"/>
        </w:rPr>
        <w:t>Statement</w:t>
      </w:r>
      <w:r w:rsidRPr="00CD12F0">
        <w:rPr>
          <w:sz w:val="24"/>
          <w:lang w:val="bg-BG"/>
        </w:rPr>
        <w:t xml:space="preserve"> </w:t>
      </w:r>
      <w:r w:rsidRPr="00CD12F0">
        <w:rPr>
          <w:sz w:val="24"/>
          <w:lang w:val="bg-BG"/>
        </w:rPr>
        <w:t>completing</w:t>
      </w:r>
      <w:r w:rsidRPr="00CD12F0">
        <w:rPr>
          <w:sz w:val="24"/>
          <w:lang w:val="bg-BG"/>
        </w:rPr>
        <w:t xml:space="preserve"> </w:t>
      </w:r>
      <w:r w:rsidRPr="00CD12F0">
        <w:rPr>
          <w:sz w:val="24"/>
          <w:lang w:val="bg-BG"/>
        </w:rPr>
        <w:t>the</w:t>
      </w:r>
      <w:r w:rsidRPr="00CD12F0">
        <w:rPr>
          <w:sz w:val="24"/>
          <w:lang w:val="bg-BG"/>
        </w:rPr>
        <w:t xml:space="preserve"> </w:t>
      </w:r>
      <w:r w:rsidRPr="00CD12F0">
        <w:rPr>
          <w:sz w:val="24"/>
          <w:lang w:val="bg-BG"/>
        </w:rPr>
        <w:t>scientific</w:t>
      </w:r>
      <w:r w:rsidRPr="00CD12F0">
        <w:rPr>
          <w:sz w:val="24"/>
          <w:lang w:val="bg-BG"/>
        </w:rPr>
        <w:t xml:space="preserve"> </w:t>
      </w:r>
      <w:r w:rsidRPr="00CD12F0">
        <w:rPr>
          <w:sz w:val="24"/>
          <w:lang w:val="bg-BG"/>
        </w:rPr>
        <w:t>opinion</w:t>
      </w:r>
      <w:r w:rsidRPr="00CD12F0">
        <w:rPr>
          <w:sz w:val="24"/>
          <w:lang w:val="bg-BG"/>
        </w:rPr>
        <w:t xml:space="preserve"> </w:t>
      </w:r>
      <w:r w:rsidRPr="00CD12F0">
        <w:rPr>
          <w:sz w:val="24"/>
          <w:lang w:val="bg-BG"/>
        </w:rPr>
        <w:t>on</w:t>
      </w:r>
      <w:r w:rsidRPr="00CD12F0">
        <w:rPr>
          <w:sz w:val="24"/>
          <w:lang w:val="bg-BG"/>
        </w:rPr>
        <w:t xml:space="preserve"> </w:t>
      </w:r>
      <w:r w:rsidRPr="00CD12F0">
        <w:rPr>
          <w:sz w:val="24"/>
          <w:lang w:val="bg-BG"/>
        </w:rPr>
        <w:t>application</w:t>
      </w:r>
      <w:r w:rsidRPr="00CD12F0">
        <w:rPr>
          <w:sz w:val="24"/>
          <w:lang w:val="bg-BG"/>
        </w:rPr>
        <w:t xml:space="preserve"> EFSA-GMO-NL-2010—78 </w:t>
      </w:r>
      <w:r w:rsidRPr="00CD12F0">
        <w:rPr>
          <w:sz w:val="24"/>
          <w:lang w:val="bg-BG"/>
        </w:rPr>
        <w:t>to</w:t>
      </w:r>
      <w:r w:rsidRPr="00CD12F0">
        <w:rPr>
          <w:sz w:val="24"/>
          <w:lang w:val="bg-BG"/>
        </w:rPr>
        <w:t xml:space="preserve"> </w:t>
      </w:r>
      <w:r w:rsidRPr="00CD12F0">
        <w:rPr>
          <w:sz w:val="24"/>
          <w:lang w:val="bg-BG"/>
        </w:rPr>
        <w:t>cover</w:t>
      </w:r>
      <w:r w:rsidRPr="00CD12F0">
        <w:rPr>
          <w:sz w:val="24"/>
          <w:lang w:val="bg-BG"/>
        </w:rPr>
        <w:t xml:space="preserve"> </w:t>
      </w:r>
      <w:r w:rsidRPr="00CD12F0">
        <w:rPr>
          <w:sz w:val="24"/>
          <w:lang w:val="bg-BG"/>
        </w:rPr>
        <w:t>the</w:t>
      </w:r>
      <w:r w:rsidRPr="00CD12F0">
        <w:rPr>
          <w:sz w:val="24"/>
          <w:lang w:val="bg-BG"/>
        </w:rPr>
        <w:t xml:space="preserve"> </w:t>
      </w:r>
      <w:r w:rsidRPr="00CD12F0">
        <w:rPr>
          <w:sz w:val="24"/>
          <w:lang w:val="bg-BG"/>
        </w:rPr>
        <w:t>safety</w:t>
      </w:r>
      <w:r w:rsidRPr="00CD12F0">
        <w:rPr>
          <w:sz w:val="24"/>
          <w:lang w:val="bg-BG"/>
        </w:rPr>
        <w:t xml:space="preserve"> </w:t>
      </w:r>
      <w:r w:rsidRPr="00CD12F0">
        <w:rPr>
          <w:sz w:val="24"/>
          <w:lang w:val="bg-BG"/>
        </w:rPr>
        <w:t>of</w:t>
      </w:r>
      <w:r w:rsidRPr="00CD12F0">
        <w:rPr>
          <w:sz w:val="24"/>
          <w:lang w:val="bg-BG"/>
        </w:rPr>
        <w:t xml:space="preserve"> </w:t>
      </w:r>
      <w:r w:rsidRPr="00CD12F0">
        <w:rPr>
          <w:sz w:val="24"/>
          <w:lang w:val="bg-BG"/>
        </w:rPr>
        <w:t>soybean</w:t>
      </w:r>
      <w:r w:rsidRPr="00CD12F0">
        <w:rPr>
          <w:sz w:val="24"/>
          <w:lang w:val="bg-BG"/>
        </w:rPr>
        <w:t xml:space="preserve"> MON 87705 </w:t>
      </w:r>
      <w:r w:rsidRPr="00CD12F0">
        <w:rPr>
          <w:sz w:val="24"/>
          <w:lang w:val="bg-BG"/>
        </w:rPr>
        <w:t>oil</w:t>
      </w:r>
      <w:r w:rsidRPr="00CD12F0">
        <w:rPr>
          <w:sz w:val="24"/>
          <w:lang w:val="bg-BG"/>
        </w:rPr>
        <w:t xml:space="preserve"> </w:t>
      </w:r>
      <w:r w:rsidRPr="00CD12F0">
        <w:rPr>
          <w:sz w:val="24"/>
          <w:lang w:val="bg-BG"/>
        </w:rPr>
        <w:t>for</w:t>
      </w:r>
      <w:r w:rsidRPr="00CD12F0">
        <w:rPr>
          <w:sz w:val="24"/>
          <w:lang w:val="bg-BG"/>
        </w:rPr>
        <w:t xml:space="preserve"> </w:t>
      </w:r>
      <w:r w:rsidRPr="00CD12F0">
        <w:rPr>
          <w:sz w:val="24"/>
          <w:lang w:val="bg-BG"/>
        </w:rPr>
        <w:t>commercial</w:t>
      </w:r>
      <w:r w:rsidRPr="00CD12F0">
        <w:rPr>
          <w:sz w:val="24"/>
          <w:lang w:val="bg-BG"/>
        </w:rPr>
        <w:t xml:space="preserve"> </w:t>
      </w:r>
      <w:r w:rsidRPr="00CD12F0">
        <w:rPr>
          <w:sz w:val="24"/>
          <w:lang w:val="bg-BG"/>
        </w:rPr>
        <w:t>frying</w:t>
      </w:r>
      <w:r w:rsidRPr="00CD12F0">
        <w:rPr>
          <w:sz w:val="24"/>
          <w:lang w:val="bg-BG"/>
        </w:rPr>
        <w:t xml:space="preserve">“ (Изявление, допълващо научното становище по заявление EFSA-GMO-NL-2010—78 за покриване на безопасността на масло от соя MON 87705 за пържене за търговски цели), Бюлетин на ЕОБХ, 2013 г., 11(12):3507, </w:t>
      </w:r>
      <w:hyperlink r:id="rId26" w:history="1">
        <w:r w:rsidRPr="00CD12F0">
          <w:rPr>
            <w:rStyle w:val="Hyperlink"/>
            <w:sz w:val="24"/>
            <w:lang w:val="bg-BG"/>
          </w:rPr>
          <w:t>https://doi.org/10.2903/j.efsa.2013.3507</w:t>
        </w:r>
      </w:hyperlink>
      <w:r w:rsidRPr="00CD12F0">
        <w:rPr>
          <w:sz w:val="24"/>
          <w:lang w:val="bg-BG"/>
        </w:rPr>
        <w:t>.</w:t>
      </w:r>
    </w:p>
  </w:footnote>
  <w:footnote w:id="11">
    <w:p w:rsidR="003A40FD" w:rsidRPr="00CD12F0" w:rsidP="00CD12F0" w14:paraId="14F857CC" w14:textId="1EC4717E">
      <w:pPr>
        <w:pStyle w:val="FootnoteText"/>
        <w:ind w:left="567" w:hanging="567"/>
        <w:rPr>
          <w:sz w:val="24"/>
          <w:lang w:val="bg-BG"/>
        </w:rPr>
      </w:pPr>
      <w:r w:rsidRPr="00CD12F0">
        <w:rPr>
          <w:rStyle w:val="FootnoteReference"/>
          <w:sz w:val="24"/>
          <w:lang w:val="bg-BG"/>
        </w:rPr>
        <w:footnoteRef/>
      </w:r>
      <w:r w:rsidRPr="00CD12F0" w:rsidR="00CD12F0">
        <w:rPr>
          <w:sz w:val="24"/>
          <w:shd w:val="clear" w:color="auto" w:fill="FFFFFF"/>
          <w:lang w:val="bg-BG"/>
        </w:rPr>
        <w:t xml:space="preserve"> </w:t>
      </w:r>
      <w:r w:rsidRPr="00CD12F0" w:rsidR="00CD12F0">
        <w:rPr>
          <w:sz w:val="24"/>
          <w:shd w:val="clear" w:color="auto" w:fill="FFFFFF"/>
          <w:lang w:val="bg-BG"/>
        </w:rPr>
        <w:tab/>
      </w:r>
      <w:r w:rsidRPr="00CD12F0">
        <w:rPr>
          <w:sz w:val="24"/>
          <w:shd w:val="clear" w:color="auto" w:fill="FFFFFF"/>
          <w:lang w:val="bg-BG"/>
        </w:rPr>
        <w:t xml:space="preserve">Вж. например </w:t>
      </w:r>
      <w:r w:rsidRPr="00CD12F0">
        <w:rPr>
          <w:sz w:val="24"/>
          <w:shd w:val="clear" w:color="auto" w:fill="FFFFFF"/>
          <w:lang w:val="bg-BG"/>
        </w:rPr>
        <w:t>Bonny</w:t>
      </w:r>
      <w:r w:rsidRPr="00CD12F0">
        <w:rPr>
          <w:sz w:val="24"/>
          <w:shd w:val="clear" w:color="auto" w:fill="FFFFFF"/>
          <w:lang w:val="bg-BG"/>
        </w:rPr>
        <w:t>, S., „</w:t>
      </w:r>
      <w:r w:rsidRPr="00CD12F0">
        <w:rPr>
          <w:sz w:val="24"/>
          <w:shd w:val="clear" w:color="auto" w:fill="FFFFFF"/>
          <w:lang w:val="bg-BG"/>
        </w:rPr>
        <w:t>Genetically</w:t>
      </w:r>
      <w:r w:rsidRPr="00CD12F0">
        <w:rPr>
          <w:sz w:val="24"/>
          <w:shd w:val="clear" w:color="auto" w:fill="FFFFFF"/>
          <w:lang w:val="bg-BG"/>
        </w:rPr>
        <w:t xml:space="preserve"> </w:t>
      </w:r>
      <w:r w:rsidRPr="00CD12F0">
        <w:rPr>
          <w:sz w:val="24"/>
          <w:shd w:val="clear" w:color="auto" w:fill="FFFFFF"/>
          <w:lang w:val="bg-BG"/>
        </w:rPr>
        <w:t>Modified</w:t>
      </w:r>
      <w:r w:rsidRPr="00CD12F0">
        <w:rPr>
          <w:sz w:val="24"/>
          <w:shd w:val="clear" w:color="auto" w:fill="FFFFFF"/>
          <w:lang w:val="bg-BG"/>
        </w:rPr>
        <w:t xml:space="preserve"> </w:t>
      </w:r>
      <w:r w:rsidRPr="00CD12F0">
        <w:rPr>
          <w:sz w:val="24"/>
          <w:shd w:val="clear" w:color="auto" w:fill="FFFFFF"/>
          <w:lang w:val="bg-BG"/>
        </w:rPr>
        <w:t>Herbicide-Tolerant</w:t>
      </w:r>
      <w:r w:rsidRPr="00CD12F0">
        <w:rPr>
          <w:sz w:val="24"/>
          <w:shd w:val="clear" w:color="auto" w:fill="FFFFFF"/>
          <w:lang w:val="bg-BG"/>
        </w:rPr>
        <w:t xml:space="preserve"> </w:t>
      </w:r>
      <w:r w:rsidRPr="00CD12F0">
        <w:rPr>
          <w:sz w:val="24"/>
          <w:shd w:val="clear" w:color="auto" w:fill="FFFFFF"/>
          <w:lang w:val="bg-BG"/>
        </w:rPr>
        <w:t>Crops</w:t>
      </w:r>
      <w:r w:rsidRPr="00CD12F0">
        <w:rPr>
          <w:sz w:val="24"/>
          <w:shd w:val="clear" w:color="auto" w:fill="FFFFFF"/>
          <w:lang w:val="bg-BG"/>
        </w:rPr>
        <w:t xml:space="preserve">, </w:t>
      </w:r>
      <w:r w:rsidRPr="00CD12F0">
        <w:rPr>
          <w:sz w:val="24"/>
          <w:shd w:val="clear" w:color="auto" w:fill="FFFFFF"/>
          <w:lang w:val="bg-BG"/>
        </w:rPr>
        <w:t>Weeds</w:t>
      </w:r>
      <w:r w:rsidRPr="00CD12F0">
        <w:rPr>
          <w:sz w:val="24"/>
          <w:shd w:val="clear" w:color="auto" w:fill="FFFFFF"/>
          <w:lang w:val="bg-BG"/>
        </w:rPr>
        <w:t xml:space="preserve">, </w:t>
      </w:r>
      <w:r w:rsidRPr="00CD12F0">
        <w:rPr>
          <w:sz w:val="24"/>
          <w:shd w:val="clear" w:color="auto" w:fill="FFFFFF"/>
          <w:lang w:val="bg-BG"/>
        </w:rPr>
        <w:t>and</w:t>
      </w:r>
      <w:r w:rsidRPr="00CD12F0">
        <w:rPr>
          <w:sz w:val="24"/>
          <w:shd w:val="clear" w:color="auto" w:fill="FFFFFF"/>
          <w:lang w:val="bg-BG"/>
        </w:rPr>
        <w:t xml:space="preserve"> </w:t>
      </w:r>
      <w:r w:rsidRPr="00CD12F0">
        <w:rPr>
          <w:sz w:val="24"/>
          <w:shd w:val="clear" w:color="auto" w:fill="FFFFFF"/>
          <w:lang w:val="bg-BG"/>
        </w:rPr>
        <w:t>Herbicides</w:t>
      </w:r>
      <w:r w:rsidRPr="00CD12F0">
        <w:rPr>
          <w:sz w:val="24"/>
          <w:shd w:val="clear" w:color="auto" w:fill="FFFFFF"/>
          <w:lang w:val="bg-BG"/>
        </w:rPr>
        <w:t xml:space="preserve">: Преглед и въздействие“), </w:t>
      </w:r>
      <w:r w:rsidRPr="00CD12F0">
        <w:rPr>
          <w:sz w:val="24"/>
          <w:shd w:val="clear" w:color="auto" w:fill="FFFFFF"/>
          <w:lang w:val="bg-BG"/>
        </w:rPr>
        <w:t>Environmental</w:t>
      </w:r>
      <w:r w:rsidRPr="00CD12F0">
        <w:rPr>
          <w:sz w:val="24"/>
          <w:shd w:val="clear" w:color="auto" w:fill="FFFFFF"/>
          <w:lang w:val="bg-BG"/>
        </w:rPr>
        <w:t xml:space="preserve"> </w:t>
      </w:r>
      <w:r w:rsidRPr="00CD12F0">
        <w:rPr>
          <w:sz w:val="24"/>
          <w:shd w:val="clear" w:color="auto" w:fill="FFFFFF"/>
          <w:lang w:val="bg-BG"/>
        </w:rPr>
        <w:t>Management</w:t>
      </w:r>
      <w:r w:rsidRPr="00CD12F0">
        <w:rPr>
          <w:sz w:val="24"/>
          <w:shd w:val="clear" w:color="auto" w:fill="FFFFFF"/>
          <w:lang w:val="bg-BG"/>
        </w:rPr>
        <w:t xml:space="preserve">, януари 2016 г., 57(1), стр. </w:t>
      </w:r>
      <w:r w:rsidRPr="00CD12F0">
        <w:rPr>
          <w:sz w:val="24"/>
          <w:shd w:val="clear" w:color="auto" w:fill="FFFFFF"/>
          <w:lang w:val="bg-BG"/>
        </w:rPr>
        <w:t>31-48</w:t>
      </w:r>
      <w:r w:rsidRPr="00CD12F0">
        <w:rPr>
          <w:sz w:val="24"/>
          <w:lang w:val="bg-BG"/>
        </w:rPr>
        <w:t xml:space="preserve">, </w:t>
      </w:r>
      <w:bookmarkStart w:id="8" w:name="_Hlk104996594"/>
      <w:hyperlink r:id="rId27" w:history="1">
        <w:r w:rsidRPr="00CD12F0">
          <w:rPr>
            <w:rStyle w:val="Hyperlink"/>
            <w:sz w:val="24"/>
            <w:shd w:val="clear" w:color="auto" w:fill="FFFFFF"/>
            <w:lang w:val="bg-BG"/>
          </w:rPr>
          <w:t>https://doi.org/10.1007/s00267-015-0589-7</w:t>
        </w:r>
      </w:hyperlink>
      <w:r w:rsidRPr="00CD12F0">
        <w:rPr>
          <w:sz w:val="24"/>
          <w:shd w:val="clear" w:color="auto" w:fill="FFFFFF"/>
          <w:lang w:val="bg-BG"/>
        </w:rPr>
        <w:t xml:space="preserve"> </w:t>
      </w:r>
      <w:bookmarkEnd w:id="8"/>
      <w:r w:rsidRPr="00CD12F0">
        <w:rPr>
          <w:sz w:val="24"/>
          <w:shd w:val="clear" w:color="auto" w:fill="FFFFFF"/>
          <w:lang w:val="bg-BG"/>
        </w:rPr>
        <w:t xml:space="preserve"> и </w:t>
      </w:r>
      <w:r w:rsidRPr="00CD12F0">
        <w:rPr>
          <w:sz w:val="24"/>
          <w:shd w:val="clear" w:color="auto" w:fill="FFFFFF"/>
          <w:lang w:val="bg-BG"/>
        </w:rPr>
        <w:t>Benbrook</w:t>
      </w:r>
      <w:r w:rsidRPr="00CD12F0">
        <w:rPr>
          <w:sz w:val="24"/>
          <w:shd w:val="clear" w:color="auto" w:fill="FFFFFF"/>
          <w:lang w:val="bg-BG"/>
        </w:rPr>
        <w:t>, C.M., „</w:t>
      </w:r>
      <w:r w:rsidRPr="00CD12F0">
        <w:rPr>
          <w:sz w:val="24"/>
          <w:shd w:val="clear" w:color="auto" w:fill="FFFFFF"/>
          <w:lang w:val="bg-BG"/>
        </w:rPr>
        <w:t>Impacts</w:t>
      </w:r>
      <w:r w:rsidRPr="00CD12F0">
        <w:rPr>
          <w:sz w:val="24"/>
          <w:shd w:val="clear" w:color="auto" w:fill="FFFFFF"/>
          <w:lang w:val="bg-BG"/>
        </w:rPr>
        <w:t xml:space="preserve"> </w:t>
      </w:r>
      <w:r w:rsidRPr="00CD12F0">
        <w:rPr>
          <w:sz w:val="24"/>
          <w:shd w:val="clear" w:color="auto" w:fill="FFFFFF"/>
          <w:lang w:val="bg-BG"/>
        </w:rPr>
        <w:t>of</w:t>
      </w:r>
      <w:r w:rsidRPr="00CD12F0">
        <w:rPr>
          <w:sz w:val="24"/>
          <w:shd w:val="clear" w:color="auto" w:fill="FFFFFF"/>
          <w:lang w:val="bg-BG"/>
        </w:rPr>
        <w:t xml:space="preserve"> </w:t>
      </w:r>
      <w:r w:rsidRPr="00CD12F0">
        <w:rPr>
          <w:sz w:val="24"/>
          <w:shd w:val="clear" w:color="auto" w:fill="FFFFFF"/>
          <w:lang w:val="bg-BG"/>
        </w:rPr>
        <w:t>genetically</w:t>
      </w:r>
      <w:r w:rsidRPr="00CD12F0">
        <w:rPr>
          <w:sz w:val="24"/>
          <w:shd w:val="clear" w:color="auto" w:fill="FFFFFF"/>
          <w:lang w:val="bg-BG"/>
        </w:rPr>
        <w:t xml:space="preserve"> </w:t>
      </w:r>
      <w:r w:rsidRPr="00CD12F0">
        <w:rPr>
          <w:sz w:val="24"/>
          <w:shd w:val="clear" w:color="auto" w:fill="FFFFFF"/>
          <w:lang w:val="bg-BG"/>
        </w:rPr>
        <w:t>engineered</w:t>
      </w:r>
      <w:r w:rsidRPr="00CD12F0">
        <w:rPr>
          <w:sz w:val="24"/>
          <w:shd w:val="clear" w:color="auto" w:fill="FFFFFF"/>
          <w:lang w:val="bg-BG"/>
        </w:rPr>
        <w:t xml:space="preserve"> </w:t>
      </w:r>
      <w:r w:rsidRPr="00CD12F0">
        <w:rPr>
          <w:sz w:val="24"/>
          <w:shd w:val="clear" w:color="auto" w:fill="FFFFFF"/>
          <w:lang w:val="bg-BG"/>
        </w:rPr>
        <w:t>crops</w:t>
      </w:r>
      <w:r w:rsidRPr="00CD12F0">
        <w:rPr>
          <w:sz w:val="24"/>
          <w:shd w:val="clear" w:color="auto" w:fill="FFFFFF"/>
          <w:lang w:val="bg-BG"/>
        </w:rPr>
        <w:t xml:space="preserve"> </w:t>
      </w:r>
      <w:r w:rsidRPr="00CD12F0">
        <w:rPr>
          <w:sz w:val="24"/>
          <w:shd w:val="clear" w:color="auto" w:fill="FFFFFF"/>
          <w:lang w:val="bg-BG"/>
        </w:rPr>
        <w:t>on</w:t>
      </w:r>
      <w:r w:rsidRPr="00CD12F0">
        <w:rPr>
          <w:sz w:val="24"/>
          <w:shd w:val="clear" w:color="auto" w:fill="FFFFFF"/>
          <w:lang w:val="bg-BG"/>
        </w:rPr>
        <w:t xml:space="preserve"> </w:t>
      </w:r>
      <w:r w:rsidRPr="00CD12F0">
        <w:rPr>
          <w:sz w:val="24"/>
          <w:shd w:val="clear" w:color="auto" w:fill="FFFFFF"/>
          <w:lang w:val="bg-BG"/>
        </w:rPr>
        <w:t>pesticide</w:t>
      </w:r>
      <w:r w:rsidRPr="00CD12F0">
        <w:rPr>
          <w:sz w:val="24"/>
          <w:shd w:val="clear" w:color="auto" w:fill="FFFFFF"/>
          <w:lang w:val="bg-BG"/>
        </w:rPr>
        <w:t xml:space="preserve"> </w:t>
      </w:r>
      <w:r w:rsidRPr="00CD12F0">
        <w:rPr>
          <w:sz w:val="24"/>
          <w:shd w:val="clear" w:color="auto" w:fill="FFFFFF"/>
          <w:lang w:val="bg-BG"/>
        </w:rPr>
        <w:t>use</w:t>
      </w:r>
      <w:r w:rsidRPr="00CD12F0">
        <w:rPr>
          <w:sz w:val="24"/>
          <w:shd w:val="clear" w:color="auto" w:fill="FFFFFF"/>
          <w:lang w:val="bg-BG"/>
        </w:rPr>
        <w:t xml:space="preserve"> </w:t>
      </w:r>
      <w:r w:rsidRPr="00CD12F0">
        <w:rPr>
          <w:sz w:val="24"/>
          <w:shd w:val="clear" w:color="auto" w:fill="FFFFFF"/>
          <w:lang w:val="bg-BG"/>
        </w:rPr>
        <w:t>in</w:t>
      </w:r>
      <w:r w:rsidRPr="00CD12F0">
        <w:rPr>
          <w:sz w:val="24"/>
          <w:shd w:val="clear" w:color="auto" w:fill="FFFFFF"/>
          <w:lang w:val="bg-BG"/>
        </w:rPr>
        <w:t xml:space="preserve"> </w:t>
      </w:r>
      <w:r w:rsidRPr="00CD12F0">
        <w:rPr>
          <w:sz w:val="24"/>
          <w:shd w:val="clear" w:color="auto" w:fill="FFFFFF"/>
          <w:lang w:val="bg-BG"/>
        </w:rPr>
        <w:t>the</w:t>
      </w:r>
      <w:r w:rsidRPr="00CD12F0">
        <w:rPr>
          <w:sz w:val="24"/>
          <w:shd w:val="clear" w:color="auto" w:fill="FFFFFF"/>
          <w:lang w:val="bg-BG"/>
        </w:rPr>
        <w:t xml:space="preserve"> U.S. - </w:t>
      </w:r>
      <w:r w:rsidRPr="00CD12F0">
        <w:rPr>
          <w:sz w:val="24"/>
          <w:shd w:val="clear" w:color="auto" w:fill="FFFFFF"/>
          <w:lang w:val="bg-BG"/>
        </w:rPr>
        <w:t>the</w:t>
      </w:r>
      <w:r w:rsidRPr="00CD12F0">
        <w:rPr>
          <w:sz w:val="24"/>
          <w:shd w:val="clear" w:color="auto" w:fill="FFFFFF"/>
          <w:lang w:val="bg-BG"/>
        </w:rPr>
        <w:t xml:space="preserve"> </w:t>
      </w:r>
      <w:r w:rsidRPr="00CD12F0">
        <w:rPr>
          <w:sz w:val="24"/>
          <w:shd w:val="clear" w:color="auto" w:fill="FFFFFF"/>
          <w:lang w:val="bg-BG"/>
        </w:rPr>
        <w:t>first</w:t>
      </w:r>
      <w:r w:rsidRPr="00CD12F0">
        <w:rPr>
          <w:sz w:val="24"/>
          <w:shd w:val="clear" w:color="auto" w:fill="FFFFFF"/>
          <w:lang w:val="bg-BG"/>
        </w:rPr>
        <w:t xml:space="preserve"> </w:t>
      </w:r>
      <w:r w:rsidRPr="00CD12F0">
        <w:rPr>
          <w:sz w:val="24"/>
          <w:shd w:val="clear" w:color="auto" w:fill="FFFFFF"/>
          <w:lang w:val="bg-BG"/>
        </w:rPr>
        <w:t>sixteen</w:t>
      </w:r>
      <w:r w:rsidRPr="00CD12F0">
        <w:rPr>
          <w:sz w:val="24"/>
          <w:shd w:val="clear" w:color="auto" w:fill="FFFFFF"/>
          <w:lang w:val="bg-BG"/>
        </w:rPr>
        <w:t xml:space="preserve"> </w:t>
      </w:r>
      <w:r w:rsidRPr="00CD12F0">
        <w:rPr>
          <w:sz w:val="24"/>
          <w:shd w:val="clear" w:color="auto" w:fill="FFFFFF"/>
          <w:lang w:val="bg-BG"/>
        </w:rPr>
        <w:t>years</w:t>
      </w:r>
      <w:r w:rsidRPr="00CD12F0">
        <w:rPr>
          <w:sz w:val="24"/>
          <w:shd w:val="clear" w:color="auto" w:fill="FFFFFF"/>
          <w:lang w:val="bg-BG"/>
        </w:rPr>
        <w:t xml:space="preserve">“ („Въздействие на генетично създадени култури върху използването на пестициди в САЩ – първите шестнадесет години“), </w:t>
      </w:r>
      <w:r w:rsidRPr="00CD12F0">
        <w:rPr>
          <w:sz w:val="24"/>
          <w:shd w:val="clear" w:color="auto" w:fill="FFFFFF"/>
          <w:lang w:val="bg-BG"/>
        </w:rPr>
        <w:t>Environmental</w:t>
      </w:r>
      <w:r w:rsidRPr="00CD12F0">
        <w:rPr>
          <w:sz w:val="24"/>
          <w:shd w:val="clear" w:color="auto" w:fill="FFFFFF"/>
          <w:lang w:val="bg-BG"/>
        </w:rPr>
        <w:t xml:space="preserve"> </w:t>
      </w:r>
      <w:r w:rsidRPr="00CD12F0">
        <w:rPr>
          <w:sz w:val="24"/>
          <w:shd w:val="clear" w:color="auto" w:fill="FFFFFF"/>
          <w:lang w:val="bg-BG"/>
        </w:rPr>
        <w:t>Sciences</w:t>
      </w:r>
      <w:r w:rsidRPr="00CD12F0">
        <w:rPr>
          <w:sz w:val="24"/>
          <w:shd w:val="clear" w:color="auto" w:fill="FFFFFF"/>
          <w:lang w:val="bg-BG"/>
        </w:rPr>
        <w:t xml:space="preserve"> </w:t>
      </w:r>
      <w:r w:rsidRPr="00CD12F0">
        <w:rPr>
          <w:sz w:val="24"/>
          <w:shd w:val="clear" w:color="auto" w:fill="FFFFFF"/>
          <w:lang w:val="bg-BG"/>
        </w:rPr>
        <w:t>Europe</w:t>
      </w:r>
      <w:r w:rsidRPr="00CD12F0">
        <w:rPr>
          <w:sz w:val="24"/>
          <w:shd w:val="clear" w:color="auto" w:fill="FFFFFF"/>
          <w:lang w:val="bg-BG"/>
        </w:rPr>
        <w:t xml:space="preserve">, 28 септември 2012 г., том 24(1), </w:t>
      </w:r>
      <w:hyperlink r:id="rId28" w:history="1">
        <w:r w:rsidRPr="00CD12F0">
          <w:rPr>
            <w:rStyle w:val="Hyperlink"/>
            <w:sz w:val="24"/>
            <w:lang w:val="bg-BG"/>
          </w:rPr>
          <w:t>https://doi.org/10.1186/2190-4715-24-24</w:t>
        </w:r>
      </w:hyperlink>
      <w:r w:rsidRPr="00CD12F0">
        <w:rPr>
          <w:sz w:val="24"/>
          <w:shd w:val="clear" w:color="auto" w:fill="FFFFFF"/>
          <w:lang w:val="bg-BG"/>
        </w:rPr>
        <w:t>.</w:t>
      </w:r>
    </w:p>
  </w:footnote>
  <w:footnote w:id="12">
    <w:p w:rsidR="003A40FD" w:rsidRPr="00CD12F0" w:rsidP="00CD12F0" w14:paraId="164CE4B6" w14:textId="34C36338">
      <w:pPr>
        <w:pStyle w:val="FootnoteText"/>
        <w:ind w:left="567" w:hanging="567"/>
        <w:rPr>
          <w:sz w:val="24"/>
          <w:lang w:val="bg-BG"/>
        </w:rPr>
      </w:pPr>
      <w:r w:rsidRPr="00CD12F0">
        <w:rPr>
          <w:rStyle w:val="FootnoteReference"/>
          <w:sz w:val="24"/>
          <w:lang w:val="bg-BG"/>
        </w:rPr>
        <w:footnoteRef/>
      </w:r>
      <w:r w:rsidRPr="00CD12F0" w:rsidR="00CD12F0">
        <w:rPr>
          <w:sz w:val="24"/>
          <w:shd w:val="clear" w:color="auto" w:fill="FFFFFF"/>
          <w:lang w:val="bg-BG"/>
        </w:rPr>
        <w:t xml:space="preserve"> </w:t>
      </w:r>
      <w:r w:rsidRPr="00CD12F0" w:rsidR="00CD12F0">
        <w:rPr>
          <w:sz w:val="24"/>
          <w:shd w:val="clear" w:color="auto" w:fill="FFFFFF"/>
          <w:lang w:val="bg-BG"/>
        </w:rPr>
        <w:tab/>
      </w:r>
      <w:r w:rsidRPr="00CD12F0">
        <w:rPr>
          <w:sz w:val="24"/>
          <w:shd w:val="clear" w:color="auto" w:fill="FFFFFF"/>
          <w:lang w:val="bg-BG"/>
        </w:rPr>
        <w:t xml:space="preserve">Вж. </w:t>
      </w:r>
      <w:r w:rsidRPr="00CD12F0">
        <w:rPr>
          <w:sz w:val="24"/>
          <w:shd w:val="clear" w:color="auto" w:fill="FFFFFF"/>
          <w:lang w:val="bg-BG"/>
        </w:rPr>
        <w:t xml:space="preserve">например </w:t>
      </w:r>
      <w:bookmarkStart w:id="9" w:name="_Hlk104996780"/>
      <w:hyperlink r:id="rId29" w:history="1">
        <w:r w:rsidRPr="00CD12F0">
          <w:rPr>
            <w:rStyle w:val="Hyperlink"/>
            <w:sz w:val="24"/>
            <w:lang w:val="bg-BG"/>
          </w:rPr>
          <w:t>https://doi.org/10.1016/j.mrrev.2019.02.001</w:t>
        </w:r>
      </w:hyperlink>
      <w:bookmarkEnd w:id="9"/>
      <w:r w:rsidRPr="00CD12F0">
        <w:rPr>
          <w:sz w:val="24"/>
          <w:shd w:val="clear" w:color="auto" w:fill="FFFFFF"/>
          <w:lang w:val="bg-BG"/>
        </w:rPr>
        <w:t xml:space="preserve">, </w:t>
      </w:r>
      <w:hyperlink r:id="rId30" w:history="1">
        <w:r w:rsidRPr="00CD12F0">
          <w:rPr>
            <w:rStyle w:val="Hyperlink"/>
            <w:sz w:val="24"/>
            <w:lang w:val="bg-BG"/>
          </w:rPr>
          <w:t>https://doi.org/10.1093/ije/dyz017</w:t>
        </w:r>
      </w:hyperlink>
      <w:r w:rsidRPr="00CD12F0">
        <w:rPr>
          <w:sz w:val="24"/>
          <w:shd w:val="clear" w:color="auto" w:fill="FFFFFF"/>
          <w:lang w:val="bg-BG"/>
        </w:rPr>
        <w:t xml:space="preserve">, </w:t>
      </w:r>
      <w:hyperlink r:id="rId31" w:history="1">
        <w:r w:rsidRPr="00CD12F0">
          <w:rPr>
            <w:rStyle w:val="Hyperlink"/>
            <w:sz w:val="24"/>
            <w:lang w:val="bg-BG"/>
          </w:rPr>
          <w:t>https://doi.org/10.1371/journal.pone.0219610</w:t>
        </w:r>
      </w:hyperlink>
      <w:r w:rsidRPr="00CD12F0">
        <w:rPr>
          <w:sz w:val="24"/>
          <w:shd w:val="clear" w:color="auto" w:fill="FFFFFF"/>
          <w:lang w:val="bg-BG"/>
        </w:rPr>
        <w:t xml:space="preserve"> и </w:t>
      </w:r>
      <w:hyperlink r:id="rId32" w:history="1">
        <w:r w:rsidRPr="00CD12F0">
          <w:rPr>
            <w:rStyle w:val="Hyperlink"/>
            <w:sz w:val="24"/>
            <w:lang w:val="bg-BG"/>
          </w:rPr>
          <w:t>https://doi.org/10.1186/s13045-019-0767-9</w:t>
        </w:r>
      </w:hyperlink>
      <w:r w:rsidRPr="00CD12F0">
        <w:rPr>
          <w:sz w:val="24"/>
          <w:shd w:val="clear" w:color="auto" w:fill="FFFFFF"/>
          <w:lang w:val="bg-BG"/>
        </w:rPr>
        <w:t>.</w:t>
      </w:r>
    </w:p>
  </w:footnote>
  <w:footnote w:id="13">
    <w:p w:rsidR="003A40FD" w:rsidRPr="00CD12F0" w:rsidP="00CD12F0" w14:paraId="1EEEC50E" w14:textId="57288EA0">
      <w:pPr>
        <w:pStyle w:val="FootnoteText"/>
        <w:ind w:left="567" w:hanging="567"/>
        <w:rPr>
          <w:sz w:val="24"/>
          <w:lang w:val="bg-BG"/>
        </w:rPr>
      </w:pPr>
      <w:r w:rsidRPr="00CD12F0">
        <w:rPr>
          <w:rStyle w:val="FootnoteReference"/>
          <w:sz w:val="24"/>
          <w:lang w:val="bg-BG"/>
        </w:rPr>
        <w:footnoteRef/>
      </w:r>
      <w:r w:rsidRPr="00CD12F0" w:rsidR="00CD12F0">
        <w:rPr>
          <w:sz w:val="24"/>
          <w:lang w:val="bg-BG"/>
        </w:rPr>
        <w:t xml:space="preserve"> </w:t>
      </w:r>
      <w:r w:rsidRPr="00CD12F0" w:rsidR="00CD12F0">
        <w:rPr>
          <w:sz w:val="24"/>
          <w:lang w:val="bg-BG"/>
        </w:rPr>
        <w:tab/>
      </w:r>
      <w:hyperlink r:id="rId33" w:tgtFrame="_blank" w:tooltip="Постоянна връзка посредством идентификатор на цифров обект" w:history="1">
        <w:r w:rsidRPr="00CD12F0">
          <w:rPr>
            <w:rStyle w:val="Hyperlink"/>
            <w:sz w:val="24"/>
            <w:lang w:val="bg-BG"/>
          </w:rPr>
          <w:t>https://doi.org/10.1006/rtph.1999.1371</w:t>
        </w:r>
      </w:hyperlink>
      <w:r w:rsidRPr="00CD12F0">
        <w:rPr>
          <w:sz w:val="24"/>
          <w:lang w:val="bg-BG"/>
        </w:rPr>
        <w:t>.</w:t>
      </w:r>
    </w:p>
  </w:footnote>
  <w:footnote w:id="14">
    <w:p w:rsidR="003A40FD" w:rsidRPr="00CD12F0" w:rsidP="00CD12F0" w14:paraId="490A60A2" w14:textId="417C9173">
      <w:pPr>
        <w:pStyle w:val="FootnoteText"/>
        <w:ind w:left="567" w:hanging="567"/>
        <w:rPr>
          <w:sz w:val="24"/>
          <w:szCs w:val="24"/>
          <w:lang w:val="bg-BG"/>
        </w:rPr>
      </w:pPr>
      <w:r w:rsidRPr="00CD12F0">
        <w:rPr>
          <w:rStyle w:val="FootnoteReference"/>
          <w:sz w:val="24"/>
          <w:lang w:val="bg-BG"/>
        </w:rPr>
        <w:footnoteRef/>
      </w:r>
      <w:r w:rsidRPr="00CD12F0" w:rsidR="00CD12F0">
        <w:rPr>
          <w:sz w:val="24"/>
          <w:shd w:val="clear" w:color="auto" w:fill="FFFFFF"/>
          <w:lang w:val="bg-BG"/>
        </w:rPr>
        <w:t xml:space="preserve"> </w:t>
      </w:r>
      <w:r w:rsidRPr="00CD12F0" w:rsidR="00CD12F0">
        <w:rPr>
          <w:sz w:val="24"/>
          <w:shd w:val="clear" w:color="auto" w:fill="FFFFFF"/>
          <w:lang w:val="bg-BG"/>
        </w:rPr>
        <w:tab/>
      </w:r>
      <w:r w:rsidRPr="00CD12F0">
        <w:rPr>
          <w:sz w:val="24"/>
          <w:shd w:val="clear" w:color="auto" w:fill="FFFFFF"/>
          <w:lang w:val="bg-BG"/>
        </w:rPr>
        <w:t xml:space="preserve">Такъв реално е случаят с </w:t>
      </w:r>
      <w:r w:rsidRPr="00CD12F0">
        <w:rPr>
          <w:sz w:val="24"/>
          <w:shd w:val="clear" w:color="auto" w:fill="FFFFFF"/>
          <w:lang w:val="bg-BG"/>
        </w:rPr>
        <w:t>глифосата</w:t>
      </w:r>
      <w:r w:rsidRPr="00CD12F0">
        <w:rPr>
          <w:sz w:val="24"/>
          <w:shd w:val="clear" w:color="auto" w:fill="FFFFFF"/>
          <w:lang w:val="bg-BG"/>
        </w:rPr>
        <w:t xml:space="preserve">, както е посочено в мотивираното становище на ЕОБХ „Преглед на съществуващите максимално допустими граници на остатъчни вещества (МДГОВ) за </w:t>
      </w:r>
      <w:r w:rsidRPr="00CD12F0">
        <w:rPr>
          <w:sz w:val="24"/>
          <w:shd w:val="clear" w:color="auto" w:fill="FFFFFF"/>
          <w:lang w:val="bg-BG"/>
        </w:rPr>
        <w:t>глифосат</w:t>
      </w:r>
      <w:r w:rsidRPr="00CD12F0">
        <w:rPr>
          <w:sz w:val="24"/>
          <w:shd w:val="clear" w:color="auto" w:fill="FFFFFF"/>
          <w:lang w:val="bg-BG"/>
        </w:rPr>
        <w:t xml:space="preserve"> в съответствие с член 12 от Регламент (ЕО) № 396/2005</w:t>
      </w:r>
      <w:r w:rsidR="00AF3E64">
        <w:rPr>
          <w:sz w:val="24"/>
          <w:shd w:val="clear" w:color="auto" w:fill="FFFFFF"/>
          <w:lang w:val="bg-BG"/>
        </w:rPr>
        <w:t>“</w:t>
      </w:r>
      <w:r w:rsidRPr="00CD12F0">
        <w:rPr>
          <w:sz w:val="24"/>
          <w:shd w:val="clear" w:color="auto" w:fill="FFFFFF"/>
          <w:lang w:val="bg-BG"/>
        </w:rPr>
        <w:t>, Бюлетин на ЕОБХ, 2018 г.,</w:t>
      </w:r>
      <w:r w:rsidR="00AF3E64">
        <w:rPr>
          <w:sz w:val="24"/>
          <w:shd w:val="clear" w:color="auto" w:fill="FFFFFF"/>
          <w:lang w:val="bg-BG"/>
        </w:rPr>
        <w:t xml:space="preserve"> </w:t>
      </w:r>
      <w:r w:rsidRPr="00CD12F0">
        <w:rPr>
          <w:sz w:val="24"/>
          <w:shd w:val="clear" w:color="auto" w:fill="FFFFFF"/>
          <w:lang w:val="bg-BG"/>
        </w:rPr>
        <w:t xml:space="preserve">16(5):5263, стр. 12, </w:t>
      </w:r>
      <w:hyperlink r:id="rId34" w:history="1">
        <w:r w:rsidRPr="00CD12F0">
          <w:rPr>
            <w:rStyle w:val="Hyperlink"/>
            <w:color w:val="123D80"/>
            <w:sz w:val="24"/>
            <w:shd w:val="clear" w:color="auto" w:fill="FFFFFF"/>
            <w:lang w:val="bg-BG"/>
          </w:rPr>
          <w:t>https://doi.org/10.2903/j.efsa.2018.5263</w:t>
        </w:r>
      </w:hyperlink>
      <w:r w:rsidRPr="00CD12F0">
        <w:rPr>
          <w:sz w:val="24"/>
          <w:shd w:val="clear" w:color="auto" w:fill="FFFFFF"/>
          <w:lang w:val="bg-BG"/>
        </w:rPr>
        <w:t>.</w:t>
      </w:r>
    </w:p>
  </w:footnote>
  <w:footnote w:id="15">
    <w:p w:rsidR="003A40FD" w:rsidRPr="00CD12F0" w:rsidP="00CD12F0" w14:paraId="2E2A09AF" w14:textId="158D4351">
      <w:pPr>
        <w:pStyle w:val="FootnoteText"/>
        <w:ind w:left="567" w:hanging="567"/>
        <w:rPr>
          <w:sz w:val="24"/>
          <w:lang w:val="bg-BG"/>
        </w:rPr>
      </w:pPr>
      <w:r w:rsidRPr="00CD12F0">
        <w:rPr>
          <w:rStyle w:val="FootnoteReference"/>
          <w:sz w:val="24"/>
          <w:lang w:val="bg-BG"/>
        </w:rPr>
        <w:footnoteRef/>
      </w:r>
      <w:r w:rsidRPr="00CD12F0" w:rsidR="00CD12F0">
        <w:rPr>
          <w:sz w:val="24"/>
          <w:lang w:val="bg-BG"/>
        </w:rPr>
        <w:t xml:space="preserve"> </w:t>
      </w:r>
      <w:r w:rsidRPr="00CD12F0" w:rsidR="00CD12F0">
        <w:rPr>
          <w:sz w:val="24"/>
          <w:lang w:val="bg-BG"/>
        </w:rPr>
        <w:tab/>
      </w:r>
      <w:r w:rsidRPr="00CD12F0">
        <w:rPr>
          <w:sz w:val="24"/>
          <w:lang w:val="bg-BG"/>
        </w:rPr>
        <w:t>ОВ L 282, 19.10.2016 г., стр. 4.</w:t>
      </w:r>
    </w:p>
  </w:footnote>
  <w:footnote w:id="16">
    <w:p w:rsidR="003A40FD" w:rsidRPr="00CD12F0" w:rsidP="00CD12F0" w14:paraId="1DC24875" w14:textId="7BE2FEF6">
      <w:pPr>
        <w:pStyle w:val="FootnoteText"/>
        <w:ind w:left="567" w:hanging="567"/>
        <w:rPr>
          <w:sz w:val="24"/>
          <w:lang w:val="bg-BG"/>
        </w:rPr>
      </w:pPr>
      <w:r w:rsidRPr="00CD12F0">
        <w:rPr>
          <w:rStyle w:val="FootnoteReference"/>
          <w:sz w:val="24"/>
          <w:lang w:val="bg-BG"/>
        </w:rPr>
        <w:footnoteRef/>
      </w:r>
      <w:r w:rsidRPr="00CD12F0" w:rsidR="00CD12F0">
        <w:rPr>
          <w:sz w:val="24"/>
          <w:lang w:val="bg-BG"/>
        </w:rPr>
        <w:t xml:space="preserve"> </w:t>
      </w:r>
      <w:r w:rsidRPr="00CD12F0" w:rsidR="00CD12F0">
        <w:rPr>
          <w:sz w:val="24"/>
          <w:lang w:val="bg-BG"/>
        </w:rPr>
        <w:tab/>
      </w:r>
      <w:r w:rsidRPr="00CD12F0">
        <w:rPr>
          <w:sz w:val="24"/>
          <w:lang w:val="bg-BG"/>
        </w:rPr>
        <w:t>ОВ L 309, 13.</w:t>
      </w:r>
      <w:r w:rsidR="00D154A3">
        <w:rPr>
          <w:sz w:val="24"/>
          <w:lang w:val="bg-BG"/>
        </w:rPr>
        <w:t>1</w:t>
      </w:r>
      <w:r w:rsidRPr="00CD12F0">
        <w:rPr>
          <w:sz w:val="24"/>
          <w:lang w:val="bg-BG"/>
        </w:rPr>
        <w:t>2.1993 г., стр. 3, ELI: </w:t>
      </w:r>
      <w:hyperlink r:id="rId35" w:tooltip="Достъп до този документ чрез неговия идентификатор ELI URI." w:history="1">
        <w:r w:rsidRPr="00CD12F0">
          <w:rPr>
            <w:rStyle w:val="Hyperlink"/>
            <w:sz w:val="24"/>
            <w:lang w:val="bg-BG"/>
          </w:rPr>
          <w:t>http://data.europa.eu/eli/convention/1993/626/oj</w:t>
        </w:r>
      </w:hyperlink>
      <w:r w:rsidRPr="00CD12F0">
        <w:rPr>
          <w:sz w:val="24"/>
          <w:lang w:val="bg-BG"/>
        </w:rPr>
        <w:t>.</w:t>
      </w:r>
    </w:p>
  </w:footnote>
  <w:footnote w:id="17">
    <w:p w:rsidR="003A40FD" w:rsidRPr="00CD12F0" w:rsidP="00CD12F0" w14:paraId="416267BA" w14:textId="4B13C6B6">
      <w:pPr>
        <w:pStyle w:val="FootnoteText"/>
        <w:ind w:left="567" w:hanging="567"/>
        <w:rPr>
          <w:sz w:val="24"/>
          <w:lang w:val="bg-BG"/>
        </w:rPr>
      </w:pPr>
      <w:r w:rsidRPr="00CD12F0">
        <w:rPr>
          <w:rStyle w:val="FootnoteReference"/>
          <w:sz w:val="24"/>
          <w:lang w:val="bg-BG"/>
        </w:rPr>
        <w:footnoteRef/>
      </w:r>
      <w:r w:rsidRPr="00CD12F0" w:rsidR="00CD12F0">
        <w:rPr>
          <w:sz w:val="24"/>
          <w:lang w:val="bg-BG"/>
        </w:rPr>
        <w:t xml:space="preserve"> </w:t>
      </w:r>
      <w:r w:rsidRPr="00CD12F0" w:rsidR="00CD12F0">
        <w:rPr>
          <w:sz w:val="24"/>
          <w:lang w:val="bg-BG"/>
        </w:rPr>
        <w:tab/>
      </w:r>
      <w:r w:rsidRPr="00CD12F0">
        <w:rPr>
          <w:sz w:val="24"/>
          <w:lang w:val="bg-BG"/>
        </w:rPr>
        <w:t xml:space="preserve">През декември 2022 г. на 15‑ата конференция на страните по Конвенцията на ООН за биологичното разнообразие (COP15) беше договорена глобалната рамка за биологичното разнообразие, която включва глобална цел за намаляване на риска от пестициди с най-малко 50% до 2030 г. (вж. </w:t>
      </w:r>
      <w:r w:rsidRPr="00CD12F0">
        <w:rPr>
          <w:color w:val="000000" w:themeColor="text1"/>
          <w:sz w:val="24"/>
          <w:lang w:val="bg-BG"/>
        </w:rPr>
        <w:t xml:space="preserve"> </w:t>
      </w:r>
      <w:hyperlink r:id="rId36" w:history="1">
        <w:r w:rsidRPr="00CD12F0">
          <w:rPr>
            <w:rStyle w:val="Hyperlink"/>
            <w:sz w:val="24"/>
            <w:lang w:val="bg-BG"/>
          </w:rPr>
          <w:t>https://ec.europa.eu/commission/presscorner/detail/bg/ip_22_7834</w:t>
        </w:r>
      </w:hyperlink>
      <w:r w:rsidRPr="00CD12F0">
        <w:rPr>
          <w:sz w:val="24"/>
          <w:lang w:val="bg-BG"/>
        </w:rPr>
        <w:t>).</w:t>
      </w:r>
    </w:p>
  </w:footnote>
  <w:footnote w:id="18">
    <w:p w:rsidR="003A40FD" w:rsidRPr="00CD12F0" w:rsidP="00CD12F0" w14:paraId="77321F63" w14:textId="36159F04">
      <w:pPr>
        <w:pStyle w:val="FootnoteText"/>
        <w:ind w:left="567" w:hanging="567"/>
        <w:rPr>
          <w:sz w:val="24"/>
          <w:lang w:val="bg-BG"/>
        </w:rPr>
      </w:pPr>
      <w:r w:rsidRPr="00CD12F0">
        <w:rPr>
          <w:rStyle w:val="FootnoteReference"/>
          <w:sz w:val="24"/>
          <w:lang w:val="bg-BG"/>
        </w:rPr>
        <w:footnoteRef/>
      </w:r>
      <w:r w:rsidRPr="00CD12F0" w:rsidR="00CD12F0">
        <w:rPr>
          <w:sz w:val="24"/>
          <w:lang w:val="bg-BG"/>
        </w:rPr>
        <w:t xml:space="preserve"> </w:t>
      </w:r>
      <w:r w:rsidRPr="00CD12F0" w:rsidR="00CD12F0">
        <w:rPr>
          <w:sz w:val="24"/>
          <w:lang w:val="bg-BG"/>
        </w:rPr>
        <w:tab/>
      </w:r>
      <w:hyperlink r:id="rId37" w:history="1">
        <w:r w:rsidRPr="00CD12F0">
          <w:rPr>
            <w:rStyle w:val="Hyperlink"/>
            <w:sz w:val="24"/>
            <w:lang w:val="bg-BG"/>
          </w:rPr>
          <w:t>https://commission.europa.eu/strategy-and-policy/priorities-2019-2024/european-green-deal/agriculture-and-green-deal/strategic-dialogue-future-eu-agriculture_bg</w:t>
        </w:r>
      </w:hyperlink>
      <w:r w:rsidRPr="00CD12F0">
        <w:rPr>
          <w:rStyle w:val="Hyperlink"/>
          <w:sz w:val="24"/>
          <w:lang w:val="bg-BG"/>
        </w:rPr>
        <w:t>.</w:t>
      </w:r>
    </w:p>
  </w:footnote>
  <w:footnote w:id="19">
    <w:p w:rsidR="003A40FD" w:rsidRPr="00CD12F0" w:rsidP="00CD12F0" w14:paraId="58EB0A7B" w14:textId="6D29BD9B">
      <w:pPr>
        <w:pStyle w:val="FootnoteText"/>
        <w:ind w:left="567" w:hanging="567"/>
        <w:rPr>
          <w:sz w:val="24"/>
          <w:szCs w:val="24"/>
          <w:lang w:val="bg-BG"/>
        </w:rPr>
      </w:pPr>
      <w:r w:rsidRPr="00CD12F0">
        <w:rPr>
          <w:rStyle w:val="FootnoteReference"/>
          <w:sz w:val="24"/>
          <w:lang w:val="bg-BG"/>
        </w:rPr>
        <w:footnoteRef/>
      </w:r>
      <w:r w:rsidRPr="00CD12F0" w:rsidR="00CD12F0">
        <w:rPr>
          <w:sz w:val="24"/>
          <w:lang w:val="bg-BG"/>
        </w:rPr>
        <w:t xml:space="preserve"> </w:t>
      </w:r>
      <w:r w:rsidRPr="00CD12F0" w:rsidR="00CD12F0">
        <w:rPr>
          <w:sz w:val="24"/>
          <w:lang w:val="bg-BG"/>
        </w:rPr>
        <w:tab/>
      </w:r>
      <w:r w:rsidRPr="00CD12F0">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38" w:tgtFrame="Gives access to this document through its ELI URI." w:history="1">
        <w:r w:rsidRPr="00CD12F0">
          <w:rPr>
            <w:rStyle w:val="Hyperlink"/>
            <w:color w:val="0070C0"/>
            <w:sz w:val="24"/>
            <w:lang w:val="bg-BG"/>
          </w:rPr>
          <w:t>http://data.europa.eu/eli/reg/2002/178/oj</w:t>
        </w:r>
      </w:hyperlink>
      <w:r w:rsidRPr="00CD12F0">
        <w:rPr>
          <w:sz w:val="24"/>
          <w:lang w:val="bg-BG"/>
        </w:rPr>
        <w:t>).</w:t>
      </w:r>
    </w:p>
  </w:footnote>
  <w:footnote w:id="20">
    <w:p w:rsidR="003A40FD" w:rsidRPr="00CD12F0" w:rsidP="00CD12F0" w14:paraId="4BFDF1B7" w14:textId="6CC93EBB">
      <w:pPr>
        <w:pStyle w:val="FootnoteText"/>
        <w:ind w:left="567" w:hanging="567"/>
        <w:rPr>
          <w:sz w:val="24"/>
          <w:szCs w:val="24"/>
          <w:lang w:val="bg-BG"/>
        </w:rPr>
      </w:pPr>
      <w:r w:rsidRPr="00CD12F0">
        <w:rPr>
          <w:rStyle w:val="FootnoteReference"/>
          <w:sz w:val="24"/>
          <w:lang w:val="bg-BG"/>
        </w:rPr>
        <w:footnoteRef/>
      </w:r>
      <w:r w:rsidRPr="00CD12F0" w:rsidR="00CD12F0">
        <w:rPr>
          <w:sz w:val="24"/>
          <w:lang w:val="bg-BG"/>
        </w:rPr>
        <w:t xml:space="preserve"> </w:t>
      </w:r>
      <w:r w:rsidRPr="00CD12F0" w:rsidR="00CD12F0">
        <w:rPr>
          <w:sz w:val="24"/>
          <w:lang w:val="bg-BG"/>
        </w:rPr>
        <w:tab/>
      </w:r>
      <w:hyperlink r:id="rId39" w:history="1">
        <w:r w:rsidRPr="00CD12F0">
          <w:rPr>
            <w:rStyle w:val="Hyperlink"/>
            <w:sz w:val="24"/>
            <w:shd w:val="clear" w:color="auto" w:fill="FFFFFF"/>
            <w:lang w:val="bg-BG"/>
          </w:rPr>
          <w:t>https://tillymetz.lu/wp-content/uploads/2020/09/Co-signed-letter-MEP-Metz.pdf</w:t>
        </w:r>
      </w:hyperlink>
      <w:r w:rsidRPr="00CD12F0">
        <w:rPr>
          <w:sz w:val="24"/>
          <w:shd w:val="clear" w:color="auto" w:fill="FFFFFF"/>
          <w:lang w:val="bg-BG"/>
        </w:rPr>
        <w:t>.</w:t>
      </w:r>
    </w:p>
  </w:footnote>
  <w:footnote w:id="21">
    <w:p w:rsidR="003A40FD" w:rsidRPr="00CD12F0" w:rsidP="00CD12F0" w14:paraId="682EDBEF" w14:textId="502DEB44">
      <w:pPr>
        <w:pStyle w:val="FootnoteText"/>
        <w:ind w:left="567" w:hanging="567"/>
        <w:rPr>
          <w:sz w:val="24"/>
          <w:lang w:val="bg-BG"/>
        </w:rPr>
      </w:pPr>
      <w:r w:rsidRPr="00CD12F0">
        <w:rPr>
          <w:rStyle w:val="FootnoteReference"/>
          <w:sz w:val="24"/>
          <w:lang w:val="bg-BG"/>
        </w:rPr>
        <w:footnoteRef/>
      </w:r>
      <w:r w:rsidRPr="00CD12F0" w:rsidR="00CD12F0">
        <w:rPr>
          <w:sz w:val="24"/>
          <w:shd w:val="clear" w:color="auto" w:fill="FFFFFF"/>
          <w:lang w:val="bg-BG"/>
        </w:rPr>
        <w:t xml:space="preserve"> </w:t>
      </w:r>
      <w:r w:rsidRPr="00CD12F0" w:rsidR="00CD12F0">
        <w:rPr>
          <w:sz w:val="24"/>
          <w:shd w:val="clear" w:color="auto" w:fill="FFFFFF"/>
          <w:lang w:val="bg-BG"/>
        </w:rPr>
        <w:tab/>
      </w:r>
      <w:r w:rsidRPr="00CD12F0">
        <w:rPr>
          <w:sz w:val="24"/>
          <w:shd w:val="clear" w:color="auto" w:fill="FFFFFF"/>
          <w:lang w:val="bg-BG"/>
        </w:rPr>
        <w:t>Резолюция на Европейския парламент от 15 януари 2020 г. относно Европейския зелен пакт (ОВ C 270, 7.7.2021 г., стр. 2), параграф 102.</w:t>
      </w:r>
    </w:p>
  </w:footnote>
  <w:footnote w:id="22">
    <w:p w:rsidR="003A40FD" w:rsidRPr="00CD12F0" w:rsidP="00CD12F0" w14:paraId="68B85396" w14:textId="386CC55E">
      <w:pPr>
        <w:pStyle w:val="FootnoteText"/>
        <w:ind w:left="567" w:hanging="567"/>
        <w:rPr>
          <w:sz w:val="24"/>
          <w:szCs w:val="24"/>
          <w:lang w:val="bg-BG"/>
        </w:rPr>
      </w:pPr>
      <w:r w:rsidRPr="00CD12F0">
        <w:rPr>
          <w:rStyle w:val="FootnoteReference"/>
          <w:sz w:val="24"/>
          <w:lang w:val="bg-BG"/>
        </w:rPr>
        <w:footnoteRef/>
      </w:r>
      <w:r w:rsidRPr="00CD12F0" w:rsidR="00CD12F0">
        <w:rPr>
          <w:sz w:val="24"/>
          <w:shd w:val="clear" w:color="auto" w:fill="FFFFFF"/>
          <w:lang w:val="bg-BG"/>
        </w:rPr>
        <w:t xml:space="preserve"> </w:t>
      </w:r>
      <w:r w:rsidRPr="00CD12F0" w:rsidR="00CD12F0">
        <w:rPr>
          <w:sz w:val="24"/>
          <w:shd w:val="clear" w:color="auto" w:fill="FFFFFF"/>
          <w:lang w:val="bg-BG"/>
        </w:rPr>
        <w:tab/>
      </w:r>
      <w:r w:rsidRPr="00CD12F0">
        <w:rPr>
          <w:sz w:val="24"/>
          <w:shd w:val="clear" w:color="auto" w:fill="FFFFFF"/>
          <w:lang w:val="bg-BG"/>
        </w:rPr>
        <w:t>ОВ C 445, 29.10.2021 г., стр.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12F0" w14:paraId="35CE93B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12F0" w14:paraId="6ED1DEF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12F0" w14:paraId="044D73F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0475542">
    <w:abstractNumId w:val="9"/>
  </w:num>
  <w:num w:numId="2" w16cid:durableId="1287934571">
    <w:abstractNumId w:val="9"/>
  </w:num>
  <w:num w:numId="3" w16cid:durableId="330987778">
    <w:abstractNumId w:val="7"/>
  </w:num>
  <w:num w:numId="4" w16cid:durableId="296842647">
    <w:abstractNumId w:val="7"/>
  </w:num>
  <w:num w:numId="5" w16cid:durableId="638727377">
    <w:abstractNumId w:val="6"/>
  </w:num>
  <w:num w:numId="6" w16cid:durableId="1628245260">
    <w:abstractNumId w:val="6"/>
  </w:num>
  <w:num w:numId="7" w16cid:durableId="382024295">
    <w:abstractNumId w:val="5"/>
  </w:num>
  <w:num w:numId="8" w16cid:durableId="1131752393">
    <w:abstractNumId w:val="5"/>
  </w:num>
  <w:num w:numId="9" w16cid:durableId="1703550974">
    <w:abstractNumId w:val="4"/>
  </w:num>
  <w:num w:numId="10" w16cid:durableId="775246487">
    <w:abstractNumId w:val="4"/>
  </w:num>
  <w:num w:numId="11" w16cid:durableId="1593195959">
    <w:abstractNumId w:val="8"/>
  </w:num>
  <w:num w:numId="12" w16cid:durableId="284164997">
    <w:abstractNumId w:val="8"/>
  </w:num>
  <w:num w:numId="13" w16cid:durableId="533274159">
    <w:abstractNumId w:val="3"/>
  </w:num>
  <w:num w:numId="14" w16cid:durableId="61103173">
    <w:abstractNumId w:val="3"/>
  </w:num>
  <w:num w:numId="15" w16cid:durableId="2067797313">
    <w:abstractNumId w:val="2"/>
  </w:num>
  <w:num w:numId="16" w16cid:durableId="922106610">
    <w:abstractNumId w:val="2"/>
  </w:num>
  <w:num w:numId="17" w16cid:durableId="831262212">
    <w:abstractNumId w:val="1"/>
  </w:num>
  <w:num w:numId="18" w16cid:durableId="585189319">
    <w:abstractNumId w:val="1"/>
  </w:num>
  <w:num w:numId="19" w16cid:durableId="1702978271">
    <w:abstractNumId w:val="0"/>
  </w:num>
  <w:num w:numId="20" w16cid:durableId="967515635">
    <w:abstractNumId w:val="0"/>
  </w:num>
  <w:num w:numId="21" w16cid:durableId="1537158293">
    <w:abstractNumId w:val="9"/>
  </w:num>
  <w:num w:numId="22" w16cid:durableId="188760682">
    <w:abstractNumId w:val="7"/>
  </w:num>
  <w:num w:numId="23" w16cid:durableId="65033195">
    <w:abstractNumId w:val="6"/>
  </w:num>
  <w:num w:numId="24" w16cid:durableId="825633342">
    <w:abstractNumId w:val="5"/>
  </w:num>
  <w:num w:numId="25" w16cid:durableId="1352149081">
    <w:abstractNumId w:val="4"/>
  </w:num>
  <w:num w:numId="26" w16cid:durableId="1707557723">
    <w:abstractNumId w:val="8"/>
  </w:num>
  <w:num w:numId="27" w16cid:durableId="481895838">
    <w:abstractNumId w:val="3"/>
  </w:num>
  <w:num w:numId="28" w16cid:durableId="2112773009">
    <w:abstractNumId w:val="2"/>
  </w:num>
  <w:num w:numId="29" w16cid:durableId="1031760346">
    <w:abstractNumId w:val="1"/>
  </w:num>
  <w:num w:numId="30" w16cid:durableId="1594046693">
    <w:abstractNumId w:val="0"/>
  </w:num>
  <w:num w:numId="31" w16cid:durableId="2131624307">
    <w:abstractNumId w:val="9"/>
  </w:num>
  <w:num w:numId="32" w16cid:durableId="319041108">
    <w:abstractNumId w:val="7"/>
  </w:num>
  <w:num w:numId="33" w16cid:durableId="2143189661">
    <w:abstractNumId w:val="6"/>
  </w:num>
  <w:num w:numId="34" w16cid:durableId="300499896">
    <w:abstractNumId w:val="5"/>
  </w:num>
  <w:num w:numId="35" w16cid:durableId="1903448164">
    <w:abstractNumId w:val="4"/>
  </w:num>
  <w:num w:numId="36" w16cid:durableId="202988042">
    <w:abstractNumId w:val="8"/>
  </w:num>
  <w:num w:numId="37" w16cid:durableId="2028209307">
    <w:abstractNumId w:val="3"/>
  </w:num>
  <w:num w:numId="38" w16cid:durableId="25065823">
    <w:abstractNumId w:val="2"/>
  </w:num>
  <w:num w:numId="39" w16cid:durableId="1918133127">
    <w:abstractNumId w:val="1"/>
  </w:num>
  <w:num w:numId="40" w16cid:durableId="1101683729">
    <w:abstractNumId w:val="0"/>
  </w:num>
  <w:num w:numId="41" w16cid:durableId="1185752860">
    <w:abstractNumId w:val="10"/>
  </w:num>
  <w:num w:numId="42" w16cid:durableId="164173143">
    <w:abstractNumId w:val="10"/>
  </w:num>
  <w:num w:numId="43" w16cid:durableId="1409957160">
    <w:abstractNumId w:val="10"/>
  </w:num>
  <w:num w:numId="44" w16cid:durableId="827205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3AF"/>
    <w:rsid w:val="00002272"/>
    <w:rsid w:val="00064002"/>
    <w:rsid w:val="000677B9"/>
    <w:rsid w:val="000831BA"/>
    <w:rsid w:val="000A42CC"/>
    <w:rsid w:val="000E7DD9"/>
    <w:rsid w:val="0010095E"/>
    <w:rsid w:val="00125B37"/>
    <w:rsid w:val="00142FAA"/>
    <w:rsid w:val="00187494"/>
    <w:rsid w:val="001F32AE"/>
    <w:rsid w:val="002767FF"/>
    <w:rsid w:val="002B18FE"/>
    <w:rsid w:val="002B5493"/>
    <w:rsid w:val="00343214"/>
    <w:rsid w:val="00361C00"/>
    <w:rsid w:val="00395FA1"/>
    <w:rsid w:val="003A40FD"/>
    <w:rsid w:val="003E15D4"/>
    <w:rsid w:val="00411CCE"/>
    <w:rsid w:val="0041666E"/>
    <w:rsid w:val="00421060"/>
    <w:rsid w:val="00471C19"/>
    <w:rsid w:val="004867E3"/>
    <w:rsid w:val="00494A28"/>
    <w:rsid w:val="004B663F"/>
    <w:rsid w:val="004C0004"/>
    <w:rsid w:val="004C5D52"/>
    <w:rsid w:val="0050519A"/>
    <w:rsid w:val="005072A1"/>
    <w:rsid w:val="00514517"/>
    <w:rsid w:val="00545827"/>
    <w:rsid w:val="00560270"/>
    <w:rsid w:val="005B74F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60C2"/>
    <w:rsid w:val="00881A7B"/>
    <w:rsid w:val="008840E5"/>
    <w:rsid w:val="00887B3E"/>
    <w:rsid w:val="008C2AC6"/>
    <w:rsid w:val="00930C23"/>
    <w:rsid w:val="0093193B"/>
    <w:rsid w:val="009509D8"/>
    <w:rsid w:val="00950B64"/>
    <w:rsid w:val="00981893"/>
    <w:rsid w:val="009F4B2A"/>
    <w:rsid w:val="00A1687D"/>
    <w:rsid w:val="00A43E52"/>
    <w:rsid w:val="00A4678D"/>
    <w:rsid w:val="00A778C7"/>
    <w:rsid w:val="00AB441E"/>
    <w:rsid w:val="00AB6293"/>
    <w:rsid w:val="00AE0928"/>
    <w:rsid w:val="00AF3B82"/>
    <w:rsid w:val="00AF3E64"/>
    <w:rsid w:val="00B12E95"/>
    <w:rsid w:val="00B22876"/>
    <w:rsid w:val="00B558F0"/>
    <w:rsid w:val="00BA5DA2"/>
    <w:rsid w:val="00BD48FE"/>
    <w:rsid w:val="00BD7BD8"/>
    <w:rsid w:val="00BE6ADC"/>
    <w:rsid w:val="00BF008B"/>
    <w:rsid w:val="00C05BFE"/>
    <w:rsid w:val="00C23CD4"/>
    <w:rsid w:val="00C61C0C"/>
    <w:rsid w:val="00C941CB"/>
    <w:rsid w:val="00CC2357"/>
    <w:rsid w:val="00CD12F0"/>
    <w:rsid w:val="00CF071A"/>
    <w:rsid w:val="00D058B8"/>
    <w:rsid w:val="00D154A3"/>
    <w:rsid w:val="00D56C11"/>
    <w:rsid w:val="00D834A0"/>
    <w:rsid w:val="00D872DF"/>
    <w:rsid w:val="00D878A3"/>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3AF"/>
  </w:rsids>
  <w:docVars>
    <w:docVar w:name="dvdocse" w:val="B10-0334/2026"/>
    <w:docVar w:name="dvlangue" w:val="BG"/>
    <w:docVar w:name="dvnumam" w:val="0"/>
    <w:docVar w:name="dvpe" w:val="789.024"/>
    <w:docVar w:name="dvtitre" w:val="Резолюция на Европейския парламент от ... 2026 г. относно проекта на решение за изпълнение на Комисията за подновяване на разрешението за пускане на пазара на продукти, съдържащи, състоящи се или произведени от генетично модифицирана соя MON 87705, съгласно Регламент (ЕО) № 1829/2003 на Европейския парламент и на Съвета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9F120A3"/>
  <w15:chartTrackingRefBased/>
  <w15:docId w15:val="{B97D117D-02C6-46BF-8EAD-B5829B38E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A40FD"/>
    <w:pPr>
      <w:spacing w:before="480" w:after="240"/>
    </w:pPr>
  </w:style>
  <w:style w:type="paragraph" w:customStyle="1" w:styleId="NormalHanging12a">
    <w:name w:val="NormalHanging12a"/>
    <w:basedOn w:val="Normal"/>
    <w:qFormat/>
    <w:rsid w:val="003A40FD"/>
    <w:pPr>
      <w:spacing w:after="240"/>
      <w:ind w:left="567" w:hanging="567"/>
    </w:pPr>
  </w:style>
  <w:style w:type="character" w:styleId="Hyperlink">
    <w:name w:val="Hyperlink"/>
    <w:basedOn w:val="DefaultParagraphFont"/>
    <w:uiPriority w:val="99"/>
    <w:rsid w:val="003A40FD"/>
    <w:rPr>
      <w:color w:val="0563C1" w:themeColor="hyperlink"/>
      <w:u w:val="single"/>
    </w:rPr>
  </w:style>
  <w:style w:type="character" w:customStyle="1" w:styleId="Funotenzeichen">
    <w:name w:val="Fußnotenzeichen"/>
    <w:basedOn w:val="DefaultParagraphFont"/>
    <w:uiPriority w:val="99"/>
    <w:qFormat/>
    <w:rsid w:val="003A40FD"/>
    <w:rPr>
      <w:rFonts w:cs="Times New Roman"/>
      <w:vertAlign w:val="superscript"/>
    </w:rPr>
  </w:style>
  <w:style w:type="paragraph" w:styleId="Revision">
    <w:name w:val="Revision"/>
    <w:hidden/>
    <w:uiPriority w:val="99"/>
    <w:semiHidden/>
    <w:rsid w:val="00AF3E64"/>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bg/ip_22_7834" TargetMode="External" /><Relationship Id="rId37" Type="http://schemas.openxmlformats.org/officeDocument/2006/relationships/hyperlink" Target="https://commission.europa.eu/strategy-and-policy/priorities-2019-2024/european-green-deal/agriculture-and-green-deal/strategic-dialogue-future-eu-agriculture_bg"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2317</Words>
  <Characters>13442</Characters>
  <Application>Microsoft Office Word</Application>
  <DocSecurity>0</DocSecurity>
  <Lines>363</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2026-08-12T04:43:00Z</dcterms:created>
  <dcterms:modified xsi:type="dcterms:W3CDTF">2026-08-12T04:43:00Z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B10-0334/2026</vt:lpwstr>
  </property>
  <property fmtid="{D5CDD505-2E9C-101B-9397-08002B2CF9AE}" pid="4" name="&lt;Type&gt;">
    <vt:lpwstr>RR</vt:lpwstr>
  </property>
</Properties>
</file>