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9114EA2" w14:textId="77777777" w:rsidTr="0010095E">
        <w:tblPrEx>
          <w:tblW w:w="9072" w:type="dxa"/>
          <w:tblLook w:val="01E0"/>
        </w:tblPrEx>
        <w:trPr>
          <w:trHeight w:hRule="exact" w:val="1418"/>
        </w:trPr>
        <w:tc>
          <w:tcPr>
            <w:tcW w:w="6804" w:type="dxa"/>
            <w:shd w:val="clear" w:color="auto" w:fill="auto"/>
            <w:vAlign w:val="center"/>
          </w:tcPr>
          <w:p w:rsidR="00751A4A" w:rsidRPr="003B10F9" w:rsidP="0010095E" w14:paraId="7F2B91F0" w14:textId="77777777">
            <w:pPr>
              <w:pStyle w:val="EPName"/>
            </w:pPr>
            <w:r w:rsidRPr="003B10F9">
              <w:t>Europa-Parlamentet</w:t>
            </w:r>
          </w:p>
          <w:p w:rsidR="00751A4A" w:rsidRPr="003B10F9" w:rsidP="005F1B17" w14:paraId="458A9C99" w14:textId="77777777">
            <w:pPr>
              <w:pStyle w:val="EPTerm"/>
              <w:rPr>
                <w:rStyle w:val="HideTWBExt"/>
                <w:noProof w:val="0"/>
                <w:vanish w:val="0"/>
                <w:color w:val="auto"/>
              </w:rPr>
            </w:pPr>
            <w:r w:rsidRPr="003B10F9">
              <w:t>2024</w:t>
            </w:r>
            <w:r w:rsidRPr="003B10F9" w:rsidR="00817416">
              <w:t>-202</w:t>
            </w:r>
            <w:r w:rsidRPr="003B10F9">
              <w:t>9</w:t>
            </w:r>
          </w:p>
        </w:tc>
        <w:tc>
          <w:tcPr>
            <w:tcW w:w="2268" w:type="dxa"/>
            <w:shd w:val="clear" w:color="auto" w:fill="auto"/>
          </w:tcPr>
          <w:p w:rsidR="00751A4A" w:rsidRPr="003B10F9" w:rsidP="0010095E" w14:paraId="71A66F86" w14:textId="77777777">
            <w:pPr>
              <w:pStyle w:val="EPLogo"/>
            </w:pPr>
            <w:r w:rsidRPr="003B10F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B10F9" w:rsidP="004C5D52" w14:paraId="48026682" w14:textId="77777777">
      <w:pPr>
        <w:pStyle w:val="LineTop"/>
      </w:pPr>
    </w:p>
    <w:p w:rsidR="00680577" w:rsidRPr="003B10F9" w:rsidP="00680577" w14:paraId="1F2351E9" w14:textId="77777777">
      <w:pPr>
        <w:pStyle w:val="EPBodyTA1"/>
      </w:pPr>
      <w:r w:rsidRPr="003B10F9">
        <w:t>VEDTAGNE TEKSTER</w:t>
      </w:r>
    </w:p>
    <w:p w:rsidR="00D058B8" w:rsidRPr="003B10F9" w:rsidP="00D058B8" w14:paraId="290A1277" w14:textId="77777777">
      <w:pPr>
        <w:pStyle w:val="LineBottom"/>
      </w:pPr>
    </w:p>
    <w:p w:rsidR="005D3BE9" w:rsidRPr="005E6B44" w:rsidP="005D3BE9" w14:paraId="02732944" w14:textId="096C9066">
      <w:pPr>
        <w:pStyle w:val="ATHeading1"/>
      </w:pPr>
      <w:bookmarkStart w:id="0" w:name="TANumber"/>
      <w:r w:rsidRPr="005E6B44">
        <w:t>P10_TA(2026)0</w:t>
      </w:r>
      <w:r w:rsidR="00500F86">
        <w:t>264</w:t>
      </w:r>
      <w:bookmarkEnd w:id="0"/>
    </w:p>
    <w:p w:rsidR="005D3BE9" w:rsidRPr="005E6B44" w:rsidP="005D3BE9" w14:paraId="1702B480" w14:textId="77777777">
      <w:pPr>
        <w:pStyle w:val="ATHeading2"/>
      </w:pPr>
      <w:bookmarkStart w:id="1" w:name="title"/>
      <w:r w:rsidRPr="005E6B44">
        <w:t>Genetisk modificeret sojabønne MON 87705</w:t>
      </w:r>
      <w:bookmarkEnd w:id="1"/>
    </w:p>
    <w:p w:rsidR="005D3BE9" w:rsidRPr="003B10F9" w:rsidP="005D3BE9" w14:paraId="5DD35F14" w14:textId="77777777">
      <w:pPr>
        <w:rPr>
          <w:i/>
          <w:vanish/>
        </w:rPr>
      </w:pPr>
      <w:r>
        <w:rPr>
          <w:i/>
        </w:rPr>
        <w:fldChar w:fldCharType="begin"/>
      </w:r>
      <w:r w:rsidRPr="003B10F9">
        <w:rPr>
          <w:i/>
        </w:rPr>
        <w:instrText xml:space="preserve"> TC"(</w:instrText>
      </w:r>
      <w:bookmarkStart w:id="2" w:name="DocNumber"/>
      <w:r w:rsidRPr="003B10F9">
        <w:rPr>
          <w:i/>
        </w:rPr>
        <w:instrText>B10-0334/2026</w:instrText>
      </w:r>
      <w:bookmarkEnd w:id="2"/>
      <w:r w:rsidRPr="003B10F9">
        <w:rPr>
          <w:i/>
        </w:rPr>
        <w:instrText xml:space="preserve">)"\l3 \n&gt; \* MERGEFORMAT </w:instrText>
      </w:r>
      <w:r>
        <w:rPr>
          <w:i/>
        </w:rPr>
        <w:fldChar w:fldCharType="end"/>
      </w:r>
    </w:p>
    <w:p w:rsidR="005D3BE9" w:rsidRPr="003B10F9" w:rsidP="005D3BE9" w14:paraId="10F3652D" w14:textId="77777777">
      <w:pPr>
        <w:rPr>
          <w:vanish/>
        </w:rPr>
      </w:pPr>
      <w:bookmarkStart w:id="3" w:name="PE"/>
      <w:r w:rsidRPr="003B10F9">
        <w:rPr>
          <w:vanish/>
        </w:rPr>
        <w:t>PE789.024</w:t>
      </w:r>
      <w:bookmarkEnd w:id="3"/>
    </w:p>
    <w:p w:rsidR="005D3BE9" w:rsidRPr="005E6B44" w:rsidP="005D3BE9" w14:paraId="647D19D5" w14:textId="7CDECCE4">
      <w:pPr>
        <w:pStyle w:val="ATHeading3"/>
      </w:pPr>
      <w:bookmarkStart w:id="4" w:name="Sujet"/>
      <w:r w:rsidRPr="005E6B44">
        <w:t xml:space="preserve">Europa-Parlamentets beslutning af </w:t>
      </w:r>
      <w:r w:rsidRPr="005E6B44" w:rsidR="00394F3E">
        <w:t>8. juli</w:t>
      </w:r>
      <w:r w:rsidRPr="005E6B44">
        <w:t xml:space="preserve"> 2026 om Kommissionens gennemførelsesafgørelse</w:t>
      </w:r>
      <w:r w:rsidRPr="005E6B44" w:rsidR="00952C5C">
        <w:t xml:space="preserve"> (EU) 2026/1419 af 29. juni 2026</w:t>
      </w:r>
      <w:r w:rsidRPr="005E6B44">
        <w:t xml:space="preserve"> om forlængelse af tilladelsen til markedsføring af produkter, der indeholder, består af eller er fremstillet af genetisk modificeret MON 87705-sojabønne, i henhold til Europa-Parlamentets og Rådets forordning (EF) nr. 1829/2003</w:t>
      </w:r>
      <w:bookmarkEnd w:id="4"/>
      <w:r w:rsidRPr="005E6B44">
        <w:t xml:space="preserve"> </w:t>
      </w:r>
      <w:bookmarkStart w:id="5" w:name="References"/>
      <w:r w:rsidRPr="005E6B44">
        <w:t>(2026/2747(RSP))</w:t>
      </w:r>
      <w:bookmarkEnd w:id="5"/>
    </w:p>
    <w:p w:rsidR="006922AF" w:rsidRPr="003B10F9" w:rsidP="006922AF" w14:paraId="427EDEB0" w14:textId="77777777">
      <w:pPr>
        <w:pStyle w:val="EPComma"/>
      </w:pPr>
      <w:bookmarkStart w:id="6" w:name="TextBodyBegin"/>
      <w:bookmarkEnd w:id="6"/>
      <w:r w:rsidRPr="003B10F9">
        <w:rPr>
          <w:i/>
        </w:rPr>
        <w:t>Europa-Parlamentet</w:t>
      </w:r>
      <w:r w:rsidRPr="003B10F9">
        <w:t>,</w:t>
      </w:r>
    </w:p>
    <w:p w:rsidR="006922AF" w:rsidRPr="003B10F9" w:rsidP="006922AF" w14:paraId="1831DFC7" w14:textId="0C15127F">
      <w:pPr>
        <w:pStyle w:val="NormalHanging12a"/>
      </w:pPr>
      <w:r w:rsidRPr="003B10F9">
        <w:t>–</w:t>
      </w:r>
      <w:r w:rsidRPr="003B10F9">
        <w:tab/>
        <w:t xml:space="preserve">der henviser til Kommissionens gennemførelsesafgørelse </w:t>
      </w:r>
      <w:r w:rsidRPr="003B10F9" w:rsidR="00952C5C">
        <w:t xml:space="preserve">(EU) 2026/1419 af 29. juni 2026 </w:t>
      </w:r>
      <w:r w:rsidRPr="003B10F9">
        <w:t>om forlængelse af tilladelse til markedsføring af produkter, der indeholder, består af eller er fremstillet af genetisk modificeret MON 87705-sojabønne, i henhold til Europa-Parlamentets og Rådets forordning (EF) nr. 1829/2003</w:t>
      </w:r>
      <w:r>
        <w:rPr>
          <w:rStyle w:val="FootnoteReference"/>
        </w:rPr>
        <w:footnoteReference w:id="2"/>
      </w:r>
      <w:r w:rsidRPr="003B10F9">
        <w:t>,</w:t>
      </w:r>
    </w:p>
    <w:p w:rsidR="006922AF" w:rsidRPr="003B10F9" w:rsidP="006922AF" w14:paraId="4C62A6F7" w14:textId="77777777">
      <w:pPr>
        <w:pStyle w:val="NormalHanging12a"/>
      </w:pPr>
      <w:r w:rsidRPr="003B10F9">
        <w:t>–</w:t>
      </w:r>
      <w:r w:rsidRPr="003B10F9">
        <w:tab/>
        <w:t>der henviser til Europa-Parlamentets og Rådets forordning (EF) nr. 1829/2003 af 22. september 2003 om genetisk modificerede fødevarer og foderstoffer</w:t>
      </w:r>
      <w:r>
        <w:rPr>
          <w:rStyle w:val="FootnoteReference"/>
        </w:rPr>
        <w:footnoteReference w:id="3"/>
      </w:r>
      <w:r w:rsidRPr="003B10F9">
        <w:t>, særlig artikel 11, stk. 3, og artikel 23, stk. 3,</w:t>
      </w:r>
    </w:p>
    <w:p w:rsidR="006922AF" w:rsidRPr="003B10F9" w:rsidP="006922AF" w14:paraId="7FAC2B1E" w14:textId="77777777">
      <w:pPr>
        <w:pStyle w:val="NormalHanging12a"/>
      </w:pPr>
      <w:r w:rsidRPr="003B10F9">
        <w:t>–</w:t>
      </w:r>
      <w:r w:rsidRPr="003B10F9">
        <w:tab/>
        <w:t>der henviser til afstemningen i Den Stående Komité for Planter, Dyr, Fødevarer og Foder, jf. artikel 35 i forordning (EF) nr. 1829/2003, den 27. april 2026, som ikke mundede ud i en udtalelse, og til afstemningen i appeludvalget den 2. juni 2026, som heller ikke mundede ud i en udtalelse,</w:t>
      </w:r>
    </w:p>
    <w:p w:rsidR="006922AF" w:rsidRPr="003B10F9" w:rsidP="006922AF" w14:paraId="0AFF127E" w14:textId="77777777">
      <w:pPr>
        <w:pStyle w:val="NormalHanging12a"/>
      </w:pPr>
      <w:r w:rsidRPr="003B10F9">
        <w:t>–</w:t>
      </w:r>
      <w:r w:rsidRPr="003B10F9">
        <w:tab/>
        <w:t>der henviser til artikel 11 i Europa-Parlamentets og Rådets forordning (EU) nr. 182/2011 af 16. februar 2011 om de generelle regler og principper for, hvordan medlemsstaterne skal kontrollere Kommissionens udøvelse af gennemførelsesbeføjelser</w:t>
      </w:r>
      <w:r>
        <w:rPr>
          <w:rStyle w:val="FootnoteReference"/>
        </w:rPr>
        <w:footnoteReference w:id="4"/>
      </w:r>
      <w:r w:rsidRPr="003B10F9">
        <w:t>,</w:t>
      </w:r>
    </w:p>
    <w:p w:rsidR="006922AF" w:rsidRPr="003B10F9" w:rsidP="006922AF" w14:paraId="76751129" w14:textId="77777777">
      <w:pPr>
        <w:pStyle w:val="NormalHanging12a"/>
      </w:pPr>
      <w:r w:rsidRPr="003B10F9">
        <w:t>–</w:t>
      </w:r>
      <w:r w:rsidRPr="003B10F9">
        <w:tab/>
        <w:t xml:space="preserve">der henviser til den udtalelse, der blev vedtaget af Den Europæiske Fødevaresikkerhedsautoritet (EFSA) den 10. december 2025 og offentliggjort den 12. </w:t>
      </w:r>
      <w:r w:rsidRPr="003B10F9">
        <w:t>januar 2026</w:t>
      </w:r>
      <w:r>
        <w:rPr>
          <w:rStyle w:val="FootnoteReference"/>
        </w:rPr>
        <w:footnoteReference w:id="5"/>
      </w:r>
      <w:r w:rsidRPr="003B10F9">
        <w:t>,</w:t>
      </w:r>
    </w:p>
    <w:p w:rsidR="006922AF" w:rsidRPr="003B10F9" w:rsidP="006922AF" w14:paraId="0420443D" w14:textId="77777777">
      <w:pPr>
        <w:pStyle w:val="NormalHanging12a"/>
      </w:pPr>
      <w:r w:rsidRPr="003B10F9">
        <w:t>–</w:t>
      </w:r>
      <w:r w:rsidRPr="003B10F9">
        <w:tab/>
        <w:t>der henviser til sine tidligere beslutninger med indsigelse mod tilladelse af genetisk modificerede organismer ("GMO'er")</w:t>
      </w:r>
      <w:r>
        <w:rPr>
          <w:rStyle w:val="FootnoteReference"/>
        </w:rPr>
        <w:footnoteReference w:id="6"/>
      </w:r>
      <w:r w:rsidRPr="003B10F9">
        <w:t>,</w:t>
      </w:r>
    </w:p>
    <w:p w:rsidR="006922AF" w:rsidRPr="003B10F9" w:rsidP="006922AF" w14:paraId="64E692D4" w14:textId="77777777">
      <w:pPr>
        <w:pStyle w:val="NormalHanging12a"/>
      </w:pPr>
      <w:r w:rsidRPr="003B10F9">
        <w:t>–</w:t>
      </w:r>
      <w:r w:rsidRPr="003B10F9">
        <w:tab/>
        <w:t>der henviser til forretningsordenens artikel 115, stk. 2 og 3,</w:t>
      </w:r>
    </w:p>
    <w:p w:rsidR="006922AF" w:rsidRPr="003B10F9" w:rsidP="006922AF" w14:paraId="7C9BB178" w14:textId="77777777">
      <w:pPr>
        <w:pStyle w:val="NormalHanging12a"/>
      </w:pPr>
      <w:r w:rsidRPr="003B10F9">
        <w:t>–</w:t>
      </w:r>
      <w:r w:rsidRPr="003B10F9">
        <w:tab/>
        <w:t xml:space="preserve">der henviser til forslag til beslutning fra Udvalget om Miljø, Klima og </w:t>
      </w:r>
      <w:r w:rsidRPr="003B10F9">
        <w:t>Fødevaresikkerhed,</w:t>
      </w:r>
    </w:p>
    <w:p w:rsidR="006922AF" w:rsidRPr="003B10F9" w:rsidP="006922AF" w14:paraId="7BF43C5B" w14:textId="77777777">
      <w:pPr>
        <w:spacing w:after="240"/>
        <w:ind w:left="567" w:hanging="567"/>
      </w:pPr>
      <w:r w:rsidRPr="003B10F9">
        <w:t>A.</w:t>
      </w:r>
      <w:r w:rsidRPr="003B10F9">
        <w:tab/>
        <w:t>der henviser til, at det ved Kommissionens gennemførelsesafgørelse (EU) 2015/696</w:t>
      </w:r>
      <w:r>
        <w:rPr>
          <w:rStyle w:val="FootnoteReference"/>
        </w:rPr>
        <w:footnoteReference w:id="7"/>
      </w:r>
      <w:r w:rsidRPr="003B10F9">
        <w:t xml:space="preserve"> blev tilladt at markedsføre fødevarer og foderstoffer, der indeholder, består af eller er fremstillet af genetisk modificeret MON 87705-sojabønne ("GM-sojabønnen"); der henviser til, at anvendelsesområdet for denne tilladelse også omfattede markedsføring af andre produkter end fødevarer og foderstoffer, der indeholder eller består af GM-sojabønnen, til samme anvendelsesformål som enhver anden sojabønne med undtagelse af dyrkning;</w:t>
      </w:r>
    </w:p>
    <w:p w:rsidR="006922AF" w:rsidRPr="003B10F9" w:rsidP="006922AF" w14:paraId="63BC6153" w14:textId="77777777">
      <w:pPr>
        <w:spacing w:after="240"/>
        <w:ind w:left="567" w:hanging="567"/>
      </w:pPr>
      <w:r w:rsidRPr="003B10F9">
        <w:t>B.</w:t>
      </w:r>
      <w:r w:rsidRPr="003B10F9">
        <w:tab/>
        <w:t xml:space="preserve">der henviser til, at Bayer </w:t>
      </w:r>
      <w:r w:rsidRPr="003B10F9">
        <w:t>Agriculture</w:t>
      </w:r>
      <w:r w:rsidRPr="003B10F9">
        <w:t xml:space="preserve"> BV, med hjemsted i Belgien, den 8. marts 2024 – for Bayer </w:t>
      </w:r>
      <w:r w:rsidRPr="003B10F9">
        <w:t>CropScience</w:t>
      </w:r>
      <w:r w:rsidRPr="003B10F9">
        <w:t xml:space="preserve"> LP med hjemsted i USA – indgav en ansøgning til Kommissionen om forlængelse af ovennævnte tilladelse;</w:t>
      </w:r>
    </w:p>
    <w:p w:rsidR="006922AF" w:rsidRPr="003B10F9" w:rsidP="006922AF" w14:paraId="4CEE8724" w14:textId="77777777">
      <w:pPr>
        <w:spacing w:after="240"/>
        <w:ind w:left="567" w:hanging="567"/>
      </w:pPr>
      <w:r w:rsidRPr="003B10F9">
        <w:t>C.</w:t>
      </w:r>
      <w:r w:rsidRPr="003B10F9">
        <w:tab/>
        <w:t>der henviser til, at EFSA den 12. januar 2026 afgav en positiv videnskabelig udtalelse</w:t>
      </w:r>
      <w:r>
        <w:rPr>
          <w:rStyle w:val="FootnoteReference"/>
        </w:rPr>
        <w:footnoteReference w:id="8"/>
      </w:r>
      <w:r w:rsidRPr="003B10F9">
        <w:t xml:space="preserve"> i overensstemmelse med artikel 6 og 18 i forordning (EF) nr. 1829/2003; der henviser til, at EFSA konkluderede, at ansøgningen om forlængelse ikke indeholdt dokumentation for nye farer, ændret eksponering eller videnskabelige usikkerheder, der ville kunne ændre konklusionerne i den oprindelige risikovurdering af GM-sojabønnen, som EFSA vedtog i 2012</w:t>
      </w:r>
      <w:r>
        <w:rPr>
          <w:rStyle w:val="FootnoteReference"/>
        </w:rPr>
        <w:footnoteReference w:id="9"/>
      </w:r>
      <w:r w:rsidRPr="003B10F9">
        <w:t xml:space="preserve"> og 2013</w:t>
      </w:r>
      <w:r>
        <w:rPr>
          <w:rStyle w:val="FootnoteReference"/>
        </w:rPr>
        <w:footnoteReference w:id="10"/>
      </w:r>
      <w:r w:rsidRPr="003B10F9">
        <w:t>; der henviser til, at disse udtalelser ikke behandlede en række bredere miljømæssige, socioøkonomiske og kumulative virkninger, som EFSA anser for ikke at henhøre under dens ressort;</w:t>
      </w:r>
    </w:p>
    <w:p w:rsidR="006922AF" w:rsidRPr="003B10F9" w:rsidP="006922AF" w14:paraId="75C34FAF" w14:textId="77777777">
      <w:pPr>
        <w:pStyle w:val="NormalHanging12a"/>
      </w:pPr>
      <w:r w:rsidRPr="003B10F9">
        <w:t>D.</w:t>
      </w:r>
      <w:r w:rsidRPr="003B10F9">
        <w:tab/>
        <w:t xml:space="preserve">der henviser til, at den genetisk modificerede sojabønne har et øget oliesyreindhold og udviser tolerance over for </w:t>
      </w:r>
      <w:r w:rsidRPr="003B10F9">
        <w:t>glyphosatholdige</w:t>
      </w:r>
      <w:r w:rsidRPr="003B10F9">
        <w:t xml:space="preserve"> herbicider;</w:t>
      </w:r>
    </w:p>
    <w:p w:rsidR="006922AF" w:rsidRPr="003B10F9" w:rsidP="006922AF" w14:paraId="60D4E415" w14:textId="77777777">
      <w:pPr>
        <w:pStyle w:val="NormalHanging12a"/>
      </w:pPr>
      <w:r w:rsidRPr="003B10F9">
        <w:t>E.</w:t>
      </w:r>
      <w:r w:rsidRPr="003B10F9">
        <w:tab/>
        <w:t xml:space="preserve">der henviser til, at </w:t>
      </w:r>
      <w:r w:rsidRPr="003B10F9">
        <w:t>EFSA's</w:t>
      </w:r>
      <w:r w:rsidRPr="003B10F9">
        <w:t xml:space="preserve"> risikovurdering ikke omfattede langsigtede toksikologiske undersøgelser eller detaljerede analyser af kumulative og kombinatoriske virkninger, herunder potentielle interaktioner med restkoncentrationer af pesticider, der almindeligvis anvendes til sojabønnedyrkning;</w:t>
      </w:r>
    </w:p>
    <w:p w:rsidR="006922AF" w:rsidRPr="003B10F9" w:rsidP="006922AF" w14:paraId="623EEF0A" w14:textId="77777777">
      <w:pPr>
        <w:pStyle w:val="NormalHanging12a"/>
      </w:pPr>
      <w:r w:rsidRPr="003B10F9">
        <w:t>F.</w:t>
      </w:r>
      <w:r w:rsidRPr="003B10F9">
        <w:tab/>
        <w:t>der henviser til, at langt de fleste GMO-afgrøder, herunder GM-sojabønnen, er blevet genetisk modificeret, således at de er tolerante over for ét eller flere "supplerende" herbicider, der kan anvendes under hele dyrkningsforløbet for GM-afgrøden, uden at afgrøden dør, sådan som det ville være tilfældet med en ikkeherbicidtolerant afgrøde; der henviser til, at en række undersøgelser viser, at herbicidtolerante GM-afgrøder fører til en øget anvendelse af supplerende herbicider, hvilket i stort omfang skyldes fremkomsten af herbicidtolerant ukrudt;</w:t>
      </w:r>
    </w:p>
    <w:p w:rsidR="006922AF" w:rsidRPr="003B10F9" w:rsidP="006922AF" w14:paraId="236544AD" w14:textId="77777777">
      <w:pPr>
        <w:pStyle w:val="NormalHanging12a"/>
      </w:pPr>
      <w:r w:rsidRPr="003B10F9">
        <w:t>G.</w:t>
      </w:r>
      <w:r w:rsidRPr="003B10F9">
        <w:tab/>
        <w:t>der henviser til, at herbicidtolerante GM-afgrøder fastlåser landbrugerne i et ukrudtsbekæmpelsessystem, der i overvejende grad eller helt er afhængigt af herbicider, og gør det ved at opkræve et pristillæg for GM-frø, samtidig med at der skabes en afhængighed af brugen af supplerende herbicider som en integreret del af produktionssystemet; der henviser til, at øget afhængighed af supplerende herbicider på bedrifter, der dyrker GM-sojabønnen, vil fremskynde fremkomsten og spredningen af ukrudt, der er resistent mod disse herbicider, og dermed skabe behov for at tage endnu flere herbicider i brug, hvilket skaber en ond cirkel, der er kendt som "herbicidtrædemøllen"; der henviser til, at de negative virkninger af overdreven afhængighed af herbicider derfor vil forværre jordbundens sundhed, vandkvaliteten og biodiversiteten over og under jorden og føre til øget eksponering af mennesker og dyr, potentielt også via flere herbicidrester i fødevarer og foder;</w:t>
      </w:r>
    </w:p>
    <w:p w:rsidR="006922AF" w:rsidRPr="003B10F9" w:rsidP="006922AF" w14:paraId="7F0865DA" w14:textId="77777777">
      <w:pPr>
        <w:pStyle w:val="NormalHanging12a"/>
      </w:pPr>
      <w:r w:rsidRPr="003B10F9">
        <w:t>H.</w:t>
      </w:r>
      <w:r w:rsidRPr="003B10F9">
        <w:tab/>
        <w:t>der henviser til, at en række undersøgelser viser, at herbicidtolerante GM-afgrøder fører til en øget anvendelse af supplerende herbicider, hvilket i stort omfang skyldes fremkomsten af herbicidtolerant ukrudt</w:t>
      </w:r>
      <w:r>
        <w:rPr>
          <w:vertAlign w:val="superscript"/>
        </w:rPr>
        <w:footnoteReference w:id="11"/>
      </w:r>
      <w:r w:rsidRPr="003B10F9">
        <w:t xml:space="preserve">; der henviser til, at det som følge heraf må forventes, at GM-sojabønnen vil blive udsat for både større og gentagne doser af </w:t>
      </w:r>
      <w:r w:rsidRPr="003B10F9">
        <w:t>glyphosat</w:t>
      </w:r>
      <w:r w:rsidRPr="003B10F9">
        <w:t>, og at der derfor kan forekomme en større mængde rester og deres nedbrydningsprodukter ("metabolitter") i høsten;</w:t>
      </w:r>
    </w:p>
    <w:p w:rsidR="006922AF" w:rsidRPr="003B10F9" w:rsidP="006922AF" w14:paraId="00386791" w14:textId="77777777">
      <w:pPr>
        <w:pStyle w:val="NormalHanging12a"/>
      </w:pPr>
      <w:r w:rsidRPr="003B10F9">
        <w:t>I.</w:t>
      </w:r>
      <w:r w:rsidRPr="003B10F9">
        <w:tab/>
        <w:t xml:space="preserve">der henviser til, at der fortsat er betydelig videnskabelig usikkerhed med hensyn til </w:t>
      </w:r>
      <w:r w:rsidRPr="003B10F9">
        <w:t>glyphosats</w:t>
      </w:r>
      <w:r w:rsidRPr="003B10F9">
        <w:t xml:space="preserve"> sikkerhed for menneskers sundhed og miljøet; der henviser til, at EFSA i november 2015 konkluderede, at </w:t>
      </w:r>
      <w:r w:rsidRPr="003B10F9">
        <w:t>glyphosat</w:t>
      </w:r>
      <w:r w:rsidRPr="003B10F9">
        <w:t xml:space="preserve"> sandsynligvis ikke var kræftfremkaldende, og at Det Europæiske Kemikalieagentur i marts 2017 konkluderede, at der ikke var behov for en klassificering; der henviser til, at Det Internationale Kræftforskningscenter, som er Verdenssundhedsorganisationens specialiserede kræftagentur, i modsætning hertil i 2015 klassificerede </w:t>
      </w:r>
      <w:r w:rsidRPr="003B10F9">
        <w:t>glyphosat</w:t>
      </w:r>
      <w:r w:rsidRPr="003B10F9">
        <w:t xml:space="preserve"> som sandsynligvis kræftfremkaldende hos mennesker; der henviser til, at en række nyere fagfællebedømte videnskabelige undersøgelser bekræfter </w:t>
      </w:r>
      <w:r w:rsidRPr="003B10F9">
        <w:t>glyphosats</w:t>
      </w:r>
      <w:r w:rsidRPr="003B10F9">
        <w:t xml:space="preserve"> kræftfremkaldende potentiale</w:t>
      </w:r>
      <w:r>
        <w:rPr>
          <w:vertAlign w:val="superscript"/>
        </w:rPr>
        <w:footnoteReference w:id="12"/>
      </w:r>
      <w:r w:rsidRPr="003B10F9">
        <w:t xml:space="preserve">; </w:t>
      </w:r>
      <w:bookmarkStart w:id="9" w:name="_Hlk218688545"/>
      <w:r w:rsidRPr="003B10F9">
        <w:t xml:space="preserve">der henviser til, at tidsskriftet </w:t>
      </w:r>
      <w:r w:rsidRPr="003B10F9">
        <w:t>Regulatory</w:t>
      </w:r>
      <w:r w:rsidRPr="003B10F9">
        <w:t xml:space="preserve"> </w:t>
      </w:r>
      <w:r w:rsidRPr="003B10F9">
        <w:t>Toxicology</w:t>
      </w:r>
      <w:r w:rsidRPr="003B10F9">
        <w:t xml:space="preserve"> and </w:t>
      </w:r>
      <w:r w:rsidRPr="003B10F9">
        <w:t>Pharmacology</w:t>
      </w:r>
      <w:r w:rsidRPr="003B10F9">
        <w:t xml:space="preserve"> formelt har trukket det videnskabelige dokument "Safety Evaluation and Risk </w:t>
      </w:r>
      <w:r w:rsidRPr="003B10F9">
        <w:t>Assessment</w:t>
      </w:r>
      <w:r w:rsidRPr="003B10F9">
        <w:t xml:space="preserve"> of the </w:t>
      </w:r>
      <w:r w:rsidRPr="003B10F9">
        <w:t>Herbicide</w:t>
      </w:r>
      <w:r w:rsidRPr="003B10F9">
        <w:t xml:space="preserve"> Roundup and </w:t>
      </w:r>
      <w:r w:rsidRPr="003B10F9">
        <w:t>Its</w:t>
      </w:r>
      <w:r w:rsidRPr="003B10F9">
        <w:t xml:space="preserve"> Active </w:t>
      </w:r>
      <w:r w:rsidRPr="003B10F9">
        <w:t>Ingredient</w:t>
      </w:r>
      <w:r w:rsidRPr="003B10F9">
        <w:t xml:space="preserve">, </w:t>
      </w:r>
      <w:r w:rsidRPr="003B10F9">
        <w:t>Glyphosate</w:t>
      </w:r>
      <w:r w:rsidRPr="003B10F9">
        <w:t xml:space="preserve">, for </w:t>
      </w:r>
      <w:r w:rsidRPr="003B10F9">
        <w:t>Humans</w:t>
      </w:r>
      <w:r w:rsidRPr="003B10F9">
        <w:t xml:space="preserve">", der blev offentliggjort i 2000, tilbage, hvilket er blevet anvendt til at forsvare sikkerheden ved </w:t>
      </w:r>
      <w:r w:rsidRPr="003B10F9">
        <w:t>glyphosat</w:t>
      </w:r>
      <w:r w:rsidRPr="003B10F9">
        <w:t xml:space="preserve"> i </w:t>
      </w:r>
      <w:r w:rsidRPr="003B10F9">
        <w:t>mange risikovurderinger, da der blev givet udtryk for bekymring over dets ophavsmand, gyldigheden af forskningsresultaterne i forbindelse med forfatternes og undersøgelsessponsorens misvisende fremstilling af bidragene og potentielle interessekonflikter hos forfatterne</w:t>
      </w:r>
      <w:r>
        <w:rPr>
          <w:rStyle w:val="FootnoteReference"/>
        </w:rPr>
        <w:footnoteReference w:id="13"/>
      </w:r>
      <w:r w:rsidRPr="003B10F9">
        <w:t>;</w:t>
      </w:r>
      <w:bookmarkEnd w:id="9"/>
    </w:p>
    <w:p w:rsidR="006922AF" w:rsidRPr="003B10F9" w:rsidP="006922AF" w14:paraId="0EE9D376" w14:textId="77777777">
      <w:pPr>
        <w:pStyle w:val="NormalHanging12a"/>
      </w:pPr>
      <w:r w:rsidRPr="003B10F9">
        <w:t>J.</w:t>
      </w:r>
      <w:r w:rsidRPr="003B10F9">
        <w:tab/>
        <w:t xml:space="preserve">der henviser til, at vurdering af herbicidrester og metabolitter i GM-planter anses for at ligge uden for ansvarsområdet for </w:t>
      </w:r>
      <w:r w:rsidRPr="003B10F9">
        <w:t>EFSA's</w:t>
      </w:r>
      <w:r w:rsidRPr="003B10F9">
        <w:t xml:space="preserve"> Ekspertpanel for Genetisk Modificerede Organismer og derfor ikke foretages som led i godkendelsesprocessen for GMO'er; der henviser til, at dette er problematisk, eftersom måden, hvorpå genetisk modificerede planter nedbryder supplerende herbicider, såvel som sammensætningen og dermed toksiciteten af metabolitterne kan påvirkes af selve den genetiske modifikation</w:t>
      </w:r>
      <w:r>
        <w:rPr>
          <w:vertAlign w:val="superscript"/>
        </w:rPr>
        <w:footnoteReference w:id="14"/>
      </w:r>
      <w:r w:rsidRPr="003B10F9">
        <w:t>;</w:t>
      </w:r>
    </w:p>
    <w:p w:rsidR="006922AF" w:rsidRPr="003B10F9" w:rsidP="006922AF" w14:paraId="3B6208AC" w14:textId="77777777">
      <w:pPr>
        <w:pStyle w:val="NormalHanging12a"/>
      </w:pPr>
      <w:r w:rsidRPr="003B10F9">
        <w:t>K.</w:t>
      </w:r>
      <w:r w:rsidRPr="003B10F9">
        <w:tab/>
        <w:t xml:space="preserve">der henviser til, at analysen af sammensætningen viste, at den genetisk modificerede sojabønne har en væsentligt ændret fedtsyreprofil sammenlignet med dens konventionelle modstykke med en stigning i oliesyre og deraf følgende fald i linolsyre og </w:t>
      </w:r>
      <w:r w:rsidRPr="003B10F9">
        <w:t>palmitinsyre</w:t>
      </w:r>
      <w:r w:rsidRPr="003B10F9">
        <w:t>; der henviser til, at videnskabelige bekymringer fokuserer på de langsigtede ernæringsmæssige konsekvenser af en bredere befolknings eksponering for denne ændrede profil, navnlig for forbrugere med et højt forbrug af sojaolie; der henviser til, at EFSA overvejede skøn over indtaget via kosten for at vurdere ændringernes ernæringsmæssige relevans ved hjælp af forskellige antagelser om forbrugs- og erstatningsscenarier; der henviser til, at EFSA på grundlag af disse antagelser kun anbefalede en plan for overvågning efter markedsføringen med fokus på indsamling af importdata til Unionen og gennemførelse af en ajourført ernæringsmæssig vurdering, hvis de tilgængelige oplysninger om forbrugsmønstre adskilte sig fra dem, der blev anvendt i den oprindelige risikovurdering;</w:t>
      </w:r>
    </w:p>
    <w:p w:rsidR="006922AF" w:rsidRPr="003B10F9" w:rsidP="006922AF" w14:paraId="3AF3762C" w14:textId="77777777">
      <w:pPr>
        <w:pStyle w:val="NormalHanging12a"/>
      </w:pPr>
      <w:r w:rsidRPr="003B10F9">
        <w:t>L.</w:t>
      </w:r>
      <w:r w:rsidRPr="003B10F9">
        <w:tab/>
        <w:t xml:space="preserve">der henviser til, at det i forordning (EF) nr. 1829/2003 fastslås, at GM-fødevarer eller -foderstoffer ikke må have negative virkninger for menneskers eller dyrs sundhed eller for miljøet, og at det pålægges Kommissionen at tage hensyn til relevante bestemmelser i EU-retten og andre legitime forhold af relevans for det pågældende tilfælde, når den udarbejder sin afgørelse; der henviser til, at sådanne legitime forhold bør omfatte Unionens forpligtelser i henhold til FN's verdensmål for bæredygtig udvikling, </w:t>
      </w:r>
      <w:r w:rsidRPr="003B10F9">
        <w:t>Parisaftalen</w:t>
      </w:r>
      <w:r w:rsidRPr="003B10F9">
        <w:t xml:space="preserve"> om klimaændringer</w:t>
      </w:r>
      <w:r>
        <w:rPr>
          <w:rStyle w:val="FootnoteReference"/>
        </w:rPr>
        <w:footnoteReference w:id="15"/>
      </w:r>
      <w:r w:rsidRPr="003B10F9">
        <w:t xml:space="preserve"> og FN's konvention om den biologiske mangfoldighed (CBD)</w:t>
      </w:r>
      <w:r>
        <w:rPr>
          <w:rStyle w:val="FootnoteReference"/>
        </w:rPr>
        <w:footnoteReference w:id="16"/>
      </w:r>
      <w:r w:rsidRPr="003B10F9">
        <w:t>;</w:t>
      </w:r>
    </w:p>
    <w:p w:rsidR="006922AF" w:rsidRPr="003B10F9" w:rsidP="006922AF" w14:paraId="2909512D" w14:textId="77777777">
      <w:pPr>
        <w:pStyle w:val="NormalHanging12a"/>
      </w:pPr>
      <w:r w:rsidRPr="003B10F9">
        <w:t>M.</w:t>
      </w:r>
      <w:r w:rsidRPr="003B10F9">
        <w:tab/>
        <w:t xml:space="preserve">der henviser til, at uafhængig overvågning og kontrol af potentielle negative virkninger på biodiversiteten, jordbundens sundhed, </w:t>
      </w:r>
      <w:r w:rsidRPr="003B10F9">
        <w:t>bestøvere</w:t>
      </w:r>
      <w:r w:rsidRPr="003B10F9">
        <w:t xml:space="preserve"> og organismer uden for målgruppen fortsat ikke er tilstrækkeligt garanteret;</w:t>
      </w:r>
    </w:p>
    <w:p w:rsidR="006922AF" w:rsidRPr="003B10F9" w:rsidP="006922AF" w14:paraId="657BE0FF" w14:textId="77777777">
      <w:pPr>
        <w:pStyle w:val="NormalHanging12a"/>
      </w:pPr>
      <w:r w:rsidRPr="003B10F9">
        <w:t>N.</w:t>
      </w:r>
      <w:r w:rsidRPr="003B10F9">
        <w:tab/>
        <w:t>der henviser til, at forsigtighedsprincippet i artikel 191 i traktaten om Den Europæiske Unions funktionsmåde bør finde anvendelse i tilfælde, hvor der hersker videnskabelig usikkerhed;</w:t>
      </w:r>
    </w:p>
    <w:p w:rsidR="006922AF" w:rsidRPr="003B10F9" w:rsidP="006922AF" w14:paraId="5C737293" w14:textId="77777777">
      <w:pPr>
        <w:pStyle w:val="NormalHanging12a"/>
      </w:pPr>
      <w:r w:rsidRPr="003B10F9">
        <w:t>O.</w:t>
      </w:r>
      <w:r w:rsidRPr="003B10F9">
        <w:tab/>
        <w:t>der henviser til, at Unionen som part i FN's konvention om den biologiske mangfoldighed og i overensstemmelse med dennes artikel 3, har ansvaret for at sikre, at aktiviteter, der hører under dens jurisdiktion eller kontrol, ikke forårsager skade på miljøet i andre lande;</w:t>
      </w:r>
    </w:p>
    <w:p w:rsidR="006922AF" w:rsidRPr="003B10F9" w:rsidP="006922AF" w14:paraId="53FF465F" w14:textId="77777777">
      <w:pPr>
        <w:pStyle w:val="NormalHanging12a"/>
      </w:pPr>
      <w:r w:rsidRPr="003B10F9">
        <w:t>P.</w:t>
      </w:r>
      <w:r w:rsidRPr="003B10F9">
        <w:tab/>
        <w:t>der henviser til, at Unionens forlængelse af GM-sojabønnens tilladelse ville være i uoverensstemmelse med de internationale forpligtelser vedrørende reduktion af pesticider</w:t>
      </w:r>
      <w:r>
        <w:rPr>
          <w:vertAlign w:val="superscript"/>
        </w:rPr>
        <w:footnoteReference w:id="17"/>
      </w:r>
      <w:r w:rsidRPr="003B10F9">
        <w:t xml:space="preserve">, i betragtning af menneskers, dyrs og miljøets øgede eksponering for </w:t>
      </w:r>
      <w:r w:rsidRPr="003B10F9">
        <w:t>glyphosat</w:t>
      </w:r>
      <w:r w:rsidRPr="003B10F9">
        <w:t xml:space="preserve"> i lande, der dyrker denne herbicidtolerante GM-afgrøde, samt de potentielt alvorlige følger for sundheden, der er forbundet hermed;</w:t>
      </w:r>
    </w:p>
    <w:p w:rsidR="006922AF" w:rsidRPr="003B10F9" w:rsidP="006922AF" w14:paraId="033B839B" w14:textId="77777777">
      <w:pPr>
        <w:pStyle w:val="NormalHanging12a"/>
      </w:pPr>
      <w:r w:rsidRPr="003B10F9">
        <w:t>Q.</w:t>
      </w:r>
      <w:r w:rsidRPr="003B10F9">
        <w:tab/>
        <w:t>der henviser til, at dyrkning af GM-sojabønnen ikke er tilladt i Unionen;</w:t>
      </w:r>
    </w:p>
    <w:p w:rsidR="006922AF" w:rsidRPr="003B10F9" w:rsidP="006922AF" w14:paraId="1D3483AA" w14:textId="1F7354E6">
      <w:pPr>
        <w:pStyle w:val="NormalHanging12a"/>
      </w:pPr>
      <w:r w:rsidRPr="003B10F9">
        <w:t>R.</w:t>
      </w:r>
      <w:r w:rsidRPr="003B10F9">
        <w:tab/>
        <w:t>der henviser til, at hvis Kommissionens gennemførelsesafgørelse</w:t>
      </w:r>
      <w:r w:rsidRPr="003B10F9" w:rsidR="00073B00">
        <w:t xml:space="preserve"> (EU) 2026/1419</w:t>
      </w:r>
      <w:r w:rsidRPr="003B10F9">
        <w:t xml:space="preserve"> gennemføres, vil det blive muligt at indføre varer til Unionen, der ikke lever op til de standarder, som Unionens landbrugere skal overholde, </w:t>
      </w:r>
      <w:r w:rsidRPr="003B10F9">
        <w:t>således at</w:t>
      </w:r>
      <w:r w:rsidRPr="003B10F9">
        <w:t xml:space="preserve"> de bliver konkurrencemæssigt ringere stillede;</w:t>
      </w:r>
    </w:p>
    <w:p w:rsidR="006922AF" w:rsidRPr="003B10F9" w:rsidP="006922AF" w14:paraId="02ABC6A3" w14:textId="77777777">
      <w:pPr>
        <w:pStyle w:val="NormalHanging12a"/>
      </w:pPr>
      <w:r w:rsidRPr="003B10F9">
        <w:t>S.</w:t>
      </w:r>
      <w:r w:rsidRPr="003B10F9">
        <w:tab/>
        <w:t>der henviser til, at Kommissionen i konklusionerne fra den strategiske dialog om fremtiden for EU's landbrug</w:t>
      </w:r>
      <w:r>
        <w:rPr>
          <w:vertAlign w:val="superscript"/>
        </w:rPr>
        <w:footnoteReference w:id="18"/>
      </w:r>
      <w:r w:rsidRPr="003B10F9">
        <w:t xml:space="preserve"> opfordres til at revurdere sin tilgang til markedsadgang for landbrugsfødevarer, der importeres og eksporteres, i betragtning af udfordringen med forskellige standarder i Unionen og hos dens handelspartnere; der henviser til, at mere retfærdige handelsforbindelser på globalt plan, som er i overensstemmelse med målene for et sundt miljø, var et af landbrugernes vigtigste krav under demonstrationerne i 2023, 2024 og 2025;</w:t>
      </w:r>
    </w:p>
    <w:p w:rsidR="006922AF" w:rsidRPr="003B10F9" w:rsidP="006922AF" w14:paraId="12F01656" w14:textId="77777777">
      <w:pPr>
        <w:pStyle w:val="NormalHanging12a"/>
      </w:pPr>
      <w:r w:rsidRPr="003B10F9">
        <w:t>T.</w:t>
      </w:r>
      <w:r w:rsidRPr="003B10F9">
        <w:tab/>
        <w:t>der henviser til, at Parlamentet gentagne gange har understreget, at Kommissionen ikke bør godkende GMO'er i de tilfælde, hvor der ikke er opnået kvalificeret flertal blandt medlemsstaterne i Den Stående Komité for Planter, Dyr, Fødevarer og Foder eller i appeludvalget, med henblik på at afhjælpe det vedvarende demokratiske underskud;</w:t>
      </w:r>
    </w:p>
    <w:p w:rsidR="006922AF" w:rsidRPr="003B10F9" w:rsidP="006922AF" w14:paraId="1F95A0C9" w14:textId="77777777">
      <w:pPr>
        <w:pStyle w:val="NormalHanging12a"/>
      </w:pPr>
      <w:r w:rsidRPr="003B10F9">
        <w:t>U.</w:t>
      </w:r>
      <w:r w:rsidRPr="003B10F9">
        <w:tab/>
        <w:t>der henviser til, at Kommissionen – trods sin egen erkendelse af de demokratiske mangler, medlemsstaternes manglende støtte og Parlamentets indsigelser – fortsat giver tilladelse til GMO'er;</w:t>
      </w:r>
    </w:p>
    <w:p w:rsidR="006922AF" w:rsidRPr="003B10F9" w:rsidP="006922AF" w14:paraId="4A460AB2" w14:textId="77777777">
      <w:pPr>
        <w:pStyle w:val="NormalHanging12a"/>
      </w:pPr>
      <w:r w:rsidRPr="003B10F9">
        <w:t>V.</w:t>
      </w:r>
      <w:r w:rsidRPr="003B10F9">
        <w:tab/>
        <w:t>der henviser til, at One Health-modellen indebærer, at der tages hensyn til den indbyrdes afhængighed mellem menneskers, dyrs, planters og miljøets sundhed ved vurderingen af GMO'ers bæredygtighed og sikkerhed på lang sigt;</w:t>
      </w:r>
    </w:p>
    <w:p w:rsidR="006922AF" w:rsidRPr="003B10F9" w:rsidP="006922AF" w14:paraId="7C153A08" w14:textId="268CCF54">
      <w:pPr>
        <w:pStyle w:val="NormalHanging12a"/>
      </w:pPr>
      <w:r w:rsidRPr="003B10F9">
        <w:t>1.</w:t>
      </w:r>
      <w:r w:rsidRPr="003B10F9">
        <w:tab/>
        <w:t xml:space="preserve">er af den opfattelse, at Kommissionens gennemførelsesafgørelse </w:t>
      </w:r>
      <w:r w:rsidRPr="003B10F9" w:rsidR="00073B00">
        <w:t xml:space="preserve">(EU) 2026/1419 </w:t>
      </w:r>
      <w:r w:rsidRPr="003B10F9">
        <w:t>overskrider de gennemførelsesbeføjelser, der er fastsat i forordning (EF) nr. 1829/2003;</w:t>
      </w:r>
    </w:p>
    <w:p w:rsidR="006922AF" w:rsidRPr="003B10F9" w:rsidP="006922AF" w14:paraId="55605046" w14:textId="02FA7FD8">
      <w:pPr>
        <w:pStyle w:val="NormalHanging12a"/>
      </w:pPr>
      <w:r w:rsidRPr="003B10F9">
        <w:t>2.</w:t>
      </w:r>
      <w:r w:rsidRPr="003B10F9">
        <w:tab/>
        <w:t>mener, at Kommissionens gennemførelsesafgørelse</w:t>
      </w:r>
      <w:r w:rsidRPr="003B10F9" w:rsidR="00073B00">
        <w:t xml:space="preserve"> (EU) 2026/1419</w:t>
      </w:r>
      <w:r w:rsidRPr="003B10F9">
        <w:t xml:space="preserve"> ikke er i overensstemmelse med EU-retten, idet det ikke er foreneligt med målet for forordning (EF) nr. 1829/2003, som i overensstemmelse med de generelle principper, der er fastlagt </w:t>
      </w:r>
      <w:r w:rsidRPr="003B10F9">
        <w:t>i Europa-Parlamentets og Rådets forordning (EF) nr. 178/2002</w:t>
      </w:r>
      <w:r>
        <w:rPr>
          <w:vertAlign w:val="superscript"/>
        </w:rPr>
        <w:footnoteReference w:id="19"/>
      </w:r>
      <w:r w:rsidRPr="003B10F9">
        <w:t>, er at skabe et grundlag for at sikre et højt niveau for beskyttelse af menneskers liv og sundhed, af dyrs sundhed og velfærd, af miljøet samt af forbrugernes interesser i relation til genmodificerede fødevarer og -foderstoffer, samtidig med at det sikres, at det indre marked fungerer tilfredsstillende;</w:t>
      </w:r>
    </w:p>
    <w:p w:rsidR="006922AF" w:rsidRPr="003B10F9" w:rsidP="006922AF" w14:paraId="6AF46192" w14:textId="5F072908">
      <w:pPr>
        <w:pStyle w:val="NormalHanging12a"/>
      </w:pPr>
      <w:r w:rsidRPr="003B10F9">
        <w:t>3.</w:t>
      </w:r>
      <w:r w:rsidRPr="003B10F9">
        <w:tab/>
        <w:t xml:space="preserve">anmoder Kommissionen om at trække </w:t>
      </w:r>
      <w:r w:rsidRPr="003B10F9" w:rsidR="00073B00">
        <w:t>Kommissionens</w:t>
      </w:r>
      <w:r w:rsidRPr="003B10F9">
        <w:t xml:space="preserve"> gennemførelsesafgørelse</w:t>
      </w:r>
      <w:r w:rsidRPr="003B10F9" w:rsidR="00073B00">
        <w:t xml:space="preserve"> (EU) 2026/1419</w:t>
      </w:r>
      <w:r w:rsidRPr="003B10F9">
        <w:t xml:space="preserve"> tilbage;</w:t>
      </w:r>
    </w:p>
    <w:p w:rsidR="006922AF" w:rsidRPr="003B10F9" w:rsidP="006922AF" w14:paraId="3C501D91" w14:textId="77777777">
      <w:pPr>
        <w:pStyle w:val="NormalHanging12a"/>
      </w:pPr>
      <w:r w:rsidRPr="003B10F9">
        <w:t>4.</w:t>
      </w:r>
      <w:r w:rsidRPr="003B10F9">
        <w:tab/>
        <w:t>opfordrer Kommissionen til ikke at godkende importen af herbicidtolerante GM-afgrøder på grund af den øgede anvendelse af supplerende herbicider, som er forbundet hermed, og dermed de skærpede risici for biodiversiteten, fødevaresikkerheden og arbejdstagernes sundhed;</w:t>
      </w:r>
    </w:p>
    <w:p w:rsidR="006922AF" w:rsidRPr="003B10F9" w:rsidP="006922AF" w14:paraId="688B2382" w14:textId="77777777">
      <w:pPr>
        <w:pStyle w:val="NormalHanging12a"/>
      </w:pPr>
      <w:r w:rsidRPr="003B10F9">
        <w:t>5.</w:t>
      </w:r>
      <w:r w:rsidRPr="003B10F9">
        <w:tab/>
        <w:t>glæder sig over, at Kommissionen i en skrivelse af 11. september 2020 til medlemmerne anerkendte behovet for at tage højde for bæredygtighed, når det gælder afgørelser om godkendelse af GMO'er</w:t>
      </w:r>
      <w:r>
        <w:rPr>
          <w:vertAlign w:val="superscript"/>
        </w:rPr>
        <w:footnoteReference w:id="20"/>
      </w:r>
      <w:r w:rsidRPr="003B10F9">
        <w:t>; udtrykker imidlertid sin dybe skuffelse over, at Kommissionen siden da er fortsat med at give tilladelse til import af GMO'er til Unionen, selv om Parlamentet løbende har gjort indsigelse, og et flertal af medlemsstaterne har stemt imod;</w:t>
      </w:r>
    </w:p>
    <w:p w:rsidR="006922AF" w:rsidRPr="003B10F9" w:rsidP="006922AF" w14:paraId="3CDE1848" w14:textId="77777777">
      <w:pPr>
        <w:pStyle w:val="NormalHanging12a"/>
      </w:pPr>
      <w:r w:rsidRPr="003B10F9">
        <w:t>6.</w:t>
      </w:r>
      <w:r w:rsidRPr="003B10F9">
        <w:tab/>
        <w:t xml:space="preserve">opfordrer på ny indtrængende Kommissionen til at tage hensyn til Unionens forpligtelser i henhold til internationale aftaler såsom </w:t>
      </w:r>
      <w:r w:rsidRPr="003B10F9">
        <w:t>Parisaftalen</w:t>
      </w:r>
      <w:r w:rsidRPr="003B10F9">
        <w:t xml:space="preserve"> om klimaændringer, FN's konvention om den biologiske mangfoldighed og FN's verdensmål for bæredygtig udvikling; gentager sin opfordring til, at udkast til gennemførelsesretsakter ledsages af en begrundelse, der forklarer, hvordan de overholder princippet om "ikke at gøre skade"</w:t>
      </w:r>
      <w:r>
        <w:rPr>
          <w:vertAlign w:val="superscript"/>
        </w:rPr>
        <w:footnoteReference w:id="21"/>
      </w:r>
      <w:r w:rsidRPr="003B10F9">
        <w:t>;</w:t>
      </w:r>
    </w:p>
    <w:p w:rsidR="006922AF" w:rsidRPr="003B10F9" w:rsidP="006922AF" w14:paraId="2F5644C5" w14:textId="77777777">
      <w:pPr>
        <w:pStyle w:val="NormalHanging12a"/>
      </w:pPr>
      <w:r w:rsidRPr="003B10F9">
        <w:t>7.</w:t>
      </w:r>
      <w:r w:rsidRPr="003B10F9">
        <w:tab/>
        <w:t>fremhæver, at det i de ændringer til forslaget til Europa-Parlamentets og Rådets forordning om ændring af forordning (EU) nr. 182/2011</w:t>
      </w:r>
      <w:r>
        <w:rPr>
          <w:vertAlign w:val="superscript"/>
        </w:rPr>
        <w:footnoteReference w:id="22"/>
      </w:r>
      <w:r w:rsidRPr="003B10F9">
        <w:t>, som Europa-Parlamentet vedtog den 17. december 2020 som grundlag for forhandlinger med Rådet, fastslås, at Kommissionen ikke må give tilladelse til GMO'er, hvis der ikke er et kvalificeret flertal herfor i medlemsstaterne; insisterer på, at Kommissionen respekterer denne holdning, og opfordrer Rådet til at fortsætte sit arbejde og hurtigst muligt vedtage en generel indstilling til denne sag;</w:t>
      </w:r>
    </w:p>
    <w:p w:rsidR="00E365E1" w:rsidRPr="003B10F9" w:rsidP="00394F3E" w14:paraId="1BF72964" w14:textId="2FD08BA9">
      <w:pPr>
        <w:ind w:left="567" w:hanging="567"/>
      </w:pPr>
      <w:r w:rsidRPr="003B10F9">
        <w:t>8.</w:t>
      </w:r>
      <w:r w:rsidRPr="003B10F9">
        <w:tab/>
        <w:t>pålægger sin formand at sende denne beslutning til Rådet og Kommissionen samt til medlemsstaternes regeringer og parlamenter.</w:t>
      </w:r>
    </w:p>
    <w:sectPr w:rsidSect="007C12E5">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C12E5" w14:paraId="313F8D3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C12E5" w14:paraId="5BBCFFC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C12E5" w14:paraId="6C348CD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D3BE9" w:rsidRPr="007C12E5" w14:paraId="1907DD74" w14:textId="77777777">
      <w:r w:rsidRPr="007C12E5">
        <w:separator/>
      </w:r>
    </w:p>
  </w:footnote>
  <w:footnote w:type="continuationSeparator" w:id="1">
    <w:p w:rsidR="005D3BE9" w:rsidRPr="007C12E5" w14:paraId="447A2596" w14:textId="77777777">
      <w:r w:rsidRPr="007C12E5">
        <w:continuationSeparator/>
      </w:r>
    </w:p>
  </w:footnote>
  <w:footnote w:id="2">
    <w:p w:rsidR="00952C5C" w:rsidRPr="005E6B44" w:rsidP="005E6B44" w14:paraId="0E51651D" w14:textId="67C0BB4C">
      <w:pPr>
        <w:pStyle w:val="FootnoteText"/>
        <w:ind w:left="567" w:hanging="567"/>
        <w:rPr>
          <w:sz w:val="24"/>
          <w:szCs w:val="22"/>
          <w:lang w:val="fr-BE"/>
        </w:rPr>
      </w:pPr>
      <w:r w:rsidRPr="005E6B44">
        <w:rPr>
          <w:rStyle w:val="FootnoteReference"/>
          <w:sz w:val="24"/>
          <w:szCs w:val="22"/>
        </w:rPr>
        <w:footnoteRef/>
      </w:r>
      <w:r w:rsidRPr="005E6B44">
        <w:rPr>
          <w:sz w:val="24"/>
          <w:szCs w:val="22"/>
        </w:rPr>
        <w:t xml:space="preserve"> </w:t>
      </w:r>
      <w:r w:rsidRPr="005E6B44">
        <w:rPr>
          <w:sz w:val="24"/>
          <w:szCs w:val="22"/>
          <w:lang w:val="fr-BE"/>
        </w:rPr>
        <w:tab/>
        <w:t xml:space="preserve">EUT L, 2026/1419, 3.7.2026, </w:t>
      </w:r>
      <w:r w:rsidRPr="005E6B44">
        <w:rPr>
          <w:sz w:val="24"/>
          <w:szCs w:val="22"/>
          <w:lang w:val="fr-BE"/>
        </w:rPr>
        <w:t>ELI:</w:t>
      </w:r>
      <w:r w:rsidRPr="005E6B44">
        <w:rPr>
          <w:sz w:val="24"/>
          <w:szCs w:val="22"/>
          <w:lang w:val="fr-BE"/>
        </w:rPr>
        <w:t xml:space="preserve"> </w:t>
      </w:r>
      <w:hyperlink r:id="rId1" w:history="1">
        <w:r w:rsidRPr="005E6B44">
          <w:rPr>
            <w:rStyle w:val="Hyperlink"/>
            <w:sz w:val="24"/>
            <w:szCs w:val="22"/>
          </w:rPr>
          <w:t>http://data.europa.eu/eli/dec_impl/2026/1419/oj</w:t>
        </w:r>
      </w:hyperlink>
      <w:r>
        <w:rPr>
          <w:sz w:val="24"/>
          <w:szCs w:val="22"/>
          <w:lang w:val="fr-BE"/>
        </w:rPr>
        <w:t>.</w:t>
      </w:r>
    </w:p>
  </w:footnote>
  <w:footnote w:id="3">
    <w:p w:rsidR="006922AF" w:rsidRPr="007C12E5" w:rsidP="007C12E5" w14:paraId="578AD0FB" w14:textId="7433FD59">
      <w:pPr>
        <w:pStyle w:val="FootnoteText"/>
        <w:ind w:left="567" w:hanging="567"/>
        <w:rPr>
          <w:sz w:val="24"/>
          <w:lang w:val="da-DK"/>
        </w:rPr>
      </w:pPr>
      <w:r w:rsidRPr="007C12E5">
        <w:rPr>
          <w:rStyle w:val="Funotenzeichen"/>
          <w:sz w:val="24"/>
          <w:lang w:val="da-DK"/>
        </w:rPr>
        <w:footnoteRef/>
      </w:r>
      <w:r w:rsidRPr="007C12E5" w:rsidR="007C12E5">
        <w:rPr>
          <w:sz w:val="24"/>
          <w:lang w:val="da-DK"/>
        </w:rPr>
        <w:t xml:space="preserve"> </w:t>
      </w:r>
      <w:r w:rsidRPr="007C12E5" w:rsidR="007C12E5">
        <w:rPr>
          <w:sz w:val="24"/>
          <w:lang w:val="da-DK"/>
        </w:rPr>
        <w:tab/>
      </w:r>
      <w:r w:rsidRPr="007C12E5">
        <w:rPr>
          <w:sz w:val="24"/>
          <w:lang w:val="da-DK"/>
        </w:rPr>
        <w:t>EUT L 268 af 18.10.2003, s. 1, ELI: </w:t>
      </w:r>
      <w:hyperlink r:id="rId2" w:tooltip="Giver adgang til dokumentet via dets ELI-URI." w:history="1">
        <w:r w:rsidRPr="007C12E5">
          <w:rPr>
            <w:rStyle w:val="Hyperlink"/>
            <w:sz w:val="24"/>
            <w:lang w:val="da-DK"/>
          </w:rPr>
          <w:t>http://data.europa.eu/eli/reg/2003/1829/oj</w:t>
        </w:r>
      </w:hyperlink>
      <w:r w:rsidRPr="007C12E5">
        <w:rPr>
          <w:sz w:val="24"/>
          <w:lang w:val="da-DK"/>
        </w:rPr>
        <w:t>.</w:t>
      </w:r>
    </w:p>
  </w:footnote>
  <w:footnote w:id="4">
    <w:p w:rsidR="006922AF" w:rsidRPr="007C12E5" w:rsidP="007C12E5" w14:paraId="038020BA" w14:textId="1D156B0E">
      <w:pPr>
        <w:pStyle w:val="FootnoteText"/>
        <w:ind w:left="567" w:hanging="567"/>
        <w:rPr>
          <w:sz w:val="24"/>
          <w:lang w:val="da-DK"/>
        </w:rPr>
      </w:pPr>
      <w:r w:rsidRPr="007C12E5">
        <w:rPr>
          <w:rStyle w:val="FootnoteReference"/>
          <w:sz w:val="24"/>
          <w:lang w:val="da-DK"/>
        </w:rPr>
        <w:footnoteRef/>
      </w:r>
      <w:r w:rsidRPr="007C12E5" w:rsidR="007C12E5">
        <w:rPr>
          <w:sz w:val="24"/>
          <w:lang w:val="da-DK"/>
        </w:rPr>
        <w:t xml:space="preserve"> </w:t>
      </w:r>
      <w:r w:rsidRPr="007C12E5" w:rsidR="007C12E5">
        <w:rPr>
          <w:sz w:val="24"/>
          <w:lang w:val="da-DK"/>
        </w:rPr>
        <w:tab/>
      </w:r>
      <w:r w:rsidRPr="007C12E5">
        <w:rPr>
          <w:sz w:val="24"/>
          <w:lang w:val="da-DK"/>
        </w:rPr>
        <w:t xml:space="preserve">EUT L 55 af 28.2.2011, s. 13, ELI: </w:t>
      </w:r>
      <w:hyperlink r:id="rId3" w:tooltip="http://data.europa.eu/eli/reg/2011/182/oj" w:history="1">
        <w:r w:rsidRPr="007C12E5">
          <w:rPr>
            <w:rStyle w:val="Hyperlink"/>
            <w:sz w:val="24"/>
            <w:lang w:val="da-DK"/>
          </w:rPr>
          <w:t>http://data.europa.eu/eli/reg/2011/182/oj</w:t>
        </w:r>
      </w:hyperlink>
      <w:r w:rsidRPr="007C12E5">
        <w:rPr>
          <w:sz w:val="24"/>
          <w:lang w:val="da-DK"/>
        </w:rPr>
        <w:t>.</w:t>
      </w:r>
    </w:p>
  </w:footnote>
  <w:footnote w:id="5">
    <w:p w:rsidR="006922AF" w:rsidRPr="007C12E5" w:rsidP="007C12E5" w14:paraId="6574367E" w14:textId="30BDEE27">
      <w:pPr>
        <w:pStyle w:val="FootnoteText"/>
        <w:ind w:left="567" w:hanging="567"/>
        <w:rPr>
          <w:sz w:val="24"/>
          <w:lang w:val="da-DK"/>
        </w:rPr>
      </w:pPr>
      <w:r w:rsidRPr="007C12E5">
        <w:rPr>
          <w:rStyle w:val="Funotenzeichen"/>
          <w:sz w:val="24"/>
          <w:lang w:val="da-DK"/>
        </w:rPr>
        <w:footnoteRef/>
      </w:r>
      <w:r w:rsidRPr="007C12E5" w:rsidR="007C12E5">
        <w:rPr>
          <w:sz w:val="24"/>
          <w:lang w:val="da-DK"/>
        </w:rPr>
        <w:t xml:space="preserve"> </w:t>
      </w:r>
      <w:r w:rsidRPr="007C12E5" w:rsidR="007C12E5">
        <w:rPr>
          <w:sz w:val="24"/>
          <w:lang w:val="da-DK"/>
        </w:rPr>
        <w:tab/>
      </w:r>
      <w:r w:rsidRPr="007C12E5">
        <w:rPr>
          <w:sz w:val="24"/>
          <w:lang w:val="da-DK"/>
        </w:rPr>
        <w:t xml:space="preserve">Videnskabelig udtalelse fra </w:t>
      </w:r>
      <w:r w:rsidRPr="007C12E5">
        <w:rPr>
          <w:sz w:val="24"/>
          <w:lang w:val="da-DK"/>
        </w:rPr>
        <w:t>EFSA's</w:t>
      </w:r>
      <w:r w:rsidRPr="007C12E5">
        <w:rPr>
          <w:sz w:val="24"/>
          <w:lang w:val="da-DK"/>
        </w:rPr>
        <w:t xml:space="preserve"> Ekspertpanel for Genetisk Modificerede Organismer om vurdering af genetisk modificeret MON 87705-sojabønne (ansøgning GMFF‐2023-21236), EFSA Journal 2026</w:t>
      </w:r>
      <w:r w:rsidR="00952C5C">
        <w:rPr>
          <w:sz w:val="24"/>
          <w:lang w:val="da-DK"/>
        </w:rPr>
        <w:t>,</w:t>
      </w:r>
      <w:r w:rsidRPr="007C12E5">
        <w:rPr>
          <w:sz w:val="24"/>
          <w:lang w:val="da-DK"/>
        </w:rPr>
        <w:t xml:space="preserve"> 24(1):e</w:t>
      </w:r>
      <w:r w:rsidRPr="007C12E5">
        <w:rPr>
          <w:sz w:val="24"/>
          <w:lang w:val="da-DK"/>
        </w:rPr>
        <w:t>9846 ,</w:t>
      </w:r>
      <w:r w:rsidRPr="007C12E5">
        <w:rPr>
          <w:sz w:val="24"/>
          <w:lang w:val="da-DK"/>
        </w:rPr>
        <w:t xml:space="preserve"> </w:t>
      </w:r>
      <w:hyperlink r:id="rId4" w:history="1">
        <w:r w:rsidRPr="007C12E5">
          <w:rPr>
            <w:rStyle w:val="Hyperlink"/>
            <w:sz w:val="24"/>
            <w:lang w:val="da-DK"/>
          </w:rPr>
          <w:t>https://doi.org/10.2903/j.efsa.2026.9846</w:t>
        </w:r>
      </w:hyperlink>
      <w:r w:rsidRPr="007C12E5">
        <w:rPr>
          <w:rStyle w:val="Hyperlink"/>
          <w:sz w:val="24"/>
          <w:lang w:val="da-DK"/>
        </w:rPr>
        <w:t>.</w:t>
      </w:r>
    </w:p>
  </w:footnote>
  <w:footnote w:id="6">
    <w:p w:rsidR="006922AF" w:rsidRPr="007C12E5" w:rsidP="007C12E5" w14:paraId="365B5F15" w14:textId="196F4890">
      <w:pPr>
        <w:pStyle w:val="FootnoteText"/>
        <w:ind w:left="567" w:hanging="567"/>
        <w:rPr>
          <w:color w:val="000000" w:themeColor="text1"/>
          <w:sz w:val="24"/>
          <w:vertAlign w:val="superscript"/>
          <w:lang w:val="da-DK"/>
        </w:rPr>
      </w:pPr>
      <w:r w:rsidRPr="007C12E5">
        <w:rPr>
          <w:rStyle w:val="Funotenzeichen"/>
          <w:sz w:val="24"/>
          <w:lang w:val="da-DK"/>
        </w:rPr>
        <w:footnoteRef/>
      </w:r>
      <w:r w:rsidRPr="007C12E5" w:rsidR="007C12E5">
        <w:rPr>
          <w:sz w:val="24"/>
          <w:lang w:val="da-DK"/>
        </w:rPr>
        <w:t xml:space="preserve"> </w:t>
      </w:r>
      <w:r w:rsidRPr="007C12E5" w:rsidR="007C12E5">
        <w:rPr>
          <w:sz w:val="24"/>
          <w:lang w:val="da-DK"/>
        </w:rPr>
        <w:tab/>
      </w:r>
      <w:r w:rsidRPr="007C12E5">
        <w:rPr>
          <w:sz w:val="24"/>
          <w:lang w:val="da-DK"/>
        </w:rPr>
        <w:t>Parlamentet vedtog i sin 8. valgperiode 36 beslutninger og i sin 9. valgperiode 38 beslutninger, hvori det gjorde indsigelse mod tilladelse af GMO'er.</w:t>
      </w:r>
      <w:r w:rsidRPr="007C12E5">
        <w:rPr>
          <w:color w:val="000000" w:themeColor="text1"/>
          <w:sz w:val="24"/>
          <w:lang w:val="da-DK"/>
        </w:rPr>
        <w:t xml:space="preserve"> </w:t>
      </w:r>
      <w:r w:rsidRPr="007C12E5">
        <w:rPr>
          <w:color w:val="000000" w:themeColor="text1"/>
          <w:sz w:val="24"/>
          <w:lang w:val="da-DK"/>
        </w:rPr>
        <w:t>Endvidere</w:t>
      </w:r>
      <w:r w:rsidRPr="007C12E5">
        <w:rPr>
          <w:color w:val="000000" w:themeColor="text1"/>
          <w:sz w:val="24"/>
          <w:lang w:val="da-DK"/>
        </w:rPr>
        <w:t xml:space="preserve"> har Parlamentet i sin 10. valgperiode vedtaget følgende beslutninger:</w:t>
      </w:r>
    </w:p>
    <w:p w:rsidR="006922AF" w:rsidRPr="007C12E5" w:rsidP="005E6B44" w14:paraId="6A5B8444" w14:textId="01661B46">
      <w:pPr>
        <w:pStyle w:val="FootnoteText"/>
        <w:ind w:left="1134" w:hanging="567"/>
        <w:rPr>
          <w:color w:val="000000" w:themeColor="text1"/>
          <w:sz w:val="24"/>
          <w:vertAlign w:val="superscript"/>
          <w:lang w:val="da-DK"/>
        </w:rPr>
      </w:pPr>
      <w:r w:rsidRPr="007C12E5">
        <w:rPr>
          <w:color w:val="000000" w:themeColor="text1"/>
          <w:sz w:val="24"/>
          <w:lang w:val="da-DK"/>
        </w:rPr>
        <w:t xml:space="preserve"> </w:t>
      </w:r>
      <w:r w:rsidRPr="007C12E5">
        <w:rPr>
          <w:color w:val="000000" w:themeColor="text1"/>
          <w:sz w:val="24"/>
          <w:lang w:val="da-DK"/>
        </w:rPr>
        <w:t>–</w:t>
      </w:r>
      <w:r w:rsidRPr="007C12E5">
        <w:rPr>
          <w:color w:val="000000" w:themeColor="text1"/>
          <w:sz w:val="24"/>
          <w:lang w:val="da-DK"/>
        </w:rPr>
        <w:tab/>
        <w:t>Europa-Parlamentets beslutning af 26. november 2024 om Kommissionens gennemførelsesafgørelse (EU) 2024/2628 om forlængelse af tilladelse til markedsføring af produkter, der indeholder, består af eller er fremstillet af genetisk modificeret MON 89034 × 1507 × NK603-majs, i henhold til Europa-Parlamentets og Rådets forordning (EF) nr. 1829/2003 (EUT C, C/2025/1797, 4.4.2025, ELI: </w:t>
      </w:r>
      <w:hyperlink r:id="rId5" w:history="1">
        <w:r w:rsidRPr="007C12E5">
          <w:rPr>
            <w:rStyle w:val="Hyperlink"/>
            <w:sz w:val="24"/>
            <w:lang w:val="da-DK"/>
          </w:rPr>
          <w:t>http://data.europa.eu/eli/C/2025/1797/oj</w:t>
        </w:r>
      </w:hyperlink>
      <w:r w:rsidRPr="007C12E5">
        <w:rPr>
          <w:color w:val="000000" w:themeColor="text1"/>
          <w:sz w:val="24"/>
          <w:lang w:val="da-DK"/>
        </w:rPr>
        <w:t>)</w:t>
      </w:r>
    </w:p>
    <w:p w:rsidR="006922AF" w:rsidRPr="007C12E5" w:rsidP="005E6B44" w14:paraId="53EE0429" w14:textId="4530FC62">
      <w:pPr>
        <w:pStyle w:val="FootnoteText"/>
        <w:ind w:left="1134" w:hanging="567"/>
        <w:rPr>
          <w:color w:val="000000" w:themeColor="text1"/>
          <w:sz w:val="24"/>
          <w:vertAlign w:val="superscript"/>
          <w:lang w:val="da-DK"/>
        </w:rPr>
      </w:pPr>
      <w:r w:rsidRPr="007C12E5">
        <w:rPr>
          <w:color w:val="000000" w:themeColor="text1"/>
          <w:sz w:val="24"/>
          <w:lang w:val="da-DK"/>
        </w:rPr>
        <w:t xml:space="preserve"> </w:t>
      </w:r>
      <w:r w:rsidRPr="007C12E5">
        <w:rPr>
          <w:color w:val="000000" w:themeColor="text1"/>
          <w:sz w:val="24"/>
          <w:lang w:val="da-DK"/>
        </w:rPr>
        <w:t>–</w:t>
      </w:r>
      <w:r w:rsidRPr="007C12E5">
        <w:rPr>
          <w:color w:val="000000" w:themeColor="text1"/>
          <w:sz w:val="24"/>
          <w:lang w:val="da-DK"/>
        </w:rPr>
        <w:tab/>
        <w:t>Europa-Parlamentets beslutning af 26. november 2024 om Kommissionens gennemførelsesafgørelse (EU) 2024/2627 om tilladelse til markedsføring af produkter, der indeholder, består af eller er fremstillet af genetisk modificeret COT102-bomuld, i henhold til Europa-Parlamentets og Rådets forordning (EF) nr. 1829/2003 (EUT C, C/2025/1798, 4.4.2025, ELI: </w:t>
      </w:r>
      <w:hyperlink r:id="rId6" w:history="1">
        <w:r w:rsidRPr="007C12E5">
          <w:rPr>
            <w:rStyle w:val="Hyperlink"/>
            <w:sz w:val="24"/>
            <w:lang w:val="da-DK"/>
          </w:rPr>
          <w:t>http://data.europa.eu/eli/C/2025/1798/oj</w:t>
        </w:r>
      </w:hyperlink>
      <w:r w:rsidRPr="007C12E5">
        <w:rPr>
          <w:color w:val="000000" w:themeColor="text1"/>
          <w:sz w:val="24"/>
          <w:lang w:val="da-DK"/>
        </w:rPr>
        <w:t>)</w:t>
      </w:r>
    </w:p>
    <w:p w:rsidR="006922AF" w:rsidRPr="007C12E5" w:rsidP="005E6B44" w14:paraId="6D228277" w14:textId="034F1F09">
      <w:pPr>
        <w:pStyle w:val="FootnoteText"/>
        <w:ind w:left="1134" w:hanging="567"/>
        <w:rPr>
          <w:color w:val="000000" w:themeColor="text1"/>
          <w:sz w:val="24"/>
          <w:vertAlign w:val="superscript"/>
          <w:lang w:val="da-DK"/>
        </w:rPr>
      </w:pPr>
      <w:r w:rsidRPr="007C12E5">
        <w:rPr>
          <w:color w:val="000000" w:themeColor="text1"/>
          <w:sz w:val="24"/>
          <w:lang w:val="da-DK"/>
        </w:rPr>
        <w:t xml:space="preserve"> </w:t>
      </w:r>
      <w:r w:rsidRPr="007C12E5">
        <w:rPr>
          <w:color w:val="000000" w:themeColor="text1"/>
          <w:sz w:val="24"/>
          <w:lang w:val="da-DK"/>
        </w:rPr>
        <w:t>–</w:t>
      </w:r>
      <w:r w:rsidRPr="007C12E5">
        <w:rPr>
          <w:color w:val="000000" w:themeColor="text1"/>
          <w:sz w:val="24"/>
          <w:lang w:val="da-DK"/>
        </w:rPr>
        <w:tab/>
        <w:t>Europa-Parlamentets beslutning af 26. november 2024 om Kommissionens gennemførelsesafgørelse (EU) 2024/2629 om forlængelse af tilladelse til markedsføring af produkter, der indeholder, består af eller er fremstillet af genetisk modificeret MON 89034 × 1507 × MON 88017 × 59122-majs og otte af dens underkombinationer, i henhold til Europa-Parlamentets og Rådets forordning (EF) nr. 1829/2003 (EUT C, C/2025/1799, 4.4.2025, ELI: </w:t>
      </w:r>
      <w:hyperlink r:id="rId7" w:history="1">
        <w:r w:rsidRPr="007C12E5">
          <w:rPr>
            <w:rStyle w:val="Hyperlink"/>
            <w:sz w:val="24"/>
            <w:lang w:val="da-DK"/>
          </w:rPr>
          <w:t>http://data.europa.eu/eli/C/2025/1799/oj</w:t>
        </w:r>
      </w:hyperlink>
      <w:r w:rsidRPr="007C12E5">
        <w:rPr>
          <w:color w:val="000000" w:themeColor="text1"/>
          <w:sz w:val="24"/>
          <w:lang w:val="da-DK"/>
        </w:rPr>
        <w:t>)</w:t>
      </w:r>
    </w:p>
    <w:p w:rsidR="006922AF" w:rsidRPr="007C12E5" w:rsidP="005E6B44" w14:paraId="5FF40CCF" w14:textId="0D665CA3">
      <w:pPr>
        <w:pStyle w:val="FootnoteText"/>
        <w:ind w:left="1134" w:hanging="567"/>
        <w:rPr>
          <w:color w:val="000000" w:themeColor="text1"/>
          <w:sz w:val="24"/>
          <w:vertAlign w:val="superscript"/>
          <w:lang w:val="da-DK"/>
        </w:rPr>
      </w:pPr>
      <w:r w:rsidRPr="007C12E5">
        <w:rPr>
          <w:color w:val="000000" w:themeColor="text1"/>
          <w:sz w:val="24"/>
          <w:lang w:val="da-DK"/>
        </w:rPr>
        <w:t xml:space="preserve"> </w:t>
      </w:r>
      <w:r w:rsidRPr="007C12E5">
        <w:rPr>
          <w:color w:val="000000" w:themeColor="text1"/>
          <w:sz w:val="24"/>
          <w:lang w:val="da-DK"/>
        </w:rPr>
        <w:t>–</w:t>
      </w:r>
      <w:r w:rsidRPr="007C12E5">
        <w:rPr>
          <w:color w:val="000000" w:themeColor="text1"/>
          <w:sz w:val="24"/>
          <w:lang w:val="da-DK"/>
        </w:rPr>
        <w:tab/>
        <w:t>Europa-Parlamentets beslutning af 26. november 2024 om Kommissionens gennemførelsesafgørelse (EU) 2024/1828 om forlængelse af tilladelsen til markedsføring af foderstoffer, der indeholder, består af og af fødevarer og foderstoffer, der er fremstillet af genetisk modificeret MON 810-majs, i henhold til Europa-Parlamentets og Rådets forordning (EF) nr. 1829/2003, og om ophævelse af Kommissionens gennemførelsesafgørelse (EU) 2017/1207 (EUT C, C/2025/1800, 4.4.2025, ELI: </w:t>
      </w:r>
      <w:hyperlink r:id="rId8" w:history="1">
        <w:r w:rsidRPr="007C12E5">
          <w:rPr>
            <w:rStyle w:val="Hyperlink"/>
            <w:sz w:val="24"/>
            <w:lang w:val="da-DK"/>
          </w:rPr>
          <w:t>http://data.europa.eu/eli/C/2025/1800/oj</w:t>
        </w:r>
      </w:hyperlink>
      <w:r w:rsidRPr="007C12E5">
        <w:rPr>
          <w:color w:val="000000" w:themeColor="text1"/>
          <w:sz w:val="24"/>
          <w:lang w:val="da-DK"/>
        </w:rPr>
        <w:t>)</w:t>
      </w:r>
    </w:p>
    <w:p w:rsidR="006922AF" w:rsidRPr="007C12E5" w:rsidP="005E6B44" w14:paraId="309C4B86" w14:textId="2AFC8DD2">
      <w:pPr>
        <w:pStyle w:val="FootnoteText"/>
        <w:ind w:left="1134" w:hanging="567"/>
        <w:rPr>
          <w:color w:val="000000" w:themeColor="text1"/>
          <w:sz w:val="24"/>
          <w:vertAlign w:val="superscript"/>
          <w:lang w:val="da-DK"/>
        </w:rPr>
      </w:pPr>
      <w:r w:rsidRPr="007C12E5">
        <w:rPr>
          <w:color w:val="000000" w:themeColor="text1"/>
          <w:sz w:val="24"/>
          <w:lang w:val="da-DK"/>
        </w:rPr>
        <w:t xml:space="preserve"> </w:t>
      </w:r>
      <w:r w:rsidRPr="007C12E5">
        <w:rPr>
          <w:color w:val="000000" w:themeColor="text1"/>
          <w:sz w:val="24"/>
          <w:lang w:val="da-DK"/>
        </w:rPr>
        <w:t>–</w:t>
      </w:r>
      <w:r w:rsidRPr="007C12E5">
        <w:rPr>
          <w:color w:val="000000" w:themeColor="text1"/>
          <w:sz w:val="24"/>
          <w:lang w:val="da-DK"/>
        </w:rPr>
        <w:tab/>
        <w:t>Europa-Parlamentets beslutning af 26. november 2024 om Kommissionens gennemførelsesafgørelse (EU) 2024/1822 om tilladelse til markedsføring af produkter, der indeholder, består af eller er fremstillet af genetisk modificeret DP915635-majs, i henhold til Europa-Parlamentets og Rådets forordning (EF) nr. 1829/2003 (EUT C, C/2025/1801, 4.4.2025, ELI: </w:t>
      </w:r>
      <w:hyperlink r:id="rId9" w:history="1">
        <w:r w:rsidRPr="007C12E5">
          <w:rPr>
            <w:rStyle w:val="Hyperlink"/>
            <w:sz w:val="24"/>
            <w:lang w:val="da-DK"/>
          </w:rPr>
          <w:t>http://data.europa.eu/eli/C/2025/1801/oj</w:t>
        </w:r>
      </w:hyperlink>
      <w:r w:rsidRPr="007C12E5">
        <w:rPr>
          <w:color w:val="000000" w:themeColor="text1"/>
          <w:sz w:val="24"/>
          <w:lang w:val="da-DK"/>
        </w:rPr>
        <w:t>)</w:t>
      </w:r>
    </w:p>
    <w:p w:rsidR="006922AF" w:rsidRPr="007C12E5" w:rsidP="005E6B44" w14:paraId="770A23DA" w14:textId="35D96909">
      <w:pPr>
        <w:pStyle w:val="FootnoteText"/>
        <w:ind w:left="1134" w:hanging="567"/>
        <w:rPr>
          <w:color w:val="000000" w:themeColor="text1"/>
          <w:sz w:val="24"/>
          <w:vertAlign w:val="superscript"/>
          <w:lang w:val="da-DK"/>
        </w:rPr>
      </w:pPr>
      <w:r w:rsidRPr="007C12E5">
        <w:rPr>
          <w:color w:val="000000" w:themeColor="text1"/>
          <w:sz w:val="24"/>
          <w:lang w:val="da-DK"/>
        </w:rPr>
        <w:t xml:space="preserve"> </w:t>
      </w:r>
      <w:r w:rsidRPr="007C12E5">
        <w:rPr>
          <w:color w:val="000000" w:themeColor="text1"/>
          <w:sz w:val="24"/>
          <w:lang w:val="da-DK"/>
        </w:rPr>
        <w:t>–</w:t>
      </w:r>
      <w:r w:rsidRPr="007C12E5">
        <w:rPr>
          <w:color w:val="000000" w:themeColor="text1"/>
          <w:sz w:val="24"/>
          <w:lang w:val="da-DK"/>
        </w:rPr>
        <w:tab/>
        <w:t>Europa-Parlamentets beslutning af 26. november 2024 om Kommissionens gennemførelsesafgørelse (EU) 2024/1826 om tilladelse til markedsføring af produkter, der indeholder, består af eller er fremstillet af genetisk modificeret DP23211-majs, i henhold til Europa-Parlamentets og Rådets forordning (EF) nr. 1829/2003 (EUT C, C/2025/1802, 4.4.2025, ELI: </w:t>
      </w:r>
      <w:hyperlink r:id="rId10" w:history="1">
        <w:r w:rsidRPr="007C12E5">
          <w:rPr>
            <w:rStyle w:val="Hyperlink"/>
            <w:sz w:val="24"/>
            <w:lang w:val="da-DK"/>
          </w:rPr>
          <w:t>http://data.europa.eu/eli/C/2025/1802/oj</w:t>
        </w:r>
      </w:hyperlink>
      <w:r w:rsidRPr="007C12E5">
        <w:rPr>
          <w:color w:val="000000" w:themeColor="text1"/>
          <w:sz w:val="24"/>
          <w:lang w:val="da-DK"/>
        </w:rPr>
        <w:t>)</w:t>
      </w:r>
    </w:p>
    <w:p w:rsidR="006922AF" w:rsidRPr="007C12E5" w:rsidP="005E6B44" w14:paraId="5B0E49AC" w14:textId="709F5D80">
      <w:pPr>
        <w:pStyle w:val="FootnoteText"/>
        <w:ind w:left="1134" w:hanging="567"/>
        <w:rPr>
          <w:color w:val="000000" w:themeColor="text1"/>
          <w:sz w:val="24"/>
          <w:vertAlign w:val="superscript"/>
          <w:lang w:val="da-DK"/>
        </w:rPr>
      </w:pPr>
      <w:r w:rsidRPr="007C12E5">
        <w:rPr>
          <w:color w:val="000000" w:themeColor="text1"/>
          <w:sz w:val="24"/>
          <w:lang w:val="da-DK"/>
        </w:rPr>
        <w:t xml:space="preserve"> </w:t>
      </w:r>
      <w:r w:rsidRPr="007C12E5">
        <w:rPr>
          <w:color w:val="000000" w:themeColor="text1"/>
          <w:sz w:val="24"/>
          <w:lang w:val="da-DK"/>
        </w:rPr>
        <w:t>–</w:t>
      </w:r>
      <w:r w:rsidRPr="007C12E5">
        <w:rPr>
          <w:color w:val="000000" w:themeColor="text1"/>
          <w:sz w:val="24"/>
          <w:lang w:val="da-DK"/>
        </w:rPr>
        <w:tab/>
        <w:t>Europa-Parlamentets beslutning af 26. november 2024 om Kommissionens gennemførelsesafgørelse (EU) 2024/2618 om tilladelse til markedsføring af produkter, der indeholder, består af eller er fremstillet af genetisk modificeret DP202216-majs, i henhold til Europa-Parlamentets og Rådets forordning (EF) nr. 1829/2003 (EUT C, C/2025/1803, 4.4.2025, ELI: </w:t>
      </w:r>
      <w:hyperlink r:id="rId11" w:history="1">
        <w:r w:rsidRPr="007C12E5">
          <w:rPr>
            <w:rStyle w:val="Hyperlink"/>
            <w:sz w:val="24"/>
            <w:lang w:val="da-DK"/>
          </w:rPr>
          <w:t>http://data.europa.eu/eli/C/2025/1803/oj</w:t>
        </w:r>
      </w:hyperlink>
      <w:r w:rsidRPr="007C12E5">
        <w:rPr>
          <w:color w:val="000000" w:themeColor="text1"/>
          <w:sz w:val="24"/>
          <w:lang w:val="da-DK"/>
        </w:rPr>
        <w:t>)</w:t>
      </w:r>
    </w:p>
    <w:p w:rsidR="006922AF" w:rsidRPr="007C12E5" w:rsidP="005E6B44" w14:paraId="4E2D1F7A" w14:textId="2CD2F289">
      <w:pPr>
        <w:pStyle w:val="FootnoteText"/>
        <w:ind w:left="1134" w:hanging="567"/>
        <w:rPr>
          <w:color w:val="000000" w:themeColor="text1"/>
          <w:sz w:val="24"/>
          <w:vertAlign w:val="superscript"/>
          <w:lang w:val="da-DK"/>
        </w:rPr>
      </w:pPr>
      <w:r w:rsidRPr="007C12E5">
        <w:rPr>
          <w:color w:val="000000" w:themeColor="text1"/>
          <w:sz w:val="24"/>
          <w:lang w:val="da-DK"/>
        </w:rPr>
        <w:t xml:space="preserve"> </w:t>
      </w:r>
      <w:r w:rsidRPr="007C12E5">
        <w:rPr>
          <w:color w:val="000000" w:themeColor="text1"/>
          <w:sz w:val="24"/>
          <w:lang w:val="da-DK"/>
        </w:rPr>
        <w:t>–</w:t>
      </w:r>
      <w:r w:rsidRPr="007C12E5">
        <w:rPr>
          <w:color w:val="000000" w:themeColor="text1"/>
          <w:sz w:val="24"/>
          <w:lang w:val="da-DK"/>
        </w:rPr>
        <w:tab/>
        <w:t>Europa-Parlamentets beslutning af 26. november 2024 om udkast til Kommissionens gennemførelsesafgørelse om tilladelse til markedsføring af produkter, der indeholder, består af eller er fremstillet af genetisk modificeret MON 94804-majs, i henhold til Europa-Parlamentets og Rådets forordning (EF) nr. 1829/2003 (EUT C, C/2025/1804, 4.4.2025, ELI; </w:t>
      </w:r>
      <w:hyperlink r:id="rId12" w:history="1">
        <w:r w:rsidRPr="007C12E5">
          <w:rPr>
            <w:rStyle w:val="Hyperlink"/>
            <w:sz w:val="24"/>
            <w:lang w:val="da-DK"/>
          </w:rPr>
          <w:t>http://data.europa.eu/eli/C/2025/1804/oj</w:t>
        </w:r>
      </w:hyperlink>
      <w:r w:rsidRPr="007C12E5">
        <w:rPr>
          <w:color w:val="000000" w:themeColor="text1"/>
          <w:sz w:val="24"/>
          <w:lang w:val="da-DK"/>
        </w:rPr>
        <w:t>)</w:t>
      </w:r>
    </w:p>
    <w:p w:rsidR="006922AF" w:rsidRPr="007C12E5" w:rsidP="005E6B44" w14:paraId="341D7CEA" w14:textId="33AF2F23">
      <w:pPr>
        <w:pStyle w:val="FootnoteText"/>
        <w:ind w:left="1134" w:hanging="567"/>
        <w:rPr>
          <w:sz w:val="24"/>
          <w:vertAlign w:val="superscript"/>
          <w:lang w:val="da-DK"/>
        </w:rPr>
      </w:pPr>
      <w:r w:rsidRPr="007C12E5">
        <w:rPr>
          <w:color w:val="000000" w:themeColor="text1"/>
          <w:sz w:val="24"/>
          <w:lang w:val="da-DK"/>
        </w:rPr>
        <w:t xml:space="preserve"> </w:t>
      </w:r>
      <w:r w:rsidRPr="007C12E5">
        <w:rPr>
          <w:color w:val="000000" w:themeColor="text1"/>
          <w:sz w:val="24"/>
          <w:lang w:val="da-DK"/>
        </w:rPr>
        <w:t>–</w:t>
      </w:r>
      <w:r w:rsidRPr="007C12E5">
        <w:rPr>
          <w:color w:val="000000" w:themeColor="text1"/>
          <w:sz w:val="24"/>
          <w:lang w:val="da-DK"/>
        </w:rPr>
        <w:tab/>
      </w:r>
      <w:r w:rsidRPr="007C12E5">
        <w:rPr>
          <w:sz w:val="24"/>
          <w:lang w:val="da-DK"/>
        </w:rPr>
        <w:t>Europa-Parlamentets beslutning af 12. februar 2025 om udkast til Kommissionens gennemførelsesafgørelse om tilladelse til markedsføring af produkter, der indeholder, består af eller er fremstillet af genetisk modificeret DP910521-majs, i henhold til Europa-Parlamentets og Rådets forordning (EF) nr. 1829/2003 (EUT C, C/2025/2246, 29.4.2025, ELI: </w:t>
      </w:r>
      <w:hyperlink r:id="rId13" w:tooltip="Giver adgang til dokumentet via dets ELI-URI." w:history="1">
        <w:r w:rsidRPr="007C12E5">
          <w:rPr>
            <w:rStyle w:val="Hyperlink"/>
            <w:sz w:val="24"/>
            <w:lang w:val="da-DK"/>
          </w:rPr>
          <w:t>http://data.europa.eu/eli/C/2025/2246/oj</w:t>
        </w:r>
      </w:hyperlink>
      <w:r w:rsidRPr="007C12E5">
        <w:rPr>
          <w:sz w:val="24"/>
          <w:lang w:val="da-DK"/>
        </w:rPr>
        <w:t>)</w:t>
      </w:r>
    </w:p>
    <w:p w:rsidR="006922AF" w:rsidRPr="007C12E5" w:rsidP="005E6B44" w14:paraId="6A4DDE91" w14:textId="62B0227C">
      <w:pPr>
        <w:pStyle w:val="FootnoteText"/>
        <w:ind w:left="1134" w:hanging="567"/>
        <w:rPr>
          <w:sz w:val="24"/>
          <w:vertAlign w:val="superscript"/>
          <w:lang w:val="da-DK"/>
        </w:rPr>
      </w:pPr>
      <w:r w:rsidRPr="007C12E5">
        <w:rPr>
          <w:sz w:val="24"/>
          <w:lang w:val="da-DK"/>
        </w:rPr>
        <w:t xml:space="preserve"> </w:t>
      </w:r>
      <w:r w:rsidRPr="007C12E5">
        <w:rPr>
          <w:sz w:val="24"/>
          <w:lang w:val="da-DK"/>
        </w:rPr>
        <w:t>–</w:t>
      </w:r>
      <w:r w:rsidRPr="007C12E5">
        <w:rPr>
          <w:sz w:val="24"/>
          <w:lang w:val="da-DK"/>
        </w:rPr>
        <w:tab/>
        <w:t>Europa-Parlamentets beslutning af 12. februar 2025 om udkast til Kommissionens gennemførelsesafgørelse om tilladelse til markedsføring af produkter, der indeholder, består af eller er fremstillet af genetisk modificeret MON 95275-majs, i henhold til Europa-Parlamentets og Rådets forordning (EF) nr. 1829/2003 (EUT C, C/2025/2247, 29.4.2025, ELI: </w:t>
      </w:r>
      <w:hyperlink r:id="rId14" w:tooltip="Giver adgang til dokumentet via dets ELI-URI." w:history="1">
        <w:r w:rsidRPr="007C12E5">
          <w:rPr>
            <w:rStyle w:val="Hyperlink"/>
            <w:sz w:val="24"/>
            <w:lang w:val="da-DK"/>
          </w:rPr>
          <w:t>http://data.europa.eu/eli/C/2025/2247/oj</w:t>
        </w:r>
      </w:hyperlink>
      <w:r w:rsidRPr="007C12E5">
        <w:rPr>
          <w:sz w:val="24"/>
          <w:lang w:val="da-DK"/>
        </w:rPr>
        <w:t>)</w:t>
      </w:r>
    </w:p>
    <w:p w:rsidR="006922AF" w:rsidRPr="007C12E5" w:rsidP="005E6B44" w14:paraId="48605E68" w14:textId="1A27E7E9">
      <w:pPr>
        <w:pStyle w:val="FootnoteText"/>
        <w:ind w:left="1134" w:hanging="567"/>
        <w:rPr>
          <w:sz w:val="24"/>
          <w:vertAlign w:val="superscript"/>
          <w:lang w:val="da-DK"/>
        </w:rPr>
      </w:pPr>
      <w:r w:rsidRPr="007C12E5">
        <w:rPr>
          <w:sz w:val="24"/>
          <w:lang w:val="da-DK"/>
        </w:rPr>
        <w:t xml:space="preserve"> </w:t>
      </w:r>
      <w:r w:rsidRPr="007C12E5">
        <w:rPr>
          <w:sz w:val="24"/>
          <w:lang w:val="da-DK"/>
        </w:rPr>
        <w:t>–</w:t>
      </w:r>
      <w:r w:rsidRPr="007C12E5">
        <w:rPr>
          <w:sz w:val="24"/>
          <w:lang w:val="da-DK"/>
        </w:rPr>
        <w:tab/>
        <w:t>Europa-Parlamentets beslutning af 8. maj 2025 om udkast til Kommissionens gennemførelsesafgørelse om tilladelse til markedsføring af produkter, der indeholder, består af eller er fremstillet af genetisk modificeret MON 87705 × MON 87708 × MON 89788-sojabønne, i henhold til Europa-Parlamentets og Rådets forordning (EF) nr. 1829/2003 (EUT C, C/2026/586, 24.2.2026, ELI: </w:t>
      </w:r>
      <w:hyperlink r:id="rId15" w:tooltip="Giver adgang til dokumentet via dets ELI-URI." w:history="1">
        <w:r w:rsidRPr="007C12E5">
          <w:rPr>
            <w:rStyle w:val="Hyperlink"/>
            <w:sz w:val="24"/>
            <w:lang w:val="da-DK"/>
          </w:rPr>
          <w:t>http://data.europa.eu/eli/C/2026/586/oj</w:t>
        </w:r>
      </w:hyperlink>
      <w:r w:rsidRPr="007C12E5">
        <w:rPr>
          <w:sz w:val="24"/>
          <w:lang w:val="da-DK"/>
        </w:rPr>
        <w:t>)</w:t>
      </w:r>
    </w:p>
    <w:p w:rsidR="006922AF" w:rsidRPr="007C12E5" w:rsidP="005E6B44" w14:paraId="34128DAE" w14:textId="07F88899">
      <w:pPr>
        <w:pStyle w:val="FootnoteText"/>
        <w:ind w:left="1134" w:hanging="567"/>
        <w:rPr>
          <w:sz w:val="24"/>
          <w:vertAlign w:val="superscript"/>
          <w:lang w:val="da-DK"/>
        </w:rPr>
      </w:pPr>
      <w:r w:rsidRPr="007C12E5">
        <w:rPr>
          <w:sz w:val="24"/>
          <w:lang w:val="da-DK"/>
        </w:rPr>
        <w:t xml:space="preserve"> </w:t>
      </w:r>
      <w:r w:rsidRPr="007C12E5">
        <w:rPr>
          <w:sz w:val="24"/>
          <w:lang w:val="da-DK"/>
        </w:rPr>
        <w:t>–</w:t>
      </w:r>
      <w:r w:rsidRPr="007C12E5">
        <w:rPr>
          <w:sz w:val="24"/>
          <w:lang w:val="da-DK"/>
        </w:rPr>
        <w:tab/>
        <w:t>Europa-Parlamentets beslutning af 8. oktober 2025 om Kommissionens gennemførelsesafgørelse (EU) 2025/1898 af 22. september 2025 om tilladelse til markedsføring af produkter, der indeholder, består af eller er fremstillet af genetisk modificeret DP51291-majs, i henhold til Europa-Parlamentets og Rådets forordning (EF) nr. 1829/2003 (EUT C, C/2026/1523, 15.4.2026, ELI: </w:t>
      </w:r>
      <w:hyperlink r:id="rId16" w:history="1">
        <w:r w:rsidRPr="007C12E5">
          <w:rPr>
            <w:rStyle w:val="Hyperlink"/>
            <w:sz w:val="24"/>
            <w:lang w:val="da-DK"/>
          </w:rPr>
          <w:t>http://data.europa.eu/eli/C/2026/1523/oj</w:t>
        </w:r>
      </w:hyperlink>
      <w:r w:rsidRPr="007C12E5">
        <w:rPr>
          <w:sz w:val="24"/>
          <w:lang w:val="da-DK"/>
        </w:rPr>
        <w:t>)</w:t>
      </w:r>
    </w:p>
    <w:p w:rsidR="006922AF" w:rsidRPr="007C12E5" w:rsidP="005E6B44" w14:paraId="46D21424" w14:textId="649D1CD6">
      <w:pPr>
        <w:pStyle w:val="FootnoteText"/>
        <w:ind w:left="1134" w:hanging="567"/>
        <w:rPr>
          <w:sz w:val="24"/>
          <w:vertAlign w:val="superscript"/>
          <w:lang w:val="da-DK"/>
        </w:rPr>
      </w:pPr>
      <w:r w:rsidRPr="007C12E5">
        <w:rPr>
          <w:sz w:val="24"/>
          <w:lang w:val="da-DK"/>
        </w:rPr>
        <w:t xml:space="preserve"> </w:t>
      </w:r>
      <w:r w:rsidRPr="007C12E5">
        <w:rPr>
          <w:sz w:val="24"/>
          <w:lang w:val="da-DK"/>
        </w:rPr>
        <w:t>–</w:t>
      </w:r>
      <w:r w:rsidRPr="007C12E5">
        <w:rPr>
          <w:sz w:val="24"/>
          <w:lang w:val="da-DK"/>
        </w:rPr>
        <w:tab/>
        <w:t>Europa-Parlamentets beslutning af 25. november 2025 om udkast til Kommissionens gennemførelsesafgørelse om tilladelse til markedsføring af produkter, der indeholder, består af eller er fremstillet af genetisk modificeret DAS1131-majs, i henhold til Europa-Parlamentets og Rådets forordning (EF) nr. 1829/2003 (EUT C, C/2026/1703, 24.4.2026, ELI: </w:t>
      </w:r>
      <w:hyperlink r:id="rId17" w:history="1">
        <w:r w:rsidRPr="007C12E5">
          <w:rPr>
            <w:rStyle w:val="Hyperlink"/>
            <w:sz w:val="24"/>
            <w:lang w:val="da-DK"/>
          </w:rPr>
          <w:t>http://data.europa.eu/eli/C/2026/1703/oj</w:t>
        </w:r>
      </w:hyperlink>
      <w:r w:rsidRPr="007C12E5">
        <w:rPr>
          <w:sz w:val="24"/>
          <w:lang w:val="da-DK"/>
        </w:rPr>
        <w:t>)</w:t>
      </w:r>
    </w:p>
    <w:p w:rsidR="006922AF" w:rsidRPr="007C12E5" w:rsidP="005E6B44" w14:paraId="045B914F" w14:textId="7A6833FA">
      <w:pPr>
        <w:pStyle w:val="FootnoteText"/>
        <w:ind w:left="1134" w:hanging="567"/>
        <w:rPr>
          <w:sz w:val="24"/>
          <w:vertAlign w:val="superscript"/>
          <w:lang w:val="da-DK"/>
        </w:rPr>
      </w:pPr>
      <w:r w:rsidRPr="007C12E5">
        <w:rPr>
          <w:sz w:val="24"/>
          <w:lang w:val="da-DK"/>
        </w:rPr>
        <w:t xml:space="preserve"> </w:t>
      </w:r>
      <w:r w:rsidRPr="007C12E5">
        <w:rPr>
          <w:sz w:val="24"/>
          <w:lang w:val="da-DK"/>
        </w:rPr>
        <w:t>–</w:t>
      </w:r>
      <w:r w:rsidRPr="007C12E5">
        <w:rPr>
          <w:sz w:val="24"/>
          <w:lang w:val="da-DK"/>
        </w:rPr>
        <w:tab/>
        <w:t>Europa-Parlamentets beslutning af 25. november 2025 om udkast til Kommissionens gennemførelsesafgørelse om forlængelse af tilladelsen til markedsføring af produkter, der indeholder, består af eller er fremstillet af genetisk modificeret MON 88913-bomuld (MON-88913-8), i henhold til Europa-Parlamentets og Rådets forordning (EF) nr. 1829/2003 (EUT C, C/2026/1704, 24.4.2026, ELI: </w:t>
      </w:r>
      <w:hyperlink r:id="rId18" w:history="1">
        <w:r w:rsidRPr="007C12E5">
          <w:rPr>
            <w:rStyle w:val="Hyperlink"/>
            <w:sz w:val="24"/>
            <w:lang w:val="da-DK"/>
          </w:rPr>
          <w:t>http://data.europa.eu/eli/C/2026/1704/oj</w:t>
        </w:r>
      </w:hyperlink>
      <w:r w:rsidRPr="007C12E5">
        <w:rPr>
          <w:sz w:val="24"/>
          <w:lang w:val="da-DK"/>
        </w:rPr>
        <w:t>)</w:t>
      </w:r>
    </w:p>
    <w:p w:rsidR="006922AF" w:rsidRPr="007C12E5" w:rsidP="005E6B44" w14:paraId="47E22A36" w14:textId="0A9EEFCA">
      <w:pPr>
        <w:pStyle w:val="FootnoteText"/>
        <w:ind w:left="1134" w:hanging="567"/>
        <w:rPr>
          <w:sz w:val="24"/>
          <w:vertAlign w:val="superscript"/>
          <w:lang w:val="da-DK"/>
        </w:rPr>
      </w:pPr>
      <w:r w:rsidRPr="007C12E5">
        <w:rPr>
          <w:sz w:val="24"/>
          <w:lang w:val="da-DK"/>
        </w:rPr>
        <w:t xml:space="preserve"> </w:t>
      </w:r>
      <w:r w:rsidRPr="007C12E5">
        <w:rPr>
          <w:sz w:val="24"/>
          <w:lang w:val="da-DK"/>
        </w:rPr>
        <w:t>–</w:t>
      </w:r>
      <w:r w:rsidRPr="007C12E5">
        <w:rPr>
          <w:sz w:val="24"/>
          <w:lang w:val="da-DK"/>
        </w:rPr>
        <w:tab/>
        <w:t>Europa-Parlamentets beslutning af 25. november 2025 om udkast til Kommissionens gennemførelsesafgørelse om forlængelse af tilladelsen til markedsføring af produkter, der indeholder, består af eller er fremstillet af genetisk modificeret MON 88302-raps i henhold til Europa-Parlamentets og Rådets forordning (EF) nr. 1829/2003 (EUT C, C/2026/1705, 24.4.2026, ELI: </w:t>
      </w:r>
      <w:hyperlink r:id="rId19" w:history="1">
        <w:r w:rsidRPr="007C12E5">
          <w:rPr>
            <w:rStyle w:val="Hyperlink"/>
            <w:sz w:val="24"/>
            <w:lang w:val="da-DK"/>
          </w:rPr>
          <w:t>http://data.europa.eu/eli/C/2026/1705/oj</w:t>
        </w:r>
      </w:hyperlink>
      <w:r w:rsidRPr="007C12E5">
        <w:rPr>
          <w:sz w:val="24"/>
          <w:lang w:val="da-DK"/>
        </w:rPr>
        <w:t>)</w:t>
      </w:r>
    </w:p>
    <w:p w:rsidR="006922AF" w:rsidRPr="007C12E5" w:rsidP="005E6B44" w14:paraId="4A7A4164" w14:textId="0E61D680">
      <w:pPr>
        <w:pStyle w:val="FootnoteText"/>
        <w:ind w:left="1134" w:hanging="567"/>
        <w:rPr>
          <w:sz w:val="24"/>
          <w:vertAlign w:val="superscript"/>
          <w:lang w:val="da-DK"/>
        </w:rPr>
      </w:pPr>
      <w:r w:rsidRPr="007C12E5">
        <w:rPr>
          <w:sz w:val="24"/>
          <w:lang w:val="da-DK"/>
        </w:rPr>
        <w:t xml:space="preserve"> </w:t>
      </w:r>
      <w:r w:rsidRPr="007C12E5">
        <w:rPr>
          <w:sz w:val="24"/>
          <w:lang w:val="da-DK"/>
        </w:rPr>
        <w:t>–</w:t>
      </w:r>
      <w:r w:rsidRPr="007C12E5">
        <w:rPr>
          <w:sz w:val="24"/>
          <w:lang w:val="da-DK"/>
        </w:rPr>
        <w:tab/>
        <w:t>Europa-Parlamentets beslutning af 25. november 2025 om Kommissionens gennemførelsesafgørelse om forlængelse af tilladelsen til markedsføring af produkter, der indeholder, består af eller er fremstillet af genetisk modificeret MON 87708-sojabønne, i henhold til Europa-Parlamentets og Rådets forordning (EF) nr. 1829/2003 (EUT C, C/2026/1706, 24.4.2026, ELI: </w:t>
      </w:r>
      <w:hyperlink r:id="rId20" w:history="1">
        <w:r w:rsidRPr="007C12E5">
          <w:rPr>
            <w:rStyle w:val="Hyperlink"/>
            <w:sz w:val="24"/>
            <w:lang w:val="da-DK"/>
          </w:rPr>
          <w:t>http://data.europa.eu/eli/C/2026/1706/oj</w:t>
        </w:r>
      </w:hyperlink>
      <w:r w:rsidRPr="007C12E5">
        <w:rPr>
          <w:sz w:val="24"/>
          <w:lang w:val="da-DK"/>
        </w:rPr>
        <w:t>)</w:t>
      </w:r>
    </w:p>
    <w:p w:rsidR="006922AF" w:rsidRPr="007C12E5" w:rsidP="005E6B44" w14:paraId="4F2B891F" w14:textId="5A6EB63A">
      <w:pPr>
        <w:pStyle w:val="FootnoteText"/>
        <w:ind w:left="1134" w:hanging="567"/>
        <w:rPr>
          <w:sz w:val="24"/>
          <w:vertAlign w:val="superscript"/>
          <w:lang w:val="da-DK"/>
        </w:rPr>
      </w:pPr>
      <w:r w:rsidRPr="007C12E5">
        <w:rPr>
          <w:sz w:val="24"/>
          <w:lang w:val="da-DK"/>
        </w:rPr>
        <w:t xml:space="preserve"> </w:t>
      </w:r>
      <w:r w:rsidRPr="007C12E5">
        <w:rPr>
          <w:sz w:val="24"/>
          <w:lang w:val="da-DK"/>
        </w:rPr>
        <w:t>–</w:t>
      </w:r>
      <w:r w:rsidRPr="007C12E5">
        <w:rPr>
          <w:sz w:val="24"/>
          <w:lang w:val="da-DK"/>
        </w:rPr>
        <w:tab/>
        <w:t>Europa-Parlamentets beslutning af 25. november 2025 om udkast til Kommissionens gennemførelsesafgørelse om forlængelse af tilladelsen til markedsføring af produkter, der indeholder, består af eller er fremstillet af genetisk modificeret MON 87427-majs, i henhold til Europa-Parlamentets og Rådets forordning (EF) nr. 1829/2003 (EUT C, C/2026/1707, 24.4.2026, ELI: </w:t>
      </w:r>
      <w:hyperlink r:id="rId21" w:history="1">
        <w:r w:rsidRPr="007C12E5">
          <w:rPr>
            <w:rStyle w:val="Hyperlink"/>
            <w:sz w:val="24"/>
            <w:lang w:val="da-DK"/>
          </w:rPr>
          <w:t>http://data.europa.eu/eli/C/2026/1707/oj</w:t>
        </w:r>
      </w:hyperlink>
      <w:r w:rsidRPr="007C12E5">
        <w:rPr>
          <w:sz w:val="24"/>
          <w:lang w:val="da-DK"/>
        </w:rPr>
        <w:t>)</w:t>
      </w:r>
    </w:p>
    <w:p w:rsidR="006922AF" w:rsidRPr="007C12E5" w:rsidP="005E6B44" w14:paraId="54384466" w14:textId="6451C515">
      <w:pPr>
        <w:pStyle w:val="FootnoteText"/>
        <w:ind w:left="1134" w:hanging="567"/>
        <w:rPr>
          <w:sz w:val="24"/>
          <w:vertAlign w:val="superscript"/>
          <w:lang w:val="da-DK"/>
        </w:rPr>
      </w:pPr>
      <w:r w:rsidRPr="007C12E5">
        <w:rPr>
          <w:sz w:val="24"/>
          <w:lang w:val="da-DK"/>
        </w:rPr>
        <w:t xml:space="preserve"> </w:t>
      </w:r>
      <w:r w:rsidRPr="007C12E5">
        <w:rPr>
          <w:sz w:val="24"/>
          <w:lang w:val="da-DK"/>
        </w:rPr>
        <w:t>–</w:t>
      </w:r>
      <w:r w:rsidRPr="007C12E5">
        <w:rPr>
          <w:sz w:val="24"/>
          <w:lang w:val="da-DK"/>
        </w:rPr>
        <w:tab/>
        <w:t>Europa-Parlamentets beslutning af 16. december 2025 om udkast til Kommissionens gennemførelsesafgørelse om forlængelse af tilladelsen til markedsføring af produkter, der indeholder, består af eller er fremstillet af genetisk modificeret NK603-majs, i henhold til Europa-Parlamentets og Rådets forordning (EF) nr. 1829/2003 (EUT C, C/2026/2150, 6.5.2026, ELI: </w:t>
      </w:r>
      <w:hyperlink r:id="rId22" w:history="1">
        <w:r w:rsidRPr="007C12E5">
          <w:rPr>
            <w:rStyle w:val="Hyperlink"/>
            <w:sz w:val="24"/>
            <w:lang w:val="da-DK"/>
          </w:rPr>
          <w:t>http://data.europa.eu/eli/C/2026/2150/oj</w:t>
        </w:r>
      </w:hyperlink>
      <w:r w:rsidRPr="007C12E5">
        <w:rPr>
          <w:sz w:val="24"/>
          <w:lang w:val="da-DK"/>
        </w:rPr>
        <w:t>)</w:t>
      </w:r>
    </w:p>
    <w:p w:rsidR="006922AF" w:rsidRPr="007C12E5" w:rsidP="005E6B44" w14:paraId="0DA4EA9A" w14:textId="300293B1">
      <w:pPr>
        <w:pStyle w:val="FootnoteText"/>
        <w:ind w:left="1134" w:hanging="567"/>
        <w:rPr>
          <w:sz w:val="24"/>
          <w:vertAlign w:val="superscript"/>
          <w:lang w:val="da-DK"/>
        </w:rPr>
      </w:pPr>
      <w:r w:rsidRPr="007C12E5">
        <w:rPr>
          <w:sz w:val="24"/>
          <w:lang w:val="da-DK"/>
        </w:rPr>
        <w:t xml:space="preserve"> </w:t>
      </w:r>
      <w:r w:rsidRPr="007C12E5">
        <w:rPr>
          <w:sz w:val="24"/>
          <w:lang w:val="da-DK"/>
        </w:rPr>
        <w:t>–</w:t>
      </w:r>
      <w:r w:rsidRPr="007C12E5">
        <w:rPr>
          <w:sz w:val="24"/>
          <w:lang w:val="da-DK"/>
        </w:rPr>
        <w:tab/>
        <w:t>Europa-Parlamentets beslutning af 16. december 2025 om udkast til Kommissionens gennemførelsesafgørelse om tilladelse til markedsføring af produkter, der indeholder, består af eller er fremstillet af genetisk modificeret KWS20-1-sukkerroe, i henhold til Europa-Parlamentets og Rådets forordning (EF) nr. 1829/2003(EUT C, C/2026/2151, 6.5.2026, ELI </w:t>
      </w:r>
      <w:hyperlink r:id="rId23" w:history="1">
        <w:r w:rsidRPr="007C12E5">
          <w:rPr>
            <w:rStyle w:val="Hyperlink"/>
            <w:sz w:val="24"/>
            <w:lang w:val="da-DK"/>
          </w:rPr>
          <w:t>http://data.europa.eu/eli/C/2026/2151/oj</w:t>
        </w:r>
      </w:hyperlink>
      <w:r w:rsidRPr="007C12E5">
        <w:rPr>
          <w:sz w:val="24"/>
          <w:lang w:val="da-DK"/>
        </w:rPr>
        <w:t>)</w:t>
      </w:r>
    </w:p>
    <w:p w:rsidR="006922AF" w:rsidRPr="007C12E5" w:rsidP="005E6B44" w14:paraId="0AC8DEDB" w14:textId="6DE8B7B4">
      <w:pPr>
        <w:pStyle w:val="FootnoteText"/>
        <w:ind w:left="1134" w:hanging="567"/>
        <w:rPr>
          <w:sz w:val="24"/>
          <w:vertAlign w:val="superscript"/>
          <w:lang w:val="da-DK"/>
        </w:rPr>
      </w:pPr>
      <w:r w:rsidRPr="007C12E5">
        <w:rPr>
          <w:sz w:val="24"/>
          <w:lang w:val="da-DK"/>
        </w:rPr>
        <w:t xml:space="preserve"> </w:t>
      </w:r>
      <w:r w:rsidRPr="007C12E5">
        <w:rPr>
          <w:sz w:val="24"/>
          <w:lang w:val="da-DK"/>
        </w:rPr>
        <w:t>–</w:t>
      </w:r>
      <w:r w:rsidRPr="007C12E5">
        <w:rPr>
          <w:sz w:val="24"/>
          <w:lang w:val="da-DK"/>
        </w:rPr>
        <w:tab/>
        <w:t>Europa-Parlamentets beslutning af 11. februar 2026 om udkast til Kommissionens gennemførelsesafgørelse om tilladelse til markedsføring af produkter, der indeholder, består af eller er fremstillet af genetisk modificeret DBN-09004-6-sojabønne, i henhold til Europa-Parlamentets og Rådets forordning (EF) nr. 1829/2003 (Vedtagne tekster, P10_</w:t>
      </w:r>
      <w:r w:rsidRPr="007C12E5">
        <w:rPr>
          <w:sz w:val="24"/>
          <w:lang w:val="da-DK"/>
        </w:rPr>
        <w:t>TA(</w:t>
      </w:r>
      <w:r w:rsidRPr="007C12E5">
        <w:rPr>
          <w:sz w:val="24"/>
          <w:lang w:val="da-DK"/>
        </w:rPr>
        <w:t>2026)0041)</w:t>
      </w:r>
    </w:p>
    <w:p w:rsidR="006922AF" w:rsidRPr="007C12E5" w:rsidP="005E6B44" w14:paraId="571A20EB" w14:textId="13DC5C65">
      <w:pPr>
        <w:pStyle w:val="FootnoteText"/>
        <w:ind w:left="1134" w:hanging="567"/>
        <w:rPr>
          <w:sz w:val="24"/>
          <w:vertAlign w:val="superscript"/>
          <w:lang w:val="da-DK"/>
        </w:rPr>
      </w:pPr>
      <w:r w:rsidRPr="007C12E5">
        <w:rPr>
          <w:sz w:val="24"/>
          <w:lang w:val="da-DK"/>
        </w:rPr>
        <w:t xml:space="preserve"> </w:t>
      </w:r>
      <w:r w:rsidRPr="007C12E5">
        <w:rPr>
          <w:sz w:val="24"/>
          <w:lang w:val="da-DK"/>
        </w:rPr>
        <w:t>–</w:t>
      </w:r>
      <w:r w:rsidRPr="007C12E5">
        <w:rPr>
          <w:sz w:val="24"/>
          <w:lang w:val="da-DK"/>
        </w:rPr>
        <w:tab/>
        <w:t>Europa-Parlamentets beslutning af 11. februar 2026 om udkast til Kommissionens gennemførelsesafgørelse om forlængelse af tilladelsen til markedsføring af produkter, der indeholder, består af eller er fremstillet af genetisk modificeret T25-majs (ACS-ZMØØ3-2), i henhold til Europa-Parlamentets og Rådets forordning (EF) nr. 1829/2003 (Vedtagne tekster, P10_</w:t>
      </w:r>
      <w:r w:rsidRPr="007C12E5">
        <w:rPr>
          <w:sz w:val="24"/>
          <w:lang w:val="da-DK"/>
        </w:rPr>
        <w:t>TA(</w:t>
      </w:r>
      <w:r w:rsidRPr="007C12E5">
        <w:rPr>
          <w:sz w:val="24"/>
          <w:lang w:val="da-DK"/>
        </w:rPr>
        <w:t>2026)0042)</w:t>
      </w:r>
    </w:p>
    <w:p w:rsidR="006922AF" w:rsidRPr="007C12E5" w:rsidP="005E6B44" w14:paraId="206DBB67" w14:textId="07D146AB">
      <w:pPr>
        <w:pStyle w:val="FootnoteText"/>
        <w:ind w:left="1134" w:hanging="567"/>
        <w:rPr>
          <w:sz w:val="24"/>
          <w:vertAlign w:val="superscript"/>
          <w:lang w:val="da-DK"/>
        </w:rPr>
      </w:pPr>
      <w:r w:rsidRPr="007C12E5">
        <w:rPr>
          <w:sz w:val="24"/>
          <w:lang w:val="da-DK"/>
        </w:rPr>
        <w:t xml:space="preserve"> </w:t>
      </w:r>
      <w:r w:rsidRPr="007C12E5">
        <w:rPr>
          <w:sz w:val="24"/>
          <w:lang w:val="da-DK"/>
        </w:rPr>
        <w:t>–</w:t>
      </w:r>
      <w:r w:rsidRPr="007C12E5">
        <w:rPr>
          <w:sz w:val="24"/>
          <w:lang w:val="da-DK"/>
        </w:rPr>
        <w:tab/>
        <w:t>Europa-Parlamentets beslutning af 11. februar 2026 om udkast til Kommissionens gennemførelsesafgørelse om forlængelse af tilladelsen til markedsføring af produkter, der indeholder, består af eller er fremstillet af genetisk modificeret GHB614 × LLCotton25-bomuld, i henhold til Europa-Parlamentets og Rådets forordning (EF) nr. 1829/2003 (Vedtagne tekster, P10_</w:t>
      </w:r>
      <w:r w:rsidRPr="007C12E5">
        <w:rPr>
          <w:sz w:val="24"/>
          <w:lang w:val="da-DK"/>
        </w:rPr>
        <w:t>TA(</w:t>
      </w:r>
      <w:r w:rsidRPr="007C12E5">
        <w:rPr>
          <w:sz w:val="24"/>
          <w:lang w:val="da-DK"/>
        </w:rPr>
        <w:t>2026)0043)</w:t>
      </w:r>
    </w:p>
    <w:p w:rsidR="006922AF" w:rsidRPr="007C12E5" w:rsidP="005E6B44" w14:paraId="2CBB24B4" w14:textId="0290B58A">
      <w:pPr>
        <w:pStyle w:val="FootnoteText"/>
        <w:ind w:left="1134" w:hanging="567"/>
        <w:rPr>
          <w:sz w:val="24"/>
          <w:vertAlign w:val="superscript"/>
          <w:lang w:val="da-DK"/>
        </w:rPr>
      </w:pPr>
      <w:r w:rsidRPr="007C12E5">
        <w:rPr>
          <w:sz w:val="24"/>
          <w:lang w:val="da-DK"/>
        </w:rPr>
        <w:t xml:space="preserve"> </w:t>
      </w:r>
      <w:r w:rsidRPr="007C12E5">
        <w:rPr>
          <w:sz w:val="24"/>
          <w:lang w:val="da-DK"/>
        </w:rPr>
        <w:t>–</w:t>
      </w:r>
      <w:r w:rsidRPr="007C12E5">
        <w:rPr>
          <w:sz w:val="24"/>
          <w:lang w:val="da-DK"/>
        </w:rPr>
        <w:tab/>
        <w:t>Europa-Parlamentets beslutning af 11. februar 2026 om udkast til Kommissionens gennemførelsesafgørelse om forlængelse af tilladelsen til markedsføring af produkter, der indeholder, består af eller er fremstillet af genetisk modificeret T304-40-bomuld, i henhold til Europa-Parlamentets og Rådets forordning (EF) nr. 1829/2003 (Vedtagne tekster, P10_</w:t>
      </w:r>
      <w:r w:rsidRPr="007C12E5">
        <w:rPr>
          <w:sz w:val="24"/>
          <w:lang w:val="da-DK"/>
        </w:rPr>
        <w:t>TA(</w:t>
      </w:r>
      <w:r w:rsidRPr="007C12E5">
        <w:rPr>
          <w:sz w:val="24"/>
          <w:lang w:val="da-DK"/>
        </w:rPr>
        <w:t>2026)0044)</w:t>
      </w:r>
    </w:p>
    <w:p w:rsidR="006922AF" w:rsidRPr="007C12E5" w:rsidP="005E6B44" w14:paraId="227BCF68" w14:textId="04911114">
      <w:pPr>
        <w:pStyle w:val="FootnoteText"/>
        <w:ind w:left="1134" w:hanging="567"/>
        <w:rPr>
          <w:sz w:val="24"/>
          <w:lang w:val="da-DK"/>
        </w:rPr>
      </w:pPr>
      <w:r w:rsidRPr="007C12E5">
        <w:rPr>
          <w:sz w:val="24"/>
          <w:lang w:val="da-DK"/>
        </w:rPr>
        <w:t xml:space="preserve"> </w:t>
      </w:r>
      <w:r w:rsidRPr="007C12E5">
        <w:rPr>
          <w:sz w:val="24"/>
          <w:lang w:val="da-DK"/>
        </w:rPr>
        <w:t>–</w:t>
      </w:r>
      <w:r w:rsidRPr="007C12E5">
        <w:rPr>
          <w:sz w:val="24"/>
          <w:lang w:val="da-DK"/>
        </w:rPr>
        <w:tab/>
        <w:t>Europa-Parlamentets beslutning af 29. april 2026 om udkast til Kommissionens gennemførelsesafgørelse om tilladelse til markedsføring af produkter, der indeholder, består af eller er fremstillet af genetisk modificeret MON 94637-sojabønne, i henhold til Europa-Parlamentets og Rådets forordning (EF) nr. 1829/2003 (Vedtagne tekster, P10_</w:t>
      </w:r>
      <w:r w:rsidRPr="007C12E5">
        <w:rPr>
          <w:sz w:val="24"/>
          <w:lang w:val="da-DK"/>
        </w:rPr>
        <w:t>TA(</w:t>
      </w:r>
      <w:r w:rsidRPr="007C12E5">
        <w:rPr>
          <w:sz w:val="24"/>
          <w:lang w:val="da-DK"/>
        </w:rPr>
        <w:t>2026)0150).</w:t>
      </w:r>
    </w:p>
  </w:footnote>
  <w:footnote w:id="7">
    <w:p w:rsidR="006922AF" w:rsidRPr="007C12E5" w:rsidP="007C12E5" w14:paraId="02D07D3C" w14:textId="4CAA7AE5">
      <w:pPr>
        <w:pStyle w:val="FootnoteText"/>
        <w:ind w:left="567" w:hanging="567"/>
        <w:rPr>
          <w:sz w:val="24"/>
          <w:lang w:val="da-DK"/>
        </w:rPr>
      </w:pPr>
      <w:r w:rsidRPr="007C12E5">
        <w:rPr>
          <w:rStyle w:val="FootnoteReference"/>
          <w:sz w:val="24"/>
          <w:lang w:val="da-DK"/>
        </w:rPr>
        <w:footnoteRef/>
      </w:r>
      <w:r w:rsidRPr="007C12E5" w:rsidR="007C12E5">
        <w:rPr>
          <w:sz w:val="24"/>
          <w:lang w:val="da-DK"/>
        </w:rPr>
        <w:t xml:space="preserve"> </w:t>
      </w:r>
      <w:r w:rsidRPr="007C12E5" w:rsidR="007C12E5">
        <w:rPr>
          <w:sz w:val="24"/>
          <w:lang w:val="da-DK"/>
        </w:rPr>
        <w:tab/>
      </w:r>
      <w:r w:rsidRPr="007C12E5">
        <w:rPr>
          <w:sz w:val="24"/>
          <w:lang w:val="da-DK"/>
        </w:rPr>
        <w:t>Kommissionens gennemførelsesafgørelse (EU) 2015/696 af 24. april 2015 om tilladelse til markedsføring af produkter, der indeholder, består af eller er fremstillet af genetisk modificeret MON 87705-sojabønne (MON-877Ø5-6), i henhold til Europa-Parlamentets og Rådets forordning (EF) nr. 1829/2003 (EUT L 112 af 30.4.2015, s. 60, ELI: </w:t>
      </w:r>
      <w:hyperlink r:id="rId24" w:history="1">
        <w:r w:rsidRPr="007C12E5">
          <w:rPr>
            <w:rStyle w:val="Hyperlink"/>
            <w:sz w:val="24"/>
            <w:lang w:val="da-DK"/>
          </w:rPr>
          <w:t>http://data.europa.eu/eli/dec_impl/2015/696/2021-02-16</w:t>
        </w:r>
      </w:hyperlink>
      <w:r w:rsidRPr="007C12E5">
        <w:rPr>
          <w:sz w:val="24"/>
          <w:lang w:val="da-DK"/>
        </w:rPr>
        <w:t>).</w:t>
      </w:r>
    </w:p>
  </w:footnote>
  <w:footnote w:id="8">
    <w:p w:rsidR="006922AF" w:rsidRPr="007C12E5" w:rsidP="007C12E5" w14:paraId="13611FF8" w14:textId="0D67C5A3">
      <w:pPr>
        <w:pStyle w:val="FootnoteText"/>
        <w:ind w:left="567" w:hanging="567"/>
        <w:rPr>
          <w:sz w:val="24"/>
          <w:lang w:val="da-DK"/>
        </w:rPr>
      </w:pPr>
      <w:r w:rsidRPr="007C12E5">
        <w:rPr>
          <w:rStyle w:val="FootnoteReference"/>
          <w:sz w:val="24"/>
          <w:lang w:val="da-DK"/>
        </w:rPr>
        <w:footnoteRef/>
      </w:r>
      <w:r w:rsidRPr="007C12E5" w:rsidR="007C12E5">
        <w:rPr>
          <w:sz w:val="24"/>
          <w:lang w:val="da-DK"/>
        </w:rPr>
        <w:t xml:space="preserve"> </w:t>
      </w:r>
      <w:r w:rsidRPr="007C12E5" w:rsidR="007C12E5">
        <w:rPr>
          <w:sz w:val="24"/>
          <w:lang w:val="da-DK"/>
        </w:rPr>
        <w:tab/>
      </w:r>
      <w:r w:rsidRPr="007C12E5">
        <w:rPr>
          <w:sz w:val="24"/>
          <w:lang w:val="da-DK"/>
        </w:rPr>
        <w:t xml:space="preserve">Videnskabelig udtalelse fra </w:t>
      </w:r>
      <w:r w:rsidRPr="007C12E5">
        <w:rPr>
          <w:sz w:val="24"/>
          <w:lang w:val="da-DK"/>
        </w:rPr>
        <w:t>EFSA's</w:t>
      </w:r>
      <w:r w:rsidRPr="007C12E5">
        <w:rPr>
          <w:sz w:val="24"/>
          <w:lang w:val="da-DK"/>
        </w:rPr>
        <w:t xml:space="preserve"> Ekspertpanel for Genetisk Modificerede Organismer om vurdering af genetisk modificeret MON 87705-sojabønne i forbindelse med ansøgning om forlængelse af tilladelsen i henhold til forordning (EF) nr. 1829/2003 (dossier GMFF-2023-21236), EFSA Journal 2026, 24(1):e9846, </w:t>
      </w:r>
      <w:hyperlink r:id="rId4" w:history="1">
        <w:r w:rsidRPr="007C12E5">
          <w:rPr>
            <w:rStyle w:val="Hyperlink"/>
            <w:sz w:val="24"/>
            <w:lang w:val="da-DK"/>
          </w:rPr>
          <w:t>https://doi.org/10.2903/j.efsa.2026.9846</w:t>
        </w:r>
      </w:hyperlink>
      <w:r w:rsidRPr="007C12E5">
        <w:rPr>
          <w:sz w:val="24"/>
          <w:lang w:val="da-DK"/>
        </w:rPr>
        <w:t>.</w:t>
      </w:r>
    </w:p>
  </w:footnote>
  <w:footnote w:id="9">
    <w:p w:rsidR="006922AF" w:rsidRPr="007C12E5" w:rsidP="007C12E5" w14:paraId="10143747" w14:textId="1820A70B">
      <w:pPr>
        <w:pStyle w:val="FootnoteText"/>
        <w:ind w:left="567" w:hanging="567"/>
        <w:rPr>
          <w:sz w:val="24"/>
          <w:lang w:val="da-DK"/>
        </w:rPr>
      </w:pPr>
      <w:r w:rsidRPr="007C12E5">
        <w:rPr>
          <w:rStyle w:val="FootnoteReference"/>
          <w:sz w:val="24"/>
          <w:lang w:val="da-DK"/>
        </w:rPr>
        <w:footnoteRef/>
      </w:r>
      <w:r w:rsidRPr="007C12E5" w:rsidR="007C12E5">
        <w:rPr>
          <w:sz w:val="24"/>
          <w:lang w:val="da-DK"/>
        </w:rPr>
        <w:t xml:space="preserve"> </w:t>
      </w:r>
      <w:r w:rsidRPr="007C12E5" w:rsidR="007C12E5">
        <w:rPr>
          <w:sz w:val="24"/>
          <w:lang w:val="da-DK"/>
        </w:rPr>
        <w:tab/>
      </w:r>
      <w:r w:rsidRPr="007C12E5">
        <w:rPr>
          <w:sz w:val="24"/>
          <w:lang w:val="da-DK"/>
        </w:rPr>
        <w:t xml:space="preserve">Videnskabelig udtalelse fra </w:t>
      </w:r>
      <w:r w:rsidRPr="007C12E5">
        <w:rPr>
          <w:sz w:val="24"/>
          <w:lang w:val="da-DK"/>
        </w:rPr>
        <w:t>EFSA's</w:t>
      </w:r>
      <w:r w:rsidRPr="007C12E5">
        <w:rPr>
          <w:sz w:val="24"/>
          <w:lang w:val="da-DK"/>
        </w:rPr>
        <w:t xml:space="preserve"> Ekspertpanel for Genetisk Modificerede Organismer om ansøgning (EFSA-GMO-NL-2010-78) om markedsføring af herbicidtolerant genetisk modificeret MON 87705-sojabønne til anvendelse i fødevarer og foderstoffer samt import og forarbejdning i henhold til forordning (EF) nr. 1829/2003 fra Monsanto, EFSA Journal 2012;10(10):2909,</w:t>
      </w:r>
      <w:hyperlink r:id="rId25" w:history="1">
        <w:r w:rsidRPr="007C12E5">
          <w:rPr>
            <w:rStyle w:val="Hyperlink"/>
            <w:sz w:val="24"/>
            <w:lang w:val="da-DK"/>
          </w:rPr>
          <w:t xml:space="preserve"> https://doi.org/10.2903/j.efsa.2012.2909</w:t>
        </w:r>
      </w:hyperlink>
      <w:r w:rsidRPr="007C12E5">
        <w:rPr>
          <w:sz w:val="24"/>
          <w:lang w:val="da-DK"/>
        </w:rPr>
        <w:t>.</w:t>
      </w:r>
    </w:p>
  </w:footnote>
  <w:footnote w:id="10">
    <w:p w:rsidR="006922AF" w:rsidRPr="007C12E5" w:rsidP="007C12E5" w14:paraId="72996286" w14:textId="3A89F8D0">
      <w:pPr>
        <w:pStyle w:val="FootnoteText"/>
        <w:ind w:left="567" w:hanging="567"/>
        <w:rPr>
          <w:sz w:val="24"/>
          <w:lang w:val="da-DK"/>
        </w:rPr>
      </w:pPr>
      <w:r w:rsidRPr="007C12E5">
        <w:rPr>
          <w:rStyle w:val="FootnoteReference"/>
          <w:sz w:val="24"/>
          <w:lang w:val="da-DK"/>
        </w:rPr>
        <w:footnoteRef/>
      </w:r>
      <w:r w:rsidRPr="007C12E5" w:rsidR="007C12E5">
        <w:rPr>
          <w:sz w:val="24"/>
          <w:lang w:val="da-DK"/>
        </w:rPr>
        <w:t xml:space="preserve"> </w:t>
      </w:r>
      <w:r w:rsidRPr="007C12E5" w:rsidR="007C12E5">
        <w:rPr>
          <w:sz w:val="24"/>
          <w:lang w:val="da-DK"/>
        </w:rPr>
        <w:tab/>
      </w:r>
      <w:r w:rsidRPr="007C12E5">
        <w:rPr>
          <w:sz w:val="24"/>
          <w:lang w:val="da-DK"/>
        </w:rPr>
        <w:t>EFSA's</w:t>
      </w:r>
      <w:r w:rsidRPr="007C12E5">
        <w:rPr>
          <w:sz w:val="24"/>
          <w:lang w:val="da-DK"/>
        </w:rPr>
        <w:t xml:space="preserve"> Ekspertpanel for Genetisk Modificerede Organismer, Erklæring til supplering af den videnskabelige udtalelse om ansøgning EFSA-GMO-NL-2010-78 til også at omfatte sikkerheden af MON 87705-sojabønnbeolie til stegning, EFSA Journal, 2013, 11 (12): 3507, </w:t>
      </w:r>
      <w:hyperlink r:id="rId26" w:history="1">
        <w:r w:rsidRPr="007C12E5">
          <w:rPr>
            <w:rStyle w:val="Hyperlink"/>
            <w:sz w:val="24"/>
            <w:lang w:val="da-DK"/>
          </w:rPr>
          <w:t>https://doi.org/10.2903/j.efsa.2013.3507</w:t>
        </w:r>
      </w:hyperlink>
      <w:r w:rsidRPr="007C12E5">
        <w:rPr>
          <w:sz w:val="24"/>
          <w:lang w:val="da-DK"/>
        </w:rPr>
        <w:t>.</w:t>
      </w:r>
    </w:p>
  </w:footnote>
  <w:footnote w:id="11">
    <w:p w:rsidR="006922AF" w:rsidRPr="007C12E5" w:rsidP="007C12E5" w14:paraId="0165B6AE" w14:textId="72FA300E">
      <w:pPr>
        <w:pStyle w:val="FootnoteText"/>
        <w:ind w:left="567" w:hanging="567"/>
        <w:rPr>
          <w:sz w:val="24"/>
          <w:lang w:val="da-DK"/>
        </w:rPr>
      </w:pPr>
      <w:r w:rsidRPr="007C12E5">
        <w:rPr>
          <w:rStyle w:val="FootnoteReference"/>
          <w:sz w:val="24"/>
          <w:lang w:val="da-DK"/>
        </w:rPr>
        <w:footnoteRef/>
      </w:r>
      <w:r w:rsidRPr="007C12E5" w:rsidR="007C12E5">
        <w:rPr>
          <w:sz w:val="24"/>
          <w:shd w:val="clear" w:color="auto" w:fill="FFFFFF"/>
          <w:lang w:val="da-DK"/>
        </w:rPr>
        <w:t xml:space="preserve"> </w:t>
      </w:r>
      <w:r w:rsidRPr="007C12E5" w:rsidR="007C12E5">
        <w:rPr>
          <w:sz w:val="24"/>
          <w:shd w:val="clear" w:color="auto" w:fill="FFFFFF"/>
          <w:lang w:val="da-DK"/>
        </w:rPr>
        <w:tab/>
      </w:r>
      <w:r w:rsidRPr="007C12E5">
        <w:rPr>
          <w:sz w:val="24"/>
          <w:shd w:val="clear" w:color="auto" w:fill="FFFFFF"/>
          <w:lang w:val="da-DK"/>
        </w:rPr>
        <w:t>Se f.eks. S. Bonny, "</w:t>
      </w:r>
      <w:r w:rsidRPr="007C12E5">
        <w:rPr>
          <w:sz w:val="24"/>
          <w:shd w:val="clear" w:color="auto" w:fill="FFFFFF"/>
          <w:lang w:val="da-DK"/>
        </w:rPr>
        <w:t>Genetically</w:t>
      </w:r>
      <w:r w:rsidRPr="007C12E5">
        <w:rPr>
          <w:sz w:val="24"/>
          <w:shd w:val="clear" w:color="auto" w:fill="FFFFFF"/>
          <w:lang w:val="da-DK"/>
        </w:rPr>
        <w:t xml:space="preserve"> </w:t>
      </w:r>
      <w:r w:rsidRPr="007C12E5">
        <w:rPr>
          <w:sz w:val="24"/>
          <w:shd w:val="clear" w:color="auto" w:fill="FFFFFF"/>
          <w:lang w:val="da-DK"/>
        </w:rPr>
        <w:t>Modified</w:t>
      </w:r>
      <w:r w:rsidRPr="007C12E5">
        <w:rPr>
          <w:sz w:val="24"/>
          <w:shd w:val="clear" w:color="auto" w:fill="FFFFFF"/>
          <w:lang w:val="da-DK"/>
        </w:rPr>
        <w:t xml:space="preserve"> </w:t>
      </w:r>
      <w:r w:rsidRPr="007C12E5">
        <w:rPr>
          <w:sz w:val="24"/>
          <w:shd w:val="clear" w:color="auto" w:fill="FFFFFF"/>
          <w:lang w:val="da-DK"/>
        </w:rPr>
        <w:t>Herbicide</w:t>
      </w:r>
      <w:r w:rsidRPr="007C12E5">
        <w:rPr>
          <w:sz w:val="24"/>
          <w:shd w:val="clear" w:color="auto" w:fill="FFFFFF"/>
          <w:lang w:val="da-DK"/>
        </w:rPr>
        <w:t xml:space="preserve">-Tolerant </w:t>
      </w:r>
      <w:r w:rsidRPr="007C12E5">
        <w:rPr>
          <w:sz w:val="24"/>
          <w:shd w:val="clear" w:color="auto" w:fill="FFFFFF"/>
          <w:lang w:val="da-DK"/>
        </w:rPr>
        <w:t>Crops</w:t>
      </w:r>
      <w:r w:rsidRPr="007C12E5">
        <w:rPr>
          <w:sz w:val="24"/>
          <w:shd w:val="clear" w:color="auto" w:fill="FFFFFF"/>
          <w:lang w:val="da-DK"/>
        </w:rPr>
        <w:t xml:space="preserve">, </w:t>
      </w:r>
      <w:r w:rsidRPr="007C12E5">
        <w:rPr>
          <w:sz w:val="24"/>
          <w:shd w:val="clear" w:color="auto" w:fill="FFFFFF"/>
          <w:lang w:val="da-DK"/>
        </w:rPr>
        <w:t>Weeds</w:t>
      </w:r>
      <w:r w:rsidRPr="007C12E5">
        <w:rPr>
          <w:sz w:val="24"/>
          <w:shd w:val="clear" w:color="auto" w:fill="FFFFFF"/>
          <w:lang w:val="da-DK"/>
        </w:rPr>
        <w:t xml:space="preserve">, and </w:t>
      </w:r>
      <w:r w:rsidRPr="007C12E5">
        <w:rPr>
          <w:sz w:val="24"/>
          <w:shd w:val="clear" w:color="auto" w:fill="FFFFFF"/>
          <w:lang w:val="da-DK"/>
        </w:rPr>
        <w:t>Herbicides</w:t>
      </w:r>
      <w:r w:rsidRPr="007C12E5">
        <w:rPr>
          <w:sz w:val="24"/>
          <w:shd w:val="clear" w:color="auto" w:fill="FFFFFF"/>
          <w:lang w:val="da-DK"/>
        </w:rPr>
        <w:t xml:space="preserve">: Overview and </w:t>
      </w:r>
      <w:r w:rsidRPr="007C12E5">
        <w:rPr>
          <w:sz w:val="24"/>
          <w:shd w:val="clear" w:color="auto" w:fill="FFFFFF"/>
          <w:lang w:val="da-DK"/>
        </w:rPr>
        <w:t>Impact</w:t>
      </w:r>
      <w:r w:rsidRPr="007C12E5">
        <w:rPr>
          <w:sz w:val="24"/>
          <w:shd w:val="clear" w:color="auto" w:fill="FFFFFF"/>
          <w:lang w:val="da-DK"/>
        </w:rPr>
        <w:t xml:space="preserve">", </w:t>
      </w:r>
      <w:r w:rsidRPr="007C12E5">
        <w:rPr>
          <w:i/>
          <w:sz w:val="24"/>
          <w:shd w:val="clear" w:color="auto" w:fill="FFFFFF"/>
          <w:lang w:val="da-DK"/>
        </w:rPr>
        <w:t>Environmental</w:t>
      </w:r>
      <w:r w:rsidRPr="007C12E5">
        <w:rPr>
          <w:i/>
          <w:sz w:val="24"/>
          <w:shd w:val="clear" w:color="auto" w:fill="FFFFFF"/>
          <w:lang w:val="da-DK"/>
        </w:rPr>
        <w:t xml:space="preserve"> Management</w:t>
      </w:r>
      <w:r w:rsidRPr="007C12E5">
        <w:rPr>
          <w:sz w:val="24"/>
          <w:shd w:val="clear" w:color="auto" w:fill="FFFFFF"/>
          <w:lang w:val="da-DK"/>
        </w:rPr>
        <w:t xml:space="preserve">, januar 2016, 57(1), pp. 31-48, </w:t>
      </w:r>
      <w:bookmarkStart w:id="7" w:name="_Hlk104996594"/>
      <w:hyperlink r:id="rId27" w:history="1">
        <w:r w:rsidRPr="007C12E5">
          <w:rPr>
            <w:rStyle w:val="Hyperlink"/>
            <w:sz w:val="24"/>
            <w:shd w:val="clear" w:color="auto" w:fill="FFFFFF"/>
            <w:lang w:val="da-DK"/>
          </w:rPr>
          <w:t>https://doi.org/10.1007/s00267-015-0589-7</w:t>
        </w:r>
      </w:hyperlink>
      <w:r w:rsidRPr="007C12E5">
        <w:rPr>
          <w:sz w:val="24"/>
          <w:shd w:val="clear" w:color="auto" w:fill="FFFFFF"/>
          <w:lang w:val="da-DK"/>
        </w:rPr>
        <w:t xml:space="preserve"> </w:t>
      </w:r>
      <w:bookmarkEnd w:id="7"/>
      <w:r w:rsidRPr="007C12E5">
        <w:rPr>
          <w:sz w:val="24"/>
          <w:shd w:val="clear" w:color="auto" w:fill="FFFFFF"/>
          <w:lang w:val="da-DK"/>
        </w:rPr>
        <w:t xml:space="preserve">og </w:t>
      </w:r>
      <w:r w:rsidRPr="007C12E5">
        <w:rPr>
          <w:sz w:val="24"/>
          <w:shd w:val="clear" w:color="auto" w:fill="FFFFFF"/>
          <w:lang w:val="da-DK"/>
        </w:rPr>
        <w:t>Benbrook</w:t>
      </w:r>
      <w:r w:rsidRPr="007C12E5">
        <w:rPr>
          <w:sz w:val="24"/>
          <w:shd w:val="clear" w:color="auto" w:fill="FFFFFF"/>
          <w:lang w:val="da-DK"/>
        </w:rPr>
        <w:t>, C.M., "</w:t>
      </w:r>
      <w:r w:rsidRPr="007C12E5">
        <w:rPr>
          <w:sz w:val="24"/>
          <w:shd w:val="clear" w:color="auto" w:fill="FFFFFF"/>
          <w:lang w:val="da-DK"/>
        </w:rPr>
        <w:t>Impacts</w:t>
      </w:r>
      <w:r w:rsidRPr="007C12E5">
        <w:rPr>
          <w:sz w:val="24"/>
          <w:shd w:val="clear" w:color="auto" w:fill="FFFFFF"/>
          <w:lang w:val="da-DK"/>
        </w:rPr>
        <w:t xml:space="preserve"> of </w:t>
      </w:r>
      <w:r w:rsidRPr="007C12E5">
        <w:rPr>
          <w:sz w:val="24"/>
          <w:shd w:val="clear" w:color="auto" w:fill="FFFFFF"/>
          <w:lang w:val="da-DK"/>
        </w:rPr>
        <w:t>genetically</w:t>
      </w:r>
      <w:r w:rsidRPr="007C12E5">
        <w:rPr>
          <w:sz w:val="24"/>
          <w:shd w:val="clear" w:color="auto" w:fill="FFFFFF"/>
          <w:lang w:val="da-DK"/>
        </w:rPr>
        <w:t xml:space="preserve"> </w:t>
      </w:r>
      <w:r w:rsidRPr="007C12E5">
        <w:rPr>
          <w:sz w:val="24"/>
          <w:shd w:val="clear" w:color="auto" w:fill="FFFFFF"/>
          <w:lang w:val="da-DK"/>
        </w:rPr>
        <w:t>engineered</w:t>
      </w:r>
      <w:r w:rsidRPr="007C12E5">
        <w:rPr>
          <w:sz w:val="24"/>
          <w:shd w:val="clear" w:color="auto" w:fill="FFFFFF"/>
          <w:lang w:val="da-DK"/>
        </w:rPr>
        <w:t xml:space="preserve"> </w:t>
      </w:r>
      <w:r w:rsidRPr="007C12E5">
        <w:rPr>
          <w:sz w:val="24"/>
          <w:shd w:val="clear" w:color="auto" w:fill="FFFFFF"/>
          <w:lang w:val="da-DK"/>
        </w:rPr>
        <w:t>crops</w:t>
      </w:r>
      <w:r w:rsidRPr="007C12E5">
        <w:rPr>
          <w:sz w:val="24"/>
          <w:shd w:val="clear" w:color="auto" w:fill="FFFFFF"/>
          <w:lang w:val="da-DK"/>
        </w:rPr>
        <w:t xml:space="preserve"> on </w:t>
      </w:r>
      <w:r w:rsidRPr="007C12E5">
        <w:rPr>
          <w:sz w:val="24"/>
          <w:shd w:val="clear" w:color="auto" w:fill="FFFFFF"/>
          <w:lang w:val="da-DK"/>
        </w:rPr>
        <w:t>pesticide</w:t>
      </w:r>
      <w:r w:rsidRPr="007C12E5">
        <w:rPr>
          <w:sz w:val="24"/>
          <w:shd w:val="clear" w:color="auto" w:fill="FFFFFF"/>
          <w:lang w:val="da-DK"/>
        </w:rPr>
        <w:t xml:space="preserve"> </w:t>
      </w:r>
      <w:r w:rsidRPr="007C12E5">
        <w:rPr>
          <w:sz w:val="24"/>
          <w:shd w:val="clear" w:color="auto" w:fill="FFFFFF"/>
          <w:lang w:val="da-DK"/>
        </w:rPr>
        <w:t>use</w:t>
      </w:r>
      <w:r w:rsidRPr="007C12E5">
        <w:rPr>
          <w:sz w:val="24"/>
          <w:shd w:val="clear" w:color="auto" w:fill="FFFFFF"/>
          <w:lang w:val="da-DK"/>
        </w:rPr>
        <w:t xml:space="preserve"> in the U.S. - the </w:t>
      </w:r>
      <w:r w:rsidRPr="007C12E5">
        <w:rPr>
          <w:sz w:val="24"/>
          <w:shd w:val="clear" w:color="auto" w:fill="FFFFFF"/>
          <w:lang w:val="da-DK"/>
        </w:rPr>
        <w:t>first</w:t>
      </w:r>
      <w:r w:rsidRPr="007C12E5">
        <w:rPr>
          <w:sz w:val="24"/>
          <w:shd w:val="clear" w:color="auto" w:fill="FFFFFF"/>
          <w:lang w:val="da-DK"/>
        </w:rPr>
        <w:t xml:space="preserve"> </w:t>
      </w:r>
      <w:r w:rsidRPr="007C12E5">
        <w:rPr>
          <w:sz w:val="24"/>
          <w:shd w:val="clear" w:color="auto" w:fill="FFFFFF"/>
          <w:lang w:val="da-DK"/>
        </w:rPr>
        <w:t>sixteen</w:t>
      </w:r>
      <w:r w:rsidRPr="007C12E5">
        <w:rPr>
          <w:sz w:val="24"/>
          <w:shd w:val="clear" w:color="auto" w:fill="FFFFFF"/>
          <w:lang w:val="da-DK"/>
        </w:rPr>
        <w:t xml:space="preserve"> </w:t>
      </w:r>
      <w:r w:rsidRPr="007C12E5">
        <w:rPr>
          <w:sz w:val="24"/>
          <w:shd w:val="clear" w:color="auto" w:fill="FFFFFF"/>
          <w:lang w:val="da-DK"/>
        </w:rPr>
        <w:t>years</w:t>
      </w:r>
      <w:r w:rsidRPr="007C12E5">
        <w:rPr>
          <w:sz w:val="24"/>
          <w:shd w:val="clear" w:color="auto" w:fill="FFFFFF"/>
          <w:lang w:val="da-DK"/>
        </w:rPr>
        <w:t>"</w:t>
      </w:r>
      <w:r w:rsidRPr="007C12E5">
        <w:rPr>
          <w:i/>
          <w:sz w:val="24"/>
          <w:shd w:val="clear" w:color="auto" w:fill="FFFFFF"/>
          <w:lang w:val="da-DK"/>
        </w:rPr>
        <w:t xml:space="preserve">, </w:t>
      </w:r>
      <w:r w:rsidRPr="007C12E5">
        <w:rPr>
          <w:i/>
          <w:sz w:val="24"/>
          <w:shd w:val="clear" w:color="auto" w:fill="FFFFFF"/>
          <w:lang w:val="da-DK"/>
        </w:rPr>
        <w:t>Environmental</w:t>
      </w:r>
      <w:r w:rsidRPr="007C12E5">
        <w:rPr>
          <w:i/>
          <w:sz w:val="24"/>
          <w:shd w:val="clear" w:color="auto" w:fill="FFFFFF"/>
          <w:lang w:val="da-DK"/>
        </w:rPr>
        <w:t xml:space="preserve"> Sciences Europe</w:t>
      </w:r>
      <w:r w:rsidRPr="007C12E5">
        <w:rPr>
          <w:sz w:val="24"/>
          <w:shd w:val="clear" w:color="auto" w:fill="FFFFFF"/>
          <w:lang w:val="da-DK"/>
        </w:rPr>
        <w:t xml:space="preserve">, 28. september 2012, Vol. 24(1), </w:t>
      </w:r>
      <w:hyperlink r:id="rId28" w:history="1">
        <w:r w:rsidRPr="007C12E5">
          <w:rPr>
            <w:rStyle w:val="Hyperlink"/>
            <w:sz w:val="24"/>
            <w:lang w:val="da-DK"/>
          </w:rPr>
          <w:t>https://doi.org/10.1186/2190-4715-24-24</w:t>
        </w:r>
      </w:hyperlink>
      <w:r w:rsidRPr="007C12E5">
        <w:rPr>
          <w:sz w:val="24"/>
          <w:shd w:val="clear" w:color="auto" w:fill="FFFFFF"/>
          <w:lang w:val="da-DK"/>
        </w:rPr>
        <w:t>.</w:t>
      </w:r>
    </w:p>
  </w:footnote>
  <w:footnote w:id="12">
    <w:p w:rsidR="006922AF" w:rsidRPr="007C12E5" w:rsidP="007C12E5" w14:paraId="361DD866" w14:textId="09D56880">
      <w:pPr>
        <w:pStyle w:val="FootnoteText"/>
        <w:ind w:left="567" w:hanging="567"/>
        <w:rPr>
          <w:sz w:val="24"/>
          <w:lang w:val="da-DK"/>
        </w:rPr>
      </w:pPr>
      <w:r w:rsidRPr="007C12E5">
        <w:rPr>
          <w:rStyle w:val="FootnoteReference"/>
          <w:sz w:val="24"/>
          <w:lang w:val="da-DK"/>
        </w:rPr>
        <w:footnoteRef/>
      </w:r>
      <w:r w:rsidRPr="007C12E5" w:rsidR="007C12E5">
        <w:rPr>
          <w:sz w:val="24"/>
          <w:shd w:val="clear" w:color="auto" w:fill="FFFFFF"/>
          <w:lang w:val="da-DK"/>
        </w:rPr>
        <w:t xml:space="preserve"> </w:t>
      </w:r>
      <w:r w:rsidRPr="007C12E5" w:rsidR="007C12E5">
        <w:rPr>
          <w:sz w:val="24"/>
          <w:shd w:val="clear" w:color="auto" w:fill="FFFFFF"/>
          <w:lang w:val="da-DK"/>
        </w:rPr>
        <w:tab/>
      </w:r>
      <w:r w:rsidRPr="007C12E5">
        <w:rPr>
          <w:sz w:val="24"/>
          <w:shd w:val="clear" w:color="auto" w:fill="FFFFFF"/>
          <w:lang w:val="da-DK"/>
        </w:rPr>
        <w:t xml:space="preserve">Se f.eks. </w:t>
      </w:r>
      <w:bookmarkStart w:id="8" w:name="_Hlk104996780"/>
      <w:hyperlink r:id="rId29" w:history="1">
        <w:r w:rsidRPr="007C12E5">
          <w:rPr>
            <w:rStyle w:val="Hyperlink"/>
            <w:sz w:val="24"/>
            <w:lang w:val="da-DK"/>
          </w:rPr>
          <w:t>https://doi.org/10.1016/j.mrrev.2019.02.001</w:t>
        </w:r>
      </w:hyperlink>
      <w:bookmarkEnd w:id="8"/>
      <w:r w:rsidRPr="007C12E5">
        <w:rPr>
          <w:sz w:val="24"/>
          <w:shd w:val="clear" w:color="auto" w:fill="FFFFFF"/>
          <w:lang w:val="da-DK"/>
        </w:rPr>
        <w:t xml:space="preserve">, </w:t>
      </w:r>
      <w:hyperlink r:id="rId30" w:history="1">
        <w:r w:rsidRPr="007C12E5">
          <w:rPr>
            <w:rStyle w:val="Hyperlink"/>
            <w:sz w:val="24"/>
            <w:lang w:val="da-DK"/>
          </w:rPr>
          <w:t>https://doi.org/10.1093/ije/dyz017</w:t>
        </w:r>
      </w:hyperlink>
      <w:r w:rsidRPr="007C12E5">
        <w:rPr>
          <w:sz w:val="24"/>
          <w:shd w:val="clear" w:color="auto" w:fill="FFFFFF"/>
          <w:lang w:val="da-DK"/>
        </w:rPr>
        <w:t xml:space="preserve">, </w:t>
      </w:r>
      <w:hyperlink r:id="rId31" w:history="1">
        <w:r w:rsidRPr="007C12E5">
          <w:rPr>
            <w:rStyle w:val="Hyperlink"/>
            <w:sz w:val="24"/>
            <w:lang w:val="da-DK"/>
          </w:rPr>
          <w:t>https://doi.org/10.1371/journal.pone.0219610</w:t>
        </w:r>
      </w:hyperlink>
      <w:r w:rsidRPr="007C12E5">
        <w:rPr>
          <w:sz w:val="24"/>
          <w:shd w:val="clear" w:color="auto" w:fill="FFFFFF"/>
          <w:lang w:val="da-DK"/>
        </w:rPr>
        <w:t xml:space="preserve"> og </w:t>
      </w:r>
      <w:hyperlink r:id="rId32" w:history="1">
        <w:r w:rsidRPr="007C12E5">
          <w:rPr>
            <w:rStyle w:val="Hyperlink"/>
            <w:sz w:val="24"/>
            <w:lang w:val="da-DK"/>
          </w:rPr>
          <w:t>https://doi.org/10.1186/s13045-019-0767-9</w:t>
        </w:r>
      </w:hyperlink>
      <w:r w:rsidRPr="007C12E5">
        <w:rPr>
          <w:sz w:val="24"/>
          <w:shd w:val="clear" w:color="auto" w:fill="FFFFFF"/>
          <w:lang w:val="da-DK"/>
        </w:rPr>
        <w:t>.</w:t>
      </w:r>
    </w:p>
  </w:footnote>
  <w:footnote w:id="13">
    <w:p w:rsidR="006922AF" w:rsidRPr="007C12E5" w:rsidP="007C12E5" w14:paraId="32039AD2" w14:textId="4B4C3E03">
      <w:pPr>
        <w:pStyle w:val="FootnoteText"/>
        <w:ind w:left="567" w:hanging="567"/>
        <w:rPr>
          <w:sz w:val="24"/>
          <w:lang w:val="da-DK"/>
        </w:rPr>
      </w:pPr>
      <w:r w:rsidRPr="007C12E5">
        <w:rPr>
          <w:rStyle w:val="FootnoteReference"/>
          <w:sz w:val="24"/>
          <w:lang w:val="da-DK"/>
        </w:rPr>
        <w:footnoteRef/>
      </w:r>
      <w:r w:rsidRPr="007C12E5" w:rsidR="007C12E5">
        <w:rPr>
          <w:sz w:val="24"/>
          <w:lang w:val="da-DK"/>
        </w:rPr>
        <w:t xml:space="preserve"> </w:t>
      </w:r>
      <w:r w:rsidRPr="007C12E5" w:rsidR="007C12E5">
        <w:rPr>
          <w:sz w:val="24"/>
          <w:lang w:val="da-DK"/>
        </w:rPr>
        <w:tab/>
      </w:r>
      <w:hyperlink r:id="rId33" w:tgtFrame="_blank" w:tooltip="Vedvarende link via digital objektidentifikator" w:history="1">
        <w:r w:rsidRPr="007C12E5">
          <w:rPr>
            <w:rStyle w:val="Hyperlink"/>
            <w:sz w:val="24"/>
            <w:lang w:val="da-DK"/>
          </w:rPr>
          <w:t>https://doi.org/10.1006/rtph.1999.1371</w:t>
        </w:r>
      </w:hyperlink>
      <w:r w:rsidRPr="007C12E5">
        <w:rPr>
          <w:sz w:val="24"/>
          <w:lang w:val="da-DK"/>
        </w:rPr>
        <w:t>.</w:t>
      </w:r>
    </w:p>
  </w:footnote>
  <w:footnote w:id="14">
    <w:p w:rsidR="006922AF" w:rsidRPr="007C12E5" w:rsidP="007C12E5" w14:paraId="4F574075" w14:textId="4A664BEB">
      <w:pPr>
        <w:pStyle w:val="FootnoteText"/>
        <w:ind w:left="567" w:hanging="567"/>
        <w:rPr>
          <w:sz w:val="24"/>
          <w:szCs w:val="24"/>
          <w:lang w:val="da-DK"/>
        </w:rPr>
      </w:pPr>
      <w:r w:rsidRPr="007C12E5">
        <w:rPr>
          <w:rStyle w:val="FootnoteReference"/>
          <w:sz w:val="24"/>
          <w:lang w:val="da-DK"/>
        </w:rPr>
        <w:footnoteRef/>
      </w:r>
      <w:r w:rsidRPr="007C12E5" w:rsidR="007C12E5">
        <w:rPr>
          <w:sz w:val="24"/>
          <w:shd w:val="clear" w:color="auto" w:fill="FFFFFF"/>
          <w:lang w:val="da-DK"/>
        </w:rPr>
        <w:t xml:space="preserve"> </w:t>
      </w:r>
      <w:r w:rsidRPr="007C12E5" w:rsidR="007C12E5">
        <w:rPr>
          <w:sz w:val="24"/>
          <w:shd w:val="clear" w:color="auto" w:fill="FFFFFF"/>
          <w:lang w:val="da-DK"/>
        </w:rPr>
        <w:tab/>
      </w:r>
      <w:r w:rsidRPr="007C12E5">
        <w:rPr>
          <w:sz w:val="24"/>
          <w:shd w:val="clear" w:color="auto" w:fill="FFFFFF"/>
          <w:lang w:val="da-DK"/>
        </w:rPr>
        <w:t xml:space="preserve">Dette er netop tilfældet for </w:t>
      </w:r>
      <w:r w:rsidRPr="007C12E5">
        <w:rPr>
          <w:sz w:val="24"/>
          <w:shd w:val="clear" w:color="auto" w:fill="FFFFFF"/>
          <w:lang w:val="da-DK"/>
        </w:rPr>
        <w:t>glyphosat</w:t>
      </w:r>
      <w:r w:rsidRPr="007C12E5">
        <w:rPr>
          <w:sz w:val="24"/>
          <w:shd w:val="clear" w:color="auto" w:fill="FFFFFF"/>
          <w:lang w:val="da-DK"/>
        </w:rPr>
        <w:t xml:space="preserve">, som anført i </w:t>
      </w:r>
      <w:r w:rsidRPr="007C12E5">
        <w:rPr>
          <w:sz w:val="24"/>
          <w:shd w:val="clear" w:color="auto" w:fill="FFFFFF"/>
          <w:lang w:val="da-DK"/>
        </w:rPr>
        <w:t>EFSA's</w:t>
      </w:r>
      <w:r w:rsidRPr="007C12E5">
        <w:rPr>
          <w:sz w:val="24"/>
          <w:shd w:val="clear" w:color="auto" w:fill="FFFFFF"/>
          <w:lang w:val="da-DK"/>
        </w:rPr>
        <w:t xml:space="preserve"> gennemgang af de eksisterende maksimalgrænseværdier for restkoncentrationer af </w:t>
      </w:r>
      <w:r w:rsidRPr="007C12E5">
        <w:rPr>
          <w:sz w:val="24"/>
          <w:shd w:val="clear" w:color="auto" w:fill="FFFFFF"/>
          <w:lang w:val="da-DK"/>
        </w:rPr>
        <w:t>glyphosat</w:t>
      </w:r>
      <w:r w:rsidRPr="007C12E5">
        <w:rPr>
          <w:sz w:val="24"/>
          <w:shd w:val="clear" w:color="auto" w:fill="FFFFFF"/>
          <w:lang w:val="da-DK"/>
        </w:rPr>
        <w:t xml:space="preserve"> i henhold til artikel 12 i forordning (EF) nr. 396/2005, EFSA Journal 2018;16(5):e5263, s. 12,</w:t>
      </w:r>
      <w:r w:rsidRPr="007C12E5">
        <w:rPr>
          <w:sz w:val="24"/>
          <w:lang w:val="da-DK"/>
        </w:rPr>
        <w:t xml:space="preserve"> </w:t>
      </w:r>
      <w:hyperlink r:id="rId34" w:history="1">
        <w:r w:rsidRPr="007C12E5">
          <w:rPr>
            <w:rStyle w:val="Hyperlink"/>
            <w:color w:val="123D80"/>
            <w:sz w:val="24"/>
            <w:shd w:val="clear" w:color="auto" w:fill="FFFFFF"/>
            <w:lang w:val="da-DK"/>
          </w:rPr>
          <w:t>https://doi.org/10.2903/j.efsa.2018.5263</w:t>
        </w:r>
      </w:hyperlink>
      <w:r w:rsidRPr="007C12E5">
        <w:rPr>
          <w:sz w:val="24"/>
          <w:shd w:val="clear" w:color="auto" w:fill="FFFFFF"/>
          <w:lang w:val="da-DK"/>
        </w:rPr>
        <w:t>.</w:t>
      </w:r>
    </w:p>
  </w:footnote>
  <w:footnote w:id="15">
    <w:p w:rsidR="006922AF" w:rsidRPr="007C12E5" w:rsidP="007C12E5" w14:paraId="61509DFF" w14:textId="00DD9D18">
      <w:pPr>
        <w:pStyle w:val="FootnoteText"/>
        <w:ind w:left="567" w:hanging="567"/>
        <w:rPr>
          <w:sz w:val="24"/>
          <w:lang w:val="da-DK"/>
        </w:rPr>
      </w:pPr>
      <w:r w:rsidRPr="007C12E5">
        <w:rPr>
          <w:rStyle w:val="FootnoteReference"/>
          <w:sz w:val="24"/>
          <w:lang w:val="da-DK"/>
        </w:rPr>
        <w:footnoteRef/>
      </w:r>
      <w:r w:rsidRPr="007C12E5" w:rsidR="007C12E5">
        <w:rPr>
          <w:sz w:val="24"/>
          <w:lang w:val="da-DK"/>
        </w:rPr>
        <w:t xml:space="preserve"> </w:t>
      </w:r>
      <w:r w:rsidRPr="007C12E5" w:rsidR="007C12E5">
        <w:rPr>
          <w:sz w:val="24"/>
          <w:lang w:val="da-DK"/>
        </w:rPr>
        <w:tab/>
      </w:r>
      <w:r w:rsidRPr="007C12E5">
        <w:rPr>
          <w:sz w:val="24"/>
          <w:lang w:val="da-DK"/>
        </w:rPr>
        <w:t>EUT L 282 af 19.10.2016, s. 4.</w:t>
      </w:r>
    </w:p>
  </w:footnote>
  <w:footnote w:id="16">
    <w:p w:rsidR="006922AF" w:rsidRPr="007C12E5" w:rsidP="007C12E5" w14:paraId="6CCA2324" w14:textId="713F989D">
      <w:pPr>
        <w:pStyle w:val="FootnoteText"/>
        <w:ind w:left="567" w:hanging="567"/>
        <w:rPr>
          <w:sz w:val="24"/>
          <w:lang w:val="da-DK"/>
        </w:rPr>
      </w:pPr>
      <w:r w:rsidRPr="007C12E5">
        <w:rPr>
          <w:rStyle w:val="FootnoteReference"/>
          <w:sz w:val="24"/>
          <w:lang w:val="da-DK"/>
        </w:rPr>
        <w:footnoteRef/>
      </w:r>
      <w:r w:rsidRPr="007C12E5" w:rsidR="007C12E5">
        <w:rPr>
          <w:sz w:val="24"/>
          <w:lang w:val="da-DK"/>
        </w:rPr>
        <w:t xml:space="preserve"> </w:t>
      </w:r>
      <w:r w:rsidRPr="007C12E5" w:rsidR="007C12E5">
        <w:rPr>
          <w:sz w:val="24"/>
          <w:lang w:val="da-DK"/>
        </w:rPr>
        <w:tab/>
      </w:r>
      <w:r w:rsidRPr="007C12E5">
        <w:rPr>
          <w:sz w:val="24"/>
          <w:lang w:val="da-DK"/>
        </w:rPr>
        <w:t>EUT L 309 af 13.12.1993, s. 3, ELI: </w:t>
      </w:r>
      <w:hyperlink r:id="rId35" w:tooltip="Giver adgang til dokumentet via dets ELI-URI." w:history="1">
        <w:r w:rsidRPr="007C12E5">
          <w:rPr>
            <w:rStyle w:val="Hyperlink"/>
            <w:sz w:val="24"/>
            <w:lang w:val="da-DK"/>
          </w:rPr>
          <w:t>http://data.europa.eu/eli/convention/1993/626/oj</w:t>
        </w:r>
      </w:hyperlink>
      <w:r w:rsidRPr="007C12E5">
        <w:rPr>
          <w:sz w:val="24"/>
          <w:lang w:val="da-DK"/>
        </w:rPr>
        <w:t>.</w:t>
      </w:r>
    </w:p>
  </w:footnote>
  <w:footnote w:id="17">
    <w:p w:rsidR="006922AF" w:rsidRPr="007C12E5" w:rsidP="007C12E5" w14:paraId="21B2FE50" w14:textId="33624F3B">
      <w:pPr>
        <w:pStyle w:val="FootnoteText"/>
        <w:ind w:left="567" w:hanging="567"/>
        <w:rPr>
          <w:sz w:val="24"/>
          <w:lang w:val="da-DK"/>
        </w:rPr>
      </w:pPr>
      <w:r w:rsidRPr="007C12E5">
        <w:rPr>
          <w:rStyle w:val="FootnoteReference"/>
          <w:sz w:val="24"/>
          <w:lang w:val="da-DK"/>
        </w:rPr>
        <w:footnoteRef/>
      </w:r>
      <w:r w:rsidRPr="007C12E5" w:rsidR="007C12E5">
        <w:rPr>
          <w:sz w:val="24"/>
          <w:lang w:val="da-DK"/>
        </w:rPr>
        <w:t xml:space="preserve"> </w:t>
      </w:r>
      <w:r w:rsidRPr="007C12E5" w:rsidR="007C12E5">
        <w:rPr>
          <w:sz w:val="24"/>
          <w:lang w:val="da-DK"/>
        </w:rPr>
        <w:tab/>
      </w:r>
      <w:r w:rsidRPr="007C12E5">
        <w:rPr>
          <w:sz w:val="24"/>
          <w:lang w:val="da-DK"/>
        </w:rPr>
        <w:t>I december 2022 blev der på COP15 under FN's biodiversitetskonvention (CBD) vedtaget en global ramme for biodiversitet, som indeholder et globalt mål om at reducere risikoen ved pesticider med mindst 50 % senest i 2030 (jf.:</w:t>
      </w:r>
      <w:r w:rsidRPr="007C12E5">
        <w:rPr>
          <w:color w:val="000000" w:themeColor="text1"/>
          <w:sz w:val="24"/>
          <w:lang w:val="da-DK"/>
        </w:rPr>
        <w:t xml:space="preserve"> </w:t>
      </w:r>
      <w:hyperlink r:id="rId36" w:history="1">
        <w:r w:rsidRPr="007C12E5">
          <w:rPr>
            <w:rStyle w:val="Hyperlink"/>
            <w:sz w:val="24"/>
            <w:lang w:val="da-DK"/>
          </w:rPr>
          <w:t>https://ec.europa.eu/commission/presscorner/detail/en/ip_22_7834</w:t>
        </w:r>
      </w:hyperlink>
      <w:r w:rsidRPr="007C12E5">
        <w:rPr>
          <w:sz w:val="24"/>
          <w:lang w:val="da-DK"/>
        </w:rPr>
        <w:t>).</w:t>
      </w:r>
    </w:p>
  </w:footnote>
  <w:footnote w:id="18">
    <w:p w:rsidR="006922AF" w:rsidRPr="007C12E5" w:rsidP="007C12E5" w14:paraId="6AD2FBA2" w14:textId="4E8A967B">
      <w:pPr>
        <w:pStyle w:val="FootnoteText"/>
        <w:ind w:left="567" w:hanging="567"/>
        <w:rPr>
          <w:sz w:val="24"/>
          <w:lang w:val="da-DK"/>
        </w:rPr>
      </w:pPr>
      <w:r w:rsidRPr="007C12E5">
        <w:rPr>
          <w:rStyle w:val="FootnoteReference"/>
          <w:sz w:val="24"/>
          <w:lang w:val="da-DK"/>
        </w:rPr>
        <w:footnoteRef/>
      </w:r>
      <w:r w:rsidRPr="007C12E5" w:rsidR="007C12E5">
        <w:rPr>
          <w:sz w:val="24"/>
          <w:lang w:val="da-DK"/>
        </w:rPr>
        <w:t xml:space="preserve"> </w:t>
      </w:r>
      <w:r w:rsidRPr="007C12E5" w:rsidR="007C12E5">
        <w:rPr>
          <w:sz w:val="24"/>
          <w:lang w:val="da-DK"/>
        </w:rPr>
        <w:tab/>
      </w:r>
      <w:hyperlink r:id="rId37" w:history="1">
        <w:r w:rsidRPr="007C12E5">
          <w:rPr>
            <w:rStyle w:val="Hyperlink"/>
            <w:sz w:val="24"/>
            <w:lang w:val="da-DK"/>
          </w:rPr>
          <w:t>https://commission.europa.eu/strategy-and-policy/priorities-2019-2024/european-green-deal/agriculture-and-green-deal/strategic-dialogue-future-eu-agriculture_da</w:t>
        </w:r>
      </w:hyperlink>
      <w:r w:rsidRPr="007C12E5">
        <w:rPr>
          <w:rStyle w:val="Hyperlink"/>
          <w:sz w:val="24"/>
          <w:lang w:val="da-DK"/>
        </w:rPr>
        <w:t>.</w:t>
      </w:r>
    </w:p>
  </w:footnote>
  <w:footnote w:id="19">
    <w:p w:rsidR="006922AF" w:rsidRPr="007C12E5" w:rsidP="007C12E5" w14:paraId="3B0C5503" w14:textId="7955B852">
      <w:pPr>
        <w:pStyle w:val="FootnoteText"/>
        <w:ind w:left="567" w:hanging="567"/>
        <w:rPr>
          <w:sz w:val="24"/>
          <w:szCs w:val="24"/>
          <w:lang w:val="da-DK"/>
        </w:rPr>
      </w:pPr>
      <w:r w:rsidRPr="007C12E5">
        <w:rPr>
          <w:rStyle w:val="FootnoteReference"/>
          <w:sz w:val="24"/>
          <w:lang w:val="da-DK"/>
        </w:rPr>
        <w:footnoteRef/>
      </w:r>
      <w:r w:rsidRPr="007C12E5" w:rsidR="007C12E5">
        <w:rPr>
          <w:sz w:val="24"/>
          <w:lang w:val="da-DK"/>
        </w:rPr>
        <w:t xml:space="preserve"> </w:t>
      </w:r>
      <w:r w:rsidRPr="007C12E5" w:rsidR="007C12E5">
        <w:rPr>
          <w:sz w:val="24"/>
          <w:lang w:val="da-DK"/>
        </w:rPr>
        <w:tab/>
      </w:r>
      <w:r w:rsidRPr="007C12E5">
        <w:rPr>
          <w:sz w:val="24"/>
          <w:lang w:val="da-DK"/>
        </w:rPr>
        <w:t>Europa-Parlamentets og Rådets forordning (EF) nr. 178/2002 af 28. januar 2002 om generelle principper og krav i fødevarelovgivningen, om oprettelse af Den Europæiske Fødevaresikkerhedsautoritet og om procedurer vedrørende fødevaresikkerhed (EFT L 31 af 1.2.2002, s. 1, ELI: </w:t>
      </w:r>
      <w:hyperlink r:id="rId38" w:tgtFrame="Gives access to this document through its ELI URI." w:history="1">
        <w:r w:rsidRPr="007C12E5">
          <w:rPr>
            <w:rStyle w:val="Hyperlink"/>
            <w:color w:val="0070C0"/>
            <w:sz w:val="24"/>
            <w:lang w:val="da-DK"/>
          </w:rPr>
          <w:t>http://data.europa.eu/eli/reg/2002/178/oj</w:t>
        </w:r>
      </w:hyperlink>
      <w:r w:rsidRPr="007C12E5">
        <w:rPr>
          <w:sz w:val="24"/>
          <w:lang w:val="da-DK"/>
        </w:rPr>
        <w:t>).</w:t>
      </w:r>
    </w:p>
  </w:footnote>
  <w:footnote w:id="20">
    <w:p w:rsidR="006922AF" w:rsidRPr="007C12E5" w:rsidP="007C12E5" w14:paraId="632621F0" w14:textId="0D2B4160">
      <w:pPr>
        <w:pStyle w:val="FootnoteText"/>
        <w:ind w:left="567" w:hanging="567"/>
        <w:rPr>
          <w:sz w:val="24"/>
          <w:szCs w:val="24"/>
          <w:lang w:val="da-DK"/>
        </w:rPr>
      </w:pPr>
      <w:r w:rsidRPr="007C12E5">
        <w:rPr>
          <w:rStyle w:val="FootnoteReference"/>
          <w:sz w:val="24"/>
          <w:lang w:val="da-DK"/>
        </w:rPr>
        <w:footnoteRef/>
      </w:r>
      <w:r w:rsidRPr="007C12E5" w:rsidR="007C12E5">
        <w:rPr>
          <w:sz w:val="24"/>
          <w:lang w:val="da-DK"/>
        </w:rPr>
        <w:t xml:space="preserve"> </w:t>
      </w:r>
      <w:r w:rsidRPr="007C12E5" w:rsidR="007C12E5">
        <w:rPr>
          <w:sz w:val="24"/>
          <w:lang w:val="da-DK"/>
        </w:rPr>
        <w:tab/>
      </w:r>
      <w:hyperlink r:id="rId39" w:history="1">
        <w:r w:rsidRPr="007C12E5">
          <w:rPr>
            <w:rStyle w:val="Hyperlink"/>
            <w:sz w:val="24"/>
            <w:shd w:val="clear" w:color="auto" w:fill="FFFFFF"/>
            <w:lang w:val="da-DK"/>
          </w:rPr>
          <w:t>https://tillymetz.lu/wp-content/uploads/2020/09/Co-signed-letter-MEP-Metz.pdf</w:t>
        </w:r>
      </w:hyperlink>
      <w:r w:rsidRPr="007C12E5">
        <w:rPr>
          <w:sz w:val="24"/>
          <w:shd w:val="clear" w:color="auto" w:fill="FFFFFF"/>
          <w:lang w:val="da-DK"/>
        </w:rPr>
        <w:t>.</w:t>
      </w:r>
    </w:p>
  </w:footnote>
  <w:footnote w:id="21">
    <w:p w:rsidR="006922AF" w:rsidRPr="007C12E5" w:rsidP="007C12E5" w14:paraId="48F0E9D3" w14:textId="2C5FD08A">
      <w:pPr>
        <w:pStyle w:val="FootnoteText"/>
        <w:ind w:left="567" w:hanging="567"/>
        <w:rPr>
          <w:sz w:val="24"/>
          <w:lang w:val="da-DK"/>
        </w:rPr>
      </w:pPr>
      <w:r w:rsidRPr="007C12E5">
        <w:rPr>
          <w:rStyle w:val="FootnoteReference"/>
          <w:sz w:val="24"/>
          <w:lang w:val="da-DK"/>
        </w:rPr>
        <w:footnoteRef/>
      </w:r>
      <w:r w:rsidRPr="007C12E5" w:rsidR="007C12E5">
        <w:rPr>
          <w:sz w:val="24"/>
          <w:shd w:val="clear" w:color="auto" w:fill="FFFFFF"/>
          <w:lang w:val="da-DK"/>
        </w:rPr>
        <w:t xml:space="preserve"> </w:t>
      </w:r>
      <w:r w:rsidRPr="007C12E5" w:rsidR="007C12E5">
        <w:rPr>
          <w:sz w:val="24"/>
          <w:shd w:val="clear" w:color="auto" w:fill="FFFFFF"/>
          <w:lang w:val="da-DK"/>
        </w:rPr>
        <w:tab/>
      </w:r>
      <w:r w:rsidRPr="007C12E5">
        <w:rPr>
          <w:sz w:val="24"/>
          <w:shd w:val="clear" w:color="auto" w:fill="FFFFFF"/>
          <w:lang w:val="da-DK"/>
        </w:rPr>
        <w:t>Europa-Parlamentets beslutning af 15. januar 2020 om den europæiske grønne pagt (EUT C 270 af 7.7.2021, s. 2), punkt 102.</w:t>
      </w:r>
    </w:p>
  </w:footnote>
  <w:footnote w:id="22">
    <w:p w:rsidR="006922AF" w:rsidRPr="007C12E5" w:rsidP="007C12E5" w14:paraId="5D47243C" w14:textId="180F1767">
      <w:pPr>
        <w:pStyle w:val="FootnoteText"/>
        <w:ind w:left="567" w:hanging="567"/>
        <w:rPr>
          <w:sz w:val="24"/>
          <w:szCs w:val="24"/>
          <w:lang w:val="da-DK"/>
        </w:rPr>
      </w:pPr>
      <w:r w:rsidRPr="007C12E5">
        <w:rPr>
          <w:rStyle w:val="FootnoteReference"/>
          <w:sz w:val="24"/>
          <w:lang w:val="da-DK"/>
        </w:rPr>
        <w:footnoteRef/>
      </w:r>
      <w:r w:rsidRPr="007C12E5" w:rsidR="007C12E5">
        <w:rPr>
          <w:sz w:val="24"/>
          <w:shd w:val="clear" w:color="auto" w:fill="FFFFFF"/>
          <w:lang w:val="da-DK"/>
        </w:rPr>
        <w:t xml:space="preserve"> </w:t>
      </w:r>
      <w:r w:rsidRPr="007C12E5" w:rsidR="007C12E5">
        <w:rPr>
          <w:sz w:val="24"/>
          <w:shd w:val="clear" w:color="auto" w:fill="FFFFFF"/>
          <w:lang w:val="da-DK"/>
        </w:rPr>
        <w:tab/>
      </w:r>
      <w:r w:rsidRPr="007C12E5">
        <w:rPr>
          <w:sz w:val="24"/>
          <w:shd w:val="clear" w:color="auto" w:fill="FFFFFF"/>
          <w:lang w:val="da-DK"/>
        </w:rPr>
        <w:t>EUT C 445 af 29.10.2021, s. 257.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C12E5" w14:paraId="023EFEA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C12E5" w14:paraId="7E8025E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C12E5" w14:paraId="247EA67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68527537">
    <w:abstractNumId w:val="9"/>
  </w:num>
  <w:num w:numId="2" w16cid:durableId="910627423">
    <w:abstractNumId w:val="9"/>
  </w:num>
  <w:num w:numId="3" w16cid:durableId="1182086678">
    <w:abstractNumId w:val="7"/>
  </w:num>
  <w:num w:numId="4" w16cid:durableId="1732070096">
    <w:abstractNumId w:val="7"/>
  </w:num>
  <w:num w:numId="5" w16cid:durableId="375396141">
    <w:abstractNumId w:val="6"/>
  </w:num>
  <w:num w:numId="6" w16cid:durableId="1098520382">
    <w:abstractNumId w:val="6"/>
  </w:num>
  <w:num w:numId="7" w16cid:durableId="1453205678">
    <w:abstractNumId w:val="5"/>
  </w:num>
  <w:num w:numId="8" w16cid:durableId="1267269903">
    <w:abstractNumId w:val="5"/>
  </w:num>
  <w:num w:numId="9" w16cid:durableId="676925405">
    <w:abstractNumId w:val="4"/>
  </w:num>
  <w:num w:numId="10" w16cid:durableId="2072000864">
    <w:abstractNumId w:val="4"/>
  </w:num>
  <w:num w:numId="11" w16cid:durableId="1607080764">
    <w:abstractNumId w:val="8"/>
  </w:num>
  <w:num w:numId="12" w16cid:durableId="1555392603">
    <w:abstractNumId w:val="8"/>
  </w:num>
  <w:num w:numId="13" w16cid:durableId="2092308235">
    <w:abstractNumId w:val="3"/>
  </w:num>
  <w:num w:numId="14" w16cid:durableId="39523577">
    <w:abstractNumId w:val="3"/>
  </w:num>
  <w:num w:numId="15" w16cid:durableId="2025014052">
    <w:abstractNumId w:val="2"/>
  </w:num>
  <w:num w:numId="16" w16cid:durableId="791096326">
    <w:abstractNumId w:val="2"/>
  </w:num>
  <w:num w:numId="17" w16cid:durableId="849493016">
    <w:abstractNumId w:val="1"/>
  </w:num>
  <w:num w:numId="18" w16cid:durableId="1228959072">
    <w:abstractNumId w:val="1"/>
  </w:num>
  <w:num w:numId="19" w16cid:durableId="1035622212">
    <w:abstractNumId w:val="0"/>
  </w:num>
  <w:num w:numId="20" w16cid:durableId="771240697">
    <w:abstractNumId w:val="0"/>
  </w:num>
  <w:num w:numId="21" w16cid:durableId="1574777579">
    <w:abstractNumId w:val="9"/>
  </w:num>
  <w:num w:numId="22" w16cid:durableId="1981838640">
    <w:abstractNumId w:val="7"/>
  </w:num>
  <w:num w:numId="23" w16cid:durableId="820078790">
    <w:abstractNumId w:val="6"/>
  </w:num>
  <w:num w:numId="24" w16cid:durableId="142815595">
    <w:abstractNumId w:val="5"/>
  </w:num>
  <w:num w:numId="25" w16cid:durableId="439766006">
    <w:abstractNumId w:val="4"/>
  </w:num>
  <w:num w:numId="26" w16cid:durableId="1493791297">
    <w:abstractNumId w:val="8"/>
  </w:num>
  <w:num w:numId="27" w16cid:durableId="557084987">
    <w:abstractNumId w:val="3"/>
  </w:num>
  <w:num w:numId="28" w16cid:durableId="351612519">
    <w:abstractNumId w:val="2"/>
  </w:num>
  <w:num w:numId="29" w16cid:durableId="464466636">
    <w:abstractNumId w:val="1"/>
  </w:num>
  <w:num w:numId="30" w16cid:durableId="125710027">
    <w:abstractNumId w:val="0"/>
  </w:num>
  <w:num w:numId="31" w16cid:durableId="1057630891">
    <w:abstractNumId w:val="9"/>
  </w:num>
  <w:num w:numId="32" w16cid:durableId="872377098">
    <w:abstractNumId w:val="7"/>
  </w:num>
  <w:num w:numId="33" w16cid:durableId="277611060">
    <w:abstractNumId w:val="6"/>
  </w:num>
  <w:num w:numId="34" w16cid:durableId="1606615342">
    <w:abstractNumId w:val="5"/>
  </w:num>
  <w:num w:numId="35" w16cid:durableId="91317340">
    <w:abstractNumId w:val="4"/>
  </w:num>
  <w:num w:numId="36" w16cid:durableId="1915237627">
    <w:abstractNumId w:val="8"/>
  </w:num>
  <w:num w:numId="37" w16cid:durableId="1093552956">
    <w:abstractNumId w:val="3"/>
  </w:num>
  <w:num w:numId="38" w16cid:durableId="982350526">
    <w:abstractNumId w:val="2"/>
  </w:num>
  <w:num w:numId="39" w16cid:durableId="18823503">
    <w:abstractNumId w:val="1"/>
  </w:num>
  <w:num w:numId="40" w16cid:durableId="1904947747">
    <w:abstractNumId w:val="0"/>
  </w:num>
  <w:num w:numId="41" w16cid:durableId="2008439751">
    <w:abstractNumId w:val="10"/>
  </w:num>
  <w:num w:numId="42" w16cid:durableId="1095827665">
    <w:abstractNumId w:val="10"/>
  </w:num>
  <w:num w:numId="43" w16cid:durableId="515507673">
    <w:abstractNumId w:val="10"/>
  </w:num>
  <w:num w:numId="44" w16cid:durableId="15467227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BE9"/>
    <w:rsid w:val="00002272"/>
    <w:rsid w:val="00064002"/>
    <w:rsid w:val="000677B9"/>
    <w:rsid w:val="00073B00"/>
    <w:rsid w:val="000831BA"/>
    <w:rsid w:val="000A42CC"/>
    <w:rsid w:val="000E7DD9"/>
    <w:rsid w:val="0010095E"/>
    <w:rsid w:val="00125B37"/>
    <w:rsid w:val="00187494"/>
    <w:rsid w:val="001F32AE"/>
    <w:rsid w:val="002767FF"/>
    <w:rsid w:val="002B18FE"/>
    <w:rsid w:val="002B5493"/>
    <w:rsid w:val="00343214"/>
    <w:rsid w:val="00361C00"/>
    <w:rsid w:val="00394F3E"/>
    <w:rsid w:val="00395FA1"/>
    <w:rsid w:val="003B10F9"/>
    <w:rsid w:val="003E15D4"/>
    <w:rsid w:val="004100B1"/>
    <w:rsid w:val="00411CCE"/>
    <w:rsid w:val="0041666E"/>
    <w:rsid w:val="00421060"/>
    <w:rsid w:val="00471C19"/>
    <w:rsid w:val="004867E3"/>
    <w:rsid w:val="00494A28"/>
    <w:rsid w:val="004C0004"/>
    <w:rsid w:val="004C5D52"/>
    <w:rsid w:val="00500F86"/>
    <w:rsid w:val="0050519A"/>
    <w:rsid w:val="005072A1"/>
    <w:rsid w:val="00514517"/>
    <w:rsid w:val="00545827"/>
    <w:rsid w:val="00560270"/>
    <w:rsid w:val="005C2568"/>
    <w:rsid w:val="005D3BE9"/>
    <w:rsid w:val="005E6B44"/>
    <w:rsid w:val="005F1B17"/>
    <w:rsid w:val="006037C0"/>
    <w:rsid w:val="006631B6"/>
    <w:rsid w:val="00680577"/>
    <w:rsid w:val="006922AF"/>
    <w:rsid w:val="006F74FA"/>
    <w:rsid w:val="00731ADD"/>
    <w:rsid w:val="00734777"/>
    <w:rsid w:val="00747932"/>
    <w:rsid w:val="00751A4A"/>
    <w:rsid w:val="00756632"/>
    <w:rsid w:val="00762C74"/>
    <w:rsid w:val="00786EC0"/>
    <w:rsid w:val="007C12E5"/>
    <w:rsid w:val="007D1690"/>
    <w:rsid w:val="007E22AD"/>
    <w:rsid w:val="00817416"/>
    <w:rsid w:val="00842779"/>
    <w:rsid w:val="00865F67"/>
    <w:rsid w:val="00881A7B"/>
    <w:rsid w:val="008840E5"/>
    <w:rsid w:val="00887B3E"/>
    <w:rsid w:val="008C2AC6"/>
    <w:rsid w:val="00930C23"/>
    <w:rsid w:val="0093193B"/>
    <w:rsid w:val="009509D8"/>
    <w:rsid w:val="00950B64"/>
    <w:rsid w:val="00952C5C"/>
    <w:rsid w:val="00981893"/>
    <w:rsid w:val="00A1687D"/>
    <w:rsid w:val="00A43E52"/>
    <w:rsid w:val="00A4678D"/>
    <w:rsid w:val="00A778C7"/>
    <w:rsid w:val="00A94377"/>
    <w:rsid w:val="00AB441E"/>
    <w:rsid w:val="00AB6293"/>
    <w:rsid w:val="00AE0928"/>
    <w:rsid w:val="00AE77BA"/>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334/2026"/>
    <w:docVar w:name="dvlangue" w:val="DA"/>
    <w:docVar w:name="dvnumam" w:val="0"/>
    <w:docVar w:name="dvpe" w:val="789.024"/>
    <w:docVar w:name="dvtitre" w:val="Europa-Parlamentets beslutning af xx.xx 2026 om udkast til Kommissionens gennemførelsesafgørelse om forlængelse af tilladelsen til markedsføring af produkter, der indeholder, består af eller er fremstillet af genetisk modificeret MON 87705-sojabønne, i henhold til Europa-Parlamentets og Rådets forordning (EF) nr. 1829/2003 (D114998/03 – 2026/2747(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F0F57B1"/>
  <w15:chartTrackingRefBased/>
  <w15:docId w15:val="{D8569371-B486-4E91-B1D8-A559ACB7B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922AF"/>
    <w:pPr>
      <w:spacing w:before="480" w:after="240"/>
    </w:pPr>
  </w:style>
  <w:style w:type="paragraph" w:customStyle="1" w:styleId="NormalHanging12a">
    <w:name w:val="NormalHanging12a"/>
    <w:basedOn w:val="Normal"/>
    <w:qFormat/>
    <w:rsid w:val="006922AF"/>
    <w:pPr>
      <w:spacing w:after="240"/>
      <w:ind w:left="567" w:hanging="567"/>
    </w:pPr>
  </w:style>
  <w:style w:type="character" w:styleId="Hyperlink">
    <w:name w:val="Hyperlink"/>
    <w:basedOn w:val="DefaultParagraphFont"/>
    <w:uiPriority w:val="99"/>
    <w:rsid w:val="006922AF"/>
    <w:rPr>
      <w:color w:val="0563C1" w:themeColor="hyperlink"/>
      <w:u w:val="single"/>
    </w:rPr>
  </w:style>
  <w:style w:type="character" w:customStyle="1" w:styleId="Funotenzeichen">
    <w:name w:val="Fußnotenzeichen"/>
    <w:basedOn w:val="DefaultParagraphFont"/>
    <w:uiPriority w:val="99"/>
    <w:qFormat/>
    <w:rsid w:val="006922AF"/>
    <w:rPr>
      <w:rFonts w:cs="Times New Roman"/>
      <w:vertAlign w:val="superscript"/>
    </w:rPr>
  </w:style>
  <w:style w:type="paragraph" w:styleId="Revision">
    <w:name w:val="Revision"/>
    <w:hidden/>
    <w:uiPriority w:val="99"/>
    <w:semiHidden/>
    <w:rsid w:val="00952C5C"/>
    <w:rPr>
      <w:sz w:val="24"/>
      <w:lang w:val="da-DK"/>
    </w:rPr>
  </w:style>
  <w:style w:type="character" w:styleId="UnresolvedMention">
    <w:name w:val="Unresolved Mention"/>
    <w:basedOn w:val="DefaultParagraphFont"/>
    <w:uiPriority w:val="99"/>
    <w:semiHidden/>
    <w:unhideWhenUsed/>
    <w:rsid w:val="00952C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_impl/2026/1419/oj" TargetMode="External" /><Relationship Id="rId10" Type="http://schemas.openxmlformats.org/officeDocument/2006/relationships/hyperlink" Target="http://data.europa.eu/eli/C/2025/1802/oj" TargetMode="External" /><Relationship Id="rId11" Type="http://schemas.openxmlformats.org/officeDocument/2006/relationships/hyperlink" Target="http://data.europa.eu/eli/C/2025/1803/oj" TargetMode="External" /><Relationship Id="rId12" Type="http://schemas.openxmlformats.org/officeDocument/2006/relationships/hyperlink" Target="http://data.europa.eu/eli/C/2025/1804/oj" TargetMode="External" /><Relationship Id="rId13" Type="http://schemas.openxmlformats.org/officeDocument/2006/relationships/hyperlink" Target="http://data.europa.eu/eli/C/2025/2246/oj" TargetMode="External" /><Relationship Id="rId14" Type="http://schemas.openxmlformats.org/officeDocument/2006/relationships/hyperlink" Target="http://data.europa.eu/eli/C/2025/2247/oj" TargetMode="External" /><Relationship Id="rId15" Type="http://schemas.openxmlformats.org/officeDocument/2006/relationships/hyperlink" Target="http://data.europa.eu/eli/C/2026/586/oj" TargetMode="External" /><Relationship Id="rId16" Type="http://schemas.openxmlformats.org/officeDocument/2006/relationships/hyperlink" Target="http://data.europa.eu/eli/C/2026/1523/oj" TargetMode="External" /><Relationship Id="rId17" Type="http://schemas.openxmlformats.org/officeDocument/2006/relationships/hyperlink" Target="http://data.europa.eu/eli/C/2026/1703/oj" TargetMode="External" /><Relationship Id="rId18" Type="http://schemas.openxmlformats.org/officeDocument/2006/relationships/hyperlink" Target="http://data.europa.eu/eli/C/2026/1704/oj" TargetMode="External" /><Relationship Id="rId19" Type="http://schemas.openxmlformats.org/officeDocument/2006/relationships/hyperlink" Target="http://data.europa.eu/eli/C/2026/1705/oj" TargetMode="External" /><Relationship Id="rId2" Type="http://schemas.openxmlformats.org/officeDocument/2006/relationships/hyperlink" Target="http://data.europa.eu/eli/reg/2003/1829/oj" TargetMode="External" /><Relationship Id="rId20" Type="http://schemas.openxmlformats.org/officeDocument/2006/relationships/hyperlink" Target="http://data.europa.eu/eli/C/2026/1706/oj" TargetMode="External" /><Relationship Id="rId21" Type="http://schemas.openxmlformats.org/officeDocument/2006/relationships/hyperlink" Target="http://data.europa.eu/eli/C/2026/1707/oj" TargetMode="External" /><Relationship Id="rId22" Type="http://schemas.openxmlformats.org/officeDocument/2006/relationships/hyperlink" Target="http://data.europa.eu/eli/C/2026/2150/oj" TargetMode="External" /><Relationship Id="rId23" Type="http://schemas.openxmlformats.org/officeDocument/2006/relationships/hyperlink" Target="http://data.europa.eu/eli/C/2026/2151/oj" TargetMode="External" /><Relationship Id="rId24" Type="http://schemas.openxmlformats.org/officeDocument/2006/relationships/hyperlink" Target="http://data.europa.eu/eli/dec_impl/2015/696/2021-02-16" TargetMode="External" /><Relationship Id="rId25" Type="http://schemas.openxmlformats.org/officeDocument/2006/relationships/hyperlink" Target="https://doi.org/10.2903/j.efsa.2012.2909" TargetMode="External" /><Relationship Id="rId26" Type="http://schemas.openxmlformats.org/officeDocument/2006/relationships/hyperlink" Target="https://doi.org/10.2903/j.efsa.2013.3507" TargetMode="External" /><Relationship Id="rId27" Type="http://schemas.openxmlformats.org/officeDocument/2006/relationships/hyperlink" Target="https://doi.org/10.1007/s00267-015-0589-7" TargetMode="External" /><Relationship Id="rId28" Type="http://schemas.openxmlformats.org/officeDocument/2006/relationships/hyperlink" Target="https://doi.org/10.1186/2190-4715-24-24" TargetMode="External" /><Relationship Id="rId29" Type="http://schemas.openxmlformats.org/officeDocument/2006/relationships/hyperlink" Target="https://doi.org/10.1016/j.mrrev.2019.02.001" TargetMode="External" /><Relationship Id="rId3" Type="http://schemas.openxmlformats.org/officeDocument/2006/relationships/hyperlink" Target="http://data.europa.eu/eli/reg/2011/182/oj" TargetMode="External" /><Relationship Id="rId30" Type="http://schemas.openxmlformats.org/officeDocument/2006/relationships/hyperlink" Target="https://doi.org/10.1093/ije/dyz017" TargetMode="External" /><Relationship Id="rId31" Type="http://schemas.openxmlformats.org/officeDocument/2006/relationships/hyperlink" Target="https://doi.org/10.1371/journal.pone.0219610" TargetMode="External" /><Relationship Id="rId32" Type="http://schemas.openxmlformats.org/officeDocument/2006/relationships/hyperlink" Target="https://doi.org/10.1186/s13045-019-0767-9" TargetMode="External" /><Relationship Id="rId33" Type="http://schemas.openxmlformats.org/officeDocument/2006/relationships/hyperlink" Target="https://doi.org/10.1006/rtph.1999.1371" TargetMode="External" /><Relationship Id="rId34" Type="http://schemas.openxmlformats.org/officeDocument/2006/relationships/hyperlink" Target="https://doi.org/10.2903/j.efsa.2018.5263" TargetMode="External" /><Relationship Id="rId35" Type="http://schemas.openxmlformats.org/officeDocument/2006/relationships/hyperlink" Target="http://data.europa.eu/eli/convention/1993/626/oj" TargetMode="External" /><Relationship Id="rId36" Type="http://schemas.openxmlformats.org/officeDocument/2006/relationships/hyperlink" Target="https://ec.europa.eu/commission/presscorner/detail/en/ip_22_7834" TargetMode="External" /><Relationship Id="rId37" Type="http://schemas.openxmlformats.org/officeDocument/2006/relationships/hyperlink" Target="https://commission.europa.eu/strategy-and-policy/priorities-2019-2024/european-green-deal/agriculture-and-green-deal/strategic-dialogue-future-eu-agriculture_da" TargetMode="External" /><Relationship Id="rId38" Type="http://schemas.openxmlformats.org/officeDocument/2006/relationships/hyperlink" Target="http://data.europa.eu/eli/reg/2002/178/oj" TargetMode="External" /><Relationship Id="rId39" Type="http://schemas.openxmlformats.org/officeDocument/2006/relationships/hyperlink" Target="https://tillymetz.lu/wp-content/uploads/2020/09/Co-signed-letter-MEP-Metz.pdf" TargetMode="External" /><Relationship Id="rId4" Type="http://schemas.openxmlformats.org/officeDocument/2006/relationships/hyperlink" Target="https://doi.org/10.2903/j.efsa.2026.9846" TargetMode="External" /><Relationship Id="rId5" Type="http://schemas.openxmlformats.org/officeDocument/2006/relationships/hyperlink" Target="http://data.europa.eu/eli/C/2025/1797/oj" TargetMode="External" /><Relationship Id="rId6" Type="http://schemas.openxmlformats.org/officeDocument/2006/relationships/hyperlink" Target="http://data.europa.eu/eli/C/2025/1798/oj" TargetMode="External" /><Relationship Id="rId7" Type="http://schemas.openxmlformats.org/officeDocument/2006/relationships/hyperlink" Target="http://data.europa.eu/eli/C/2025/1799/oj" TargetMode="External" /><Relationship Id="rId8" Type="http://schemas.openxmlformats.org/officeDocument/2006/relationships/hyperlink" Target="http://data.europa.eu/eli/C/2025/1800/oj" TargetMode="External" /><Relationship Id="rId9" Type="http://schemas.openxmlformats.org/officeDocument/2006/relationships/hyperlink" Target="http://data.europa.eu/eli/C/2025/180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2047</Words>
  <Characters>12734</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2026-07-08T11:25:00Z</dcterms:created>
  <dcterms:modified xsi:type="dcterms:W3CDTF">2026-07-08T11:25:00Z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P10_TA-PROV(2026)0264_B10-0334_2026_</vt:lpwstr>
  </property>
  <property fmtid="{D5CDD505-2E9C-101B-9397-08002B2CF9AE}" pid="4" name="&lt;Type&gt;">
    <vt:lpwstr>RR</vt:lpwstr>
  </property>
</Properties>
</file>