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88B06D" w14:textId="77777777" w:rsidTr="0010095E">
        <w:tblPrEx>
          <w:tblW w:w="9072" w:type="dxa"/>
          <w:tblLook w:val="01E0"/>
        </w:tblPrEx>
        <w:trPr>
          <w:trHeight w:hRule="exact" w:val="1418"/>
        </w:trPr>
        <w:tc>
          <w:tcPr>
            <w:tcW w:w="6804" w:type="dxa"/>
            <w:shd w:val="clear" w:color="auto" w:fill="auto"/>
            <w:vAlign w:val="center"/>
          </w:tcPr>
          <w:p w:rsidR="00751A4A" w:rsidRPr="0046609C" w:rsidP="0010095E" w14:paraId="04CC2D66" w14:textId="63E6EEA9">
            <w:pPr>
              <w:pStyle w:val="EPName"/>
            </w:pPr>
            <w:r w:rsidRPr="0046609C">
              <w:t>Euroopa Parlament</w:t>
            </w:r>
          </w:p>
          <w:p w:rsidR="00751A4A" w:rsidRPr="0046609C" w:rsidP="005F1B17" w14:paraId="27F659CE" w14:textId="77777777">
            <w:pPr>
              <w:pStyle w:val="EPTerm"/>
              <w:rPr>
                <w:rStyle w:val="HideTWBExt"/>
                <w:noProof w:val="0"/>
                <w:vanish w:val="0"/>
                <w:color w:val="auto"/>
              </w:rPr>
            </w:pPr>
            <w:r w:rsidRPr="0046609C">
              <w:t>2024</w:t>
            </w:r>
            <w:r w:rsidRPr="0046609C" w:rsidR="00817416">
              <w:t>-202</w:t>
            </w:r>
            <w:r w:rsidRPr="0046609C">
              <w:t>9</w:t>
            </w:r>
          </w:p>
        </w:tc>
        <w:tc>
          <w:tcPr>
            <w:tcW w:w="2268" w:type="dxa"/>
            <w:shd w:val="clear" w:color="auto" w:fill="auto"/>
          </w:tcPr>
          <w:p w:rsidR="00751A4A" w:rsidRPr="0046609C" w:rsidP="0010095E" w14:paraId="30DFECB5" w14:textId="77777777">
            <w:pPr>
              <w:pStyle w:val="EPLogo"/>
            </w:pPr>
            <w:r w:rsidRPr="004660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6609C" w:rsidP="004C5D52" w14:paraId="2BE502D1" w14:textId="77777777">
      <w:pPr>
        <w:pStyle w:val="LineTop"/>
      </w:pPr>
    </w:p>
    <w:p w:rsidR="00680577" w:rsidRPr="0046609C" w:rsidP="00680577" w14:paraId="0BA9CEC4" w14:textId="26607BAA">
      <w:pPr>
        <w:pStyle w:val="EPBodyTA1"/>
      </w:pPr>
      <w:r w:rsidRPr="0046609C">
        <w:t>VASTUVÕETUD TEKSTID</w:t>
      </w:r>
    </w:p>
    <w:p w:rsidR="00D058B8" w:rsidRPr="0046609C" w:rsidP="00D058B8" w14:paraId="0C6DE995" w14:textId="77777777">
      <w:pPr>
        <w:pStyle w:val="LineBottom"/>
      </w:pPr>
    </w:p>
    <w:p w:rsidR="00A275F2" w:rsidRPr="0046609C" w:rsidP="00A275F2" w14:paraId="0EBC8B1D" w14:textId="407CBE61">
      <w:pPr>
        <w:pStyle w:val="ATHeading1"/>
      </w:pPr>
      <w:bookmarkStart w:id="0" w:name="TANumber"/>
      <w:r w:rsidRPr="0046609C">
        <w:t>P10_TA(2026)0</w:t>
      </w:r>
      <w:r w:rsidRPr="0046609C" w:rsidR="006D487C">
        <w:t>264</w:t>
      </w:r>
      <w:bookmarkEnd w:id="0"/>
    </w:p>
    <w:p w:rsidR="00A275F2" w:rsidRPr="0046609C" w:rsidP="00A275F2" w14:paraId="1F21EA6C" w14:textId="77777777">
      <w:pPr>
        <w:pStyle w:val="ATHeading2"/>
      </w:pPr>
      <w:bookmarkStart w:id="1" w:name="title"/>
      <w:r w:rsidRPr="0046609C">
        <w:t>Geneetiliselt muundatud sojauba MON 87705</w:t>
      </w:r>
      <w:bookmarkEnd w:id="1"/>
    </w:p>
    <w:p w:rsidR="00A275F2" w:rsidRPr="0046609C" w:rsidP="00A275F2" w14:paraId="2E532FC2" w14:textId="77777777">
      <w:pPr>
        <w:rPr>
          <w:i/>
          <w:vanish/>
        </w:rPr>
      </w:pPr>
      <w:r>
        <w:rPr>
          <w:i/>
        </w:rPr>
        <w:fldChar w:fldCharType="begin"/>
      </w:r>
      <w:r w:rsidRPr="0046609C">
        <w:rPr>
          <w:i/>
        </w:rPr>
        <w:instrText xml:space="preserve"> TC"(</w:instrText>
      </w:r>
      <w:bookmarkStart w:id="2" w:name="DocNumber"/>
      <w:r w:rsidRPr="0046609C">
        <w:rPr>
          <w:i/>
        </w:rPr>
        <w:instrText>B10-0334/2026</w:instrText>
      </w:r>
      <w:bookmarkEnd w:id="2"/>
      <w:r w:rsidRPr="0046609C">
        <w:rPr>
          <w:i/>
        </w:rPr>
        <w:instrText xml:space="preserve">)"\l3 \n&gt; \* MERGEFORMAT </w:instrText>
      </w:r>
      <w:r>
        <w:rPr>
          <w:i/>
        </w:rPr>
        <w:fldChar w:fldCharType="end"/>
      </w:r>
    </w:p>
    <w:p w:rsidR="00A275F2" w:rsidRPr="0046609C" w:rsidP="00A275F2" w14:paraId="74E311A7" w14:textId="77777777">
      <w:pPr>
        <w:rPr>
          <w:vanish/>
        </w:rPr>
      </w:pPr>
      <w:bookmarkStart w:id="3" w:name="PE"/>
      <w:r w:rsidRPr="0046609C">
        <w:rPr>
          <w:vanish/>
        </w:rPr>
        <w:t>PE789.024</w:t>
      </w:r>
      <w:bookmarkEnd w:id="3"/>
    </w:p>
    <w:p w:rsidR="00A275F2" w:rsidRPr="0046609C" w:rsidP="00A275F2" w14:paraId="2300475A" w14:textId="0F0153A0">
      <w:pPr>
        <w:pStyle w:val="ATHeading3"/>
      </w:pPr>
      <w:bookmarkStart w:id="4" w:name="Sujet"/>
      <w:r w:rsidRPr="0046609C">
        <w:t xml:space="preserve">Euroopa Parlamendi </w:t>
      </w:r>
      <w:r w:rsidRPr="0046609C" w:rsidR="00BA107E">
        <w:t xml:space="preserve">8. juuli </w:t>
      </w:r>
      <w:r w:rsidRPr="0046609C">
        <w:t xml:space="preserve">2026. aasta resolutsioon komisjoni </w:t>
      </w:r>
      <w:r w:rsidRPr="0046609C" w:rsidR="00BA107E">
        <w:t xml:space="preserve">29. juuni 2026. aasta </w:t>
      </w:r>
      <w:r w:rsidRPr="0046609C">
        <w:t xml:space="preserve">rakendusotsuse </w:t>
      </w:r>
      <w:r w:rsidRPr="0046609C" w:rsidR="00BA107E">
        <w:t xml:space="preserve">(EL) 2026/1419 </w:t>
      </w:r>
      <w:r w:rsidRPr="0046609C">
        <w:t>kohta, millega pikendatakse geneetiliselt muundatud sojauba MON 87705 sisaldavate, sellest koosnevate või sellest valmistatud toodete turule laskmise loa kehtivust vastavalt Euroopa Parlamendi ja nõukogu määrusele (EÜ) nr 1829/2003</w:t>
      </w:r>
      <w:bookmarkEnd w:id="4"/>
      <w:r w:rsidRPr="0046609C">
        <w:t xml:space="preserve"> </w:t>
      </w:r>
      <w:bookmarkStart w:id="5" w:name="References"/>
      <w:r w:rsidRPr="0046609C">
        <w:t>(2026/2747(RSP))</w:t>
      </w:r>
      <w:bookmarkEnd w:id="5"/>
    </w:p>
    <w:p w:rsidR="00203E21" w:rsidRPr="0046609C" w:rsidP="00203E21" w14:paraId="1712970B" w14:textId="77777777">
      <w:pPr>
        <w:pStyle w:val="EPComma"/>
      </w:pPr>
      <w:bookmarkStart w:id="6" w:name="TextBodyBegin"/>
      <w:bookmarkEnd w:id="6"/>
      <w:r w:rsidRPr="0046609C">
        <w:rPr>
          <w:i/>
        </w:rPr>
        <w:t>Euroopa Parlament</w:t>
      </w:r>
      <w:r w:rsidRPr="0046609C">
        <w:t>,</w:t>
      </w:r>
    </w:p>
    <w:p w:rsidR="00203E21" w:rsidRPr="0046609C" w:rsidP="00203E21" w14:paraId="3F393F43" w14:textId="1273C70B">
      <w:pPr>
        <w:pStyle w:val="NormalHanging12a"/>
      </w:pPr>
      <w:r w:rsidRPr="0046609C">
        <w:t>–</w:t>
      </w:r>
      <w:r w:rsidRPr="0046609C">
        <w:tab/>
        <w:t xml:space="preserve">võttes arvesse komisjoni </w:t>
      </w:r>
      <w:r w:rsidRPr="0046609C" w:rsidR="00BA107E">
        <w:t xml:space="preserve">29. juuni 2026. aasta </w:t>
      </w:r>
      <w:r w:rsidRPr="0046609C">
        <w:t>rakendusotsus</w:t>
      </w:r>
      <w:r w:rsidRPr="0046609C" w:rsidR="00BA107E">
        <w:t>t</w:t>
      </w:r>
      <w:r w:rsidRPr="0046609C">
        <w:t xml:space="preserve"> </w:t>
      </w:r>
      <w:r w:rsidRPr="0046609C" w:rsidR="00BA107E">
        <w:t>(EL) 2026/1419</w:t>
      </w:r>
      <w:r w:rsidRPr="0046609C">
        <w:t>, millega pikendatakse geneetiliselt muundatud sojauba MON 87705 sisaldavate, sellest koosnevate või sellest valmistatud toodete turule laskmise loa kehtivust vastavalt Euroopa Parlamendi ja nõukogu määrusele (EÜ) nr 1829/2003</w:t>
      </w:r>
      <w:r>
        <w:rPr>
          <w:rStyle w:val="FootnoteReference"/>
        </w:rPr>
        <w:footnoteReference w:id="2"/>
      </w:r>
      <w:r w:rsidRPr="0046609C">
        <w:t>,</w:t>
      </w:r>
    </w:p>
    <w:p w:rsidR="00203E21" w:rsidRPr="0046609C" w:rsidP="00203E21" w14:paraId="123CC502" w14:textId="77777777">
      <w:pPr>
        <w:pStyle w:val="NormalHanging12a"/>
      </w:pPr>
      <w:r w:rsidRPr="0046609C">
        <w:t>–</w:t>
      </w:r>
      <w:r w:rsidRPr="0046609C">
        <w:tab/>
        <w:t>võttes arvesse Euroopa Parlamendi ja nõukogu 22. septembri 2003. aasta määrust (EÜ) nr 1829/2003 geneetiliselt muundatud toidu ja sööda kohta</w:t>
      </w:r>
      <w:r>
        <w:rPr>
          <w:rStyle w:val="FootnoteReference"/>
        </w:rPr>
        <w:footnoteReference w:id="3"/>
      </w:r>
      <w:r w:rsidRPr="0046609C">
        <w:t>, eriti selle artikli 11 lõiget 3 ja artikli 23 lõiget 3,</w:t>
      </w:r>
    </w:p>
    <w:p w:rsidR="00203E21" w:rsidRPr="0046609C" w:rsidP="00203E21" w14:paraId="405EA522" w14:textId="67873D79">
      <w:pPr>
        <w:pStyle w:val="NormalHanging12a"/>
      </w:pPr>
      <w:r w:rsidRPr="0046609C">
        <w:t>–</w:t>
      </w:r>
      <w:r w:rsidRPr="0046609C">
        <w:tab/>
        <w:t>võttes arvesse määruse (EÜ) nr 1829/2003 artiklis 35 osutatud alalises taime-, looma-, toidu- ja söödakomitees 27. ap</w:t>
      </w:r>
      <w:r w:rsidR="00C17508">
        <w:t>r</w:t>
      </w:r>
      <w:r w:rsidRPr="0046609C">
        <w:t>illil 2026. aastal toimunud hääletust, mille tulemusel arvamust ei esitatud, ning apellatsioonikomitees 2. juunil 2026 toimunud hääletust, mille tulemusel samuti arvamust ei esitatud,</w:t>
      </w:r>
    </w:p>
    <w:p w:rsidR="00203E21" w:rsidRPr="0046609C" w:rsidP="00203E21" w14:paraId="09F1E72A" w14:textId="77777777">
      <w:pPr>
        <w:pStyle w:val="NormalHanging12a"/>
      </w:pPr>
      <w:r w:rsidRPr="0046609C">
        <w:t>–</w:t>
      </w:r>
      <w:r w:rsidRPr="0046609C">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Pr>
          <w:rStyle w:val="FootnoteReference"/>
        </w:rPr>
        <w:footnoteReference w:id="4"/>
      </w:r>
      <w:r w:rsidRPr="0046609C">
        <w:t xml:space="preserve"> artiklit 11,</w:t>
      </w:r>
    </w:p>
    <w:p w:rsidR="00203E21" w:rsidRPr="0046609C" w:rsidP="00203E21" w14:paraId="203DF99F" w14:textId="77777777">
      <w:pPr>
        <w:pStyle w:val="NormalHanging12a"/>
      </w:pPr>
      <w:r w:rsidRPr="0046609C">
        <w:t>–</w:t>
      </w:r>
      <w:r w:rsidRPr="0046609C">
        <w:tab/>
        <w:t>võttes arvesse Euroopa Toiduohutusameti (EFSA) 10. detsembril 2025 vastu võetud ja 12. jaanuaril 2026 avaldatud arvamust</w:t>
      </w:r>
      <w:r>
        <w:rPr>
          <w:rStyle w:val="FootnoteReference"/>
        </w:rPr>
        <w:footnoteReference w:id="5"/>
      </w:r>
      <w:r w:rsidRPr="0046609C">
        <w:t>,</w:t>
      </w:r>
    </w:p>
    <w:p w:rsidR="00203E21" w:rsidRPr="0046609C" w:rsidP="00203E21" w14:paraId="049E078E" w14:textId="77777777">
      <w:pPr>
        <w:pStyle w:val="NormalHanging12a"/>
      </w:pPr>
      <w:r w:rsidRPr="0046609C">
        <w:t>–</w:t>
      </w:r>
      <w:r w:rsidRPr="0046609C">
        <w:tab/>
        <w:t xml:space="preserve">võttes arvesse oma varasemaid resolutsioone, milles väljendatakse vastuseisu </w:t>
      </w:r>
      <w:r w:rsidRPr="0046609C">
        <w:t>geneetiliselt muundatud organismide (GMOd) lubamisele</w:t>
      </w:r>
      <w:r>
        <w:rPr>
          <w:rStyle w:val="FootnoteReference"/>
        </w:rPr>
        <w:footnoteReference w:id="6"/>
      </w:r>
      <w:r w:rsidRPr="0046609C">
        <w:t>,</w:t>
      </w:r>
    </w:p>
    <w:p w:rsidR="00203E21" w:rsidRPr="0046609C" w:rsidP="00203E21" w14:paraId="3D948E4E" w14:textId="77777777">
      <w:pPr>
        <w:pStyle w:val="NormalHanging12a"/>
      </w:pPr>
      <w:r w:rsidRPr="0046609C">
        <w:t>–</w:t>
      </w:r>
      <w:r w:rsidRPr="0046609C">
        <w:tab/>
        <w:t>võttes arvesse kodukorra artikli 115 lõikeid 2 ja 3,</w:t>
      </w:r>
    </w:p>
    <w:p w:rsidR="00203E21" w:rsidRPr="0046609C" w:rsidP="00203E21" w14:paraId="07241743" w14:textId="77777777">
      <w:pPr>
        <w:pStyle w:val="NormalHanging12a"/>
      </w:pPr>
      <w:r w:rsidRPr="0046609C">
        <w:t>–</w:t>
      </w:r>
      <w:r w:rsidRPr="0046609C">
        <w:tab/>
        <w:t>võttes arvesse keskkonna-, kliima- ja toiduohutuse komisjoni resolutsiooni ettepanekut,</w:t>
      </w:r>
    </w:p>
    <w:p w:rsidR="00203E21" w:rsidRPr="0046609C" w:rsidP="00203E21" w14:paraId="0E9D1F6A" w14:textId="77777777">
      <w:pPr>
        <w:spacing w:after="240"/>
        <w:ind w:left="567" w:hanging="567"/>
      </w:pPr>
      <w:r w:rsidRPr="0046609C">
        <w:t>A.</w:t>
      </w:r>
      <w:r w:rsidRPr="0046609C">
        <w:tab/>
        <w:t>arvestades, et komisjoni rakendusotsusega (EL) 2015/696</w:t>
      </w:r>
      <w:r>
        <w:rPr>
          <w:rStyle w:val="FootnoteReference"/>
        </w:rPr>
        <w:footnoteReference w:id="7"/>
      </w:r>
      <w:r w:rsidRPr="0046609C">
        <w:t xml:space="preserve"> on lubatud turule lasta geneetiliselt muundatud sojauba MON 87705 (edaspidi „geneetiliselt muundatud sojauba“) sisaldavat, sellest koosnevat või sellest toodetud toitu ja sööta; arvestades, et see luba hõlmas ka selliste muude toodete (v.a toit ja sööt) turule laskmist, mis sisaldavad GM sojauba või koosnevad sellest ja mida kasutatakse nagu muud sojauba, </w:t>
      </w:r>
      <w:r w:rsidRPr="0046609C">
        <w:t>kuid mida ei viljelda;</w:t>
      </w:r>
    </w:p>
    <w:p w:rsidR="00203E21" w:rsidRPr="0046609C" w:rsidP="00203E21" w14:paraId="3CCAD038" w14:textId="77777777">
      <w:pPr>
        <w:spacing w:after="240"/>
        <w:ind w:left="567" w:hanging="567"/>
      </w:pPr>
      <w:r w:rsidRPr="0046609C">
        <w:t>B.</w:t>
      </w:r>
      <w:r w:rsidRPr="0046609C">
        <w:tab/>
        <w:t>arvestades, et 8. märtsil 2024 esitas Belgias asuv äriühing Bayer Agriculture BV. Ameerika Ühendriikides asuva äriühingu Bayer CropScience LP nimel komisjonile taotluse kõnealuse loa kehtivuse pikendamiseks;</w:t>
      </w:r>
    </w:p>
    <w:p w:rsidR="00203E21" w:rsidRPr="0046609C" w:rsidP="00203E21" w14:paraId="4BA2BC59" w14:textId="7EA7B447">
      <w:pPr>
        <w:spacing w:after="240"/>
        <w:ind w:left="567" w:hanging="567"/>
      </w:pPr>
      <w:r w:rsidRPr="0046609C">
        <w:t>C.</w:t>
      </w:r>
      <w:r w:rsidRPr="0046609C">
        <w:tab/>
        <w:t>arvestades, et EFSA avaldas 12. jaanuaril 2026 kooskõlas määruse (EÜ) nr 1829/2003 artiklitega 6 ja 18 geneetiliselt muundatud sojaoa kohta heakskiitva teadusliku arvamuse</w:t>
      </w:r>
      <w:r>
        <w:rPr>
          <w:rStyle w:val="FootnoteReference"/>
        </w:rPr>
        <w:footnoteReference w:id="8"/>
      </w:r>
      <w:r w:rsidRPr="0046609C">
        <w:t>; arvestades, et EFSA jõudis järeldusele, et pikendamistaotluses puuduvad tõendid uute ohtude, kokkupuute muutumise või teadusliku ebakindluse kohta, millest lähtuvalt võiks olla vaja muuta geneetiliselt muundatud sojaoa kohta tehtud algsest riskihindamisest tulenevaid järeldusi, mille EFSA võttis vastu 2012.</w:t>
      </w:r>
      <w:r>
        <w:rPr>
          <w:rStyle w:val="FootnoteReference"/>
        </w:rPr>
        <w:footnoteReference w:id="9"/>
      </w:r>
      <w:r w:rsidRPr="0046609C">
        <w:t xml:space="preserve"> ja 2013.</w:t>
      </w:r>
      <w:r>
        <w:rPr>
          <w:rStyle w:val="FootnoteReference"/>
        </w:rPr>
        <w:footnoteReference w:id="10"/>
      </w:r>
      <w:r w:rsidRPr="0046609C">
        <w:t xml:space="preserve"> aastal. arvestades, et nendes arvamustes ei käsitletud mitut laiemat keskkonna-, sotsiaal-majanduslikku ja kumulatiivset mõju, mis EFSA arvates ei kuulu tema pädevusse;</w:t>
      </w:r>
    </w:p>
    <w:p w:rsidR="00203E21" w:rsidRPr="0046609C" w:rsidP="00203E21" w14:paraId="3D209187" w14:textId="77777777">
      <w:pPr>
        <w:pStyle w:val="NormalHanging12a"/>
      </w:pPr>
      <w:r w:rsidRPr="0046609C">
        <w:t>D.</w:t>
      </w:r>
      <w:r w:rsidRPr="0046609C">
        <w:tab/>
        <w:t>arvestades, et geneetiliselt muundatud sojaoal on suurem oleiinhappe sisaldus ja taluvus glüfosaati sisaldavate herbitsiidide suhtes;</w:t>
      </w:r>
    </w:p>
    <w:p w:rsidR="00203E21" w:rsidRPr="0046609C" w:rsidP="00203E21" w14:paraId="257BB0CD" w14:textId="77777777">
      <w:pPr>
        <w:pStyle w:val="NormalHanging12a"/>
      </w:pPr>
      <w:r w:rsidRPr="0046609C">
        <w:t>E.</w:t>
      </w:r>
      <w:r w:rsidRPr="0046609C">
        <w:tab/>
        <w:t>arvestades, et EFSA tehtud riskihindamised ei hõlmanud pikaajalisi toksikoloogilisi uuringuid ega kumulatiivse ja kombineeritud mõju üksikasjalikku analüüsi, sealhulgas võimalikku koostoimet sojaoa kasvatamisel tavaliselt kasutatavate pestitsiidide jääkidega;</w:t>
      </w:r>
    </w:p>
    <w:p w:rsidR="00203E21" w:rsidRPr="0046609C" w:rsidP="00203E21" w14:paraId="153A6A43" w14:textId="77777777">
      <w:pPr>
        <w:pStyle w:val="NormalHanging12a"/>
      </w:pPr>
      <w:r w:rsidRPr="0046609C">
        <w:t>F.</w:t>
      </w:r>
      <w:r w:rsidRPr="0046609C">
        <w:tab/>
        <w:t xml:space="preserve">arvestades, et valdavat osa geneetiliselt muundatud põllukultuuridest, sealhulgas geneetiliselt muundatud sojauba, on geneetiliselt muundatud nii, et need on tolerantsed vähemalt veel ühe herbitsiidi suhtes, mida saab kasutada kogu geneetiliselt muundatud kultuuri kasvatamise ajal, ilma et taimed sureks, nagu juhtuks herbitsiidide suhtes mittetolerantsete kultuuride puhul; arvestades, et mitu uuringut näitab, et herbitsiiditolerantsete geneetiliselt muundatud kultuuride kasvatamise tõttu hakatakse rohkem kasutama täiendavaid herbitsiide, seda peamiselt herbitsiiditolerantse umbrohu </w:t>
      </w:r>
      <w:r w:rsidRPr="0046609C">
        <w:t>tekke tõttu;</w:t>
      </w:r>
    </w:p>
    <w:p w:rsidR="00203E21" w:rsidRPr="0046609C" w:rsidP="00203E21" w14:paraId="7D0B523F" w14:textId="77777777">
      <w:pPr>
        <w:pStyle w:val="NormalHanging12a"/>
      </w:pPr>
      <w:r w:rsidRPr="0046609C">
        <w:t>G.</w:t>
      </w:r>
      <w:r w:rsidRPr="0046609C">
        <w:tab/>
        <w:t>arvestades, et herbitsiiditolerantsete geneetiliselt muundatud kultuuride puhul sõltuvad põllumajandustootjad umbrohutõrjesüsteemist, mis põhineb suures osas või täielikult herbitsiididel ja nõuab neilt geneetiliselt muundatud seemnete eest lisatasu, tekitades samal ajal sõltuvuse täiendavate herbitsiidide kasutamisest tootmissüsteemi lahutamatu osana; arvestades, et geneetiliselt muundatud sojauba kasvatavate põllumajandusettevõtete suurem sõltuvus lisaherbitsiididest kiirendab nende herbitsiidide suhtes resistentse umbrohu teket ja levikut ning suurendab seega veelgi vajadust herbitsiidide kasutamise järele, tekitades nõiaringi, kus nendest loobuda on keeruline; arvestades, et selle tagajärjel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p>
    <w:p w:rsidR="00203E21" w:rsidRPr="0046609C" w:rsidP="00203E21" w14:paraId="365F26C9" w14:textId="77777777">
      <w:pPr>
        <w:pStyle w:val="NormalHanging12a"/>
      </w:pPr>
      <w:r w:rsidRPr="0046609C">
        <w:t>H.</w:t>
      </w:r>
      <w:r w:rsidRPr="0046609C">
        <w:tab/>
        <w:t>arvestades, et mitu uuringut näitab, et herbitsiiditolerantsete geneetiliselt muundatud kultuuride kasvatamise tõttu hakatakse rohkem kasutama täiendavaid herbitsiide, seda peamiselt herbitsiiditolerantse umbrohu tekke tõttu</w:t>
      </w:r>
      <w:r>
        <w:rPr>
          <w:vertAlign w:val="superscript"/>
        </w:rPr>
        <w:footnoteReference w:id="11"/>
      </w:r>
      <w:r w:rsidRPr="0046609C">
        <w:t>; arvestades, et seetõttu puutub geneetiliselt muundatud sojauba eeldatavasti kokku nii suuremate kui ka korduvate glüfosaadi annustega, mistõttu võib saagis esineda nende ainete jääke ja nende lagunemisprodukte (metaboliite) suuremates kogustes;</w:t>
      </w:r>
    </w:p>
    <w:p w:rsidR="00203E21" w:rsidRPr="0046609C" w:rsidP="00203E21" w14:paraId="7B5FB612" w14:textId="77777777">
      <w:pPr>
        <w:pStyle w:val="NormalHanging12a"/>
      </w:pPr>
      <w:r w:rsidRPr="0046609C">
        <w:t>I.</w:t>
      </w:r>
      <w:r w:rsidRPr="0046609C">
        <w:tab/>
        <w:t>arvestades, et glüfosaadi ohutuse osas inimeste tervisele ja keskkonnale valitseb endiselt suur teaduslik ebakindlus; arvestades, et EFSA jõudis 2015. aasta novembris järeldusele, et glüfosaat ei ole tõenäoliselt kantserogeenne, ja Euroopa Kemikaaliamet jõudis 2017. aasta märtsis järeldusele, et selle klassifitseerimata jätmine oli õigustatud; arvestades, et Maailma Terviseorganisatsiooni vähile spetsialiseerunud amet Rahvusvaheline Vähiuurimiskeskus seevastu klassifitseeris 2015. aastal glüfosaadi inimeste jaoks tõenäoliselt kantserogeenseks aineks; arvestades, et mitu teist hiljutist eelretsenseeritud teadusuuringut kinnitavad glüfosaadi võimalikku kantserogeenset toimet</w:t>
      </w:r>
      <w:r>
        <w:rPr>
          <w:vertAlign w:val="superscript"/>
        </w:rPr>
        <w:footnoteReference w:id="12"/>
      </w:r>
      <w:r w:rsidRPr="0046609C">
        <w:t xml:space="preserve">; </w:t>
      </w:r>
      <w:bookmarkStart w:id="9" w:name="_Hlk218688545"/>
      <w:r w:rsidRPr="0046609C">
        <w:t xml:space="preserve">arvestades, et ajakiri „Regulatory Toxicology and Pharmacology“ on võtnud ametlikult tagasi 2000. aastal avaldatud teadusartikli „Safety Evaluation and Risk Assessment of the Herbicide Roundup and Its Active Ingredient, Glyphosate, for Humans“ (Herbitsiidi Roundup ja selle toimeaine glüfosaadi ohutuse ja riski hindamine inimeste puhul), mida on kasutatud glüfosaadi ohutuse kaitsmiseks paljudes riskihinnangutes, kuna „on tõstatatud küsimusi seoses selle autoritega, uurimistulemuste kehtivusega autorite ja uuringu sponsori panuse väärkajastamise kontekstis ning autorite </w:t>
      </w:r>
      <w:r w:rsidRPr="0046609C">
        <w:t>võimalike huvide konfliktidega“</w:t>
      </w:r>
      <w:r>
        <w:rPr>
          <w:rStyle w:val="FootnoteReference"/>
        </w:rPr>
        <w:footnoteReference w:id="13"/>
      </w:r>
      <w:r w:rsidRPr="0046609C">
        <w:t>;</w:t>
      </w:r>
      <w:bookmarkEnd w:id="9"/>
    </w:p>
    <w:p w:rsidR="00203E21" w:rsidRPr="0046609C" w:rsidP="00203E21" w14:paraId="21D8D491" w14:textId="77777777">
      <w:pPr>
        <w:pStyle w:val="NormalHanging12a"/>
      </w:pPr>
      <w:r w:rsidRPr="0046609C">
        <w:t>J.</w:t>
      </w:r>
      <w:r w:rsidRPr="0046609C">
        <w:tab/>
        <w:t>arvestades, et geneetiliselt muundatud taimede herbitsiidijääkide ja neis leitud metaboliitide hindamist ei loeta EFSA geneetiliselt muundatud organismide komisjoni pädevusse kuuluvaks ning seetõttu ei ole seda GMOde loamenetluse osana ette võetud; arvestades, et see põhjustab probleeme, sest asjaomaste geneetiliselt muundatud taimede puhul võib seda, kuidas taim täiendavaid herbitsiide lagundab, ja metaboliitide koostist ning seega ka nende toksilisust mõjutada geneetiline muundamine ise</w:t>
      </w:r>
      <w:r>
        <w:rPr>
          <w:vertAlign w:val="superscript"/>
        </w:rPr>
        <w:footnoteReference w:id="14"/>
      </w:r>
      <w:r w:rsidRPr="0046609C">
        <w:t>;</w:t>
      </w:r>
    </w:p>
    <w:p w:rsidR="00203E21" w:rsidRPr="0046609C" w:rsidP="00203E21" w14:paraId="165F7441" w14:textId="02D6483C">
      <w:pPr>
        <w:pStyle w:val="NormalHanging12a"/>
      </w:pPr>
      <w:r w:rsidRPr="0046609C">
        <w:t>K.</w:t>
      </w:r>
      <w:r w:rsidRPr="0046609C">
        <w:tab/>
        <w:t>arvestades, et koostise analüüs näitas, et geneetiliselt muundatud sojaoa rasvhapete profiil on võrreldes selle tavapärase vastega oluliselt muutunud, kuna oleiinhappe sisaldus on suurenenud ning sellega kaasneb linoolhappe ja palmitiinhappe sisalduse vähenemine; arvestades, et teaduslikud kaalutlused keskenduvad pikaajalisele toitumisalasele mõjule, mis kaasneb elanikkonna laiema kokkupuutega selle muundatud profiiliga, eelkõige tarbijate puhul, kes tarbivad palju sojaõli; arvestades, et EFSA võttis arvesse toidu</w:t>
      </w:r>
      <w:r w:rsidRPr="0046609C" w:rsidR="00A21A89">
        <w:t>ga</w:t>
      </w:r>
      <w:r w:rsidRPr="0046609C">
        <w:t xml:space="preserve"> </w:t>
      </w:r>
      <w:r w:rsidRPr="0046609C" w:rsidR="00A21A89">
        <w:t>saadava</w:t>
      </w:r>
      <w:r w:rsidRPr="0046609C">
        <w:t xml:space="preserve"> </w:t>
      </w:r>
      <w:r w:rsidRPr="0046609C" w:rsidR="00A21A89">
        <w:t xml:space="preserve">koguse </w:t>
      </w:r>
      <w:r w:rsidRPr="0046609C">
        <w:t>hinnangu</w:t>
      </w:r>
      <w:r w:rsidRPr="0046609C" w:rsidR="00A21A89">
        <w:t>id</w:t>
      </w:r>
      <w:r w:rsidRPr="0046609C">
        <w:t xml:space="preserve">, et hinnata muutuste toiteväärtuslikku tähtsust, kasutades erinevaid tarbimis- ja asendusstsenaariume; arvestades, et nende eelduste põhjal soovitas EFSA ainult turustamisjärgse </w:t>
      </w:r>
      <w:r w:rsidRPr="0046609C" w:rsidR="00EA3AA5">
        <w:t xml:space="preserve">seire </w:t>
      </w:r>
      <w:r w:rsidRPr="0046609C">
        <w:t>kava, mis keskendub liidu impordi kohta andmete kogumisele, ja ajakohastatud toitumisalase hinnangu tegemist juhul, kui olemasolev teave tarbimisharjumuste kohta erineb sellest, mida kasutati esialgses riskihindamises;</w:t>
      </w:r>
    </w:p>
    <w:p w:rsidR="00203E21" w:rsidRPr="0046609C" w:rsidP="00203E21" w14:paraId="66FB9037" w14:textId="77777777">
      <w:pPr>
        <w:pStyle w:val="NormalHanging12a"/>
      </w:pPr>
      <w:r w:rsidRPr="0046609C">
        <w:t>L.</w:t>
      </w:r>
      <w:r w:rsidRPr="0046609C">
        <w:tab/>
        <w:t>arvestades, et määruses (EÜ) nr 1829/2003 nõutakse,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need õiguspärased tegurid peaksid hõlmama liidu kohustusi, mis tulenevad Ühinenud Rahvaste Organisatsiooni (ÜRO) kestliku arengu eesmärkidest, Pariisi kliimakokkuleppest</w:t>
      </w:r>
      <w:r>
        <w:rPr>
          <w:rStyle w:val="FootnoteReference"/>
        </w:rPr>
        <w:footnoteReference w:id="15"/>
      </w:r>
      <w:r w:rsidRPr="0046609C">
        <w:t xml:space="preserve"> ja ÜRO bioloogilise mitmekesisuse konventsioonist</w:t>
      </w:r>
      <w:r>
        <w:rPr>
          <w:rStyle w:val="FootnoteReference"/>
        </w:rPr>
        <w:footnoteReference w:id="16"/>
      </w:r>
      <w:r w:rsidRPr="0046609C">
        <w:t>;</w:t>
      </w:r>
    </w:p>
    <w:p w:rsidR="00203E21" w:rsidRPr="0046609C" w:rsidP="00203E21" w14:paraId="5BD88D6F" w14:textId="719DD4C6">
      <w:pPr>
        <w:pStyle w:val="NormalHanging12a"/>
      </w:pPr>
      <w:r w:rsidRPr="0046609C">
        <w:t>M.</w:t>
      </w:r>
      <w:r w:rsidRPr="0046609C">
        <w:tab/>
        <w:t xml:space="preserve">arvestades, et elurikkusele, mulla seisundile, tolmeldajatele ja mittesihtliikidele avalduva võimaliku kahjuliku mõju sõltumatu seire </w:t>
      </w:r>
      <w:r w:rsidRPr="0046609C" w:rsidR="00C003A5">
        <w:t xml:space="preserve">ja süstemaatiline jälgimine </w:t>
      </w:r>
      <w:r w:rsidRPr="0046609C">
        <w:t>ei ole endiselt piisavalt tagatud;</w:t>
      </w:r>
    </w:p>
    <w:p w:rsidR="00203E21" w:rsidRPr="0046609C" w:rsidP="00203E21" w14:paraId="1DB6B40B" w14:textId="77777777">
      <w:pPr>
        <w:pStyle w:val="NormalHanging12a"/>
      </w:pPr>
      <w:r w:rsidRPr="0046609C">
        <w:t>N.</w:t>
      </w:r>
      <w:r w:rsidRPr="0046609C">
        <w:tab/>
        <w:t>arvestades, et teadusliku ebakindluse korral tuleks kohaldada Euroopa Liidu toimimise lepingu artiklis 191 sätestatud ettevaatuspõhimõtet;</w:t>
      </w:r>
    </w:p>
    <w:p w:rsidR="00203E21" w:rsidRPr="0046609C" w:rsidP="00203E21" w14:paraId="0525BFE0" w14:textId="77777777">
      <w:pPr>
        <w:pStyle w:val="NormalHanging12a"/>
      </w:pPr>
      <w:r w:rsidRPr="0046609C">
        <w:t>O.</w:t>
      </w:r>
      <w:r w:rsidRPr="0046609C">
        <w:tab/>
        <w:t>arvestades, et liidul kui ÜRO bioloogilise mitmekesisuse konventsiooni osalisel on kooskõlas selle artikliga 3 kohustus tagada, et tema jurisdiktsioonis või kontrolli all toimuv tegevus ei kahjustaks teiste riikide keskkonda;</w:t>
      </w:r>
    </w:p>
    <w:p w:rsidR="00203E21" w:rsidRPr="0046609C" w:rsidP="00203E21" w14:paraId="143E987E" w14:textId="77777777">
      <w:pPr>
        <w:pStyle w:val="NormalHanging12a"/>
      </w:pPr>
      <w:r w:rsidRPr="0046609C">
        <w:t>P.</w:t>
      </w:r>
      <w:r w:rsidRPr="0046609C">
        <w:tab/>
        <w:t xml:space="preserve">arvestades, et geneetiliselt muundatud sojaoa loa pikendamine liidu poolt ei oleks </w:t>
      </w:r>
      <w:r w:rsidRPr="0046609C">
        <w:t>kooskõlas pestitsiidide vähendamist käsitlevate rahvusvaheliste kohustustega</w:t>
      </w:r>
      <w:r>
        <w:rPr>
          <w:vertAlign w:val="superscript"/>
        </w:rPr>
        <w:footnoteReference w:id="17"/>
      </w:r>
      <w:r w:rsidRPr="0046609C">
        <w:t>, võttes arvesse inimeste, loomade ja keskkonna suuremat kokkupuudet glüfosaadiga riikides, kus seda herbitsiiditolerantset geneetiliselt muundatud põllukultuuri kasvatatakse, ning sellega seotud võimalikke tõsiseid tervisemõjusid;</w:t>
      </w:r>
    </w:p>
    <w:p w:rsidR="00203E21" w:rsidRPr="0046609C" w:rsidP="00203E21" w14:paraId="406CE261" w14:textId="77777777">
      <w:pPr>
        <w:pStyle w:val="NormalHanging12a"/>
      </w:pPr>
      <w:r w:rsidRPr="0046609C">
        <w:t>Q.</w:t>
      </w:r>
      <w:r w:rsidRPr="0046609C">
        <w:tab/>
        <w:t>arvestades, et geneetiliselt muundatud sojauba ei ole liidus lubatud kasvatada;</w:t>
      </w:r>
    </w:p>
    <w:p w:rsidR="00203E21" w:rsidRPr="0046609C" w:rsidP="00203E21" w14:paraId="2C357D74" w14:textId="34E61879">
      <w:pPr>
        <w:pStyle w:val="NormalHanging12a"/>
      </w:pPr>
      <w:r w:rsidRPr="0046609C">
        <w:t>R.</w:t>
      </w:r>
      <w:r w:rsidRPr="0046609C">
        <w:tab/>
        <w:t>arvestades, et komisjoni rakendusotsus</w:t>
      </w:r>
      <w:r w:rsidRPr="0046609C" w:rsidR="00D80DA7">
        <w:t xml:space="preserve"> (EL) 2026/1419</w:t>
      </w:r>
      <w:r w:rsidRPr="0046609C">
        <w:t xml:space="preserve"> võimaldaks liitu importimist, mis ei vasta liidu põllumajandustootjate poolt järgitavatele standarditele ja seab nad seetõttu ebasoodsasse konkurentsiolukorda;</w:t>
      </w:r>
    </w:p>
    <w:p w:rsidR="00203E21" w:rsidRPr="0046609C" w:rsidP="00203E21" w14:paraId="1B1A994B" w14:textId="77777777">
      <w:pPr>
        <w:pStyle w:val="NormalHanging12a"/>
      </w:pPr>
      <w:r w:rsidRPr="0046609C">
        <w:t>S.</w:t>
      </w:r>
      <w:r w:rsidRPr="0046609C">
        <w:tab/>
        <w:t>arvestades, et ELi põllumajanduse tulevikku käsitleva strateegilise dialoogi järeldustes</w:t>
      </w:r>
      <w:r>
        <w:rPr>
          <w:vertAlign w:val="superscript"/>
        </w:rPr>
        <w:footnoteReference w:id="18"/>
      </w:r>
      <w:r w:rsidRPr="0046609C">
        <w:t xml:space="preserve"> kutsutakse komisjoni üles uuesti hindama oma lähenemisviisi põllumajanduslike toiduainete impordi ja ekspordi turulepääsule, võttes arvesse liidu ja selle kaubanduspartnerite lahknevate standardite probleemi; arvestades, et õiglasemad kaubandussuhted ülemaailmsel tasandil, mis on kooskõlas tervisliku keskkonna eesmärkidega, olid 2023., 2024. ja 2025. aasta meeleavaldustel põllumajandustootjate üks peamisi nõudmisi;</w:t>
      </w:r>
    </w:p>
    <w:p w:rsidR="00203E21" w:rsidRPr="0046609C" w:rsidP="00203E21" w14:paraId="66779707" w14:textId="77777777">
      <w:pPr>
        <w:pStyle w:val="NormalHanging12a"/>
      </w:pPr>
      <w:r w:rsidRPr="0046609C">
        <w:t>T.</w:t>
      </w:r>
      <w:r w:rsidRPr="0046609C">
        <w:tab/>
        <w:t>arvestades, et Euroopa Parlament on korduvalt rõhutanud, et komisjon ei tohiks anda luba GMOdele juhtudel, kui liikmesriigid ei saavuta alalises taime-, looma-, toidu- ja söödakomitees või apellatsioonikomitees kvalifitseeritud häälteenamust, et tegeleda demokraatia püsiva puudujäägiga;</w:t>
      </w:r>
    </w:p>
    <w:p w:rsidR="00203E21" w:rsidRPr="0046609C" w:rsidP="00203E21" w14:paraId="14E9DE02" w14:textId="77777777">
      <w:pPr>
        <w:pStyle w:val="NormalHanging12a"/>
      </w:pPr>
      <w:r w:rsidRPr="0046609C">
        <w:t>U.</w:t>
      </w:r>
      <w:r w:rsidRPr="0046609C">
        <w:tab/>
        <w:t>arvestades, et kuigi komisjon tunnistab puudujääke demokraatlikus protsessis, liikmesriikide toetuse puudumist ja Euroopa Parlamendi vastuväiteid, jätkab ta siiski GMOdele lubade andmist;</w:t>
      </w:r>
    </w:p>
    <w:p w:rsidR="00203E21" w:rsidRPr="0046609C" w:rsidP="00203E21" w14:paraId="6AF6ACDE" w14:textId="7A45B5F7">
      <w:pPr>
        <w:pStyle w:val="NormalHanging12a"/>
      </w:pPr>
      <w:r w:rsidRPr="0046609C">
        <w:t>V.</w:t>
      </w:r>
      <w:r w:rsidRPr="0046609C">
        <w:tab/>
        <w:t xml:space="preserve">arvestades, et terviseühtsuse </w:t>
      </w:r>
      <w:r w:rsidRPr="0046609C" w:rsidR="00A21A89">
        <w:t>lähenemisviisi</w:t>
      </w:r>
      <w:r w:rsidRPr="0046609C">
        <w:t xml:space="preserve"> kohaselt tuleb </w:t>
      </w:r>
      <w:r w:rsidRPr="0046609C">
        <w:t>GMOde</w:t>
      </w:r>
      <w:r w:rsidRPr="0046609C">
        <w:t xml:space="preserve"> pikaajalise kestlikkuse ja ohutuse hindamisel arvesse võtta inimeste, loomade, taimede ja keskkonna tervise vastastikust sõltuvust;</w:t>
      </w:r>
    </w:p>
    <w:p w:rsidR="00203E21" w:rsidRPr="0046609C" w:rsidP="00203E21" w14:paraId="1452BF0E" w14:textId="5F62C707">
      <w:pPr>
        <w:pStyle w:val="NormalHanging12a"/>
      </w:pPr>
      <w:r w:rsidRPr="0046609C">
        <w:t>1.</w:t>
      </w:r>
      <w:r w:rsidRPr="0046609C">
        <w:tab/>
        <w:t>on seisukohal, et komisjoni rakendusotsus</w:t>
      </w:r>
      <w:r w:rsidRPr="0046609C" w:rsidR="00D80DA7">
        <w:t xml:space="preserve"> (EL) 2026/1419</w:t>
      </w:r>
      <w:r w:rsidRPr="0046609C">
        <w:t xml:space="preserve"> ületab määruses (EÜ) nr 1829/2003 sätestatud rakendamisvolitusi;</w:t>
      </w:r>
    </w:p>
    <w:p w:rsidR="00203E21" w:rsidRPr="0046609C" w:rsidP="00203E21" w14:paraId="4578400C" w14:textId="6B7A52F3">
      <w:pPr>
        <w:pStyle w:val="NormalHanging12a"/>
      </w:pPr>
      <w:r w:rsidRPr="0046609C">
        <w:t>2.</w:t>
      </w:r>
      <w:r w:rsidRPr="0046609C">
        <w:tab/>
        <w:t>on seisukohal, et komisjoni rakendusotsus</w:t>
      </w:r>
      <w:r w:rsidRPr="0046609C" w:rsidR="00D80DA7">
        <w:t xml:space="preserve"> (EL) 2026/1419</w:t>
      </w:r>
      <w:r w:rsidRPr="0046609C">
        <w:t xml:space="preserve"> on vastuolus liidu õigusega, sest see ei ole kooskõlas määruse (EÜ) nr 1829/2003 eesmärgiga, milleks Euroopa Parlamendi ja nõukogu määruses (EÜ) nr 178/2002</w:t>
      </w:r>
      <w:r>
        <w:rPr>
          <w:vertAlign w:val="superscript"/>
        </w:rPr>
        <w:footnoteReference w:id="19"/>
      </w:r>
      <w:r w:rsidRPr="0046609C">
        <w:t xml:space="preserve"> sätestatud üldpõhimõtete kohaselt on luua alus inimeste elu ja tervise, loomade tervise ja heaolu ning keskkonna ja tarbijate huvide kaitse kõrge taseme tagamiseks seoses geneetiliselt muundatud toidu ja </w:t>
      </w:r>
      <w:r w:rsidRPr="0046609C">
        <w:t>sööda kasutamisega ning tagada samal ajal ka siseturu tõhus toimimine;</w:t>
      </w:r>
    </w:p>
    <w:p w:rsidR="00203E21" w:rsidRPr="0046609C" w:rsidP="00203E21" w14:paraId="313DDC89" w14:textId="2C91FBFD">
      <w:pPr>
        <w:pStyle w:val="NormalHanging12a"/>
      </w:pPr>
      <w:r w:rsidRPr="0046609C">
        <w:t>3.</w:t>
      </w:r>
      <w:r w:rsidRPr="0046609C">
        <w:tab/>
        <w:t>palub komisjonil oma rakendusotsus</w:t>
      </w:r>
      <w:r w:rsidRPr="0046609C" w:rsidR="00960850">
        <w:t xml:space="preserve"> (EL) 2026/1419 kehtetuks tunnistada</w:t>
      </w:r>
      <w:r w:rsidRPr="0046609C">
        <w:t>;</w:t>
      </w:r>
    </w:p>
    <w:p w:rsidR="00203E21" w:rsidRPr="0046609C" w:rsidP="00203E21" w14:paraId="2D4234E2" w14:textId="77777777">
      <w:pPr>
        <w:pStyle w:val="NormalHanging12a"/>
      </w:pPr>
      <w:r w:rsidRPr="0046609C">
        <w:t>4.</w:t>
      </w:r>
      <w:r w:rsidRPr="0046609C">
        <w:tab/>
        <w:t>kutsub komisjoni üles mitte andma luba herbitsiiditolerantsete geneetiliselt muundatud põllukultuuride impordiks, kuna sellega kaasneb lisaherbitsiidide kasutamise suurenemine ning seetõttu suuremad riskid elurikkusele, toiduohutusele ja töötajate tervisele;</w:t>
      </w:r>
    </w:p>
    <w:p w:rsidR="00203E21" w:rsidRPr="0046609C" w:rsidP="00203E21" w14:paraId="5FF39605" w14:textId="77777777">
      <w:pPr>
        <w:pStyle w:val="NormalHanging12a"/>
      </w:pPr>
      <w:r w:rsidRPr="0046609C">
        <w:t>5.</w:t>
      </w:r>
      <w:r w:rsidRPr="0046609C">
        <w:tab/>
        <w:t>väljendab heameelt selle üle, et komisjon tunnistas oma 11. septembri 2020. aasta kirjas parlamendiliikmetele, et GMOde lubamise otsuste tegemisel on vaja arvesse võtta kestlikkust</w:t>
      </w:r>
      <w:r>
        <w:rPr>
          <w:vertAlign w:val="superscript"/>
        </w:rPr>
        <w:footnoteReference w:id="20"/>
      </w:r>
      <w:r w:rsidRPr="0046609C">
        <w:t>; väljendab siiski sügavat pettumust, et komisjon on pärast seda jätkanud GMOde liitu importimiseks lubade andmist, hoolimata Euroopa Parlamendi püsivast vastuseisust ja asjaolust, et enamik liikmesriike hääletab selle vastu;</w:t>
      </w:r>
    </w:p>
    <w:p w:rsidR="00203E21" w:rsidRPr="0046609C" w:rsidP="00203E21" w14:paraId="1ECF2871" w14:textId="77777777">
      <w:pPr>
        <w:pStyle w:val="NormalHanging12a"/>
      </w:pPr>
      <w:r w:rsidRPr="0046609C">
        <w:t>6.</w:t>
      </w:r>
      <w:r w:rsidRPr="0046609C">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Pr>
          <w:vertAlign w:val="superscript"/>
        </w:rPr>
        <w:footnoteReference w:id="21"/>
      </w:r>
      <w:r w:rsidRPr="0046609C">
        <w:t>;</w:t>
      </w:r>
    </w:p>
    <w:p w:rsidR="00203E21" w:rsidRPr="0046609C" w:rsidP="00203E21" w14:paraId="0C4F3CBD" w14:textId="77777777">
      <w:pPr>
        <w:pStyle w:val="NormalHanging12a"/>
      </w:pPr>
      <w:r w:rsidRPr="0046609C">
        <w:t>7.</w:t>
      </w:r>
      <w:r w:rsidRPr="0046609C">
        <w:tab/>
        <w:t>toonitab, et muudatusettepanekutes, mis käsitlevad ettepanekut võtta vastu Euroopa Parlamendi ja nõukogu määrus, millega muudetakse määrust (EL) nr 182/2011</w:t>
      </w:r>
      <w:r>
        <w:rPr>
          <w:vertAlign w:val="superscript"/>
        </w:rPr>
        <w:footnoteReference w:id="22"/>
      </w:r>
      <w:r w:rsidRPr="0046609C">
        <w:t>, ja mille Euroopa Parlament võttis vastu 17. detsembril 2020 nõukoguga peetavate läbirääkimiste alusena, märgitakse, et komisjon ei tohi anda GMOdele luba, kui selle toetuseks puudub liikmesriikide kvalifitseeritud häälteenamus; nõuab, et komisjon järgiks seda seisukohta, ning kutsub nõukogu üles jätkama oma tööd ja võtma selle ettepaneku suhtes kiiremas korras vastu üldise lähenemisviisi;</w:t>
      </w:r>
    </w:p>
    <w:p w:rsidR="00E365E1" w:rsidRPr="0046609C" w:rsidP="0046609C" w14:paraId="5CC6BE9C" w14:textId="30D4A730">
      <w:pPr>
        <w:pStyle w:val="NormalHanging12a"/>
      </w:pPr>
      <w:r w:rsidRPr="0046609C">
        <w:t>8.</w:t>
      </w:r>
      <w:r w:rsidRPr="0046609C">
        <w:tab/>
        <w:t>teeb presidendile ülesandeks edastada käesolev resolutsioon nõukogule ja komisjonile ning liikmesriikide valitsustele ja parlamentidele.</w:t>
      </w:r>
    </w:p>
    <w:sectPr w:rsidSect="001C203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24F5E33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54E158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2857AC3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75F2" w:rsidRPr="001C2033" w14:paraId="10ED5A28" w14:textId="77777777">
      <w:r w:rsidRPr="001C2033">
        <w:separator/>
      </w:r>
    </w:p>
  </w:footnote>
  <w:footnote w:type="continuationSeparator" w:id="1">
    <w:p w:rsidR="00A275F2" w:rsidRPr="001C2033" w14:paraId="62CF555F" w14:textId="77777777">
      <w:r w:rsidRPr="001C2033">
        <w:continuationSeparator/>
      </w:r>
    </w:p>
  </w:footnote>
  <w:footnote w:id="2">
    <w:p w:rsidR="00BA107E" w:rsidRPr="0046609C" w:rsidP="0046609C" w14:paraId="7891E0DC" w14:textId="5DF72A01">
      <w:pPr>
        <w:pStyle w:val="FootnoteText"/>
        <w:ind w:left="567" w:hanging="567"/>
        <w:rPr>
          <w:sz w:val="24"/>
          <w:szCs w:val="24"/>
          <w:lang w:val="et-EE"/>
        </w:rPr>
      </w:pPr>
      <w:r w:rsidRPr="0046609C">
        <w:rPr>
          <w:rStyle w:val="FootnoteReference"/>
          <w:sz w:val="24"/>
          <w:szCs w:val="24"/>
        </w:rPr>
        <w:footnoteRef/>
      </w:r>
      <w:r w:rsidRPr="00ED7D00">
        <w:rPr>
          <w:sz w:val="24"/>
          <w:szCs w:val="24"/>
        </w:rPr>
        <w:tab/>
        <w:t>ELT L</w:t>
      </w:r>
      <w:r w:rsidR="009A434C">
        <w:rPr>
          <w:sz w:val="24"/>
          <w:szCs w:val="24"/>
        </w:rPr>
        <w:t>,</w:t>
      </w:r>
      <w:r w:rsidRPr="00ED7D00">
        <w:rPr>
          <w:sz w:val="24"/>
          <w:szCs w:val="24"/>
        </w:rPr>
        <w:t xml:space="preserve"> 2026/1419, 3.7.2026, ELI: </w:t>
      </w:r>
      <w:hyperlink r:id="rId1" w:history="1">
        <w:r w:rsidRPr="00ED7D00" w:rsidR="00737B29">
          <w:rPr>
            <w:rStyle w:val="Hyperlink"/>
            <w:sz w:val="24"/>
            <w:szCs w:val="24"/>
          </w:rPr>
          <w:t>https://eur-lex.europa.eu/eli/dec_impl/2026/1419/oj.</w:t>
        </w:r>
      </w:hyperlink>
    </w:p>
  </w:footnote>
  <w:footnote w:id="3">
    <w:p w:rsidR="00203E21" w:rsidRPr="00ED7D00" w:rsidP="001C2033" w14:paraId="7CF21F4C" w14:textId="777CDD18">
      <w:pPr>
        <w:pStyle w:val="FootnoteText"/>
        <w:ind w:left="567" w:hanging="567"/>
        <w:rPr>
          <w:sz w:val="24"/>
          <w:szCs w:val="24"/>
          <w:lang w:val="et-EE"/>
        </w:rPr>
      </w:pPr>
      <w:r w:rsidRPr="00ED7D00">
        <w:rPr>
          <w:rStyle w:val="Funotenzeichen"/>
          <w:sz w:val="24"/>
          <w:szCs w:val="24"/>
          <w:lang w:val="et-EE"/>
        </w:rPr>
        <w:footnoteRef/>
      </w:r>
      <w:r w:rsidRPr="00ED7D00" w:rsidR="001C2033">
        <w:rPr>
          <w:sz w:val="24"/>
          <w:szCs w:val="24"/>
          <w:lang w:val="et-EE"/>
        </w:rPr>
        <w:tab/>
      </w:r>
      <w:r w:rsidRPr="00ED7D00">
        <w:rPr>
          <w:sz w:val="24"/>
          <w:szCs w:val="24"/>
          <w:lang w:val="et-EE"/>
        </w:rPr>
        <w:t>ELT L 268, 18.10.2003, lk 1, ELI: </w:t>
      </w:r>
      <w:hyperlink r:id="rId2" w:tooltip="Annab juurdepääsu sellele dokumendile tema ELI URI kaudu." w:history="1">
        <w:r w:rsidRPr="00ED7D00">
          <w:rPr>
            <w:rStyle w:val="Hyperlink"/>
            <w:sz w:val="24"/>
            <w:szCs w:val="24"/>
            <w:lang w:val="et-EE"/>
          </w:rPr>
          <w:t>http://data.europa.eu/eli/reg/2003/1829/oj</w:t>
        </w:r>
      </w:hyperlink>
      <w:r w:rsidRPr="00ED7D00">
        <w:rPr>
          <w:sz w:val="24"/>
          <w:szCs w:val="24"/>
          <w:lang w:val="et-EE"/>
        </w:rPr>
        <w:t>.</w:t>
      </w:r>
    </w:p>
  </w:footnote>
  <w:footnote w:id="4">
    <w:p w:rsidR="00203E21" w:rsidRPr="00ED7D00" w:rsidP="001C2033" w14:paraId="6FA7A982" w14:textId="0C3AC6CD">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 xml:space="preserve">ELT L 55, 28.2.2011, lk 13, ELI: </w:t>
      </w:r>
      <w:hyperlink r:id="rId3" w:tooltip="http://data.europa.eu/eli/reg/2011/182/oj" w:history="1">
        <w:r w:rsidRPr="00ED7D00">
          <w:rPr>
            <w:rStyle w:val="Hyperlink"/>
            <w:sz w:val="24"/>
            <w:szCs w:val="24"/>
            <w:lang w:val="et-EE"/>
          </w:rPr>
          <w:t>http://data.europa.eu/eli/reg/2011/182/oj</w:t>
        </w:r>
      </w:hyperlink>
      <w:r w:rsidRPr="00ED7D00">
        <w:rPr>
          <w:sz w:val="24"/>
          <w:szCs w:val="24"/>
          <w:lang w:val="et-EE"/>
        </w:rPr>
        <w:t>.</w:t>
      </w:r>
    </w:p>
  </w:footnote>
  <w:footnote w:id="5">
    <w:p w:rsidR="00203E21" w:rsidRPr="00ED7D00" w:rsidP="001C2033" w14:paraId="0E1EC6A8" w14:textId="24604EA0">
      <w:pPr>
        <w:pStyle w:val="FootnoteText"/>
        <w:ind w:left="567" w:hanging="567"/>
        <w:rPr>
          <w:sz w:val="24"/>
          <w:szCs w:val="24"/>
          <w:lang w:val="et-EE"/>
        </w:rPr>
      </w:pPr>
      <w:r w:rsidRPr="00ED7D00">
        <w:rPr>
          <w:rStyle w:val="Funotenzeichen"/>
          <w:sz w:val="24"/>
          <w:szCs w:val="24"/>
          <w:lang w:val="et-EE"/>
        </w:rPr>
        <w:footnoteRef/>
      </w:r>
      <w:r w:rsidRPr="00ED7D00" w:rsidR="001C2033">
        <w:rPr>
          <w:sz w:val="24"/>
          <w:szCs w:val="24"/>
          <w:lang w:val="et-EE"/>
        </w:rPr>
        <w:tab/>
      </w:r>
      <w:r w:rsidRPr="00ED7D00">
        <w:rPr>
          <w:sz w:val="24"/>
          <w:szCs w:val="24"/>
          <w:lang w:val="et-EE"/>
        </w:rPr>
        <w:t xml:space="preserve">EFSA geneetiliselt muundatud organismide komisjoni teaduslik arvamus geneetiliselt muundatud sojaoa MON 87705 hindamise kohta (taotlus </w:t>
      </w:r>
      <w:r w:rsidRPr="00ED7D00">
        <w:rPr>
          <w:sz w:val="24"/>
          <w:szCs w:val="24"/>
          <w:lang w:val="et-EE"/>
        </w:rPr>
        <w:t>GMFF</w:t>
      </w:r>
      <w:r w:rsidRPr="00ED7D00">
        <w:rPr>
          <w:sz w:val="24"/>
          <w:szCs w:val="24"/>
          <w:lang w:val="et-EE"/>
        </w:rPr>
        <w:t xml:space="preserve">-2023–21236), </w:t>
      </w:r>
      <w:r w:rsidRPr="0046609C">
        <w:rPr>
          <w:iCs/>
          <w:sz w:val="24"/>
          <w:szCs w:val="24"/>
          <w:lang w:val="et-EE"/>
        </w:rPr>
        <w:t>EFSA</w:t>
      </w:r>
      <w:r w:rsidRPr="0046609C">
        <w:rPr>
          <w:iCs/>
          <w:sz w:val="24"/>
          <w:szCs w:val="24"/>
          <w:lang w:val="et-EE"/>
        </w:rPr>
        <w:t xml:space="preserve"> </w:t>
      </w:r>
      <w:r w:rsidRPr="0046609C">
        <w:rPr>
          <w:iCs/>
          <w:sz w:val="24"/>
          <w:szCs w:val="24"/>
          <w:lang w:val="et-EE"/>
        </w:rPr>
        <w:t>Journal</w:t>
      </w:r>
      <w:r w:rsidRPr="00ED7D00">
        <w:rPr>
          <w:sz w:val="24"/>
          <w:szCs w:val="24"/>
          <w:lang w:val="et-EE"/>
        </w:rPr>
        <w:t xml:space="preserve"> 2026</w:t>
      </w:r>
      <w:r w:rsidRPr="00ED7D00" w:rsidR="00ED7D00">
        <w:rPr>
          <w:sz w:val="24"/>
          <w:szCs w:val="24"/>
          <w:lang w:val="et-EE"/>
        </w:rPr>
        <w:t>,</w:t>
      </w:r>
      <w:r w:rsidRPr="00ED7D00">
        <w:rPr>
          <w:sz w:val="24"/>
          <w:szCs w:val="24"/>
          <w:lang w:val="et-EE"/>
        </w:rPr>
        <w:t xml:space="preserve"> 24(1):</w:t>
      </w:r>
      <w:r w:rsidRPr="00ED7D00">
        <w:rPr>
          <w:sz w:val="24"/>
          <w:szCs w:val="24"/>
          <w:lang w:val="et-EE"/>
        </w:rPr>
        <w:t>e9846</w:t>
      </w:r>
      <w:r w:rsidRPr="00ED7D00">
        <w:rPr>
          <w:sz w:val="24"/>
          <w:szCs w:val="24"/>
          <w:lang w:val="et-EE"/>
        </w:rPr>
        <w:t xml:space="preserve">, </w:t>
      </w:r>
      <w:hyperlink r:id="rId4" w:history="1">
        <w:r w:rsidRPr="00ED7D00">
          <w:rPr>
            <w:rStyle w:val="Hyperlink"/>
            <w:sz w:val="24"/>
            <w:szCs w:val="24"/>
            <w:lang w:val="et-EE"/>
          </w:rPr>
          <w:t>https://doi.org/10.2903/j.efsa.2026.9846</w:t>
        </w:r>
      </w:hyperlink>
      <w:r w:rsidRPr="00ED7D00">
        <w:rPr>
          <w:rStyle w:val="Hyperlink"/>
          <w:sz w:val="24"/>
          <w:szCs w:val="24"/>
          <w:lang w:val="et-EE"/>
        </w:rPr>
        <w:t>.</w:t>
      </w:r>
    </w:p>
  </w:footnote>
  <w:footnote w:id="6">
    <w:p w:rsidR="00203E21" w:rsidRPr="00ED7D00" w:rsidP="001C2033" w14:paraId="4DB7DA32" w14:textId="44A878FF">
      <w:pPr>
        <w:pStyle w:val="FootnoteText"/>
        <w:ind w:left="567" w:hanging="567"/>
        <w:rPr>
          <w:color w:val="000000" w:themeColor="text1"/>
          <w:sz w:val="24"/>
          <w:szCs w:val="24"/>
          <w:vertAlign w:val="superscript"/>
          <w:lang w:val="et-EE"/>
        </w:rPr>
      </w:pPr>
      <w:r w:rsidRPr="00ED7D00">
        <w:rPr>
          <w:rStyle w:val="Funotenzeichen"/>
          <w:sz w:val="24"/>
          <w:szCs w:val="24"/>
          <w:lang w:val="et-EE"/>
        </w:rPr>
        <w:footnoteRef/>
      </w:r>
      <w:r w:rsidRPr="00ED7D00" w:rsidR="001C2033">
        <w:rPr>
          <w:color w:val="000000" w:themeColor="text1"/>
          <w:sz w:val="24"/>
          <w:szCs w:val="24"/>
          <w:lang w:val="et-EE"/>
        </w:rPr>
        <w:tab/>
      </w:r>
      <w:r w:rsidR="00EA3AA5">
        <w:rPr>
          <w:color w:val="000000" w:themeColor="text1"/>
          <w:sz w:val="24"/>
          <w:szCs w:val="24"/>
          <w:lang w:val="et-EE"/>
        </w:rPr>
        <w:t xml:space="preserve">Euroopa </w:t>
      </w:r>
      <w:r w:rsidRPr="00ED7D00">
        <w:rPr>
          <w:color w:val="000000" w:themeColor="text1"/>
          <w:sz w:val="24"/>
          <w:szCs w:val="24"/>
          <w:lang w:val="et-EE"/>
        </w:rPr>
        <w:t>Parlament võttis kaheksandal ametiajal vastu 36 resolutsiooni ja üheksandal ametiajal 38 resolutsiooni,</w:t>
      </w:r>
      <w:r w:rsidRPr="00ED7D00">
        <w:rPr>
          <w:sz w:val="24"/>
          <w:szCs w:val="24"/>
          <w:lang w:val="et-EE"/>
        </w:rPr>
        <w:t xml:space="preserve"> milles väljendatakse vastuseisu </w:t>
      </w:r>
      <w:r w:rsidRPr="00ED7D00">
        <w:rPr>
          <w:color w:val="000000" w:themeColor="text1"/>
          <w:sz w:val="24"/>
          <w:szCs w:val="24"/>
          <w:lang w:val="et-EE"/>
        </w:rPr>
        <w:t xml:space="preserve">GMOde lubamisele. Lisaks on </w:t>
      </w:r>
      <w:r w:rsidR="00EA3AA5">
        <w:rPr>
          <w:color w:val="000000" w:themeColor="text1"/>
          <w:sz w:val="24"/>
          <w:szCs w:val="24"/>
          <w:lang w:val="et-EE"/>
        </w:rPr>
        <w:t>Euroopa P</w:t>
      </w:r>
      <w:r w:rsidRPr="00ED7D00">
        <w:rPr>
          <w:color w:val="000000" w:themeColor="text1"/>
          <w:sz w:val="24"/>
          <w:szCs w:val="24"/>
          <w:lang w:val="et-EE"/>
        </w:rPr>
        <w:t>arlament kümnendal ametiajal vastu võtnud järgmised resolutsioonid:</w:t>
      </w:r>
    </w:p>
    <w:p w:rsidR="00203E21" w:rsidRPr="00ED7D00" w:rsidP="00737B29" w14:paraId="213A8EBA" w14:textId="0E36A7BB">
      <w:pPr>
        <w:pStyle w:val="FootnoteText"/>
        <w:ind w:left="1134" w:hanging="567"/>
        <w:rPr>
          <w:color w:val="000000" w:themeColor="text1"/>
          <w:sz w:val="24"/>
          <w:szCs w:val="24"/>
          <w:vertAlign w:val="superscript"/>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5" w:history="1">
        <w:r w:rsidRPr="00ED7D00">
          <w:rPr>
            <w:rStyle w:val="Hyperlink"/>
            <w:sz w:val="24"/>
            <w:szCs w:val="24"/>
            <w:lang w:val="et-EE"/>
          </w:rPr>
          <w:t>http://data.europa.eu/eli/C/2025/1797/oj</w:t>
        </w:r>
      </w:hyperlink>
      <w:r w:rsidRPr="00ED7D00">
        <w:rPr>
          <w:color w:val="000000" w:themeColor="text1"/>
          <w:sz w:val="24"/>
          <w:szCs w:val="24"/>
          <w:lang w:val="et-EE"/>
        </w:rPr>
        <w:t>).</w:t>
      </w:r>
    </w:p>
    <w:p w:rsidR="00203E21" w:rsidRPr="0046609C" w:rsidP="0046609C" w14:paraId="5E8231E3" w14:textId="61CD6349">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6" w:history="1">
        <w:r w:rsidRPr="00ED7D00" w:rsidR="00ED7D00">
          <w:rPr>
            <w:rStyle w:val="Hyperlink"/>
            <w:sz w:val="24"/>
            <w:szCs w:val="24"/>
            <w:lang w:val="et-EE"/>
          </w:rPr>
          <w:t>http://data.europa.eu/eli/C/2025/1798/oj</w:t>
        </w:r>
      </w:hyperlink>
      <w:r w:rsidRPr="00ED7D00">
        <w:rPr>
          <w:color w:val="000000" w:themeColor="text1"/>
          <w:sz w:val="24"/>
          <w:szCs w:val="24"/>
          <w:lang w:val="et-EE"/>
        </w:rPr>
        <w:t>).</w:t>
      </w:r>
    </w:p>
    <w:p w:rsidR="00203E21" w:rsidRPr="0046609C" w:rsidP="0046609C" w14:paraId="43C0B3C5" w14:textId="1F66C3C2">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7" w:history="1">
        <w:r w:rsidRPr="00ED7D00" w:rsidR="00ED7D00">
          <w:rPr>
            <w:rStyle w:val="Hyperlink"/>
            <w:sz w:val="24"/>
            <w:szCs w:val="24"/>
            <w:lang w:val="et-EE"/>
          </w:rPr>
          <w:t>http://data.europa.eu/eli/C/2025/1799/oj</w:t>
        </w:r>
      </w:hyperlink>
      <w:r w:rsidRPr="00ED7D00">
        <w:rPr>
          <w:color w:val="000000" w:themeColor="text1"/>
          <w:sz w:val="24"/>
          <w:szCs w:val="24"/>
          <w:lang w:val="et-EE"/>
        </w:rPr>
        <w:t>).</w:t>
      </w:r>
    </w:p>
    <w:p w:rsidR="00203E21" w:rsidRPr="0046609C" w:rsidP="0046609C" w14:paraId="52BD7265" w14:textId="4470B3F5">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r w:rsidRPr="00ED7D00">
        <w:rPr>
          <w:color w:val="000000" w:themeColor="text1"/>
          <w:sz w:val="24"/>
          <w:szCs w:val="24"/>
          <w:lang w:val="et-EE"/>
        </w:rPr>
        <w:t>turuleviimise</w:t>
      </w:r>
      <w:r w:rsidRPr="00ED7D00">
        <w:rPr>
          <w:color w:val="000000" w:themeColor="text1"/>
          <w:sz w:val="24"/>
          <w:szCs w:val="24"/>
          <w:lang w:val="et-EE"/>
        </w:rPr>
        <w:t xml:space="preserve"> loa kehtivust vastavalt Euroopa Parlamendi ja nõukogu määrusele (EÜ) nr 1829/2003 ning tunnistatakse kehtetuks komisjoni rakendusotsus (EL) 2017/1207 (ELT C, C/2025/1800, 4.4.2025, ELI: </w:t>
      </w:r>
      <w:hyperlink r:id="rId8" w:history="1">
        <w:r w:rsidRPr="00ED7D00" w:rsidR="00ED7D00">
          <w:rPr>
            <w:rStyle w:val="Hyperlink"/>
            <w:sz w:val="24"/>
            <w:szCs w:val="24"/>
            <w:lang w:val="et-EE"/>
          </w:rPr>
          <w:t>http://data.europa.eu/eli/C/2025/1800/oj</w:t>
        </w:r>
      </w:hyperlink>
      <w:r w:rsidRPr="00ED7D00">
        <w:rPr>
          <w:color w:val="000000" w:themeColor="text1"/>
          <w:sz w:val="24"/>
          <w:szCs w:val="24"/>
          <w:lang w:val="et-EE"/>
        </w:rPr>
        <w:t>).</w:t>
      </w:r>
    </w:p>
    <w:p w:rsidR="00203E21" w:rsidRPr="0046609C" w:rsidP="0046609C" w14:paraId="48DA60C3" w14:textId="32B4869C">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9" w:history="1">
        <w:r w:rsidRPr="00ED7D00" w:rsidR="00ED7D00">
          <w:rPr>
            <w:rStyle w:val="Hyperlink"/>
            <w:sz w:val="24"/>
            <w:szCs w:val="24"/>
            <w:lang w:val="et-EE"/>
          </w:rPr>
          <w:t>http://data.europa.eu/eli/C/2025/1801/oj</w:t>
        </w:r>
      </w:hyperlink>
      <w:r w:rsidRPr="00ED7D00">
        <w:rPr>
          <w:color w:val="000000" w:themeColor="text1"/>
          <w:sz w:val="24"/>
          <w:szCs w:val="24"/>
          <w:lang w:val="et-EE"/>
        </w:rPr>
        <w:t>).</w:t>
      </w:r>
    </w:p>
    <w:p w:rsidR="00203E21" w:rsidRPr="0046609C" w:rsidP="0046609C" w14:paraId="7CBEEB08" w14:textId="529CE8E2">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10" w:history="1">
        <w:r w:rsidRPr="00ED7D00" w:rsidR="00ED7D00">
          <w:rPr>
            <w:rStyle w:val="Hyperlink"/>
            <w:sz w:val="24"/>
            <w:szCs w:val="24"/>
            <w:lang w:val="et-EE"/>
          </w:rPr>
          <w:t>http://data.europa.eu/eli/C/2025/1802/oj</w:t>
        </w:r>
      </w:hyperlink>
      <w:r w:rsidRPr="00ED7D00">
        <w:rPr>
          <w:color w:val="000000" w:themeColor="text1"/>
          <w:sz w:val="24"/>
          <w:szCs w:val="24"/>
          <w:lang w:val="et-EE"/>
        </w:rPr>
        <w:t>).</w:t>
      </w:r>
    </w:p>
    <w:p w:rsidR="00203E21" w:rsidRPr="0046609C" w:rsidP="0046609C" w14:paraId="434B9C13" w14:textId="689F1A9D">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1" w:history="1">
        <w:r w:rsidRPr="00ED7D00" w:rsidR="00ED7D00">
          <w:rPr>
            <w:rStyle w:val="Hyperlink"/>
            <w:sz w:val="24"/>
            <w:szCs w:val="24"/>
            <w:lang w:val="et-EE"/>
          </w:rPr>
          <w:t>http://data.europa.eu/eli/C/2025/1803/oj</w:t>
        </w:r>
      </w:hyperlink>
      <w:r w:rsidRPr="00ED7D00">
        <w:rPr>
          <w:color w:val="000000" w:themeColor="text1"/>
          <w:sz w:val="24"/>
          <w:szCs w:val="24"/>
          <w:lang w:val="et-EE"/>
        </w:rPr>
        <w:t>).</w:t>
      </w:r>
    </w:p>
    <w:p w:rsidR="00203E21" w:rsidRPr="0046609C" w:rsidP="0046609C" w14:paraId="46AF5CA5" w14:textId="3ACCE42F">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t>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2" w:history="1">
        <w:r w:rsidRPr="00792519" w:rsidR="00792519">
          <w:rPr>
            <w:rStyle w:val="Hyperlink"/>
            <w:sz w:val="24"/>
            <w:szCs w:val="24"/>
            <w:lang w:val="et-EE"/>
          </w:rPr>
          <w:t>http://data.europa.eu/eli/C/2025/1804/oj</w:t>
        </w:r>
      </w:hyperlink>
      <w:r w:rsidRPr="00ED7D00">
        <w:rPr>
          <w:color w:val="000000" w:themeColor="text1"/>
          <w:sz w:val="24"/>
          <w:szCs w:val="24"/>
          <w:lang w:val="et-EE"/>
        </w:rPr>
        <w:t>).</w:t>
      </w:r>
    </w:p>
    <w:p w:rsidR="00203E21" w:rsidRPr="0046609C" w:rsidP="0046609C" w14:paraId="5081F451" w14:textId="615AAF2C">
      <w:pPr>
        <w:pStyle w:val="FootnoteText"/>
        <w:ind w:left="1134" w:hanging="567"/>
        <w:rPr>
          <w:color w:val="000000" w:themeColor="text1"/>
          <w:sz w:val="24"/>
          <w:szCs w:val="24"/>
          <w:lang w:val="et-EE"/>
        </w:rPr>
      </w:pPr>
      <w:r w:rsidRPr="00ED7D00">
        <w:rPr>
          <w:color w:val="000000" w:themeColor="text1"/>
          <w:sz w:val="24"/>
          <w:szCs w:val="24"/>
          <w:lang w:val="et-EE"/>
        </w:rPr>
        <w:t>–</w:t>
      </w:r>
      <w:r w:rsidRPr="00ED7D00">
        <w:rPr>
          <w:color w:val="000000" w:themeColor="text1"/>
          <w:sz w:val="24"/>
          <w:szCs w:val="24"/>
          <w:lang w:val="et-EE"/>
        </w:rPr>
        <w:tab/>
      </w:r>
      <w:r w:rsidRPr="0046609C">
        <w:rPr>
          <w:color w:val="000000" w:themeColor="text1"/>
          <w:sz w:val="24"/>
          <w:szCs w:val="24"/>
          <w:lang w:val="et-EE"/>
        </w:rPr>
        <w:t>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3" w:history="1">
        <w:r w:rsidRPr="00C0026D" w:rsidR="00C0026D">
          <w:rPr>
            <w:rStyle w:val="Hyperlink"/>
            <w:sz w:val="24"/>
            <w:szCs w:val="24"/>
            <w:lang w:val="et-EE"/>
          </w:rPr>
          <w:t>http://data.europa.eu/eli/C/2025/2246/oj</w:t>
        </w:r>
      </w:hyperlink>
      <w:r w:rsidRPr="0046609C">
        <w:rPr>
          <w:color w:val="000000" w:themeColor="text1"/>
          <w:sz w:val="24"/>
          <w:szCs w:val="24"/>
          <w:lang w:val="et-EE"/>
        </w:rPr>
        <w:t>).</w:t>
      </w:r>
    </w:p>
    <w:p w:rsidR="00203E21" w:rsidRPr="0046609C" w:rsidP="0046609C" w14:paraId="2486A11E" w14:textId="6EFF0B7D">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4" w:history="1">
        <w:r w:rsidRPr="00A21A89">
          <w:rPr>
            <w:rStyle w:val="Hyperlink"/>
            <w:sz w:val="24"/>
            <w:szCs w:val="24"/>
            <w:lang w:val="et-EE"/>
          </w:rPr>
          <w:t>http://data.europa.eu/eli/C/2025/2247/oj</w:t>
        </w:r>
      </w:hyperlink>
      <w:r w:rsidRPr="0046609C">
        <w:rPr>
          <w:color w:val="000000" w:themeColor="text1"/>
          <w:sz w:val="24"/>
          <w:szCs w:val="24"/>
          <w:lang w:val="et-EE"/>
        </w:rPr>
        <w:t>).</w:t>
      </w:r>
    </w:p>
    <w:p w:rsidR="00203E21" w:rsidRPr="0046609C" w:rsidP="0046609C" w14:paraId="5BDFBFA2" w14:textId="4968B8D0">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(ELT C, C/2026/586, 24.2.2026, ELI: </w:t>
      </w:r>
      <w:hyperlink r:id="rId15" w:history="1">
        <w:r w:rsidRPr="00A21A89">
          <w:rPr>
            <w:rStyle w:val="Hyperlink"/>
            <w:sz w:val="24"/>
            <w:szCs w:val="24"/>
            <w:lang w:val="et-EE"/>
          </w:rPr>
          <w:t>http://data.europa.eu/eli/C/2026/586/oj</w:t>
        </w:r>
      </w:hyperlink>
      <w:r w:rsidRPr="0046609C">
        <w:rPr>
          <w:color w:val="000000" w:themeColor="text1"/>
          <w:sz w:val="24"/>
          <w:szCs w:val="24"/>
          <w:lang w:val="et-EE"/>
        </w:rPr>
        <w:t>).</w:t>
      </w:r>
    </w:p>
    <w:p w:rsidR="00203E21" w:rsidRPr="0046609C" w:rsidP="0046609C" w14:paraId="31C78B7C" w14:textId="5186EDE3">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(ELT C, C/2026/1523, 15.4.2026, ELI: </w:t>
      </w:r>
      <w:hyperlink r:id="rId16" w:history="1">
        <w:r w:rsidRPr="00A21A89">
          <w:rPr>
            <w:rStyle w:val="Hyperlink"/>
            <w:sz w:val="24"/>
            <w:szCs w:val="24"/>
            <w:lang w:val="et-EE"/>
          </w:rPr>
          <w:t>http://data.europa.eu/eli/C/2026/1523/oj</w:t>
        </w:r>
      </w:hyperlink>
      <w:r w:rsidRPr="0046609C">
        <w:rPr>
          <w:color w:val="000000" w:themeColor="text1"/>
          <w:sz w:val="24"/>
          <w:szCs w:val="24"/>
          <w:lang w:val="et-EE"/>
        </w:rPr>
        <w:t>).</w:t>
      </w:r>
    </w:p>
    <w:p w:rsidR="00203E21" w:rsidRPr="0046609C" w:rsidP="0046609C" w14:paraId="4F3EE186" w14:textId="4060EDA3">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(ELT C, C/2026/1703, 24.4.2026, ELI: </w:t>
      </w:r>
      <w:hyperlink r:id="rId17" w:history="1">
        <w:r w:rsidRPr="00A21A89">
          <w:rPr>
            <w:rStyle w:val="Hyperlink"/>
            <w:sz w:val="24"/>
            <w:szCs w:val="24"/>
            <w:lang w:val="et-EE"/>
          </w:rPr>
          <w:t>http://data.europa.eu/eli/C/2026/1703/oj</w:t>
        </w:r>
      </w:hyperlink>
      <w:r w:rsidRPr="0046609C">
        <w:rPr>
          <w:color w:val="000000" w:themeColor="text1"/>
          <w:sz w:val="24"/>
          <w:szCs w:val="24"/>
          <w:lang w:val="et-EE"/>
        </w:rPr>
        <w:t>).</w:t>
      </w:r>
    </w:p>
    <w:p w:rsidR="00203E21" w:rsidRPr="0046609C" w:rsidP="0046609C" w14:paraId="3A5EA47A" w14:textId="61896DB0">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(ELT C, C/2026/1704, 24.4.2026, ELI: </w:t>
      </w:r>
      <w:hyperlink r:id="rId18" w:history="1">
        <w:r w:rsidRPr="00A21A89">
          <w:rPr>
            <w:rStyle w:val="Hyperlink"/>
            <w:sz w:val="24"/>
            <w:szCs w:val="24"/>
            <w:lang w:val="et-EE"/>
          </w:rPr>
          <w:t>http://data.europa.eu/eli/C/2026/1704/oj</w:t>
        </w:r>
      </w:hyperlink>
      <w:r w:rsidRPr="0046609C">
        <w:rPr>
          <w:color w:val="000000" w:themeColor="text1"/>
          <w:sz w:val="24"/>
          <w:szCs w:val="24"/>
          <w:lang w:val="et-EE"/>
        </w:rPr>
        <w:t>).</w:t>
      </w:r>
    </w:p>
    <w:p w:rsidR="00203E21" w:rsidRPr="0046609C" w:rsidP="0046609C" w14:paraId="5BD8AB25" w14:textId="7041F338">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(ELT C, C/2026/1705, 24.4.2026, ELI: </w:t>
      </w:r>
      <w:hyperlink r:id="rId19" w:history="1">
        <w:r w:rsidRPr="00A21A89">
          <w:rPr>
            <w:rStyle w:val="Hyperlink"/>
            <w:sz w:val="24"/>
            <w:szCs w:val="24"/>
            <w:lang w:val="et-EE"/>
          </w:rPr>
          <w:t>http://data.europa.eu/eli/C/2026/1705/oj</w:t>
        </w:r>
      </w:hyperlink>
      <w:r w:rsidRPr="0046609C">
        <w:rPr>
          <w:color w:val="000000" w:themeColor="text1"/>
          <w:sz w:val="24"/>
          <w:szCs w:val="24"/>
          <w:lang w:val="et-EE"/>
        </w:rPr>
        <w:t>).</w:t>
      </w:r>
    </w:p>
    <w:p w:rsidR="00203E21" w:rsidRPr="0046609C" w:rsidP="0046609C" w14:paraId="222A8794" w14:textId="2D1C95F8">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(ELT C, C/2026/1706, 24.4.2026, ELI: </w:t>
      </w:r>
      <w:hyperlink r:id="rId20" w:history="1">
        <w:r w:rsidRPr="00A21A89">
          <w:rPr>
            <w:rStyle w:val="Hyperlink"/>
            <w:sz w:val="24"/>
            <w:szCs w:val="24"/>
            <w:lang w:val="et-EE"/>
          </w:rPr>
          <w:t>http://data.europa.eu/eli/C/2026/1706/oj</w:t>
        </w:r>
      </w:hyperlink>
      <w:r w:rsidRPr="0046609C">
        <w:rPr>
          <w:color w:val="000000" w:themeColor="text1"/>
          <w:sz w:val="24"/>
          <w:szCs w:val="24"/>
          <w:lang w:val="et-EE"/>
        </w:rPr>
        <w:t>).</w:t>
      </w:r>
    </w:p>
    <w:p w:rsidR="00203E21" w:rsidRPr="0046609C" w:rsidP="0046609C" w14:paraId="54A00A23" w14:textId="3CB210DA">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(ELT C, C/2026/1707, 24.4.2026, ELI: </w:t>
      </w:r>
      <w:hyperlink r:id="rId21" w:history="1">
        <w:r w:rsidRPr="00A21A89">
          <w:rPr>
            <w:rStyle w:val="Hyperlink"/>
            <w:sz w:val="24"/>
            <w:szCs w:val="24"/>
            <w:lang w:val="et-EE"/>
          </w:rPr>
          <w:t>http://data.europa.eu/eli/C/2026/1707/oj</w:t>
        </w:r>
      </w:hyperlink>
      <w:r w:rsidRPr="0046609C">
        <w:rPr>
          <w:color w:val="000000" w:themeColor="text1"/>
          <w:sz w:val="24"/>
          <w:szCs w:val="24"/>
          <w:lang w:val="et-EE"/>
        </w:rPr>
        <w:t>).</w:t>
      </w:r>
    </w:p>
    <w:p w:rsidR="00203E21" w:rsidRPr="0046609C" w:rsidP="0046609C" w14:paraId="1AB1C499" w14:textId="163D5929">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16. detsembri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 (ELT C, C/2026/2150, 6.5.2026, ELI: </w:t>
      </w:r>
      <w:hyperlink r:id="rId22" w:history="1">
        <w:r w:rsidRPr="00A21A89">
          <w:rPr>
            <w:rStyle w:val="Hyperlink"/>
            <w:sz w:val="24"/>
            <w:szCs w:val="24"/>
            <w:lang w:val="et-EE"/>
          </w:rPr>
          <w:t>http://data.europa.eu/eli/C/2026/2150/oj</w:t>
        </w:r>
      </w:hyperlink>
      <w:r w:rsidRPr="0046609C">
        <w:rPr>
          <w:color w:val="000000" w:themeColor="text1"/>
          <w:sz w:val="24"/>
          <w:szCs w:val="24"/>
          <w:lang w:val="et-EE"/>
        </w:rPr>
        <w:t>).</w:t>
      </w:r>
    </w:p>
    <w:p w:rsidR="00203E21" w:rsidRPr="0046609C" w:rsidP="0046609C" w14:paraId="30CFD9EE" w14:textId="639BB5ED">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16. detsembri 2025. aasta resolutsioon komisjoni rakendusotsuse eelnõu kohta, millega lubatakse lasta turule geneetiliselt muundatud suhkrupeedist KWS20-1 valmistatud toitu, toidu koostisosi ja sööta vastavalt Euroopa Parlamendi ja nõukogu määrusele (EÜ) nr 1829/2003 (ELT C, C/2026/2151, 6.5.2026, ELI: </w:t>
      </w:r>
      <w:hyperlink r:id="rId23" w:history="1">
        <w:r w:rsidRPr="00A21A89">
          <w:rPr>
            <w:rStyle w:val="Hyperlink"/>
            <w:sz w:val="24"/>
            <w:szCs w:val="24"/>
            <w:lang w:val="et-EE"/>
          </w:rPr>
          <w:t>http://data.europa.eu/eli/C/2026/2151/oj</w:t>
        </w:r>
      </w:hyperlink>
      <w:r w:rsidRPr="0046609C">
        <w:rPr>
          <w:color w:val="000000" w:themeColor="text1"/>
          <w:sz w:val="24"/>
          <w:szCs w:val="24"/>
          <w:lang w:val="et-EE"/>
        </w:rPr>
        <w:t>).</w:t>
      </w:r>
    </w:p>
    <w:p w:rsidR="00203E21" w:rsidRPr="0046609C" w:rsidP="0046609C" w14:paraId="30E849B7" w14:textId="679F27ED">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11. veebruari 2026. aasta resolutsioon komisjoni rakendusotsuse eelnõu kohta, millega lubatakse turule lasta geneetiliselt muundatud sojauba DBN-09004-6 sisaldavaid, sellest koosnevaid või sellest toodetud tooteid vastavalt Euroopa Parlamendi ja nõukogu määrusele (EÜ) nr 1829/2003 (vastuvõetud tekstid, P10_TA(2026)0041);</w:t>
      </w:r>
    </w:p>
    <w:p w:rsidR="00203E21" w:rsidRPr="0046609C" w:rsidP="0046609C" w14:paraId="5A60CB8B" w14:textId="5FCB9F57">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11. veebruari 2026. aasta resolutsioon komisjoni rakendusotsuse eelnõu kohta, millega pikendatakse geneetiliselt muundatud maisi T25 (ACS-ZMØØ3-2) sisaldavate, sellest koosnevate või sellest valmistatud toodete turule laskmise loa kehtivust vastavalt Euroopa Parlamendi ja nõukogu määrusele (EÜ) nr 1829/2003 (vastuvõetud tekstid, P10_TA(2026)0042);</w:t>
      </w:r>
    </w:p>
    <w:p w:rsidR="00203E21" w:rsidRPr="0046609C" w:rsidP="0046609C" w14:paraId="4E6D7A13" w14:textId="21ACAA31">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11. veebruari 2026. aasta resolutsioon komisjoni rakendusotsuse eelnõu kohta, millega pikendatakse geneetiliselt muundatud puuvilla GHB614 × LLCotton25 sisaldavate, sellest koosnevate või sellest valmistatud toodete turule laskmise loa kehtivust vastavalt Euroopa Parlamendi ja nõukogu määrusele (EÜ) nr 1829/2003 (vastuvõetud tekstid, P10_TA(2026)0043);</w:t>
      </w:r>
    </w:p>
    <w:p w:rsidR="00203E21" w:rsidRPr="0046609C" w:rsidP="0046609C" w14:paraId="58F0F7ED" w14:textId="7809EE9E">
      <w:pPr>
        <w:pStyle w:val="FootnoteText"/>
        <w:ind w:left="1134" w:hanging="567"/>
        <w:rPr>
          <w:color w:val="000000" w:themeColor="text1"/>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11. veebruari 2026. aasta resolutsioon komisjoni rakendusotsuse eelnõu kohta, millega pikendatakse geneetiliselt muundatud puuvilla T304-40 sisaldavate, sellest koosnevate või sellest valmistatud toodete turule laskmise loa kehtivust vastavalt Euroopa Parlamendi ja nõukogu määrusele (EÜ) nr 1829/2003 (vastuvõetud tekstid, P10_TA(2026)0044);</w:t>
      </w:r>
    </w:p>
    <w:p w:rsidR="00203E21" w:rsidRPr="00ED7D00" w:rsidP="0046609C" w14:paraId="2F6434D0" w14:textId="301414EB">
      <w:pPr>
        <w:pStyle w:val="FootnoteText"/>
        <w:ind w:left="1134" w:hanging="567"/>
        <w:rPr>
          <w:sz w:val="24"/>
          <w:szCs w:val="24"/>
          <w:lang w:val="et-EE"/>
        </w:rPr>
      </w:pPr>
      <w:r w:rsidRPr="0046609C">
        <w:rPr>
          <w:color w:val="000000" w:themeColor="text1"/>
          <w:sz w:val="24"/>
          <w:szCs w:val="24"/>
          <w:lang w:val="et-EE"/>
        </w:rPr>
        <w:t>–</w:t>
      </w:r>
      <w:r w:rsidRPr="0046609C">
        <w:rPr>
          <w:color w:val="000000" w:themeColor="text1"/>
          <w:sz w:val="24"/>
          <w:szCs w:val="24"/>
          <w:lang w:val="et-EE"/>
        </w:rPr>
        <w:tab/>
        <w:t>Euroopa Parlamendi 29. aprilli 2026. aasta resolutsioon komisjoni rakendusotsuse eelnõu kohta, millega lubatakse viia turule geneetiliselt muundatud sojauba MON 94637 sisaldavaid, sellest koosnevaid või sellest toodetud tooteid vastavalt Euroopa Parlamendi ja nõukogu määrusele</w:t>
      </w:r>
      <w:r w:rsidRPr="00ED7D00">
        <w:rPr>
          <w:sz w:val="24"/>
          <w:szCs w:val="24"/>
          <w:lang w:val="et-EE"/>
        </w:rPr>
        <w:t xml:space="preserve"> (EÜ) nr 1829/2003 (vastuvõetud tekstid, P10_TA(2026)0150).</w:t>
      </w:r>
    </w:p>
  </w:footnote>
  <w:footnote w:id="7">
    <w:p w:rsidR="00203E21" w:rsidRPr="00ED7D00" w:rsidP="001C2033" w14:paraId="324AD0C0" w14:textId="0D73360B">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Komisjoni 24. aprilli 2015. aasta rakendusotsus (EL) 2015/696, millega antakse luba lasta turule geneetiliselt muundatud sojauba MON 87705 (MON-877Ø5-6) sisaldavaid, sellest koosnevaid või sellest valmistatud tooteid vastavalt Euroopa Parlamendi ja nõukogu määrusele (EÜ) nr 1829/2003 (ELT L 112, 30.4.2015, lk 60, ELI: </w:t>
      </w:r>
      <w:hyperlink r:id="rId24" w:history="1">
        <w:r w:rsidRPr="00ED7D00">
          <w:rPr>
            <w:rStyle w:val="Hyperlink"/>
            <w:sz w:val="24"/>
            <w:szCs w:val="24"/>
            <w:lang w:val="et-EE"/>
          </w:rPr>
          <w:t>http://data.europa.eu/eli/dec_impl/2015/696/2021-02-16</w:t>
        </w:r>
      </w:hyperlink>
      <w:r w:rsidRPr="00ED7D00">
        <w:rPr>
          <w:sz w:val="24"/>
          <w:szCs w:val="24"/>
          <w:lang w:val="et-EE"/>
        </w:rPr>
        <w:t>).</w:t>
      </w:r>
    </w:p>
  </w:footnote>
  <w:footnote w:id="8">
    <w:p w:rsidR="00203E21" w:rsidRPr="00ED7D00" w:rsidP="001C2033" w14:paraId="7B3730A2" w14:textId="1B7FC14E">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EFSA geneetiliselt muundatud organismide komisjoni teaduslik arvamus „</w:t>
      </w:r>
      <w:r w:rsidRPr="00ED7D00">
        <w:rPr>
          <w:sz w:val="24"/>
          <w:szCs w:val="24"/>
          <w:lang w:val="et-EE"/>
        </w:rPr>
        <w:t>Assessment</w:t>
      </w:r>
      <w:r w:rsidRPr="00ED7D00">
        <w:rPr>
          <w:sz w:val="24"/>
          <w:szCs w:val="24"/>
          <w:lang w:val="et-EE"/>
        </w:rPr>
        <w:t xml:space="preserve"> of </w:t>
      </w:r>
      <w:r w:rsidRPr="00ED7D00">
        <w:rPr>
          <w:sz w:val="24"/>
          <w:szCs w:val="24"/>
          <w:lang w:val="et-EE"/>
        </w:rPr>
        <w:t>genetically</w:t>
      </w:r>
      <w:r w:rsidRPr="00ED7D00">
        <w:rPr>
          <w:sz w:val="24"/>
          <w:szCs w:val="24"/>
          <w:lang w:val="et-EE"/>
        </w:rPr>
        <w:t xml:space="preserve"> </w:t>
      </w:r>
      <w:r w:rsidRPr="00ED7D00">
        <w:rPr>
          <w:sz w:val="24"/>
          <w:szCs w:val="24"/>
          <w:lang w:val="et-EE"/>
        </w:rPr>
        <w:t>modified</w:t>
      </w:r>
      <w:r w:rsidRPr="00ED7D00">
        <w:rPr>
          <w:sz w:val="24"/>
          <w:szCs w:val="24"/>
          <w:lang w:val="et-EE"/>
        </w:rPr>
        <w:t xml:space="preserve"> </w:t>
      </w:r>
      <w:r w:rsidRPr="00ED7D00">
        <w:rPr>
          <w:sz w:val="24"/>
          <w:szCs w:val="24"/>
          <w:lang w:val="et-EE"/>
        </w:rPr>
        <w:t>soybean</w:t>
      </w:r>
      <w:r w:rsidRPr="00ED7D00">
        <w:rPr>
          <w:sz w:val="24"/>
          <w:szCs w:val="24"/>
          <w:lang w:val="et-EE"/>
        </w:rPr>
        <w:t xml:space="preserve"> MON 87705 for </w:t>
      </w:r>
      <w:r w:rsidRPr="00ED7D00">
        <w:rPr>
          <w:sz w:val="24"/>
          <w:szCs w:val="24"/>
          <w:lang w:val="et-EE"/>
        </w:rPr>
        <w:t>renewal</w:t>
      </w:r>
      <w:r w:rsidRPr="00ED7D00">
        <w:rPr>
          <w:sz w:val="24"/>
          <w:szCs w:val="24"/>
          <w:lang w:val="et-EE"/>
        </w:rPr>
        <w:t xml:space="preserve"> </w:t>
      </w:r>
      <w:r w:rsidRPr="00ED7D00">
        <w:rPr>
          <w:sz w:val="24"/>
          <w:szCs w:val="24"/>
          <w:lang w:val="et-EE"/>
        </w:rPr>
        <w:t>authorisation</w:t>
      </w:r>
      <w:r w:rsidRPr="00ED7D00">
        <w:rPr>
          <w:sz w:val="24"/>
          <w:szCs w:val="24"/>
          <w:lang w:val="et-EE"/>
        </w:rPr>
        <w:t xml:space="preserve"> </w:t>
      </w:r>
      <w:r w:rsidRPr="00ED7D00">
        <w:rPr>
          <w:sz w:val="24"/>
          <w:szCs w:val="24"/>
          <w:lang w:val="et-EE"/>
        </w:rPr>
        <w:t>under</w:t>
      </w:r>
      <w:r w:rsidRPr="00ED7D00">
        <w:rPr>
          <w:sz w:val="24"/>
          <w:szCs w:val="24"/>
          <w:lang w:val="et-EE"/>
        </w:rPr>
        <w:t xml:space="preserve"> </w:t>
      </w:r>
      <w:r w:rsidRPr="00ED7D00">
        <w:rPr>
          <w:sz w:val="24"/>
          <w:szCs w:val="24"/>
          <w:lang w:val="et-EE"/>
        </w:rPr>
        <w:t>Regulation</w:t>
      </w:r>
      <w:r w:rsidRPr="00ED7D00">
        <w:rPr>
          <w:sz w:val="24"/>
          <w:szCs w:val="24"/>
          <w:lang w:val="et-EE"/>
        </w:rPr>
        <w:t xml:space="preserve"> (EC) No 1829/2003“ (Geneetiliselt muundatud sojaoa MON 87705 hindamine turule laskmise loa kehtivuse pikendamise eesmärgil vastavalt määrusele (EÜ) nr 1829/2003) (taotlus </w:t>
      </w:r>
      <w:r w:rsidRPr="00ED7D00">
        <w:rPr>
          <w:sz w:val="24"/>
          <w:szCs w:val="24"/>
          <w:lang w:val="et-EE"/>
        </w:rPr>
        <w:t>GMFF</w:t>
      </w:r>
      <w:r w:rsidRPr="00ED7D00">
        <w:rPr>
          <w:sz w:val="24"/>
          <w:szCs w:val="24"/>
          <w:lang w:val="et-EE"/>
        </w:rPr>
        <w:t xml:space="preserve">-2023-21236)), </w:t>
      </w:r>
      <w:r w:rsidRPr="0046609C">
        <w:rPr>
          <w:iCs/>
          <w:sz w:val="24"/>
          <w:szCs w:val="24"/>
          <w:lang w:val="et-EE"/>
        </w:rPr>
        <w:t>EFSA</w:t>
      </w:r>
      <w:r w:rsidRPr="0046609C">
        <w:rPr>
          <w:iCs/>
          <w:sz w:val="24"/>
          <w:szCs w:val="24"/>
          <w:lang w:val="et-EE"/>
        </w:rPr>
        <w:t xml:space="preserve"> </w:t>
      </w:r>
      <w:r w:rsidRPr="0046609C">
        <w:rPr>
          <w:iCs/>
          <w:sz w:val="24"/>
          <w:szCs w:val="24"/>
          <w:lang w:val="et-EE"/>
        </w:rPr>
        <w:t>Journal</w:t>
      </w:r>
      <w:r w:rsidRPr="00ED7D00">
        <w:rPr>
          <w:sz w:val="24"/>
          <w:szCs w:val="24"/>
          <w:lang w:val="et-EE"/>
        </w:rPr>
        <w:t>, 2026, 24(1):</w:t>
      </w:r>
      <w:r w:rsidRPr="00ED7D00">
        <w:rPr>
          <w:sz w:val="24"/>
          <w:szCs w:val="24"/>
          <w:lang w:val="et-EE"/>
        </w:rPr>
        <w:t>e9846</w:t>
      </w:r>
      <w:r w:rsidRPr="00ED7D00">
        <w:rPr>
          <w:sz w:val="24"/>
          <w:szCs w:val="24"/>
          <w:lang w:val="et-EE"/>
        </w:rPr>
        <w:t>,</w:t>
      </w:r>
      <w:r w:rsidRPr="0046609C" w:rsidR="00F06DD4">
        <w:rPr>
          <w:lang w:val="et-EE"/>
        </w:rPr>
        <w:t xml:space="preserve"> https://doi.org/10.2903/j.efsa.2026.9846</w:t>
      </w:r>
      <w:r w:rsidRPr="00ED7D00">
        <w:rPr>
          <w:sz w:val="24"/>
          <w:szCs w:val="24"/>
          <w:lang w:val="et-EE"/>
        </w:rPr>
        <w:t>.</w:t>
      </w:r>
    </w:p>
  </w:footnote>
  <w:footnote w:id="9">
    <w:p w:rsidR="00203E21" w:rsidRPr="00ED7D00" w:rsidP="001C2033" w14:paraId="0F51C3B8" w14:textId="7E3CC6EA">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EFSA geneetiliselt muundatud organismide komisjoni teaduslik arvamus „</w:t>
      </w:r>
      <w:r w:rsidRPr="00ED7D00">
        <w:rPr>
          <w:sz w:val="24"/>
          <w:szCs w:val="24"/>
          <w:lang w:val="et-EE"/>
        </w:rPr>
        <w:t>Scientific</w:t>
      </w:r>
      <w:r w:rsidRPr="00ED7D00">
        <w:rPr>
          <w:sz w:val="24"/>
          <w:szCs w:val="24"/>
          <w:lang w:val="et-EE"/>
        </w:rPr>
        <w:t xml:space="preserve"> </w:t>
      </w:r>
      <w:r w:rsidRPr="00ED7D00">
        <w:rPr>
          <w:sz w:val="24"/>
          <w:szCs w:val="24"/>
          <w:lang w:val="et-EE"/>
        </w:rPr>
        <w:t>Opinion</w:t>
      </w:r>
      <w:r w:rsidRPr="00ED7D00">
        <w:rPr>
          <w:sz w:val="24"/>
          <w:szCs w:val="24"/>
          <w:lang w:val="et-EE"/>
        </w:rPr>
        <w:t xml:space="preserve"> of </w:t>
      </w:r>
      <w:r w:rsidRPr="00ED7D00">
        <w:rPr>
          <w:sz w:val="24"/>
          <w:szCs w:val="24"/>
          <w:lang w:val="et-EE"/>
        </w:rPr>
        <w:t>the</w:t>
      </w:r>
      <w:r w:rsidRPr="00ED7D00">
        <w:rPr>
          <w:sz w:val="24"/>
          <w:szCs w:val="24"/>
          <w:lang w:val="et-EE"/>
        </w:rPr>
        <w:t xml:space="preserve"> </w:t>
      </w:r>
      <w:r w:rsidRPr="00ED7D00">
        <w:rPr>
          <w:sz w:val="24"/>
          <w:szCs w:val="24"/>
          <w:lang w:val="et-EE"/>
        </w:rPr>
        <w:t>EFSA</w:t>
      </w:r>
      <w:r w:rsidRPr="00ED7D00">
        <w:rPr>
          <w:sz w:val="24"/>
          <w:szCs w:val="24"/>
          <w:lang w:val="et-EE"/>
        </w:rPr>
        <w:t xml:space="preserve"> </w:t>
      </w:r>
      <w:r w:rsidRPr="00ED7D00">
        <w:rPr>
          <w:sz w:val="24"/>
          <w:szCs w:val="24"/>
          <w:lang w:val="et-EE"/>
        </w:rPr>
        <w:t>Panel</w:t>
      </w:r>
      <w:r w:rsidRPr="00ED7D00">
        <w:rPr>
          <w:sz w:val="24"/>
          <w:szCs w:val="24"/>
          <w:lang w:val="et-EE"/>
        </w:rPr>
        <w:t xml:space="preserve"> on </w:t>
      </w:r>
      <w:r w:rsidRPr="00ED7D00">
        <w:rPr>
          <w:sz w:val="24"/>
          <w:szCs w:val="24"/>
          <w:lang w:val="et-EE"/>
        </w:rPr>
        <w:t>Genetically</w:t>
      </w:r>
      <w:r w:rsidRPr="00ED7D00">
        <w:rPr>
          <w:sz w:val="24"/>
          <w:szCs w:val="24"/>
          <w:lang w:val="et-EE"/>
        </w:rPr>
        <w:t xml:space="preserve"> </w:t>
      </w:r>
      <w:r w:rsidRPr="00ED7D00">
        <w:rPr>
          <w:sz w:val="24"/>
          <w:szCs w:val="24"/>
          <w:lang w:val="et-EE"/>
        </w:rPr>
        <w:t>Modified</w:t>
      </w:r>
      <w:r w:rsidRPr="00ED7D00">
        <w:rPr>
          <w:sz w:val="24"/>
          <w:szCs w:val="24"/>
          <w:lang w:val="et-EE"/>
        </w:rPr>
        <w:t xml:space="preserve"> </w:t>
      </w:r>
      <w:r w:rsidRPr="00ED7D00">
        <w:rPr>
          <w:sz w:val="24"/>
          <w:szCs w:val="24"/>
          <w:lang w:val="et-EE"/>
        </w:rPr>
        <w:t>Organisms</w:t>
      </w:r>
      <w:r w:rsidRPr="00ED7D00">
        <w:rPr>
          <w:sz w:val="24"/>
          <w:szCs w:val="24"/>
          <w:lang w:val="et-EE"/>
        </w:rPr>
        <w:t xml:space="preserve"> on </w:t>
      </w:r>
      <w:r w:rsidRPr="00ED7D00">
        <w:rPr>
          <w:sz w:val="24"/>
          <w:szCs w:val="24"/>
          <w:lang w:val="et-EE"/>
        </w:rPr>
        <w:t>application</w:t>
      </w:r>
      <w:r w:rsidRPr="00ED7D00">
        <w:rPr>
          <w:sz w:val="24"/>
          <w:szCs w:val="24"/>
          <w:lang w:val="et-EE"/>
        </w:rPr>
        <w:t xml:space="preserve"> </w:t>
      </w:r>
      <w:r w:rsidRPr="00ED7D00">
        <w:rPr>
          <w:sz w:val="24"/>
          <w:szCs w:val="24"/>
          <w:lang w:val="et-EE"/>
        </w:rPr>
        <w:t>EFSA</w:t>
      </w:r>
      <w:r w:rsidRPr="00ED7D00">
        <w:rPr>
          <w:sz w:val="24"/>
          <w:szCs w:val="24"/>
          <w:lang w:val="et-EE"/>
        </w:rPr>
        <w:t>-</w:t>
      </w:r>
      <w:r w:rsidRPr="00ED7D00">
        <w:rPr>
          <w:sz w:val="24"/>
          <w:szCs w:val="24"/>
          <w:lang w:val="et-EE"/>
        </w:rPr>
        <w:t>GMO</w:t>
      </w:r>
      <w:r w:rsidRPr="00ED7D00">
        <w:rPr>
          <w:sz w:val="24"/>
          <w:szCs w:val="24"/>
          <w:lang w:val="et-EE"/>
        </w:rPr>
        <w:t xml:space="preserve">-NL-2010-78 for </w:t>
      </w:r>
      <w:r w:rsidRPr="00ED7D00">
        <w:rPr>
          <w:sz w:val="24"/>
          <w:szCs w:val="24"/>
          <w:lang w:val="et-EE"/>
        </w:rPr>
        <w:t>the</w:t>
      </w:r>
      <w:r w:rsidRPr="00ED7D00">
        <w:rPr>
          <w:sz w:val="24"/>
          <w:szCs w:val="24"/>
          <w:lang w:val="et-EE"/>
        </w:rPr>
        <w:t xml:space="preserve"> </w:t>
      </w:r>
      <w:r w:rsidRPr="00ED7D00">
        <w:rPr>
          <w:sz w:val="24"/>
          <w:szCs w:val="24"/>
          <w:lang w:val="et-EE"/>
        </w:rPr>
        <w:t>placing</w:t>
      </w:r>
      <w:r w:rsidRPr="00ED7D00">
        <w:rPr>
          <w:sz w:val="24"/>
          <w:szCs w:val="24"/>
          <w:lang w:val="et-EE"/>
        </w:rPr>
        <w:t xml:space="preserve"> on </w:t>
      </w:r>
      <w:r w:rsidRPr="00ED7D00">
        <w:rPr>
          <w:sz w:val="24"/>
          <w:szCs w:val="24"/>
          <w:lang w:val="et-EE"/>
        </w:rPr>
        <w:t>the</w:t>
      </w:r>
      <w:r w:rsidRPr="00ED7D00">
        <w:rPr>
          <w:sz w:val="24"/>
          <w:szCs w:val="24"/>
          <w:lang w:val="et-EE"/>
        </w:rPr>
        <w:t xml:space="preserve"> market of </w:t>
      </w:r>
      <w:r w:rsidRPr="00ED7D00">
        <w:rPr>
          <w:sz w:val="24"/>
          <w:szCs w:val="24"/>
          <w:lang w:val="et-EE"/>
        </w:rPr>
        <w:t>herbicide</w:t>
      </w:r>
      <w:r w:rsidRPr="00ED7D00">
        <w:rPr>
          <w:sz w:val="24"/>
          <w:szCs w:val="24"/>
          <w:lang w:val="et-EE"/>
        </w:rPr>
        <w:t xml:space="preserve"> tolerant </w:t>
      </w:r>
      <w:r w:rsidRPr="00ED7D00">
        <w:rPr>
          <w:sz w:val="24"/>
          <w:szCs w:val="24"/>
          <w:lang w:val="et-EE"/>
        </w:rPr>
        <w:t>genetically</w:t>
      </w:r>
      <w:r w:rsidRPr="00ED7D00">
        <w:rPr>
          <w:sz w:val="24"/>
          <w:szCs w:val="24"/>
          <w:lang w:val="et-EE"/>
        </w:rPr>
        <w:t xml:space="preserve"> </w:t>
      </w:r>
      <w:r w:rsidRPr="00ED7D00">
        <w:rPr>
          <w:sz w:val="24"/>
          <w:szCs w:val="24"/>
          <w:lang w:val="et-EE"/>
        </w:rPr>
        <w:t>modified</w:t>
      </w:r>
      <w:r w:rsidRPr="00ED7D00">
        <w:rPr>
          <w:sz w:val="24"/>
          <w:szCs w:val="24"/>
          <w:lang w:val="et-EE"/>
        </w:rPr>
        <w:t xml:space="preserve"> </w:t>
      </w:r>
      <w:r w:rsidRPr="00ED7D00">
        <w:rPr>
          <w:sz w:val="24"/>
          <w:szCs w:val="24"/>
          <w:lang w:val="et-EE"/>
        </w:rPr>
        <w:t>soybean</w:t>
      </w:r>
      <w:r w:rsidRPr="00ED7D00">
        <w:rPr>
          <w:sz w:val="24"/>
          <w:szCs w:val="24"/>
          <w:lang w:val="et-EE"/>
        </w:rPr>
        <w:t xml:space="preserve"> MON 87705 for </w:t>
      </w:r>
      <w:r w:rsidRPr="00ED7D00">
        <w:rPr>
          <w:sz w:val="24"/>
          <w:szCs w:val="24"/>
          <w:lang w:val="et-EE"/>
        </w:rPr>
        <w:t>food</w:t>
      </w:r>
      <w:r w:rsidRPr="00ED7D00">
        <w:rPr>
          <w:sz w:val="24"/>
          <w:szCs w:val="24"/>
          <w:lang w:val="et-EE"/>
        </w:rPr>
        <w:t xml:space="preserve"> and feed </w:t>
      </w:r>
      <w:r w:rsidRPr="00ED7D00">
        <w:rPr>
          <w:sz w:val="24"/>
          <w:szCs w:val="24"/>
          <w:lang w:val="et-EE"/>
        </w:rPr>
        <w:t>uses</w:t>
      </w:r>
      <w:r w:rsidRPr="00ED7D00">
        <w:rPr>
          <w:sz w:val="24"/>
          <w:szCs w:val="24"/>
          <w:lang w:val="et-EE"/>
        </w:rPr>
        <w:t xml:space="preserve">, import and </w:t>
      </w:r>
      <w:r w:rsidRPr="00ED7D00">
        <w:rPr>
          <w:sz w:val="24"/>
          <w:szCs w:val="24"/>
          <w:lang w:val="et-EE"/>
        </w:rPr>
        <w:t>processing</w:t>
      </w:r>
      <w:r w:rsidRPr="00ED7D00">
        <w:rPr>
          <w:sz w:val="24"/>
          <w:szCs w:val="24"/>
          <w:lang w:val="et-EE"/>
        </w:rPr>
        <w:t xml:space="preserve"> </w:t>
      </w:r>
      <w:r w:rsidRPr="00ED7D00">
        <w:rPr>
          <w:sz w:val="24"/>
          <w:szCs w:val="24"/>
          <w:lang w:val="et-EE"/>
        </w:rPr>
        <w:t>under</w:t>
      </w:r>
      <w:r w:rsidRPr="00ED7D00">
        <w:rPr>
          <w:sz w:val="24"/>
          <w:szCs w:val="24"/>
          <w:lang w:val="et-EE"/>
        </w:rPr>
        <w:t xml:space="preserve"> </w:t>
      </w:r>
      <w:r w:rsidRPr="00ED7D00">
        <w:rPr>
          <w:sz w:val="24"/>
          <w:szCs w:val="24"/>
          <w:lang w:val="et-EE"/>
        </w:rPr>
        <w:t>regulation</w:t>
      </w:r>
      <w:r w:rsidRPr="00ED7D00">
        <w:rPr>
          <w:sz w:val="24"/>
          <w:szCs w:val="24"/>
          <w:lang w:val="et-EE"/>
        </w:rPr>
        <w:t xml:space="preserve"> (EC) No 1829/2003 </w:t>
      </w:r>
      <w:r w:rsidRPr="00ED7D00">
        <w:rPr>
          <w:sz w:val="24"/>
          <w:szCs w:val="24"/>
          <w:lang w:val="et-EE"/>
        </w:rPr>
        <w:t>from</w:t>
      </w:r>
      <w:r w:rsidRPr="00ED7D00">
        <w:rPr>
          <w:sz w:val="24"/>
          <w:szCs w:val="24"/>
          <w:lang w:val="et-EE"/>
        </w:rPr>
        <w:t xml:space="preserve"> Monsanto“ (teaduslik arvamus Monsanto taotluse EFSA-GMO-NL-2010-78 kohta, mis käsitleb herbitsiiditolerantse geneetiliselt muundatud </w:t>
      </w:r>
      <w:r w:rsidRPr="00ED7D00">
        <w:rPr>
          <w:sz w:val="24"/>
          <w:szCs w:val="24"/>
          <w:lang w:val="et-EE"/>
        </w:rPr>
        <w:t>sojaoa</w:t>
      </w:r>
      <w:r w:rsidRPr="00ED7D00">
        <w:rPr>
          <w:sz w:val="24"/>
          <w:szCs w:val="24"/>
          <w:lang w:val="et-EE"/>
        </w:rPr>
        <w:t xml:space="preserve"> MON 87705 </w:t>
      </w:r>
      <w:r w:rsidRPr="00ED7D00">
        <w:rPr>
          <w:sz w:val="24"/>
          <w:szCs w:val="24"/>
          <w:lang w:val="et-EE"/>
        </w:rPr>
        <w:t>turuleviimist</w:t>
      </w:r>
      <w:r w:rsidRPr="00ED7D00">
        <w:rPr>
          <w:sz w:val="24"/>
          <w:szCs w:val="24"/>
          <w:lang w:val="et-EE"/>
        </w:rPr>
        <w:t xml:space="preserve"> toiduks ja söödaks kasutamiseks, importimiseks ja töötlemiseks määrusele (EÜ) nr 1829/2003 alusel), </w:t>
      </w:r>
      <w:r w:rsidRPr="0046609C">
        <w:rPr>
          <w:iCs/>
          <w:sz w:val="24"/>
          <w:szCs w:val="24"/>
          <w:lang w:val="et-EE"/>
        </w:rPr>
        <w:t>EFSA</w:t>
      </w:r>
      <w:r w:rsidRPr="0046609C">
        <w:rPr>
          <w:iCs/>
          <w:sz w:val="24"/>
          <w:szCs w:val="24"/>
          <w:lang w:val="et-EE"/>
        </w:rPr>
        <w:t xml:space="preserve"> </w:t>
      </w:r>
      <w:r w:rsidRPr="0046609C">
        <w:rPr>
          <w:iCs/>
          <w:sz w:val="24"/>
          <w:szCs w:val="24"/>
          <w:lang w:val="et-EE"/>
        </w:rPr>
        <w:t>Journal</w:t>
      </w:r>
      <w:r w:rsidRPr="00ED7D00">
        <w:rPr>
          <w:sz w:val="24"/>
          <w:szCs w:val="24"/>
          <w:lang w:val="et-EE"/>
        </w:rPr>
        <w:t xml:space="preserve"> 2012, 10(10):2909, </w:t>
      </w:r>
      <w:r w:rsidRPr="0046609C" w:rsidR="00F06DD4">
        <w:rPr>
          <w:lang w:val="et-EE"/>
        </w:rPr>
        <w:t>https://doi.org/10.2903/j.efsa.2012.2909</w:t>
      </w:r>
      <w:r w:rsidRPr="00ED7D00">
        <w:rPr>
          <w:sz w:val="24"/>
          <w:szCs w:val="24"/>
          <w:lang w:val="et-EE"/>
        </w:rPr>
        <w:t>.</w:t>
      </w:r>
    </w:p>
  </w:footnote>
  <w:footnote w:id="10">
    <w:p w:rsidR="00203E21" w:rsidRPr="00ED7D00" w:rsidP="001C2033" w14:paraId="4ECE2FE7" w14:textId="7CA7FA43">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EFSA geneetiliselt muundatud organismide komisjoni avaldus „</w:t>
      </w:r>
      <w:r w:rsidRPr="00ED7D00">
        <w:rPr>
          <w:sz w:val="24"/>
          <w:szCs w:val="24"/>
          <w:lang w:val="et-EE"/>
        </w:rPr>
        <w:t>Statement</w:t>
      </w:r>
      <w:r w:rsidRPr="00ED7D00">
        <w:rPr>
          <w:sz w:val="24"/>
          <w:szCs w:val="24"/>
          <w:lang w:val="et-EE"/>
        </w:rPr>
        <w:t xml:space="preserve"> </w:t>
      </w:r>
      <w:r w:rsidRPr="00ED7D00">
        <w:rPr>
          <w:sz w:val="24"/>
          <w:szCs w:val="24"/>
          <w:lang w:val="et-EE"/>
        </w:rPr>
        <w:t>supplementing</w:t>
      </w:r>
      <w:r w:rsidRPr="00ED7D00">
        <w:rPr>
          <w:sz w:val="24"/>
          <w:szCs w:val="24"/>
          <w:lang w:val="et-EE"/>
        </w:rPr>
        <w:t xml:space="preserve"> </w:t>
      </w:r>
      <w:r w:rsidRPr="00ED7D00">
        <w:rPr>
          <w:sz w:val="24"/>
          <w:szCs w:val="24"/>
          <w:lang w:val="et-EE"/>
        </w:rPr>
        <w:t>the</w:t>
      </w:r>
      <w:r w:rsidRPr="00ED7D00">
        <w:rPr>
          <w:sz w:val="24"/>
          <w:szCs w:val="24"/>
          <w:lang w:val="et-EE"/>
        </w:rPr>
        <w:t xml:space="preserve"> </w:t>
      </w:r>
      <w:r w:rsidRPr="00ED7D00">
        <w:rPr>
          <w:sz w:val="24"/>
          <w:szCs w:val="24"/>
          <w:lang w:val="et-EE"/>
        </w:rPr>
        <w:t>scientific</w:t>
      </w:r>
      <w:r w:rsidRPr="00ED7D00">
        <w:rPr>
          <w:sz w:val="24"/>
          <w:szCs w:val="24"/>
          <w:lang w:val="et-EE"/>
        </w:rPr>
        <w:t xml:space="preserve"> </w:t>
      </w:r>
      <w:r w:rsidRPr="00ED7D00">
        <w:rPr>
          <w:sz w:val="24"/>
          <w:szCs w:val="24"/>
          <w:lang w:val="et-EE"/>
        </w:rPr>
        <w:t>opinion</w:t>
      </w:r>
      <w:r w:rsidRPr="00ED7D00">
        <w:rPr>
          <w:sz w:val="24"/>
          <w:szCs w:val="24"/>
          <w:lang w:val="et-EE"/>
        </w:rPr>
        <w:t xml:space="preserve"> on </w:t>
      </w:r>
      <w:r w:rsidRPr="00ED7D00">
        <w:rPr>
          <w:sz w:val="24"/>
          <w:szCs w:val="24"/>
          <w:lang w:val="et-EE"/>
        </w:rPr>
        <w:t>application</w:t>
      </w:r>
      <w:r w:rsidRPr="00ED7D00">
        <w:rPr>
          <w:sz w:val="24"/>
          <w:szCs w:val="24"/>
          <w:lang w:val="et-EE"/>
        </w:rPr>
        <w:t xml:space="preserve"> </w:t>
      </w:r>
      <w:r w:rsidRPr="00ED7D00">
        <w:rPr>
          <w:sz w:val="24"/>
          <w:szCs w:val="24"/>
          <w:lang w:val="et-EE"/>
        </w:rPr>
        <w:t>EFSA</w:t>
      </w:r>
      <w:r w:rsidRPr="00ED7D00">
        <w:rPr>
          <w:sz w:val="24"/>
          <w:szCs w:val="24"/>
          <w:lang w:val="et-EE"/>
        </w:rPr>
        <w:t>-</w:t>
      </w:r>
      <w:r w:rsidRPr="00ED7D00">
        <w:rPr>
          <w:sz w:val="24"/>
          <w:szCs w:val="24"/>
          <w:lang w:val="et-EE"/>
        </w:rPr>
        <w:t>GMO</w:t>
      </w:r>
      <w:r w:rsidRPr="00ED7D00">
        <w:rPr>
          <w:sz w:val="24"/>
          <w:szCs w:val="24"/>
          <w:lang w:val="et-EE"/>
        </w:rPr>
        <w:t xml:space="preserve">-NL-2010–78, </w:t>
      </w:r>
      <w:r w:rsidRPr="00ED7D00">
        <w:rPr>
          <w:sz w:val="24"/>
          <w:szCs w:val="24"/>
          <w:lang w:val="et-EE"/>
        </w:rPr>
        <w:t>to</w:t>
      </w:r>
      <w:r w:rsidRPr="00ED7D00">
        <w:rPr>
          <w:sz w:val="24"/>
          <w:szCs w:val="24"/>
          <w:lang w:val="et-EE"/>
        </w:rPr>
        <w:t xml:space="preserve"> </w:t>
      </w:r>
      <w:r w:rsidRPr="00ED7D00">
        <w:rPr>
          <w:sz w:val="24"/>
          <w:szCs w:val="24"/>
          <w:lang w:val="et-EE"/>
        </w:rPr>
        <w:t>cover</w:t>
      </w:r>
      <w:r w:rsidRPr="00ED7D00">
        <w:rPr>
          <w:sz w:val="24"/>
          <w:szCs w:val="24"/>
          <w:lang w:val="et-EE"/>
        </w:rPr>
        <w:t xml:space="preserve"> </w:t>
      </w:r>
      <w:r w:rsidRPr="00ED7D00">
        <w:rPr>
          <w:sz w:val="24"/>
          <w:szCs w:val="24"/>
          <w:lang w:val="et-EE"/>
        </w:rPr>
        <w:t>the</w:t>
      </w:r>
      <w:r w:rsidRPr="00ED7D00">
        <w:rPr>
          <w:sz w:val="24"/>
          <w:szCs w:val="24"/>
          <w:lang w:val="et-EE"/>
        </w:rPr>
        <w:t xml:space="preserve"> </w:t>
      </w:r>
      <w:r w:rsidRPr="00ED7D00">
        <w:rPr>
          <w:sz w:val="24"/>
          <w:szCs w:val="24"/>
          <w:lang w:val="et-EE"/>
        </w:rPr>
        <w:t>safety</w:t>
      </w:r>
      <w:r w:rsidRPr="00ED7D00">
        <w:rPr>
          <w:sz w:val="24"/>
          <w:szCs w:val="24"/>
          <w:lang w:val="et-EE"/>
        </w:rPr>
        <w:t xml:space="preserve"> of </w:t>
      </w:r>
      <w:r w:rsidRPr="00ED7D00">
        <w:rPr>
          <w:sz w:val="24"/>
          <w:szCs w:val="24"/>
          <w:lang w:val="et-EE"/>
        </w:rPr>
        <w:t>soybean</w:t>
      </w:r>
      <w:r w:rsidRPr="00ED7D00">
        <w:rPr>
          <w:sz w:val="24"/>
          <w:szCs w:val="24"/>
          <w:lang w:val="et-EE"/>
        </w:rPr>
        <w:t xml:space="preserve"> MON 87705 </w:t>
      </w:r>
      <w:r w:rsidRPr="00ED7D00">
        <w:rPr>
          <w:sz w:val="24"/>
          <w:szCs w:val="24"/>
          <w:lang w:val="et-EE"/>
        </w:rPr>
        <w:t>oil</w:t>
      </w:r>
      <w:r w:rsidRPr="00ED7D00">
        <w:rPr>
          <w:sz w:val="24"/>
          <w:szCs w:val="24"/>
          <w:lang w:val="et-EE"/>
        </w:rPr>
        <w:t xml:space="preserve"> for </w:t>
      </w:r>
      <w:r w:rsidRPr="00ED7D00">
        <w:rPr>
          <w:sz w:val="24"/>
          <w:szCs w:val="24"/>
          <w:lang w:val="et-EE"/>
        </w:rPr>
        <w:t>commercial</w:t>
      </w:r>
      <w:r w:rsidRPr="00ED7D00">
        <w:rPr>
          <w:sz w:val="24"/>
          <w:szCs w:val="24"/>
          <w:lang w:val="et-EE"/>
        </w:rPr>
        <w:t xml:space="preserve"> </w:t>
      </w:r>
      <w:r w:rsidRPr="00ED7D00">
        <w:rPr>
          <w:sz w:val="24"/>
          <w:szCs w:val="24"/>
          <w:lang w:val="et-EE"/>
        </w:rPr>
        <w:t>frying</w:t>
      </w:r>
      <w:r w:rsidRPr="00ED7D00">
        <w:rPr>
          <w:sz w:val="24"/>
          <w:szCs w:val="24"/>
          <w:lang w:val="et-EE"/>
        </w:rPr>
        <w:t xml:space="preserve">“ (avaldus, mis täiendab teaduslikku arvamust taotluse EFSA-GMO-NL-2010–78, et hõlmata sojaoa MON 87705 õli ohutust kaubanduslikul eesmärgil praadimiseks), </w:t>
      </w:r>
      <w:r w:rsidRPr="0046609C">
        <w:rPr>
          <w:iCs/>
          <w:sz w:val="24"/>
          <w:szCs w:val="24"/>
          <w:lang w:val="et-EE"/>
        </w:rPr>
        <w:t>EFSA</w:t>
      </w:r>
      <w:r w:rsidRPr="0046609C">
        <w:rPr>
          <w:iCs/>
          <w:sz w:val="24"/>
          <w:szCs w:val="24"/>
          <w:lang w:val="et-EE"/>
        </w:rPr>
        <w:t xml:space="preserve"> </w:t>
      </w:r>
      <w:r w:rsidRPr="0046609C">
        <w:rPr>
          <w:iCs/>
          <w:sz w:val="24"/>
          <w:szCs w:val="24"/>
          <w:lang w:val="et-EE"/>
        </w:rPr>
        <w:t>Journal</w:t>
      </w:r>
      <w:r w:rsidRPr="00ED7D00">
        <w:rPr>
          <w:sz w:val="24"/>
          <w:szCs w:val="24"/>
          <w:lang w:val="et-EE"/>
        </w:rPr>
        <w:t>, 2013, 11(12):3507,</w:t>
      </w:r>
      <w:hyperlink r:id="rId25" w:history="1">
        <w:r w:rsidRPr="00ED7D00">
          <w:rPr>
            <w:rStyle w:val="Hyperlink"/>
            <w:sz w:val="24"/>
            <w:szCs w:val="24"/>
            <w:lang w:val="et-EE"/>
          </w:rPr>
          <w:t xml:space="preserve"> https://doi.org/10.2903/j.efsa.2013.3507</w:t>
        </w:r>
      </w:hyperlink>
      <w:r w:rsidRPr="00ED7D00">
        <w:rPr>
          <w:sz w:val="24"/>
          <w:szCs w:val="24"/>
          <w:lang w:val="et-EE"/>
        </w:rPr>
        <w:t>.</w:t>
      </w:r>
    </w:p>
  </w:footnote>
  <w:footnote w:id="11">
    <w:p w:rsidR="00203E21" w:rsidRPr="00ED7D00" w:rsidP="001C2033" w14:paraId="57108463" w14:textId="5338D4E6">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shd w:val="clear" w:color="auto" w:fill="FFFFFF"/>
          <w:lang w:val="et-EE"/>
        </w:rPr>
        <w:tab/>
      </w:r>
      <w:r w:rsidRPr="00ED7D00">
        <w:rPr>
          <w:sz w:val="24"/>
          <w:szCs w:val="24"/>
          <w:shd w:val="clear" w:color="auto" w:fill="FFFFFF"/>
          <w:lang w:val="et-EE"/>
        </w:rPr>
        <w:t xml:space="preserve">Vt nt </w:t>
      </w:r>
      <w:r w:rsidRPr="00ED7D00">
        <w:rPr>
          <w:sz w:val="24"/>
          <w:szCs w:val="24"/>
          <w:shd w:val="clear" w:color="auto" w:fill="FFFFFF"/>
          <w:lang w:val="et-EE"/>
        </w:rPr>
        <w:t>Bonny</w:t>
      </w:r>
      <w:r w:rsidRPr="00ED7D00">
        <w:rPr>
          <w:sz w:val="24"/>
          <w:szCs w:val="24"/>
          <w:shd w:val="clear" w:color="auto" w:fill="FFFFFF"/>
          <w:lang w:val="et-EE"/>
        </w:rPr>
        <w:t>, S., „</w:t>
      </w:r>
      <w:r w:rsidRPr="00ED7D00">
        <w:rPr>
          <w:sz w:val="24"/>
          <w:szCs w:val="24"/>
          <w:shd w:val="clear" w:color="auto" w:fill="FFFFFF"/>
          <w:lang w:val="et-EE"/>
        </w:rPr>
        <w:t>Genetically</w:t>
      </w:r>
      <w:r w:rsidRPr="00ED7D00">
        <w:rPr>
          <w:sz w:val="24"/>
          <w:szCs w:val="24"/>
          <w:shd w:val="clear" w:color="auto" w:fill="FFFFFF"/>
          <w:lang w:val="et-EE"/>
        </w:rPr>
        <w:t xml:space="preserve"> </w:t>
      </w:r>
      <w:r w:rsidRPr="00ED7D00">
        <w:rPr>
          <w:sz w:val="24"/>
          <w:szCs w:val="24"/>
          <w:shd w:val="clear" w:color="auto" w:fill="FFFFFF"/>
          <w:lang w:val="et-EE"/>
        </w:rPr>
        <w:t>Modified</w:t>
      </w:r>
      <w:r w:rsidRPr="00ED7D00">
        <w:rPr>
          <w:sz w:val="24"/>
          <w:szCs w:val="24"/>
          <w:shd w:val="clear" w:color="auto" w:fill="FFFFFF"/>
          <w:lang w:val="et-EE"/>
        </w:rPr>
        <w:t xml:space="preserve"> </w:t>
      </w:r>
      <w:r w:rsidRPr="00ED7D00">
        <w:rPr>
          <w:sz w:val="24"/>
          <w:szCs w:val="24"/>
          <w:shd w:val="clear" w:color="auto" w:fill="FFFFFF"/>
          <w:lang w:val="et-EE"/>
        </w:rPr>
        <w:t>Herbicide</w:t>
      </w:r>
      <w:r w:rsidRPr="00ED7D00">
        <w:rPr>
          <w:sz w:val="24"/>
          <w:szCs w:val="24"/>
          <w:shd w:val="clear" w:color="auto" w:fill="FFFFFF"/>
          <w:lang w:val="et-EE"/>
        </w:rPr>
        <w:t xml:space="preserve">-Tolerant </w:t>
      </w:r>
      <w:r w:rsidRPr="00ED7D00">
        <w:rPr>
          <w:sz w:val="24"/>
          <w:szCs w:val="24"/>
          <w:shd w:val="clear" w:color="auto" w:fill="FFFFFF"/>
          <w:lang w:val="et-EE"/>
        </w:rPr>
        <w:t>Crops</w:t>
      </w:r>
      <w:r w:rsidRPr="00ED7D00">
        <w:rPr>
          <w:sz w:val="24"/>
          <w:szCs w:val="24"/>
          <w:shd w:val="clear" w:color="auto" w:fill="FFFFFF"/>
          <w:lang w:val="et-EE"/>
        </w:rPr>
        <w:t xml:space="preserve">, </w:t>
      </w:r>
      <w:r w:rsidRPr="00ED7D00">
        <w:rPr>
          <w:sz w:val="24"/>
          <w:szCs w:val="24"/>
          <w:shd w:val="clear" w:color="auto" w:fill="FFFFFF"/>
          <w:lang w:val="et-EE"/>
        </w:rPr>
        <w:t>Weeds</w:t>
      </w:r>
      <w:r w:rsidRPr="00ED7D00">
        <w:rPr>
          <w:sz w:val="24"/>
          <w:szCs w:val="24"/>
          <w:shd w:val="clear" w:color="auto" w:fill="FFFFFF"/>
          <w:lang w:val="et-EE"/>
        </w:rPr>
        <w:t xml:space="preserve">, and </w:t>
      </w:r>
      <w:r w:rsidRPr="00ED7D00">
        <w:rPr>
          <w:sz w:val="24"/>
          <w:szCs w:val="24"/>
          <w:shd w:val="clear" w:color="auto" w:fill="FFFFFF"/>
          <w:lang w:val="et-EE"/>
        </w:rPr>
        <w:t>Herbicides</w:t>
      </w:r>
      <w:r w:rsidRPr="00ED7D00">
        <w:rPr>
          <w:sz w:val="24"/>
          <w:szCs w:val="24"/>
          <w:shd w:val="clear" w:color="auto" w:fill="FFFFFF"/>
          <w:lang w:val="et-EE"/>
        </w:rPr>
        <w:t xml:space="preserve">: </w:t>
      </w:r>
      <w:r w:rsidRPr="00ED7D00">
        <w:rPr>
          <w:sz w:val="24"/>
          <w:szCs w:val="24"/>
          <w:shd w:val="clear" w:color="auto" w:fill="FFFFFF"/>
          <w:lang w:val="et-EE"/>
        </w:rPr>
        <w:t>Overview</w:t>
      </w:r>
      <w:r w:rsidRPr="00ED7D00">
        <w:rPr>
          <w:sz w:val="24"/>
          <w:szCs w:val="24"/>
          <w:shd w:val="clear" w:color="auto" w:fill="FFFFFF"/>
          <w:lang w:val="et-EE"/>
        </w:rPr>
        <w:t xml:space="preserve"> and </w:t>
      </w:r>
      <w:r w:rsidRPr="00ED7D00">
        <w:rPr>
          <w:sz w:val="24"/>
          <w:szCs w:val="24"/>
          <w:shd w:val="clear" w:color="auto" w:fill="FFFFFF"/>
          <w:lang w:val="et-EE"/>
        </w:rPr>
        <w:t>Impact</w:t>
      </w:r>
      <w:r w:rsidRPr="00ED7D00">
        <w:rPr>
          <w:sz w:val="24"/>
          <w:szCs w:val="24"/>
          <w:shd w:val="clear" w:color="auto" w:fill="FFFFFF"/>
          <w:lang w:val="et-EE"/>
        </w:rPr>
        <w:t xml:space="preserve">“ (Geneetiliselt muundatud herbitsiiditolerantsed põllukultuurid, umbrohi ja taimemürgid: ülevaade ja mõju, </w:t>
      </w:r>
      <w:r w:rsidRPr="0046609C">
        <w:rPr>
          <w:iCs/>
          <w:sz w:val="24"/>
          <w:szCs w:val="24"/>
          <w:shd w:val="clear" w:color="auto" w:fill="FFFFFF"/>
          <w:lang w:val="et-EE"/>
        </w:rPr>
        <w:t>Environmental</w:t>
      </w:r>
      <w:r w:rsidRPr="0046609C">
        <w:rPr>
          <w:iCs/>
          <w:sz w:val="24"/>
          <w:szCs w:val="24"/>
          <w:shd w:val="clear" w:color="auto" w:fill="FFFFFF"/>
          <w:lang w:val="et-EE"/>
        </w:rPr>
        <w:t xml:space="preserve"> Management</w:t>
      </w:r>
      <w:r w:rsidRPr="00ED7D00">
        <w:rPr>
          <w:sz w:val="24"/>
          <w:szCs w:val="24"/>
          <w:shd w:val="clear" w:color="auto" w:fill="FFFFFF"/>
          <w:lang w:val="et-EE"/>
        </w:rPr>
        <w:t xml:space="preserve">, jaanuar 2016, 57(1), lk 31–48, </w:t>
      </w:r>
      <w:bookmarkStart w:id="7" w:name="_Hlk104996594"/>
      <w:hyperlink r:id="rId26" w:history="1">
        <w:r w:rsidRPr="00ED7D00">
          <w:rPr>
            <w:rStyle w:val="Hyperlink"/>
            <w:sz w:val="24"/>
            <w:szCs w:val="24"/>
            <w:shd w:val="clear" w:color="auto" w:fill="FFFFFF"/>
            <w:lang w:val="et-EE"/>
          </w:rPr>
          <w:t>https://doi.org/10.1007/s00267-015-0589-7</w:t>
        </w:r>
      </w:hyperlink>
      <w:r w:rsidRPr="00ED7D00">
        <w:rPr>
          <w:sz w:val="24"/>
          <w:szCs w:val="24"/>
          <w:shd w:val="clear" w:color="auto" w:fill="FFFFFF"/>
          <w:lang w:val="et-EE"/>
        </w:rPr>
        <w:t xml:space="preserve"> </w:t>
      </w:r>
      <w:bookmarkEnd w:id="7"/>
      <w:r w:rsidRPr="00ED7D00">
        <w:rPr>
          <w:sz w:val="24"/>
          <w:szCs w:val="24"/>
          <w:shd w:val="clear" w:color="auto" w:fill="FFFFFF"/>
          <w:lang w:val="et-EE"/>
        </w:rPr>
        <w:t xml:space="preserve">ja </w:t>
      </w:r>
      <w:r w:rsidRPr="00ED7D00">
        <w:rPr>
          <w:sz w:val="24"/>
          <w:szCs w:val="24"/>
          <w:shd w:val="clear" w:color="auto" w:fill="FFFFFF"/>
          <w:lang w:val="et-EE"/>
        </w:rPr>
        <w:t>Benbrook</w:t>
      </w:r>
      <w:r w:rsidRPr="00ED7D00">
        <w:rPr>
          <w:sz w:val="24"/>
          <w:szCs w:val="24"/>
          <w:shd w:val="clear" w:color="auto" w:fill="FFFFFF"/>
          <w:lang w:val="et-EE"/>
        </w:rPr>
        <w:t>, C.M., „</w:t>
      </w:r>
      <w:r w:rsidRPr="00ED7D00">
        <w:rPr>
          <w:sz w:val="24"/>
          <w:szCs w:val="24"/>
          <w:shd w:val="clear" w:color="auto" w:fill="FFFFFF"/>
          <w:lang w:val="et-EE"/>
        </w:rPr>
        <w:t>Impacts</w:t>
      </w:r>
      <w:r w:rsidRPr="00ED7D00">
        <w:rPr>
          <w:sz w:val="24"/>
          <w:szCs w:val="24"/>
          <w:shd w:val="clear" w:color="auto" w:fill="FFFFFF"/>
          <w:lang w:val="et-EE"/>
        </w:rPr>
        <w:t xml:space="preserve"> of </w:t>
      </w:r>
      <w:r w:rsidRPr="00ED7D00">
        <w:rPr>
          <w:sz w:val="24"/>
          <w:szCs w:val="24"/>
          <w:shd w:val="clear" w:color="auto" w:fill="FFFFFF"/>
          <w:lang w:val="et-EE"/>
        </w:rPr>
        <w:t>genetically</w:t>
      </w:r>
      <w:r w:rsidRPr="00ED7D00">
        <w:rPr>
          <w:sz w:val="24"/>
          <w:szCs w:val="24"/>
          <w:shd w:val="clear" w:color="auto" w:fill="FFFFFF"/>
          <w:lang w:val="et-EE"/>
        </w:rPr>
        <w:t xml:space="preserve"> </w:t>
      </w:r>
      <w:r w:rsidRPr="00ED7D00">
        <w:rPr>
          <w:sz w:val="24"/>
          <w:szCs w:val="24"/>
          <w:shd w:val="clear" w:color="auto" w:fill="FFFFFF"/>
          <w:lang w:val="et-EE"/>
        </w:rPr>
        <w:t>engineered</w:t>
      </w:r>
      <w:r w:rsidRPr="00ED7D00">
        <w:rPr>
          <w:sz w:val="24"/>
          <w:szCs w:val="24"/>
          <w:shd w:val="clear" w:color="auto" w:fill="FFFFFF"/>
          <w:lang w:val="et-EE"/>
        </w:rPr>
        <w:t xml:space="preserve"> </w:t>
      </w:r>
      <w:r w:rsidRPr="00ED7D00">
        <w:rPr>
          <w:sz w:val="24"/>
          <w:szCs w:val="24"/>
          <w:shd w:val="clear" w:color="auto" w:fill="FFFFFF"/>
          <w:lang w:val="et-EE"/>
        </w:rPr>
        <w:t>crops</w:t>
      </w:r>
      <w:r w:rsidRPr="00ED7D00">
        <w:rPr>
          <w:sz w:val="24"/>
          <w:szCs w:val="24"/>
          <w:shd w:val="clear" w:color="auto" w:fill="FFFFFF"/>
          <w:lang w:val="et-EE"/>
        </w:rPr>
        <w:t xml:space="preserve"> on </w:t>
      </w:r>
      <w:r w:rsidRPr="00ED7D00">
        <w:rPr>
          <w:sz w:val="24"/>
          <w:szCs w:val="24"/>
          <w:shd w:val="clear" w:color="auto" w:fill="FFFFFF"/>
          <w:lang w:val="et-EE"/>
        </w:rPr>
        <w:t>pesticide</w:t>
      </w:r>
      <w:r w:rsidRPr="00ED7D00">
        <w:rPr>
          <w:sz w:val="24"/>
          <w:szCs w:val="24"/>
          <w:shd w:val="clear" w:color="auto" w:fill="FFFFFF"/>
          <w:lang w:val="et-EE"/>
        </w:rPr>
        <w:t xml:space="preserve"> </w:t>
      </w:r>
      <w:r w:rsidRPr="00ED7D00">
        <w:rPr>
          <w:sz w:val="24"/>
          <w:szCs w:val="24"/>
          <w:shd w:val="clear" w:color="auto" w:fill="FFFFFF"/>
          <w:lang w:val="et-EE"/>
        </w:rPr>
        <w:t>use</w:t>
      </w:r>
      <w:r w:rsidRPr="00ED7D00">
        <w:rPr>
          <w:sz w:val="24"/>
          <w:szCs w:val="24"/>
          <w:shd w:val="clear" w:color="auto" w:fill="FFFFFF"/>
          <w:lang w:val="et-EE"/>
        </w:rPr>
        <w:t xml:space="preserve"> in </w:t>
      </w:r>
      <w:r w:rsidRPr="00ED7D00">
        <w:rPr>
          <w:sz w:val="24"/>
          <w:szCs w:val="24"/>
          <w:shd w:val="clear" w:color="auto" w:fill="FFFFFF"/>
          <w:lang w:val="et-EE"/>
        </w:rPr>
        <w:t>the</w:t>
      </w:r>
      <w:r w:rsidRPr="00ED7D00">
        <w:rPr>
          <w:sz w:val="24"/>
          <w:szCs w:val="24"/>
          <w:shd w:val="clear" w:color="auto" w:fill="FFFFFF"/>
          <w:lang w:val="et-EE"/>
        </w:rPr>
        <w:t xml:space="preserve"> U.S. - </w:t>
      </w:r>
      <w:r w:rsidRPr="00ED7D00">
        <w:rPr>
          <w:sz w:val="24"/>
          <w:szCs w:val="24"/>
          <w:shd w:val="clear" w:color="auto" w:fill="FFFFFF"/>
          <w:lang w:val="et-EE"/>
        </w:rPr>
        <w:t>the</w:t>
      </w:r>
      <w:r w:rsidRPr="00ED7D00">
        <w:rPr>
          <w:sz w:val="24"/>
          <w:szCs w:val="24"/>
          <w:shd w:val="clear" w:color="auto" w:fill="FFFFFF"/>
          <w:lang w:val="et-EE"/>
        </w:rPr>
        <w:t xml:space="preserve"> </w:t>
      </w:r>
      <w:r w:rsidRPr="00ED7D00">
        <w:rPr>
          <w:sz w:val="24"/>
          <w:szCs w:val="24"/>
          <w:shd w:val="clear" w:color="auto" w:fill="FFFFFF"/>
          <w:lang w:val="et-EE"/>
        </w:rPr>
        <w:t>first</w:t>
      </w:r>
      <w:r w:rsidRPr="00ED7D00">
        <w:rPr>
          <w:sz w:val="24"/>
          <w:szCs w:val="24"/>
          <w:shd w:val="clear" w:color="auto" w:fill="FFFFFF"/>
          <w:lang w:val="et-EE"/>
        </w:rPr>
        <w:t xml:space="preserve"> </w:t>
      </w:r>
      <w:r w:rsidRPr="00ED7D00">
        <w:rPr>
          <w:sz w:val="24"/>
          <w:szCs w:val="24"/>
          <w:shd w:val="clear" w:color="auto" w:fill="FFFFFF"/>
          <w:lang w:val="et-EE"/>
        </w:rPr>
        <w:t>sixteen</w:t>
      </w:r>
      <w:r w:rsidRPr="00ED7D00">
        <w:rPr>
          <w:sz w:val="24"/>
          <w:szCs w:val="24"/>
          <w:shd w:val="clear" w:color="auto" w:fill="FFFFFF"/>
          <w:lang w:val="et-EE"/>
        </w:rPr>
        <w:t xml:space="preserve"> </w:t>
      </w:r>
      <w:r w:rsidRPr="00ED7D00">
        <w:rPr>
          <w:sz w:val="24"/>
          <w:szCs w:val="24"/>
          <w:shd w:val="clear" w:color="auto" w:fill="FFFFFF"/>
          <w:lang w:val="et-EE"/>
        </w:rPr>
        <w:t>years</w:t>
      </w:r>
      <w:r w:rsidRPr="00ED7D00">
        <w:rPr>
          <w:sz w:val="24"/>
          <w:szCs w:val="24"/>
          <w:shd w:val="clear" w:color="auto" w:fill="FFFFFF"/>
          <w:lang w:val="et-EE"/>
        </w:rPr>
        <w:t>“ (Geneetiliselt muudetud põllukultuuride mõju pestitsiidikasutusele USAs – esimesed 16 aastat)</w:t>
      </w:r>
      <w:r w:rsidRPr="00ED7D00">
        <w:rPr>
          <w:i/>
          <w:sz w:val="24"/>
          <w:szCs w:val="24"/>
          <w:shd w:val="clear" w:color="auto" w:fill="FFFFFF"/>
          <w:lang w:val="et-EE"/>
        </w:rPr>
        <w:t xml:space="preserve">, </w:t>
      </w:r>
      <w:r w:rsidRPr="0046609C">
        <w:rPr>
          <w:iCs/>
          <w:sz w:val="24"/>
          <w:szCs w:val="24"/>
          <w:shd w:val="clear" w:color="auto" w:fill="FFFFFF"/>
          <w:lang w:val="et-EE"/>
        </w:rPr>
        <w:t>Environmental</w:t>
      </w:r>
      <w:r w:rsidRPr="0046609C">
        <w:rPr>
          <w:iCs/>
          <w:sz w:val="24"/>
          <w:szCs w:val="24"/>
          <w:shd w:val="clear" w:color="auto" w:fill="FFFFFF"/>
          <w:lang w:val="et-EE"/>
        </w:rPr>
        <w:t xml:space="preserve"> </w:t>
      </w:r>
      <w:r w:rsidRPr="0046609C">
        <w:rPr>
          <w:iCs/>
          <w:sz w:val="24"/>
          <w:szCs w:val="24"/>
          <w:shd w:val="clear" w:color="auto" w:fill="FFFFFF"/>
          <w:lang w:val="et-EE"/>
        </w:rPr>
        <w:t>Sciences</w:t>
      </w:r>
      <w:r w:rsidRPr="0046609C">
        <w:rPr>
          <w:iCs/>
          <w:sz w:val="24"/>
          <w:szCs w:val="24"/>
          <w:shd w:val="clear" w:color="auto" w:fill="FFFFFF"/>
          <w:lang w:val="et-EE"/>
        </w:rPr>
        <w:t xml:space="preserve"> Europe</w:t>
      </w:r>
      <w:r w:rsidRPr="00ED7D00">
        <w:rPr>
          <w:sz w:val="24"/>
          <w:szCs w:val="24"/>
          <w:shd w:val="clear" w:color="auto" w:fill="FFFFFF"/>
          <w:lang w:val="et-EE"/>
        </w:rPr>
        <w:t xml:space="preserve">, 28. september 2012, kd 24(1), </w:t>
      </w:r>
      <w:hyperlink r:id="rId27" w:history="1">
        <w:r w:rsidRPr="00ED7D00">
          <w:rPr>
            <w:rStyle w:val="Hyperlink"/>
            <w:sz w:val="24"/>
            <w:szCs w:val="24"/>
            <w:lang w:val="et-EE"/>
          </w:rPr>
          <w:t>https://doi.org/10.1186/2190-4715-24-24</w:t>
        </w:r>
      </w:hyperlink>
      <w:r w:rsidRPr="00ED7D00">
        <w:rPr>
          <w:sz w:val="24"/>
          <w:szCs w:val="24"/>
          <w:shd w:val="clear" w:color="auto" w:fill="FFFFFF"/>
          <w:lang w:val="et-EE"/>
        </w:rPr>
        <w:t>.</w:t>
      </w:r>
    </w:p>
  </w:footnote>
  <w:footnote w:id="12">
    <w:p w:rsidR="00203E21" w:rsidRPr="00ED7D00" w:rsidP="001C2033" w14:paraId="2FB3B124" w14:textId="464C5F6F">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shd w:val="clear" w:color="auto" w:fill="FFFFFF"/>
          <w:lang w:val="et-EE"/>
        </w:rPr>
        <w:tab/>
      </w:r>
      <w:r w:rsidRPr="00ED7D00">
        <w:rPr>
          <w:sz w:val="24"/>
          <w:szCs w:val="24"/>
          <w:shd w:val="clear" w:color="auto" w:fill="FFFFFF"/>
          <w:lang w:val="et-EE"/>
        </w:rPr>
        <w:t xml:space="preserve">Vt nt </w:t>
      </w:r>
      <w:bookmarkStart w:id="8" w:name="_Hlk104996780"/>
      <w:hyperlink r:id="rId28" w:history="1">
        <w:r w:rsidRPr="00ED7D00">
          <w:rPr>
            <w:rStyle w:val="Hyperlink"/>
            <w:sz w:val="24"/>
            <w:szCs w:val="24"/>
            <w:lang w:val="et-EE"/>
          </w:rPr>
          <w:t>https://doi.org/10.1016/j.mrrev.2019.02.001</w:t>
        </w:r>
      </w:hyperlink>
      <w:bookmarkEnd w:id="8"/>
      <w:r w:rsidR="00A21A89">
        <w:rPr>
          <w:sz w:val="24"/>
          <w:szCs w:val="24"/>
          <w:lang w:val="et-EE"/>
        </w:rPr>
        <w:t xml:space="preserve">, </w:t>
      </w:r>
      <w:hyperlink r:id="rId29" w:history="1">
        <w:r w:rsidRPr="00A21A89" w:rsidR="00A21A89">
          <w:rPr>
            <w:rStyle w:val="Hyperlink"/>
            <w:sz w:val="24"/>
            <w:szCs w:val="24"/>
            <w:lang w:val="et-EE"/>
          </w:rPr>
          <w:t>https://doi.org/10.1093/ije/dyz017</w:t>
        </w:r>
      </w:hyperlink>
      <w:r w:rsidRPr="00ED7D00">
        <w:rPr>
          <w:sz w:val="24"/>
          <w:szCs w:val="24"/>
          <w:shd w:val="clear" w:color="auto" w:fill="FFFFFF"/>
          <w:lang w:val="et-EE"/>
        </w:rPr>
        <w:t xml:space="preserve">, </w:t>
      </w:r>
      <w:hyperlink r:id="rId30" w:history="1">
        <w:r w:rsidRPr="00ED7D00">
          <w:rPr>
            <w:rStyle w:val="Hyperlink"/>
            <w:sz w:val="24"/>
            <w:szCs w:val="24"/>
            <w:lang w:val="et-EE"/>
          </w:rPr>
          <w:t>https://doi.org/10.1371/journal.pone.0219610</w:t>
        </w:r>
      </w:hyperlink>
      <w:r w:rsidRPr="00ED7D00">
        <w:rPr>
          <w:sz w:val="24"/>
          <w:szCs w:val="24"/>
          <w:shd w:val="clear" w:color="auto" w:fill="FFFFFF"/>
          <w:lang w:val="et-EE"/>
        </w:rPr>
        <w:t xml:space="preserve"> ja </w:t>
      </w:r>
      <w:hyperlink r:id="rId31" w:history="1">
        <w:r w:rsidRPr="00ED7D00">
          <w:rPr>
            <w:rStyle w:val="Hyperlink"/>
            <w:sz w:val="24"/>
            <w:szCs w:val="24"/>
            <w:lang w:val="et-EE"/>
          </w:rPr>
          <w:t>https://doi.org/10.1186/s13045-019-0767-9</w:t>
        </w:r>
      </w:hyperlink>
      <w:r w:rsidRPr="00ED7D00">
        <w:rPr>
          <w:sz w:val="24"/>
          <w:szCs w:val="24"/>
          <w:shd w:val="clear" w:color="auto" w:fill="FFFFFF"/>
          <w:lang w:val="et-EE"/>
        </w:rPr>
        <w:t>.</w:t>
      </w:r>
    </w:p>
  </w:footnote>
  <w:footnote w:id="13">
    <w:p w:rsidR="00203E21" w:rsidRPr="00ED7D00" w:rsidP="001C2033" w14:paraId="1B9F907E" w14:textId="7AF60408">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hyperlink r:id="rId32" w:tgtFrame="_blank" w:tooltip="Püsilink digitaalobjekti identifikaatoriga" w:history="1">
        <w:r w:rsidRPr="00ED7D00">
          <w:rPr>
            <w:rStyle w:val="Hyperlink"/>
            <w:sz w:val="24"/>
            <w:szCs w:val="24"/>
            <w:lang w:val="et-EE"/>
          </w:rPr>
          <w:t>https://doi.org/10.1006/rtph.1999.1371</w:t>
        </w:r>
      </w:hyperlink>
    </w:p>
  </w:footnote>
  <w:footnote w:id="14">
    <w:p w:rsidR="00203E21" w:rsidRPr="00ED7D00" w:rsidP="001C2033" w14:paraId="5376E027" w14:textId="4B059786">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shd w:val="clear" w:color="auto" w:fill="FFFFFF"/>
          <w:lang w:val="et-EE"/>
        </w:rPr>
        <w:tab/>
      </w:r>
      <w:r w:rsidRPr="00ED7D00">
        <w:rPr>
          <w:sz w:val="24"/>
          <w:szCs w:val="24"/>
          <w:shd w:val="clear" w:color="auto" w:fill="FFFFFF"/>
          <w:lang w:val="et-EE"/>
        </w:rPr>
        <w:t xml:space="preserve">Glüfosaadi puhul on see on </w:t>
      </w:r>
      <w:r w:rsidRPr="00ED7D00">
        <w:rPr>
          <w:sz w:val="24"/>
          <w:szCs w:val="24"/>
          <w:shd w:val="clear" w:color="auto" w:fill="FFFFFF"/>
          <w:lang w:val="et-EE"/>
        </w:rPr>
        <w:t>tõepoolest</w:t>
      </w:r>
      <w:r w:rsidRPr="00ED7D00">
        <w:rPr>
          <w:sz w:val="24"/>
          <w:szCs w:val="24"/>
          <w:shd w:val="clear" w:color="auto" w:fill="FFFFFF"/>
          <w:lang w:val="et-EE"/>
        </w:rPr>
        <w:t xml:space="preserve"> nii, nagu on ka kirjas </w:t>
      </w:r>
      <w:r w:rsidRPr="00ED7D00">
        <w:rPr>
          <w:sz w:val="24"/>
          <w:szCs w:val="24"/>
          <w:shd w:val="clear" w:color="auto" w:fill="FFFFFF"/>
          <w:lang w:val="et-EE"/>
        </w:rPr>
        <w:t>EFSA</w:t>
      </w:r>
      <w:r w:rsidRPr="00ED7D00">
        <w:rPr>
          <w:sz w:val="24"/>
          <w:szCs w:val="24"/>
          <w:shd w:val="clear" w:color="auto" w:fill="FFFFFF"/>
          <w:lang w:val="et-EE"/>
        </w:rPr>
        <w:t xml:space="preserve"> põhjendatud arvamuses </w:t>
      </w:r>
      <w:r w:rsidRPr="00ED7D00">
        <w:rPr>
          <w:sz w:val="24"/>
          <w:szCs w:val="24"/>
          <w:shd w:val="clear" w:color="auto" w:fill="FFFFFF"/>
          <w:lang w:val="et-EE"/>
        </w:rPr>
        <w:t>glüfosaadijääkide</w:t>
      </w:r>
      <w:r w:rsidRPr="00ED7D00">
        <w:rPr>
          <w:sz w:val="24"/>
          <w:szCs w:val="24"/>
          <w:shd w:val="clear" w:color="auto" w:fill="FFFFFF"/>
          <w:lang w:val="et-EE"/>
        </w:rPr>
        <w:t xml:space="preserve"> kehtivate piirnormide kohta vastavalt määruse (EÜ) nr 396/2005 artiklile 12, </w:t>
      </w:r>
      <w:r w:rsidRPr="00D80DA7">
        <w:rPr>
          <w:iCs/>
          <w:sz w:val="24"/>
          <w:szCs w:val="24"/>
          <w:shd w:val="clear" w:color="auto" w:fill="FFFFFF"/>
          <w:lang w:val="et-EE"/>
        </w:rPr>
        <w:t>EFSA</w:t>
      </w:r>
      <w:r w:rsidRPr="00D80DA7">
        <w:rPr>
          <w:iCs/>
          <w:sz w:val="24"/>
          <w:szCs w:val="24"/>
          <w:shd w:val="clear" w:color="auto" w:fill="FFFFFF"/>
          <w:lang w:val="et-EE"/>
        </w:rPr>
        <w:t xml:space="preserve"> </w:t>
      </w:r>
      <w:r w:rsidRPr="00D80DA7">
        <w:rPr>
          <w:iCs/>
          <w:sz w:val="24"/>
          <w:szCs w:val="24"/>
          <w:shd w:val="clear" w:color="auto" w:fill="FFFFFF"/>
          <w:lang w:val="et-EE"/>
        </w:rPr>
        <w:t>Journal</w:t>
      </w:r>
      <w:r w:rsidRPr="00ED7D00">
        <w:rPr>
          <w:sz w:val="24"/>
          <w:szCs w:val="24"/>
          <w:shd w:val="clear" w:color="auto" w:fill="FFFFFF"/>
          <w:lang w:val="et-EE"/>
        </w:rPr>
        <w:t>, 2018,16(5):5263, lk 12</w:t>
      </w:r>
      <w:r w:rsidRPr="00ED7D00">
        <w:rPr>
          <w:sz w:val="24"/>
          <w:szCs w:val="24"/>
          <w:lang w:val="et-EE"/>
        </w:rPr>
        <w:t>,</w:t>
      </w:r>
      <w:hyperlink r:id="rId33" w:history="1">
        <w:r w:rsidRPr="00ED7D00">
          <w:rPr>
            <w:rStyle w:val="Hyperlink"/>
            <w:color w:val="123D80"/>
            <w:sz w:val="24"/>
            <w:szCs w:val="24"/>
            <w:shd w:val="clear" w:color="auto" w:fill="FFFFFF"/>
            <w:lang w:val="et-EE"/>
          </w:rPr>
          <w:t xml:space="preserve"> https://doi.org/10.2903/j.efsa.2018.5263</w:t>
        </w:r>
      </w:hyperlink>
      <w:r w:rsidRPr="00ED7D00">
        <w:rPr>
          <w:sz w:val="24"/>
          <w:szCs w:val="24"/>
          <w:shd w:val="clear" w:color="auto" w:fill="FFFFFF"/>
          <w:lang w:val="et-EE"/>
        </w:rPr>
        <w:t>.</w:t>
      </w:r>
    </w:p>
  </w:footnote>
  <w:footnote w:id="15">
    <w:p w:rsidR="00203E21" w:rsidRPr="00ED7D00" w:rsidP="001C2033" w14:paraId="128222B8" w14:textId="3092C9D2">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ELT L 282, 19.10.2016, lk 4.</w:t>
      </w:r>
    </w:p>
  </w:footnote>
  <w:footnote w:id="16">
    <w:p w:rsidR="00203E21" w:rsidRPr="00ED7D00" w:rsidP="001C2033" w14:paraId="257AAB90" w14:textId="0A554479">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EÜT L 309, 13.12.1993, lk 3, ELI: </w:t>
      </w:r>
      <w:hyperlink r:id="rId34" w:tooltip="Annab juurdepääsu sellele dokumendile tema ELI URI kaudu." w:history="1">
        <w:r w:rsidRPr="00ED7D00">
          <w:rPr>
            <w:rStyle w:val="Hyperlink"/>
            <w:sz w:val="24"/>
            <w:szCs w:val="24"/>
            <w:lang w:val="et-EE"/>
          </w:rPr>
          <w:t>http://data.europa.eu/eli/convention/1993/626/oj</w:t>
        </w:r>
      </w:hyperlink>
      <w:r w:rsidRPr="00ED7D00">
        <w:rPr>
          <w:sz w:val="24"/>
          <w:szCs w:val="24"/>
          <w:lang w:val="et-EE"/>
        </w:rPr>
        <w:t>.</w:t>
      </w:r>
    </w:p>
  </w:footnote>
  <w:footnote w:id="17">
    <w:p w:rsidR="00203E21" w:rsidRPr="00ED7D00" w:rsidP="001C2033" w14:paraId="6E14680F" w14:textId="04309EDE">
      <w:pPr>
        <w:pStyle w:val="FootnoteText"/>
        <w:ind w:left="567" w:hanging="567"/>
        <w:rPr>
          <w:sz w:val="24"/>
          <w:szCs w:val="24"/>
          <w:lang w:val="et-EE"/>
        </w:rPr>
      </w:pPr>
      <w:r w:rsidRPr="00ED7D00">
        <w:rPr>
          <w:rStyle w:val="FootnoteReference"/>
          <w:sz w:val="24"/>
          <w:szCs w:val="24"/>
          <w:lang w:val="et-EE"/>
        </w:rPr>
        <w:footnoteRef/>
      </w:r>
      <w:r w:rsidRPr="00ED7D00" w:rsidR="001C2033">
        <w:rPr>
          <w:color w:val="000000" w:themeColor="text1"/>
          <w:sz w:val="24"/>
          <w:szCs w:val="24"/>
          <w:lang w:val="et-EE"/>
        </w:rPr>
        <w:tab/>
      </w:r>
      <w:r w:rsidRPr="00ED7D00">
        <w:rPr>
          <w:color w:val="000000" w:themeColor="text1"/>
          <w:sz w:val="24"/>
          <w:szCs w:val="24"/>
          <w:lang w:val="et-EE"/>
        </w:rPr>
        <w:t>ÜRO bioloogilise mitmekesisuse konventsiooni osaliste konverentsi 15. istungjärgul 2022. aasta detsembris lepiti kokku ülemaailmses elurikkuse raamistikus, mis sisaldab üleilmset eesmärki vähendada pestitsiididest tulenevaid ohte 2030. aastaks vähemalt 50</w:t>
      </w:r>
      <w:r w:rsidRPr="00ED7D00">
        <w:rPr>
          <w:sz w:val="24"/>
          <w:szCs w:val="24"/>
          <w:lang w:val="et-EE"/>
        </w:rPr>
        <w:t> </w:t>
      </w:r>
      <w:r w:rsidRPr="00ED7D00">
        <w:rPr>
          <w:color w:val="000000" w:themeColor="text1"/>
          <w:sz w:val="24"/>
          <w:szCs w:val="24"/>
          <w:lang w:val="et-EE"/>
        </w:rPr>
        <w:t xml:space="preserve">% (vt: </w:t>
      </w:r>
      <w:hyperlink r:id="rId35" w:history="1">
        <w:r w:rsidRPr="00ED7D00">
          <w:rPr>
            <w:rStyle w:val="Hyperlink"/>
            <w:sz w:val="24"/>
            <w:szCs w:val="24"/>
            <w:lang w:val="et-EE"/>
          </w:rPr>
          <w:t>https://ec.europa.eu/commission/presscorner/detail/et/ip_22_7834</w:t>
        </w:r>
      </w:hyperlink>
      <w:r w:rsidRPr="00ED7D00">
        <w:rPr>
          <w:sz w:val="24"/>
          <w:szCs w:val="24"/>
          <w:lang w:val="et-EE"/>
        </w:rPr>
        <w:t>).</w:t>
      </w:r>
    </w:p>
  </w:footnote>
  <w:footnote w:id="18">
    <w:p w:rsidR="00203E21" w:rsidRPr="00ED7D00" w:rsidP="001C2033" w14:paraId="1FE902DC" w14:textId="5CE2B4C1">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hyperlink r:id="rId36" w:history="1">
        <w:r w:rsidRPr="00ED7D00">
          <w:rPr>
            <w:rStyle w:val="Hyperlink"/>
            <w:sz w:val="24"/>
            <w:szCs w:val="24"/>
            <w:lang w:val="et-EE"/>
          </w:rPr>
          <w:t>https://commission.europa.eu/topics/agriculture-and-rural-development/strategic-dialogue-future-eu-agriculture_et</w:t>
        </w:r>
      </w:hyperlink>
    </w:p>
  </w:footnote>
  <w:footnote w:id="19">
    <w:p w:rsidR="00203E21" w:rsidRPr="00ED7D00" w:rsidP="001C2033" w14:paraId="491F6BB1" w14:textId="003D3CC3">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r w:rsidRPr="00ED7D00">
        <w:rPr>
          <w:sz w:val="24"/>
          <w:szCs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 </w:t>
      </w:r>
      <w:hyperlink r:id="rId37" w:tgtFrame="Gives access to this document through its ELI URI." w:history="1">
        <w:r w:rsidRPr="00ED7D00">
          <w:rPr>
            <w:rStyle w:val="Hyperlink"/>
            <w:color w:val="0070C0"/>
            <w:sz w:val="24"/>
            <w:szCs w:val="24"/>
            <w:lang w:val="et-EE"/>
          </w:rPr>
          <w:t>http://data.europa.eu/eli/reg/2002/178/oj</w:t>
        </w:r>
      </w:hyperlink>
      <w:r w:rsidRPr="00ED7D00">
        <w:rPr>
          <w:sz w:val="24"/>
          <w:szCs w:val="24"/>
          <w:lang w:val="et-EE"/>
        </w:rPr>
        <w:t>).</w:t>
      </w:r>
    </w:p>
  </w:footnote>
  <w:footnote w:id="20">
    <w:p w:rsidR="00203E21" w:rsidRPr="00ED7D00" w:rsidP="001C2033" w14:paraId="557340DD" w14:textId="5DE97402">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lang w:val="et-EE"/>
        </w:rPr>
        <w:tab/>
      </w:r>
      <w:hyperlink r:id="rId38" w:history="1">
        <w:r w:rsidRPr="00ED7D00">
          <w:rPr>
            <w:rStyle w:val="Hyperlink"/>
            <w:sz w:val="24"/>
            <w:szCs w:val="24"/>
            <w:shd w:val="clear" w:color="auto" w:fill="FFFFFF"/>
            <w:lang w:val="et-EE"/>
          </w:rPr>
          <w:t>https://tillymetz.lu/wp-content/uploads/2020/09/Co-signed-letter-MEP-Metz.pdf</w:t>
        </w:r>
      </w:hyperlink>
    </w:p>
  </w:footnote>
  <w:footnote w:id="21">
    <w:p w:rsidR="00203E21" w:rsidRPr="00ED7D00" w:rsidP="001C2033" w14:paraId="418C36C7" w14:textId="60145EA5">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shd w:val="clear" w:color="auto" w:fill="FFFFFF"/>
          <w:lang w:val="et-EE"/>
        </w:rPr>
        <w:tab/>
      </w:r>
      <w:r w:rsidRPr="00ED7D00">
        <w:rPr>
          <w:sz w:val="24"/>
          <w:szCs w:val="24"/>
          <w:shd w:val="clear" w:color="auto" w:fill="FFFFFF"/>
          <w:lang w:val="et-EE"/>
        </w:rPr>
        <w:t>Euroopa Parlamendi 15. jaanuari 2020. aasta resolutsioon Euroopa rohelise kokkuleppe kohta (ELT C 270, 7.7.2021, lk 2), punkt 102.</w:t>
      </w:r>
    </w:p>
  </w:footnote>
  <w:footnote w:id="22">
    <w:p w:rsidR="00203E21" w:rsidRPr="00ED7D00" w:rsidP="001C2033" w14:paraId="3B1E37A0" w14:textId="087FCBB1">
      <w:pPr>
        <w:pStyle w:val="FootnoteText"/>
        <w:ind w:left="567" w:hanging="567"/>
        <w:rPr>
          <w:sz w:val="24"/>
          <w:szCs w:val="24"/>
          <w:lang w:val="et-EE"/>
        </w:rPr>
      </w:pPr>
      <w:r w:rsidRPr="00ED7D00">
        <w:rPr>
          <w:rStyle w:val="FootnoteReference"/>
          <w:sz w:val="24"/>
          <w:szCs w:val="24"/>
          <w:lang w:val="et-EE"/>
        </w:rPr>
        <w:footnoteRef/>
      </w:r>
      <w:r w:rsidRPr="00ED7D00" w:rsidR="001C2033">
        <w:rPr>
          <w:sz w:val="24"/>
          <w:szCs w:val="24"/>
          <w:shd w:val="clear" w:color="auto" w:fill="FFFFFF"/>
          <w:lang w:val="et-EE"/>
        </w:rPr>
        <w:tab/>
      </w:r>
      <w:r w:rsidRPr="00ED7D00">
        <w:rPr>
          <w:sz w:val="24"/>
          <w:szCs w:val="24"/>
          <w:shd w:val="clear" w:color="auto" w:fill="FFFFFF"/>
          <w:lang w:val="et-EE"/>
        </w:rPr>
        <w:t>ELT C 445, 29.10.2021, lk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679AB95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47E5118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2033" w14:paraId="3D67A0F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7175588">
    <w:abstractNumId w:val="9"/>
  </w:num>
  <w:num w:numId="2" w16cid:durableId="1533033613">
    <w:abstractNumId w:val="9"/>
  </w:num>
  <w:num w:numId="3" w16cid:durableId="286395300">
    <w:abstractNumId w:val="7"/>
  </w:num>
  <w:num w:numId="4" w16cid:durableId="1566068393">
    <w:abstractNumId w:val="7"/>
  </w:num>
  <w:num w:numId="5" w16cid:durableId="1753314136">
    <w:abstractNumId w:val="6"/>
  </w:num>
  <w:num w:numId="6" w16cid:durableId="930747304">
    <w:abstractNumId w:val="6"/>
  </w:num>
  <w:num w:numId="7" w16cid:durableId="745999307">
    <w:abstractNumId w:val="5"/>
  </w:num>
  <w:num w:numId="8" w16cid:durableId="689531004">
    <w:abstractNumId w:val="5"/>
  </w:num>
  <w:num w:numId="9" w16cid:durableId="1036125327">
    <w:abstractNumId w:val="4"/>
  </w:num>
  <w:num w:numId="10" w16cid:durableId="539823832">
    <w:abstractNumId w:val="4"/>
  </w:num>
  <w:num w:numId="11" w16cid:durableId="1494026439">
    <w:abstractNumId w:val="8"/>
  </w:num>
  <w:num w:numId="12" w16cid:durableId="424572298">
    <w:abstractNumId w:val="8"/>
  </w:num>
  <w:num w:numId="13" w16cid:durableId="968391310">
    <w:abstractNumId w:val="3"/>
  </w:num>
  <w:num w:numId="14" w16cid:durableId="438912011">
    <w:abstractNumId w:val="3"/>
  </w:num>
  <w:num w:numId="15" w16cid:durableId="1550259395">
    <w:abstractNumId w:val="2"/>
  </w:num>
  <w:num w:numId="16" w16cid:durableId="2041084369">
    <w:abstractNumId w:val="2"/>
  </w:num>
  <w:num w:numId="17" w16cid:durableId="1384522231">
    <w:abstractNumId w:val="1"/>
  </w:num>
  <w:num w:numId="18" w16cid:durableId="1274627166">
    <w:abstractNumId w:val="1"/>
  </w:num>
  <w:num w:numId="19" w16cid:durableId="442040752">
    <w:abstractNumId w:val="0"/>
  </w:num>
  <w:num w:numId="20" w16cid:durableId="1646274793">
    <w:abstractNumId w:val="0"/>
  </w:num>
  <w:num w:numId="21" w16cid:durableId="1748771339">
    <w:abstractNumId w:val="9"/>
  </w:num>
  <w:num w:numId="22" w16cid:durableId="1009261435">
    <w:abstractNumId w:val="7"/>
  </w:num>
  <w:num w:numId="23" w16cid:durableId="1311445981">
    <w:abstractNumId w:val="6"/>
  </w:num>
  <w:num w:numId="24" w16cid:durableId="822358723">
    <w:abstractNumId w:val="5"/>
  </w:num>
  <w:num w:numId="25" w16cid:durableId="523053645">
    <w:abstractNumId w:val="4"/>
  </w:num>
  <w:num w:numId="26" w16cid:durableId="1686907542">
    <w:abstractNumId w:val="8"/>
  </w:num>
  <w:num w:numId="27" w16cid:durableId="1879203160">
    <w:abstractNumId w:val="3"/>
  </w:num>
  <w:num w:numId="28" w16cid:durableId="381173951">
    <w:abstractNumId w:val="2"/>
  </w:num>
  <w:num w:numId="29" w16cid:durableId="1726828921">
    <w:abstractNumId w:val="1"/>
  </w:num>
  <w:num w:numId="30" w16cid:durableId="1324042040">
    <w:abstractNumId w:val="0"/>
  </w:num>
  <w:num w:numId="31" w16cid:durableId="698315251">
    <w:abstractNumId w:val="9"/>
  </w:num>
  <w:num w:numId="32" w16cid:durableId="824013627">
    <w:abstractNumId w:val="7"/>
  </w:num>
  <w:num w:numId="33" w16cid:durableId="227572080">
    <w:abstractNumId w:val="6"/>
  </w:num>
  <w:num w:numId="34" w16cid:durableId="122771919">
    <w:abstractNumId w:val="5"/>
  </w:num>
  <w:num w:numId="35" w16cid:durableId="1663583198">
    <w:abstractNumId w:val="4"/>
  </w:num>
  <w:num w:numId="36" w16cid:durableId="1749839363">
    <w:abstractNumId w:val="8"/>
  </w:num>
  <w:num w:numId="37" w16cid:durableId="118425382">
    <w:abstractNumId w:val="3"/>
  </w:num>
  <w:num w:numId="38" w16cid:durableId="975531870">
    <w:abstractNumId w:val="2"/>
  </w:num>
  <w:num w:numId="39" w16cid:durableId="1468401539">
    <w:abstractNumId w:val="1"/>
  </w:num>
  <w:num w:numId="40" w16cid:durableId="699665472">
    <w:abstractNumId w:val="0"/>
  </w:num>
  <w:num w:numId="41" w16cid:durableId="2145735116">
    <w:abstractNumId w:val="10"/>
  </w:num>
  <w:num w:numId="42" w16cid:durableId="1239443704">
    <w:abstractNumId w:val="10"/>
  </w:num>
  <w:num w:numId="43" w16cid:durableId="1605989825">
    <w:abstractNumId w:val="10"/>
  </w:num>
  <w:num w:numId="44" w16cid:durableId="14142805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F2"/>
    <w:rsid w:val="00002272"/>
    <w:rsid w:val="00064002"/>
    <w:rsid w:val="000677B9"/>
    <w:rsid w:val="000831BA"/>
    <w:rsid w:val="000A42CC"/>
    <w:rsid w:val="000E7DD9"/>
    <w:rsid w:val="0010095E"/>
    <w:rsid w:val="00125B37"/>
    <w:rsid w:val="00187494"/>
    <w:rsid w:val="001C2033"/>
    <w:rsid w:val="001F32AE"/>
    <w:rsid w:val="00203E21"/>
    <w:rsid w:val="002767FF"/>
    <w:rsid w:val="002B18FE"/>
    <w:rsid w:val="002B5493"/>
    <w:rsid w:val="00307231"/>
    <w:rsid w:val="003318E2"/>
    <w:rsid w:val="00343214"/>
    <w:rsid w:val="00361C00"/>
    <w:rsid w:val="003716DE"/>
    <w:rsid w:val="00395FA1"/>
    <w:rsid w:val="003E15D4"/>
    <w:rsid w:val="00411CCE"/>
    <w:rsid w:val="0041666E"/>
    <w:rsid w:val="00421060"/>
    <w:rsid w:val="00433633"/>
    <w:rsid w:val="0046609C"/>
    <w:rsid w:val="00471C19"/>
    <w:rsid w:val="004867E3"/>
    <w:rsid w:val="00494A28"/>
    <w:rsid w:val="004C0004"/>
    <w:rsid w:val="004C5D52"/>
    <w:rsid w:val="0050519A"/>
    <w:rsid w:val="005072A1"/>
    <w:rsid w:val="00514517"/>
    <w:rsid w:val="00545827"/>
    <w:rsid w:val="00560270"/>
    <w:rsid w:val="005B00D4"/>
    <w:rsid w:val="005C2568"/>
    <w:rsid w:val="005F1B17"/>
    <w:rsid w:val="006037C0"/>
    <w:rsid w:val="006631B6"/>
    <w:rsid w:val="00680577"/>
    <w:rsid w:val="006D487C"/>
    <w:rsid w:val="006F74FA"/>
    <w:rsid w:val="00731ADD"/>
    <w:rsid w:val="00734777"/>
    <w:rsid w:val="00737B29"/>
    <w:rsid w:val="00747932"/>
    <w:rsid w:val="00751A4A"/>
    <w:rsid w:val="00756632"/>
    <w:rsid w:val="00762C74"/>
    <w:rsid w:val="00786EC0"/>
    <w:rsid w:val="00792519"/>
    <w:rsid w:val="007D1690"/>
    <w:rsid w:val="007E22AD"/>
    <w:rsid w:val="00817416"/>
    <w:rsid w:val="00842779"/>
    <w:rsid w:val="00865F67"/>
    <w:rsid w:val="00881A7B"/>
    <w:rsid w:val="008840E5"/>
    <w:rsid w:val="00887B3E"/>
    <w:rsid w:val="008C2AC6"/>
    <w:rsid w:val="00930C23"/>
    <w:rsid w:val="0093193B"/>
    <w:rsid w:val="009509D8"/>
    <w:rsid w:val="00950B64"/>
    <w:rsid w:val="00960850"/>
    <w:rsid w:val="00981893"/>
    <w:rsid w:val="009A434C"/>
    <w:rsid w:val="00A1687D"/>
    <w:rsid w:val="00A21A89"/>
    <w:rsid w:val="00A275F2"/>
    <w:rsid w:val="00A31FCB"/>
    <w:rsid w:val="00A43E52"/>
    <w:rsid w:val="00A4678D"/>
    <w:rsid w:val="00A778C7"/>
    <w:rsid w:val="00AB441E"/>
    <w:rsid w:val="00AB6293"/>
    <w:rsid w:val="00AE0928"/>
    <w:rsid w:val="00AF3B82"/>
    <w:rsid w:val="00B12E95"/>
    <w:rsid w:val="00B22876"/>
    <w:rsid w:val="00B558F0"/>
    <w:rsid w:val="00BA107E"/>
    <w:rsid w:val="00BD48FE"/>
    <w:rsid w:val="00BD7BD8"/>
    <w:rsid w:val="00BE6ADC"/>
    <w:rsid w:val="00C0026D"/>
    <w:rsid w:val="00C003A5"/>
    <w:rsid w:val="00C05BFE"/>
    <w:rsid w:val="00C17508"/>
    <w:rsid w:val="00C23CD4"/>
    <w:rsid w:val="00C61C0C"/>
    <w:rsid w:val="00C941CB"/>
    <w:rsid w:val="00CC2357"/>
    <w:rsid w:val="00CF071A"/>
    <w:rsid w:val="00D058B8"/>
    <w:rsid w:val="00D56C11"/>
    <w:rsid w:val="00D80DA7"/>
    <w:rsid w:val="00D834A0"/>
    <w:rsid w:val="00D872DF"/>
    <w:rsid w:val="00D91E21"/>
    <w:rsid w:val="00DA7FCD"/>
    <w:rsid w:val="00E365E1"/>
    <w:rsid w:val="00E820A4"/>
    <w:rsid w:val="00EA3AA5"/>
    <w:rsid w:val="00EB006A"/>
    <w:rsid w:val="00EB4772"/>
    <w:rsid w:val="00ED169E"/>
    <w:rsid w:val="00ED4235"/>
    <w:rsid w:val="00ED7D00"/>
    <w:rsid w:val="00F04346"/>
    <w:rsid w:val="00F06DD4"/>
    <w:rsid w:val="00F075DC"/>
    <w:rsid w:val="00F149E9"/>
    <w:rsid w:val="00F5134D"/>
    <w:rsid w:val="00F74202"/>
    <w:rsid w:val="00F87713"/>
    <w:rsid w:val="00FB4360"/>
    <w:rsid w:val="00FD0C70"/>
    <w:rsid w:val="00FD3281"/>
  </w:rsids>
  <w:docVars>
    <w:docVar w:name="dvdocse" w:val="B10-0334/2026"/>
    <w:docVar w:name="dvlangue" w:val="ET"/>
    <w:docVar w:name="dvnumam" w:val="0"/>
    <w:docVar w:name="dvpe" w:val="789.024"/>
    <w:docVar w:name="dvtitre" w:val="Euroopa Parlamendi .... 2026. aasta resolutsioon komisjoni rakendusotsuse eelnõu kohta, millega pikendatakse geneetiliselt muundatud sojauba MON 87705 sisaldavate, sellest koosnevate või sellest valmistatud toodete turule laskmise loa kehtivust vastavalt Euroopa Parlamendi ja nõukogu määrusele (EÜ) nr 1829/2003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142188"/>
  <w15:chartTrackingRefBased/>
  <w15:docId w15:val="{E84256F7-F43E-4026-840E-FA704875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3E21"/>
    <w:pPr>
      <w:spacing w:before="480" w:after="240"/>
    </w:pPr>
  </w:style>
  <w:style w:type="paragraph" w:customStyle="1" w:styleId="NormalHanging12a">
    <w:name w:val="NormalHanging12a"/>
    <w:basedOn w:val="Normal"/>
    <w:qFormat/>
    <w:rsid w:val="00203E21"/>
    <w:pPr>
      <w:spacing w:after="240"/>
      <w:ind w:left="567" w:hanging="567"/>
    </w:pPr>
  </w:style>
  <w:style w:type="character" w:styleId="Hyperlink">
    <w:name w:val="Hyperlink"/>
    <w:basedOn w:val="DefaultParagraphFont"/>
    <w:uiPriority w:val="99"/>
    <w:rsid w:val="00203E21"/>
    <w:rPr>
      <w:color w:val="0563C1" w:themeColor="hyperlink"/>
      <w:u w:val="single"/>
    </w:rPr>
  </w:style>
  <w:style w:type="character" w:customStyle="1" w:styleId="Funotenzeichen">
    <w:name w:val="Fußnotenzeichen"/>
    <w:basedOn w:val="DefaultParagraphFont"/>
    <w:uiPriority w:val="99"/>
    <w:qFormat/>
    <w:rsid w:val="00203E21"/>
    <w:rPr>
      <w:rFonts w:cs="Times New Roman"/>
      <w:vertAlign w:val="superscript"/>
    </w:rPr>
  </w:style>
  <w:style w:type="paragraph" w:styleId="Revision">
    <w:name w:val="Revision"/>
    <w:hidden/>
    <w:uiPriority w:val="99"/>
    <w:semiHidden/>
    <w:rsid w:val="00BA107E"/>
    <w:rPr>
      <w:sz w:val="24"/>
      <w:lang w:val="et-EE"/>
    </w:rPr>
  </w:style>
  <w:style w:type="character" w:styleId="UnresolvedMention">
    <w:name w:val="Unresolved Mention"/>
    <w:basedOn w:val="DefaultParagraphFont"/>
    <w:uiPriority w:val="99"/>
    <w:semiHidden/>
    <w:unhideWhenUsed/>
    <w:rsid w:val="00737B29"/>
    <w:rPr>
      <w:color w:val="605E5C"/>
      <w:shd w:val="clear" w:color="auto" w:fill="E1DFDD"/>
    </w:rPr>
  </w:style>
  <w:style w:type="character" w:styleId="FollowedHyperlink">
    <w:name w:val="FollowedHyperlink"/>
    <w:basedOn w:val="DefaultParagraphFont"/>
    <w:rsid w:val="00737B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3.3507" TargetMode="External" /><Relationship Id="rId26" Type="http://schemas.openxmlformats.org/officeDocument/2006/relationships/hyperlink" Target="https://doi.org/10.1007/s00267-015-0589-7" TargetMode="External" /><Relationship Id="rId27" Type="http://schemas.openxmlformats.org/officeDocument/2006/relationships/hyperlink" Target="https://doi.org/10.1186/2190-4715-24-24"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2903/j.efsa.2018.5263" TargetMode="External" /><Relationship Id="rId34" Type="http://schemas.openxmlformats.org/officeDocument/2006/relationships/hyperlink" Target="http://data.europa.eu/eli/convention/1993/626/oj" TargetMode="External" /><Relationship Id="rId35" Type="http://schemas.openxmlformats.org/officeDocument/2006/relationships/hyperlink" Target="https://ec.europa.eu/commission/presscorner/detail/et/ip_22_7834" TargetMode="External" /><Relationship Id="rId36" Type="http://schemas.openxmlformats.org/officeDocument/2006/relationships/hyperlink" Target="https://commission.europa.eu/topics/agriculture-and-rural-development/strategic-dialogue-future-eu-agriculture_et" TargetMode="External" /><Relationship Id="rId37" Type="http://schemas.openxmlformats.org/officeDocument/2006/relationships/hyperlink" Target="http://data.europa.eu/eli/reg/2002/178/oj" TargetMode="External" /><Relationship Id="rId38"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1670</Words>
  <Characters>12424</Characters>
  <Application>Microsoft Office Word</Application>
  <DocSecurity>0</DocSecurity>
  <Lines>214</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2026-07-08T13:05:00Z</cp:lastPrinted>
  <dcterms:created xsi:type="dcterms:W3CDTF">2026-08-04T07:43:00Z</dcterms:created>
  <dcterms:modified xsi:type="dcterms:W3CDTF">2026-08-04T07:43:00Z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B10-0334/2026</vt:lpwstr>
  </property>
  <property fmtid="{D5CDD505-2E9C-101B-9397-08002B2CF9AE}" pid="4" name="&lt;Type&gt;">
    <vt:lpwstr>RR</vt:lpwstr>
  </property>
</Properties>
</file>