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37B76DF" w14:textId="77777777" w:rsidTr="0010095E">
        <w:tblPrEx>
          <w:tblW w:w="9072" w:type="dxa"/>
          <w:tblLook w:val="01E0"/>
        </w:tblPrEx>
        <w:trPr>
          <w:trHeight w:hRule="exact" w:val="1418"/>
        </w:trPr>
        <w:tc>
          <w:tcPr>
            <w:tcW w:w="6804" w:type="dxa"/>
            <w:shd w:val="clear" w:color="auto" w:fill="auto"/>
            <w:vAlign w:val="center"/>
          </w:tcPr>
          <w:p w:rsidR="00751A4A" w:rsidRPr="00144908" w:rsidP="0010095E" w14:paraId="26EC5A1A" w14:textId="77777777">
            <w:pPr>
              <w:pStyle w:val="EPName"/>
            </w:pPr>
            <w:r w:rsidRPr="00144908">
              <w:t>Euroopan parlamentti</w:t>
            </w:r>
          </w:p>
          <w:p w:rsidR="00751A4A" w:rsidRPr="00144908" w:rsidP="005F1B17" w14:paraId="54495F00" w14:textId="77777777">
            <w:pPr>
              <w:pStyle w:val="EPTerm"/>
              <w:rPr>
                <w:rStyle w:val="HideTWBExt"/>
                <w:noProof w:val="0"/>
                <w:vanish w:val="0"/>
                <w:color w:val="auto"/>
              </w:rPr>
            </w:pPr>
            <w:r w:rsidRPr="00144908">
              <w:t>2024</w:t>
            </w:r>
            <w:r w:rsidRPr="00144908" w:rsidR="00817416">
              <w:t>-202</w:t>
            </w:r>
            <w:r w:rsidRPr="00144908">
              <w:t>9</w:t>
            </w:r>
          </w:p>
        </w:tc>
        <w:tc>
          <w:tcPr>
            <w:tcW w:w="2268" w:type="dxa"/>
            <w:shd w:val="clear" w:color="auto" w:fill="auto"/>
          </w:tcPr>
          <w:p w:rsidR="00751A4A" w:rsidRPr="00144908" w:rsidP="0010095E" w14:paraId="1DCE6EC0" w14:textId="77777777">
            <w:pPr>
              <w:pStyle w:val="EPLogo"/>
            </w:pPr>
            <w:r w:rsidRPr="0014490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44908" w:rsidP="004C5D52" w14:paraId="028C088E" w14:textId="77777777">
      <w:pPr>
        <w:pStyle w:val="LineTop"/>
      </w:pPr>
    </w:p>
    <w:p w:rsidR="00680577" w:rsidRPr="00144908" w:rsidP="00680577" w14:paraId="5130E443" w14:textId="77777777">
      <w:pPr>
        <w:pStyle w:val="EPBodyTA1"/>
      </w:pPr>
      <w:r w:rsidRPr="00144908">
        <w:t>HYVÄKSYTYT TEKSTIT</w:t>
      </w:r>
    </w:p>
    <w:p w:rsidR="00D058B8" w:rsidRPr="00144908" w:rsidP="00D058B8" w14:paraId="5BB1AC6B" w14:textId="77777777">
      <w:pPr>
        <w:pStyle w:val="LineBottom"/>
      </w:pPr>
    </w:p>
    <w:p w:rsidR="00314FF0" w:rsidRPr="00144908" w:rsidP="00314FF0" w14:paraId="4A3059B1" w14:textId="1BCBA262">
      <w:pPr>
        <w:pStyle w:val="ATHeading1"/>
      </w:pPr>
      <w:bookmarkStart w:id="0" w:name="TANumber"/>
      <w:r w:rsidRPr="00144908">
        <w:t>P10_TA(2026)0</w:t>
      </w:r>
      <w:r w:rsidRPr="00144908" w:rsidR="00524553">
        <w:t>264</w:t>
      </w:r>
      <w:bookmarkEnd w:id="0"/>
    </w:p>
    <w:p w:rsidR="00314FF0" w:rsidRPr="00144908" w:rsidP="00314FF0" w14:paraId="3BEDA674" w14:textId="552BE70F">
      <w:pPr>
        <w:pStyle w:val="ATHeading2"/>
      </w:pPr>
      <w:r w:rsidRPr="00144908">
        <w:t>Muuntogeeninen soija MON 87705</w:t>
      </w:r>
    </w:p>
    <w:p w:rsidR="00314FF0" w:rsidRPr="00144908" w:rsidP="00314FF0" w14:paraId="2717911A" w14:textId="77777777">
      <w:pPr>
        <w:rPr>
          <w:i/>
          <w:vanish/>
        </w:rPr>
      </w:pPr>
      <w:r>
        <w:rPr>
          <w:i/>
        </w:rPr>
        <w:fldChar w:fldCharType="begin"/>
      </w:r>
      <w:r w:rsidRPr="00144908">
        <w:rPr>
          <w:i/>
        </w:rPr>
        <w:instrText xml:space="preserve"> TC"(</w:instrText>
      </w:r>
      <w:bookmarkStart w:id="1" w:name="DocNumber"/>
      <w:r w:rsidRPr="00144908">
        <w:rPr>
          <w:i/>
        </w:rPr>
        <w:instrText>B10-0334/2026</w:instrText>
      </w:r>
      <w:bookmarkEnd w:id="1"/>
      <w:r w:rsidRPr="00144908">
        <w:rPr>
          <w:i/>
        </w:rPr>
        <w:instrText xml:space="preserve">)"\l3 \n&gt; \* MERGEFORMAT </w:instrText>
      </w:r>
      <w:r>
        <w:rPr>
          <w:i/>
        </w:rPr>
        <w:fldChar w:fldCharType="end"/>
      </w:r>
    </w:p>
    <w:p w:rsidR="00314FF0" w:rsidRPr="00144908" w:rsidP="00314FF0" w14:paraId="4E264792" w14:textId="77777777">
      <w:pPr>
        <w:rPr>
          <w:vanish/>
        </w:rPr>
      </w:pPr>
      <w:bookmarkStart w:id="2" w:name="PE"/>
      <w:r w:rsidRPr="00144908">
        <w:rPr>
          <w:vanish/>
        </w:rPr>
        <w:t>PE789.024</w:t>
      </w:r>
      <w:bookmarkEnd w:id="2"/>
    </w:p>
    <w:p w:rsidR="00314FF0" w:rsidRPr="00144908" w:rsidP="00314FF0" w14:paraId="2D947D90" w14:textId="7FCF3FA9">
      <w:pPr>
        <w:pStyle w:val="ATHeading3"/>
      </w:pPr>
      <w:bookmarkStart w:id="3" w:name="Sujet"/>
      <w:r w:rsidRPr="00144908">
        <w:t xml:space="preserve">Euroopan parlamentin päätöslauselma 8. heinäkuuta 2026 muuntogeenistä soijaa MON 87705 sisältävien, siitä koostuvien tai siitä valmistettujen tuotteiden markkinoille saattamista koskevan luvan uusimisesta Euroopan parlamentin ja neuvoston asetuksen (EY) N:o 1829/2003 mukaisesti </w:t>
      </w:r>
      <w:bookmarkEnd w:id="3"/>
      <w:r w:rsidRPr="00144908" w:rsidR="00F4761B">
        <w:t xml:space="preserve">29 päivänä kesäkuuta 2026 annetusta komission täytäntöönpanopäätöksestä (EU) 2026/1419 </w:t>
      </w:r>
      <w:bookmarkStart w:id="4" w:name="References"/>
      <w:r w:rsidRPr="00144908">
        <w:t>(2026/2747(RSP))</w:t>
      </w:r>
      <w:bookmarkEnd w:id="4"/>
    </w:p>
    <w:p w:rsidR="00B579A2" w:rsidRPr="00144908" w:rsidP="0096527E" w14:paraId="0C68F613" w14:textId="77777777">
      <w:pPr>
        <w:pStyle w:val="EPComma"/>
        <w:widowControl/>
      </w:pPr>
      <w:bookmarkStart w:id="5" w:name="TextBodyBegin"/>
      <w:bookmarkEnd w:id="5"/>
      <w:r w:rsidRPr="00144908">
        <w:rPr>
          <w:i/>
          <w:iCs/>
        </w:rPr>
        <w:t>Euroopan parlamentti</w:t>
      </w:r>
      <w:r w:rsidRPr="00144908">
        <w:t>, joka</w:t>
      </w:r>
    </w:p>
    <w:p w:rsidR="00B579A2" w:rsidRPr="00144908" w:rsidP="0096527E" w14:paraId="31B4FAA4" w14:textId="01BEF86D">
      <w:pPr>
        <w:pStyle w:val="NormalHanging12a"/>
        <w:widowControl/>
      </w:pPr>
      <w:r w:rsidRPr="00144908">
        <w:t>–</w:t>
      </w:r>
      <w:r w:rsidRPr="00144908">
        <w:tab/>
        <w:t>ottaa huomioon muuntogeenistä soijaa MON 87705 sisältävien, siitä koostuvien tai siitä valmistettujen tuotteiden markkinoille saattamista koskevan luvan uusimisesta Euroopan parlamentin ja neuvoston asetuksen (EY) N:o 1829/2003 mukaisesti</w:t>
      </w:r>
      <w:r w:rsidRPr="00144908" w:rsidR="00F4761B">
        <w:t xml:space="preserve"> 29 päivänä kesäkuuta 2026 annetun komission täytäntöönpanopäätöksen (EU) 2026/1419</w:t>
      </w:r>
      <w:r>
        <w:rPr>
          <w:rStyle w:val="FootnoteReference"/>
        </w:rPr>
        <w:footnoteReference w:id="2"/>
      </w:r>
      <w:r w:rsidRPr="00144908">
        <w:t>,</w:t>
      </w:r>
    </w:p>
    <w:p w:rsidR="00B579A2" w:rsidRPr="00144908" w:rsidP="0096527E" w14:paraId="070020DA" w14:textId="77777777">
      <w:pPr>
        <w:pStyle w:val="NormalHanging12a"/>
        <w:widowControl/>
      </w:pPr>
      <w:r w:rsidRPr="00144908">
        <w:t>–</w:t>
      </w:r>
      <w:r w:rsidRPr="00144908">
        <w:tab/>
        <w:t>ottaa huomioon muuntogeenisistä elintarvikkeista ja rehuista 22. syyskuuta 2003 annetun Euroopan parlamentin ja neuvoston asetuksen (EY) N:o 1829/2003</w:t>
      </w:r>
      <w:r>
        <w:rPr>
          <w:rStyle w:val="FootnoteReference"/>
        </w:rPr>
        <w:footnoteReference w:id="3"/>
      </w:r>
      <w:r w:rsidRPr="00144908">
        <w:t xml:space="preserve"> ja erityisesti sen 11 artiklan 3 kohdan ja 23 artiklan 3 kohdan,</w:t>
      </w:r>
    </w:p>
    <w:p w:rsidR="00B579A2" w:rsidRPr="00144908" w:rsidP="0096527E" w14:paraId="2AF8F24F" w14:textId="77777777">
      <w:pPr>
        <w:pStyle w:val="NormalHanging12a"/>
        <w:widowControl/>
      </w:pPr>
      <w:r w:rsidRPr="00144908">
        <w:t>–</w:t>
      </w:r>
      <w:r w:rsidRPr="00144908">
        <w:tab/>
        <w:t>ottaa huomioon asetuksen (EY) N:o 1829/2003 35 artiklassa tarkoitetussa pysyvässä kasvi-, eläin-, elintarvike- ja rehukomiteassa 27. huhtikuuta 2026 toimitetun äänestyksen, jossa päätettiin olla antamatta lausuntoa, ja muutoksenhakukomiteassa 2. kesäkuuta 2026 toimitetun äänestyksen, jossa päätettiin niin ikään olla antamatta lausuntoa,</w:t>
      </w:r>
    </w:p>
    <w:p w:rsidR="00B579A2" w:rsidRPr="00144908" w:rsidP="0096527E" w14:paraId="2B74937F" w14:textId="77777777">
      <w:pPr>
        <w:pStyle w:val="NormalHanging12a"/>
        <w:widowControl/>
      </w:pPr>
      <w:r w:rsidRPr="00144908">
        <w:t>–</w:t>
      </w:r>
      <w:r w:rsidRPr="00144908">
        <w:tab/>
        <w:t>ottaa huomioon yleisistä säännöistä ja periaatteista, joiden mukaisesti jäsenvaltiot valvovat komission täytäntöönpanovallan käyttöä, 16. helmikuuta 2011 annetun Euroopan parlamentin ja neuvoston asetuksen (EU) N:o 182/2011</w:t>
      </w:r>
      <w:r>
        <w:rPr>
          <w:rStyle w:val="FootnoteReference"/>
        </w:rPr>
        <w:footnoteReference w:id="4"/>
      </w:r>
      <w:r w:rsidRPr="00144908">
        <w:t xml:space="preserve"> 11 artiklan,</w:t>
      </w:r>
    </w:p>
    <w:p w:rsidR="00B579A2" w:rsidRPr="00144908" w:rsidP="0096527E" w14:paraId="324B3DF6" w14:textId="77777777">
      <w:pPr>
        <w:pStyle w:val="NormalHanging12a"/>
        <w:widowControl/>
      </w:pPr>
      <w:r w:rsidRPr="00144908">
        <w:t>–</w:t>
      </w:r>
      <w:r w:rsidRPr="00144908">
        <w:tab/>
        <w:t>ottaa huomioon Euroopan elintarviketurvallisuusviranomaisen (EFSA) 10. joulukuuta 2025 antaman ja 12. tammikuuta 2026 julkaistun lausunnon</w:t>
      </w:r>
      <w:r>
        <w:rPr>
          <w:rStyle w:val="FootnoteReference"/>
        </w:rPr>
        <w:footnoteReference w:id="5"/>
      </w:r>
      <w:r w:rsidRPr="00144908">
        <w:t>,</w:t>
      </w:r>
    </w:p>
    <w:p w:rsidR="00B579A2" w:rsidRPr="00144908" w:rsidP="0096527E" w14:paraId="0B94E382" w14:textId="77777777">
      <w:pPr>
        <w:pStyle w:val="NormalHanging12a"/>
        <w:widowControl/>
      </w:pPr>
      <w:r w:rsidRPr="00144908">
        <w:t>–</w:t>
      </w:r>
      <w:r w:rsidRPr="00144908">
        <w:tab/>
        <w:t>ottaa huomioon aiemmat päätöslauselmansa, joissa vastustetaan lupien myöntämistä muuntogeenisille organismeille</w:t>
      </w:r>
      <w:r>
        <w:rPr>
          <w:rStyle w:val="FootnoteReference"/>
        </w:rPr>
        <w:footnoteReference w:id="6"/>
      </w:r>
      <w:r w:rsidRPr="00144908">
        <w:t>,</w:t>
      </w:r>
    </w:p>
    <w:p w:rsidR="00B579A2" w:rsidRPr="00144908" w:rsidP="0096527E" w14:paraId="69E89D3C" w14:textId="77777777">
      <w:pPr>
        <w:pStyle w:val="NormalHanging12a"/>
        <w:widowControl/>
      </w:pPr>
      <w:r w:rsidRPr="00144908">
        <w:t>–</w:t>
      </w:r>
      <w:r w:rsidRPr="00144908">
        <w:tab/>
        <w:t>ottaa huomioon työjärjestyksen 115 artiklan 2 ja 3 kohdan,</w:t>
      </w:r>
    </w:p>
    <w:p w:rsidR="00B579A2" w:rsidRPr="00144908" w:rsidP="0096527E" w14:paraId="1BE4EAAE" w14:textId="77777777">
      <w:pPr>
        <w:pStyle w:val="NormalHanging12a"/>
        <w:widowControl/>
      </w:pPr>
      <w:r w:rsidRPr="00144908">
        <w:t>–</w:t>
      </w:r>
      <w:r w:rsidRPr="00144908">
        <w:tab/>
        <w:t>ottaa huomioon ympäristön, ilmaston ja elintarvikkeiden turvallisuuden valiokunnan päätöslauselmaesityksen,</w:t>
      </w:r>
    </w:p>
    <w:p w:rsidR="00B579A2" w:rsidRPr="00144908" w:rsidP="0096527E" w14:paraId="380BCD8F" w14:textId="77777777">
      <w:pPr>
        <w:widowControl/>
        <w:spacing w:after="240"/>
        <w:ind w:left="567" w:hanging="567"/>
      </w:pPr>
      <w:r w:rsidRPr="00144908">
        <w:t>A.</w:t>
      </w:r>
      <w:r w:rsidRPr="00144908">
        <w:tab/>
        <w:t>ottaa huomioon, että komission täytäntöönpanopäätöksellä (EU) 2015/696</w:t>
      </w:r>
      <w:r>
        <w:rPr>
          <w:rStyle w:val="FootnoteReference"/>
        </w:rPr>
        <w:footnoteReference w:id="7"/>
      </w:r>
      <w:r w:rsidRPr="00144908">
        <w:t xml:space="preserve"> sallittiin muuntogeenistä soijaa MON 87705 sisältävien, siitä koostuvien tai siitä valmistettujen elintarvikkeiden ja rehujen markkinoille saattaminen; ottaa huomioon, että lupa kattoi myös sellaisten muuntogeenistä soijaa sisältävien tai siitä koostuvien tuotteiden markkinoille saattamisen, jotka eivät ole elintarvikkeita ja rehuja ja joita käytetään samoihin käyttötarkoituksiin kuin mitä tahansa muuta soijaa, lukuun ottamatta viljelyä;</w:t>
      </w:r>
    </w:p>
    <w:p w:rsidR="00B579A2" w:rsidRPr="00144908" w:rsidP="0096527E" w14:paraId="37D9B134" w14:textId="77777777">
      <w:pPr>
        <w:widowControl/>
        <w:spacing w:after="240"/>
        <w:ind w:left="567" w:hanging="567"/>
      </w:pPr>
      <w:r w:rsidRPr="00144908">
        <w:t>B.</w:t>
      </w:r>
      <w:r w:rsidRPr="00144908">
        <w:tab/>
        <w:t>ottaa huomioon, että Belgiaan sijoittautunut Bayer Agriculture BV toimitti 8. maaliskuuta 2024 Yhdysvaltoihin sijoittautuneen Bayer CropScience LP:n puolesta komissiolle hakemuksen kyseisen luvan uusimiseksi;</w:t>
      </w:r>
    </w:p>
    <w:p w:rsidR="00B579A2" w:rsidRPr="00144908" w:rsidP="0096527E" w14:paraId="356FF1F5" w14:textId="77777777">
      <w:pPr>
        <w:widowControl/>
        <w:spacing w:after="240"/>
        <w:ind w:left="567" w:hanging="567"/>
      </w:pPr>
      <w:r w:rsidRPr="00144908">
        <w:t>C.</w:t>
      </w:r>
      <w:r w:rsidRPr="00144908">
        <w:tab/>
        <w:t>ottaa huomioon, että EFSA antoi 12. tammikuuta 2026 muuntogeenistä soijaa koskevan puoltavan tieteellisen lausunnon asetuksen</w:t>
      </w:r>
      <w:r>
        <w:rPr>
          <w:rStyle w:val="FootnoteReference"/>
        </w:rPr>
        <w:footnoteReference w:id="8"/>
      </w:r>
      <w:r w:rsidRPr="00144908">
        <w:t xml:space="preserve"> (EY) N:o 1829/2003 6 ja 18 artiklan mukaisesti; ottaa huomioon, että EFSA totesi, ettei uusimista koskeva hakemus sisällä näyttöä sellaisista uusista vaaroista, muutoksista altistumisessa tai tieteellisistä epävarmuustekijöistä, joiden vuoksi olisi muutettava EFSAn muuntogeenisestä soijasta vuosina 2012</w:t>
      </w:r>
      <w:r>
        <w:rPr>
          <w:rStyle w:val="FootnoteReference"/>
        </w:rPr>
        <w:footnoteReference w:id="9"/>
      </w:r>
      <w:r w:rsidRPr="00144908">
        <w:t xml:space="preserve"> ja 2013</w:t>
      </w:r>
      <w:r>
        <w:rPr>
          <w:rStyle w:val="FootnoteReference"/>
        </w:rPr>
        <w:footnoteReference w:id="10"/>
      </w:r>
      <w:r w:rsidRPr="00144908">
        <w:t xml:space="preserve"> antaman alkuperäisen riskinarvioinnin päätelmiä; ottaa huomioon, että EFSA katsoo monien laajempien ympäristöön liittyvien, sosioekonomisten ja kumulatiivisten vaikutusten jäävän sen toimivallan ulkopuolelle, minkä vuoksi se ei käsitellyt niitä lausunnoissaan;</w:t>
      </w:r>
    </w:p>
    <w:p w:rsidR="00B579A2" w:rsidRPr="00144908" w:rsidP="0096527E" w14:paraId="22A20438" w14:textId="77777777">
      <w:pPr>
        <w:pStyle w:val="NormalHanging12a"/>
        <w:widowControl/>
      </w:pPr>
      <w:r w:rsidRPr="00144908">
        <w:t>D.</w:t>
      </w:r>
      <w:r w:rsidRPr="00144908">
        <w:tab/>
        <w:t>ottaa huomioon, että muuntogeenisen soijan öljyhappopitoisuus on suurempi ja se sietää glyfosaattia sisältäviä rikkakasvien torjunta-aineita;</w:t>
      </w:r>
    </w:p>
    <w:p w:rsidR="00B579A2" w:rsidRPr="00144908" w:rsidP="0096527E" w14:paraId="3C88A55F" w14:textId="77777777">
      <w:pPr>
        <w:pStyle w:val="NormalHanging12a"/>
        <w:widowControl/>
      </w:pPr>
      <w:r w:rsidRPr="00144908">
        <w:t>E.</w:t>
      </w:r>
      <w:r w:rsidRPr="00144908">
        <w:tab/>
        <w:t>ottaa huomioon, että EFSAn tekemiin riskinarviointeihin ei sisältynyt pitkän ajan toksikologisia tutkimuksia eikä yksityiskohtaista analyysia kumulatiivisista ja yhteisvaikutuksista, kuten mahdollisesta vuorovaikutuksesta soijanviljelyssä yleisesti käytettyjen torjunta-aineiden jäämien kanssa;</w:t>
      </w:r>
    </w:p>
    <w:p w:rsidR="00B579A2" w:rsidRPr="00144908" w:rsidP="0096527E" w14:paraId="613CFCDC" w14:textId="77777777">
      <w:pPr>
        <w:pStyle w:val="NormalHanging12a"/>
        <w:widowControl/>
      </w:pPr>
      <w:r w:rsidRPr="00144908">
        <w:t>F.</w:t>
      </w:r>
      <w:r w:rsidRPr="00144908">
        <w:tab/>
        <w:t>ottaa huomioon, että suurinta osaa muuntogeenisistä viljelykasveista, muuntogeeninen soija mukaan lukien, on muunnettu geneettisesti siten, että ne sietävät yhtä tai useampaa ”täydentävää” rikkakasvien torjunta-ainetta, jota voidaan käyttää koko muuntogeenisen viljelykasvin viljelyn ajan ilman, että viljelykasvi kuolee, kuten käy niiden viljelykasvien tapauksessa, jotka eivät siedä torjunta-aineita; toteaa, että rikkakasvien torjunta-aineita sietävien muuntogeenisten viljelykasvien on erinäisissä tutkimuksissa osoitettu lisäävän täydentävien rikkakasvien torjunta-aineiden käyttöä, mikä johtuu etenkin siitä, että yhä useammat rikkakasvit sietävät rikkakasvien torjunta-aineita;</w:t>
      </w:r>
    </w:p>
    <w:p w:rsidR="00B579A2" w:rsidRPr="00144908" w:rsidP="0096527E" w14:paraId="7BBD6B78" w14:textId="77777777">
      <w:pPr>
        <w:pStyle w:val="NormalHanging12a"/>
        <w:widowControl/>
      </w:pPr>
      <w:r w:rsidRPr="00144908">
        <w:t>G.</w:t>
      </w:r>
      <w:r w:rsidRPr="00144908">
        <w:tab/>
        <w:t>toteaa, että rikkakasvien torjunta-aineita sietävien muuntogeenisten viljelykasvien käyttö sitoo viljelijät rikkakasvien hallintajärjestelmään, joka on suurelta osin tai kokonaan torjunta-aineiden varassa, ja että tämä tapahtuu perimällä lisähintaa muuntogeenisistä siemenistä samalla kun luodaan riippuvuus täydentävien rikkakasvien torjunta-aineiden käytöstä olennaisena osana tuotantojärjestelmää; ottaa huomioon, että lisääntynyt riippuvuus täydentävistä rikkakasvien torjunta-aineista muuntogeenistä soijaa viljelevillä tiloilla nopeuttaa näille torjunta-aineille sietokykyisten rikkakasvien ilmaantumista ja leviämistä, mikä johtaa noidankehään, jossa rikkakasvien torjunta-aineita on käytettävä jatkuvasti enemmän; toteaa, että tämän seurauksena rikkakasvien torjunta-aineiden liiallisesta käytöstä aiheutuu yhä haitallisempia vaikutuksia maaperän terveyteen, veden laatuun sekä maanpäälliseen ja -alaiseen biologiseen monimuotoisuuteen ja lisäksi ihmisten ja eläinten altistuminen lisääntyy, mahdollisesti myös sen kautta, että rikkakasvien torjunta-aineiden jäämät elintarvikkeissa ja rehuissa lisääntyvät;</w:t>
      </w:r>
    </w:p>
    <w:p w:rsidR="00B579A2" w:rsidRPr="00144908" w:rsidP="0096527E" w14:paraId="2CD0DBD9" w14:textId="77777777">
      <w:pPr>
        <w:pStyle w:val="NormalHanging12a"/>
        <w:widowControl/>
      </w:pPr>
      <w:r w:rsidRPr="00144908">
        <w:t>H.</w:t>
      </w:r>
      <w:r w:rsidRPr="00144908">
        <w:tab/>
        <w:t>toteaa, että rikkakasvien torjunta-aineita sietävien muuntogeenisten viljelykasvien on erinäisissä tutkimuksissa osoitettu lisäävän täydentävien rikkakasvien torjunta-aineiden käyttöä, mikä johtuu etenkin siitä, että yhä useammat rikkakasvit sietävät rikkakasvien torjunta-aineita</w:t>
      </w:r>
      <w:r>
        <w:rPr>
          <w:vertAlign w:val="superscript"/>
        </w:rPr>
        <w:footnoteReference w:id="11"/>
      </w:r>
      <w:r w:rsidRPr="00144908">
        <w:t>; toteaa, että tästä syystä on odotettavissa, että muuntogeenisen soijan viljelyssä käytetään sekä suurempia että toistuvia glyfosaattiannoksia, minkä vuoksi sadossa voi esiintyä suurempia määriä jäämiä ja niiden hajoamistuotteita (metaboliitit);</w:t>
      </w:r>
    </w:p>
    <w:p w:rsidR="00B579A2" w:rsidRPr="00144908" w:rsidP="0096527E" w14:paraId="638ED40B" w14:textId="77777777">
      <w:pPr>
        <w:pStyle w:val="NormalHanging12a"/>
        <w:widowControl/>
      </w:pPr>
      <w:r w:rsidRPr="00144908">
        <w:t>I.</w:t>
      </w:r>
      <w:r w:rsidRPr="00144908">
        <w:tab/>
        <w:t>ottaa huomioon, että glyfosaatin turvallisuuteen ihmisten terveyden ja ympäristön kannalta liittyy yhä merkittävää tieteellistä epävarmuutta; ottaa huomioon, että EFSA totesi marraskuussa 2015, että glyfosaatti ei todennäköisesti ole syöpää aiheuttava aine, ja että Euroopan kemikaalivirasto totesi maaliskuussa 2017, että vaaraluokitus ei ollut aiheellinen; ottaa huomioon, että Kansainvälinen syöväntutkimuslaitos, joka on Maailman terveysjärjestön syöväntutkimukseen erikoistunut virasto, sen sijaan luokitteli glyfosaatin vuonna 2015 todennäköisesti ihmisille syöpää aiheuttavaksi aineeksi; ottaa huomioon, että monissa muissa viimeaikaisissa vertaisarvioiduissa tieteellisissä tutkimuksissa vahvistetaan glyfosaatin syöpää aiheuttavat vaikutukset</w:t>
      </w:r>
      <w:r>
        <w:rPr>
          <w:vertAlign w:val="superscript"/>
        </w:rPr>
        <w:footnoteReference w:id="12"/>
      </w:r>
      <w:r w:rsidRPr="00144908">
        <w:t xml:space="preserve">; </w:t>
      </w:r>
      <w:bookmarkStart w:id="8" w:name="_Hlk218688545"/>
      <w:r w:rsidRPr="00144908">
        <w:t xml:space="preserve">ottaa huomioon, että julkaisu ”Regulatory Toxicology and Pharmacology” on virallisesti perunut glyfosaatin turvallisuuden puolustamiseen monissa riskinarvioinneissa käytetyn </w:t>
      </w:r>
      <w:r w:rsidRPr="00144908">
        <w:t xml:space="preserve">vuonna 2000 julkaistun tieteellisen artikkelin </w:t>
      </w:r>
      <w:r w:rsidRPr="00144908">
        <w:rPr>
          <w:shd w:val="clear" w:color="auto" w:fill="FFFFFF"/>
        </w:rPr>
        <w:t>”</w:t>
      </w:r>
      <w:r w:rsidRPr="00144908">
        <w:t>Safety Evaluation and Risk Assessment of the Herbicide Roundup and Its Active Ingredient, Glyphosate, for Humans</w:t>
      </w:r>
      <w:r w:rsidRPr="00144908">
        <w:rPr>
          <w:shd w:val="clear" w:color="auto" w:fill="FFFFFF"/>
        </w:rPr>
        <w:t xml:space="preserve">” </w:t>
      </w:r>
      <w:r w:rsidRPr="00144908">
        <w:t>artikkelin laatijoista ja tutkimustulosten paikkansapitävyydestä esiin nousseiden huolenaiheiden takia, jotka liittyvät artikkelin kirjoittajien antamiin vääriin tietoihin, tutkimuksen rahoittajaan sekä artikkelin kirjoittajien mahdollisiin eturistiriitoihin</w:t>
      </w:r>
      <w:r>
        <w:rPr>
          <w:rStyle w:val="FootnoteReference"/>
        </w:rPr>
        <w:footnoteReference w:id="13"/>
      </w:r>
      <w:r w:rsidRPr="00144908">
        <w:t>;</w:t>
      </w:r>
      <w:bookmarkEnd w:id="8"/>
    </w:p>
    <w:p w:rsidR="00B579A2" w:rsidRPr="00144908" w:rsidP="0096527E" w14:paraId="79699D62" w14:textId="77777777">
      <w:pPr>
        <w:pStyle w:val="NormalHanging12a"/>
        <w:widowControl/>
      </w:pPr>
      <w:r w:rsidRPr="00144908">
        <w:t>J.</w:t>
      </w:r>
      <w:r w:rsidRPr="00144908">
        <w:tab/>
        <w:t>toteaa, että muuntogeenisistä kasveista löytyvien rikkakasvien torjunta-ainejäämien ja metaboliittien arvioinnin ei katsota kuuluvan muuntogeenisiä organismeja käsittelevän EFSAn tiedelautakunnan toimivaltaan eikä sitä sen vuoksi tehdä osana muuntogeenisten organismien lupamenettelyä; toteaa tämän olevan ongelmallista, koska geneettinen muuttaminen voi itsessään vaikuttaa tapaan, jolla kyseinen muuntogeeninen kasvi hajottaa täydentäviä rikkakasvien torjunta-aineita, sekä metaboliittien koostumukseen ja siten niiden myrkyllisyyteen</w:t>
      </w:r>
      <w:r>
        <w:rPr>
          <w:vertAlign w:val="superscript"/>
        </w:rPr>
        <w:footnoteReference w:id="14"/>
      </w:r>
      <w:r w:rsidRPr="00144908">
        <w:t>;</w:t>
      </w:r>
    </w:p>
    <w:p w:rsidR="00B579A2" w:rsidRPr="00144908" w:rsidP="0096527E" w14:paraId="63C7AE50" w14:textId="77777777">
      <w:pPr>
        <w:pStyle w:val="NormalHanging12a"/>
        <w:widowControl/>
      </w:pPr>
      <w:r w:rsidRPr="00144908">
        <w:t>K.</w:t>
      </w:r>
      <w:r w:rsidRPr="00144908">
        <w:tab/>
        <w:t>ottaa huomioon, että koostumusanalyysin mukaan muuntogeenisen soijan rasvahappoprofiilia on muutettu voimakkaasti tavalliseen soijaan verrattuna siten, että öljyhappopitoisuus on korkeampi ja linolihapon sekä palmitiinihapon pitoisuudet matalampia; ottaa huomioon, että suurin osa tieteellisistä huolenaiheista liittyy pitkäaikaisiin ravitsemuksellisiin vaikutuksiin, joita väestön laajempi altistuminen tälle muuntogeeniselle soijalle aiheuttaa erityisesti sellaisten kuluttajien kohdalla, jotka käyttävät paljon soijaöljyä; ottaa huomioon, että EFSA käytti muutosten ravitsemuksellisten vaikutusten arvioinnissa ravinnonsaantiarvioita ja erilaisia kulutus- ja korvausskenaarioita koskevia oletuksia; ottaa huomioon, että EFSA suositteli näiden oletusten perusteella ainoastaan markkinoille saattamisen jälkeistä seurantaa koskevaa suunnitelmaa, jonka keskiössä on unioniin tuontia koskevien tietojen kerääminen ja päivitetyn ravitsemuksellisen arvioinnin tekeminen, jos saatavilla olevat tiedot kulutusmalleista poikkeavat alkuperäisessä riskienarvioinnissa käytetyistä kulutusmalleista;</w:t>
      </w:r>
    </w:p>
    <w:p w:rsidR="00B579A2" w:rsidRPr="00144908" w:rsidP="0096527E" w14:paraId="7E771AAF" w14:textId="77777777">
      <w:pPr>
        <w:pStyle w:val="NormalHanging12a"/>
        <w:widowControl/>
      </w:pPr>
      <w:r w:rsidRPr="00144908">
        <w:t>L.</w:t>
      </w:r>
      <w:r w:rsidRPr="00144908">
        <w:tab/>
        <w:t>panee merkille, että asetuksen (EY) N:o 1829/2003 mukaan muuntogeeniset elintarvikkeet tai rehut eivät saa vaikuttaa haitallisesti ihmisten terveyteen, eläinten terveyteen tai ympäristöön, ja siinä edellytetään komission ottavan päätöstään laatiessaan huomioon kaikki unionin lainsäädännön asiaankuuluvat säännökset sekä muut perustellut tekijät, jotka liittyvät tarkasteltavaan asiaan; katsoo, että näihin perusteltuihin tekijöihin olisi sisällytettävä unionin velvoitteet, jotka johtuvat Yhdistyneiden kansakuntien (YK) kestävän kehityksen tavoitteista, Pariisin ilmastosopimuksesta</w:t>
      </w:r>
      <w:r>
        <w:rPr>
          <w:rStyle w:val="FootnoteReference"/>
        </w:rPr>
        <w:footnoteReference w:id="15"/>
      </w:r>
      <w:r w:rsidRPr="00144908">
        <w:t xml:space="preserve"> ja biologista monimuotoisuutta koskevasta YK:n yleissopimuksesta</w:t>
      </w:r>
      <w:r>
        <w:rPr>
          <w:rStyle w:val="FootnoteReference"/>
        </w:rPr>
        <w:footnoteReference w:id="16"/>
      </w:r>
      <w:r w:rsidRPr="00144908">
        <w:t xml:space="preserve"> (YK:n biodiversiteettisopimus);</w:t>
      </w:r>
    </w:p>
    <w:p w:rsidR="00B579A2" w:rsidRPr="00144908" w:rsidP="0096527E" w14:paraId="3A47B3CB" w14:textId="77777777">
      <w:pPr>
        <w:pStyle w:val="NormalHanging12a"/>
        <w:widowControl/>
      </w:pPr>
      <w:r w:rsidRPr="00144908">
        <w:t>M.</w:t>
      </w:r>
      <w:r w:rsidRPr="00144908">
        <w:tab/>
        <w:t>ottaa huomioon, että biologiseen monimuotoisuuteen, maaperän terveyteen, pölyttäjiin ja muihin kuin kohdeorganismeihin kohdistuvien mahdollisten haitallisten vaikutusten riippumatonta seurantaa ja valvontaa ei ole edelleenkään varmistettu riittävällä tavalla;</w:t>
      </w:r>
    </w:p>
    <w:p w:rsidR="00B579A2" w:rsidRPr="00144908" w:rsidP="0096527E" w14:paraId="6BC95546" w14:textId="77777777">
      <w:pPr>
        <w:pStyle w:val="NormalHanging12a"/>
        <w:widowControl/>
      </w:pPr>
      <w:r w:rsidRPr="00144908">
        <w:t>N.</w:t>
      </w:r>
      <w:r w:rsidRPr="00144908">
        <w:tab/>
        <w:t>katsoo, että tapauksissa, joissa tieteellistä varmuutta ei ole, olisi sovellettava Euroopan unionin toiminnasta tehdyn sopimuksen 191 artiklassa tarkoitettua ennalta varautumisen periaatetta;</w:t>
      </w:r>
    </w:p>
    <w:p w:rsidR="00B579A2" w:rsidRPr="00144908" w:rsidP="0096527E" w14:paraId="25D9592A" w14:textId="77777777">
      <w:pPr>
        <w:pStyle w:val="NormalHanging12a"/>
        <w:widowControl/>
      </w:pPr>
      <w:r w:rsidRPr="00144908">
        <w:t>O.</w:t>
      </w:r>
      <w:r w:rsidRPr="00144908">
        <w:tab/>
        <w:t>toteaa, että YK:n biodiversiteettisopimuksen sopimuspuolena ja sopimuksen 3 artiklan mukaan unionin vastuulla on varmistaa, että sen lainkäyttövallan tai valvonnan alaiset toimet eivät vahingoita ympäristöä toisen valtion alueella;</w:t>
      </w:r>
    </w:p>
    <w:p w:rsidR="00B579A2" w:rsidRPr="00144908" w:rsidP="0096527E" w14:paraId="1E3E681E" w14:textId="77777777">
      <w:pPr>
        <w:pStyle w:val="NormalHanging12a"/>
        <w:widowControl/>
      </w:pPr>
      <w:r w:rsidRPr="00144908">
        <w:t>P.</w:t>
      </w:r>
      <w:r w:rsidRPr="00144908">
        <w:tab/>
        <w:t>toteaa, että muuntogeeniselle soijalle myönnetyn unionin luvan uusiminen ei olisi torjunta-aineiden vähentämistä koskevien kansainvälisten sitoumusten</w:t>
      </w:r>
      <w:r>
        <w:rPr>
          <w:vertAlign w:val="superscript"/>
        </w:rPr>
        <w:footnoteReference w:id="17"/>
      </w:r>
      <w:r w:rsidRPr="00144908">
        <w:t xml:space="preserve"> mukainen, kun otetaan huomioon ihmisten, eläinten ja ympäristön lisääntynyt altistuminen glyfosaatille maissa, joissa viljellään kyseistä torjunta-aineita sietävää muuntogeenistä kasvia, sekä siihen mahdollisesti liittyvät vakavat terveysvaikutukset;</w:t>
      </w:r>
    </w:p>
    <w:p w:rsidR="00B579A2" w:rsidRPr="00144908" w:rsidP="0096527E" w14:paraId="5B2D01CA" w14:textId="77777777">
      <w:pPr>
        <w:pStyle w:val="NormalHanging12a"/>
        <w:widowControl/>
      </w:pPr>
      <w:r w:rsidRPr="00144908">
        <w:t>Q.</w:t>
      </w:r>
      <w:r w:rsidRPr="00144908">
        <w:tab/>
        <w:t>ottaa huomioon, että muuntogeenisen soijan viljely ei ole sallittua unionissa;</w:t>
      </w:r>
    </w:p>
    <w:p w:rsidR="00B579A2" w:rsidRPr="00144908" w:rsidP="0096527E" w14:paraId="68AA99BE" w14:textId="19E1119F">
      <w:pPr>
        <w:pStyle w:val="NormalHanging12a"/>
        <w:widowControl/>
      </w:pPr>
      <w:r w:rsidRPr="00144908">
        <w:t>R.</w:t>
      </w:r>
      <w:r w:rsidRPr="00144908">
        <w:tab/>
        <w:t>toteaa, että komission täytäntöönpanopäätö</w:t>
      </w:r>
      <w:r w:rsidRPr="00144908" w:rsidR="00F4761B">
        <w:t>ksellä</w:t>
      </w:r>
      <w:r w:rsidRPr="00144908">
        <w:t xml:space="preserve"> </w:t>
      </w:r>
      <w:r w:rsidRPr="00144908" w:rsidR="006201F4">
        <w:t xml:space="preserve">(EU) 2026/1419 </w:t>
      </w:r>
      <w:r w:rsidRPr="00144908">
        <w:t>salli</w:t>
      </w:r>
      <w:r w:rsidRPr="00144908" w:rsidR="00F4761B">
        <w:t>ttaisiin</w:t>
      </w:r>
      <w:r w:rsidRPr="00144908">
        <w:t xml:space="preserve"> se, että unioniin tuodaan tuotteita, jotka eivät ole unionin viljelijöiden noudattamien normien mukaisia, mikä asettaisi unionin viljelijät epäedulliseen kilpailuasemaan;</w:t>
      </w:r>
    </w:p>
    <w:p w:rsidR="00B579A2" w:rsidRPr="00144908" w:rsidP="0096527E" w14:paraId="73D8F56C" w14:textId="77777777">
      <w:pPr>
        <w:pStyle w:val="NormalHanging12a"/>
        <w:widowControl/>
      </w:pPr>
      <w:r w:rsidRPr="00144908">
        <w:t>S.</w:t>
      </w:r>
      <w:r w:rsidRPr="00144908">
        <w:tab/>
        <w:t>ottaa huomioon, että EU:n maatalouden tulevaisuudesta käydyn strategisen vuoropuhelun päätelmissä</w:t>
      </w:r>
      <w:r>
        <w:rPr>
          <w:vertAlign w:val="superscript"/>
        </w:rPr>
        <w:footnoteReference w:id="18"/>
      </w:r>
      <w:r w:rsidRPr="00144908">
        <w:t xml:space="preserve"> kehotetaan komissiota arvioimaan uudelleen lähestymistapaansa tuotavien ja vietävien maatalouselintarvikkeiden markkinoille pääsyyn, kun otetaan huomioon unionin ja sen kauppakumppanien toisistaan poikkeavien normien aiheuttama haaste; ottaa huomioon, että maailmanlaajuisesti oikeudenmukaisemmat kauppasuhteet, jotka ovat johdonmukaisia terveellistä ympäristöä koskevien tavoitteiden kanssa, olivat yksi viljelijöiden keskeisistä vaatimuksista vuosien 2023, 2024 ja 2025 mielenosoituksissa;</w:t>
      </w:r>
    </w:p>
    <w:p w:rsidR="00B579A2" w:rsidRPr="00144908" w:rsidP="0096527E" w14:paraId="654C238C" w14:textId="77777777">
      <w:pPr>
        <w:pStyle w:val="NormalHanging12a"/>
        <w:widowControl/>
      </w:pPr>
      <w:r w:rsidRPr="00144908">
        <w:t>T.</w:t>
      </w:r>
      <w:r w:rsidRPr="00144908">
        <w:tab/>
        <w:t>toteaa korostaneensa toistuvasti, että jatkuvan demokratiavajeen korjaamiseksi komission ei pitäisi antaa lupaa muuntogeenisille organismeille silloin, kun jäsenvaltiot eivät saavuta määräenemmistöä pysyvässä kasvi-, eläin-, elintarvike- ja rehukomiteassa tai muutoksenhakukomiteassa;</w:t>
      </w:r>
    </w:p>
    <w:p w:rsidR="00B579A2" w:rsidRPr="00144908" w:rsidP="0096527E" w14:paraId="34FCA0AE" w14:textId="77777777">
      <w:pPr>
        <w:pStyle w:val="NormalHanging12a"/>
        <w:widowControl/>
      </w:pPr>
      <w:r w:rsidRPr="00144908">
        <w:t>U.</w:t>
      </w:r>
      <w:r w:rsidRPr="00144908">
        <w:tab/>
        <w:t>toteaa, että komissio jatkaa lupien myöntämistä muuntogeenisille organismeille, vaikka se itse myöntää demokraattisuuden puutteen, ja huolimatta jäsenvaltioiden tuen puuttumisesta ja parlamentin vastustuksesta;</w:t>
      </w:r>
    </w:p>
    <w:p w:rsidR="00B579A2" w:rsidRPr="00144908" w:rsidP="0096527E" w14:paraId="5AACFF7D" w14:textId="77777777">
      <w:pPr>
        <w:pStyle w:val="NormalHanging12a"/>
        <w:widowControl/>
      </w:pPr>
      <w:r w:rsidRPr="00144908">
        <w:t>V.</w:t>
      </w:r>
      <w:r w:rsidRPr="00144908">
        <w:tab/>
        <w:t>ottaa huomioon, että yhteinen terveys -mallissa edellytetään ihmisten, eläinten, kasvien ja ympäristön terveyden keskinäisen riippuvuuden huomioon ottamista arvioitaessa muuntogeenisten organismien kestävyyttä ja turvallisuutta pitkällä aikavälillä;</w:t>
      </w:r>
    </w:p>
    <w:p w:rsidR="00B579A2" w:rsidRPr="00144908" w:rsidP="0096527E" w14:paraId="39D234CE" w14:textId="1214E6E1">
      <w:pPr>
        <w:pStyle w:val="NormalHanging12a"/>
        <w:widowControl/>
      </w:pPr>
      <w:r w:rsidRPr="00144908">
        <w:t>1.</w:t>
      </w:r>
      <w:r w:rsidRPr="00144908">
        <w:tab/>
        <w:t>katsoo, että komission täytäntöönpanopäätö</w:t>
      </w:r>
      <w:r w:rsidRPr="00144908" w:rsidR="006201F4">
        <w:t>s</w:t>
      </w:r>
      <w:r w:rsidRPr="00144908">
        <w:t xml:space="preserve"> </w:t>
      </w:r>
      <w:r w:rsidRPr="00144908" w:rsidR="006201F4">
        <w:t xml:space="preserve"> (EU) 2026/1419 </w:t>
      </w:r>
      <w:r w:rsidRPr="00144908">
        <w:t>ylittää asetuksessa (EY) N:o 1829/2003 säädetyn täytäntöönpanovallan;</w:t>
      </w:r>
    </w:p>
    <w:p w:rsidR="00B579A2" w:rsidRPr="00144908" w:rsidP="0096527E" w14:paraId="504086DF" w14:textId="1CDBD8AF">
      <w:pPr>
        <w:pStyle w:val="NormalHanging12a"/>
        <w:widowControl/>
      </w:pPr>
      <w:r w:rsidRPr="00144908">
        <w:t>2.</w:t>
      </w:r>
      <w:r w:rsidRPr="00144908">
        <w:tab/>
        <w:t>katsoo, että komission täytäntöönpanopäätö</w:t>
      </w:r>
      <w:r w:rsidRPr="00144908" w:rsidR="006201F4">
        <w:t>s</w:t>
      </w:r>
      <w:r w:rsidRPr="00144908">
        <w:t xml:space="preserve"> </w:t>
      </w:r>
      <w:r w:rsidRPr="00144908" w:rsidR="006201F4">
        <w:t xml:space="preserve">(EU) 2026/1419 </w:t>
      </w:r>
      <w:r w:rsidRPr="00144908">
        <w:t>ei ole unionin oikeuden mukainen, sillä se on yhteensopimaton asetuksen (EY) N:o 1829/2003 tavoitteen kanssa; toteaa, että kyseisen asetuksen tavoitteena on Euroopan parlamentin ja neuvoston asetuksessa (EY) N:o 178/2002</w:t>
      </w:r>
      <w:r>
        <w:rPr>
          <w:vertAlign w:val="superscript"/>
        </w:rPr>
        <w:footnoteReference w:id="19"/>
      </w:r>
      <w:r w:rsidRPr="00144908">
        <w:t xml:space="preserve"> säädettyjen yleisperiaatteiden mukaisesti luoda perusta ihmisten elämän ja terveyden, eläinten terveyden ja hyvinvoinnin, ympäristön sekä kuluttajien etujen korkeatasoisen suojelun varmistamiselle muuntogeenisten elintarvikkeiden ja rehujen suhteen ja varmistaa samalla sisämarkkinoiden tehokas toiminta;</w:t>
      </w:r>
    </w:p>
    <w:p w:rsidR="00B579A2" w:rsidRPr="00144908" w:rsidP="0096527E" w14:paraId="5682F027" w14:textId="609BEF0F">
      <w:pPr>
        <w:pStyle w:val="NormalHanging12a"/>
        <w:widowControl/>
      </w:pPr>
      <w:r w:rsidRPr="00144908">
        <w:t>3.</w:t>
      </w:r>
      <w:r w:rsidRPr="00144908">
        <w:tab/>
        <w:t xml:space="preserve">pyytää komissiota </w:t>
      </w:r>
      <w:r w:rsidRPr="00144908" w:rsidR="006201F4">
        <w:t xml:space="preserve">kumoamaan </w:t>
      </w:r>
      <w:r w:rsidRPr="00144908">
        <w:t>täytäntöönpanopäätökse</w:t>
      </w:r>
      <w:r w:rsidRPr="00144908" w:rsidR="006201F4">
        <w:t>n (EU) 2026/1419</w:t>
      </w:r>
      <w:r w:rsidRPr="00144908">
        <w:t>;</w:t>
      </w:r>
    </w:p>
    <w:p w:rsidR="00B579A2" w:rsidRPr="00144908" w:rsidP="0096527E" w14:paraId="7843EB85" w14:textId="77777777">
      <w:pPr>
        <w:pStyle w:val="NormalHanging12a"/>
        <w:widowControl/>
      </w:pPr>
      <w:r w:rsidRPr="00144908">
        <w:t>4.</w:t>
      </w:r>
      <w:r w:rsidRPr="00144908">
        <w:tab/>
        <w:t>pyytää komissiota olemaan myöntämättä lupaa rikkakasvien torjunta-aineille sietokykyisten muuntogeenisten viljelykasvien tuonnille, koska siihen liittyy täydentävien rikkakasvien torjunta-aineiden lisääntynyttä käyttöä ja sen vuoksi enemmän riskejä biologiselle monimuotoisuudelle, elintarvikkeiden turvallisuudelle ja työntekijöiden terveydelle;</w:t>
      </w:r>
    </w:p>
    <w:p w:rsidR="00B579A2" w:rsidRPr="00144908" w:rsidP="0096527E" w14:paraId="60AF47F9" w14:textId="77777777">
      <w:pPr>
        <w:pStyle w:val="NormalHanging12a"/>
        <w:widowControl/>
      </w:pPr>
      <w:r w:rsidRPr="00144908">
        <w:t>5.</w:t>
      </w:r>
      <w:r w:rsidRPr="00144908">
        <w:tab/>
        <w:t>on tyytyväinen siihen, että komissio myönsi 11. syyskuuta 2020 päivätyssä kirjeessään parlamentin jäsenille, että muuntogeenisiä organismeja koskevissa lupapäätöksissä on otettava huomioon kestävyysnäkökohdat</w:t>
      </w:r>
      <w:r>
        <w:rPr>
          <w:vertAlign w:val="superscript"/>
        </w:rPr>
        <w:footnoteReference w:id="20"/>
      </w:r>
      <w:r w:rsidRPr="00144908">
        <w:t>; on kuitenkin erittäin pettynyt siihen, että komissio on sen jälkeen edelleen myöntänyt lupia muuntogeenisten organismien tuonnille unioniin, vaikka parlamentti vastustaa sitä jatkuvasti ja jäsenvaltioiden enemmistö äänestää sitä vastaan;</w:t>
      </w:r>
    </w:p>
    <w:p w:rsidR="00B579A2" w:rsidRPr="00144908" w:rsidP="0096527E" w14:paraId="3F6902A2" w14:textId="77777777">
      <w:pPr>
        <w:pStyle w:val="NormalHanging12a"/>
        <w:widowControl/>
      </w:pPr>
      <w:r w:rsidRPr="00144908">
        <w:t>6.</w:t>
      </w:r>
      <w:r w:rsidRPr="00144908">
        <w:tab/>
        <w:t>kehottaa jälleen kerran komissiota ottamaan huomioon kansainvälisistä sopimuksista, kuten Pariisin ilmastosopimuksesta, YK:n biodiversiteettisopimuksesta ja YK:n kestävän kehityksen tavoitteista, johtuvat unionin velvoitteet; toistaa jälleen kehotuksensa liittää ehdotuksiin täytäntöönpanosäädöksiksi perustelut, joissa selitetään, miten niissä varmistetaan vahingon välttämisen periaatteen noudattaminen</w:t>
      </w:r>
      <w:r>
        <w:rPr>
          <w:vertAlign w:val="superscript"/>
        </w:rPr>
        <w:footnoteReference w:id="21"/>
      </w:r>
      <w:r w:rsidRPr="00144908">
        <w:t>;</w:t>
      </w:r>
    </w:p>
    <w:p w:rsidR="00B579A2" w:rsidRPr="00144908" w:rsidP="0096527E" w14:paraId="3A96DF43" w14:textId="77777777">
      <w:pPr>
        <w:pStyle w:val="NormalHanging12a"/>
        <w:widowControl/>
      </w:pPr>
      <w:r w:rsidRPr="00144908">
        <w:t>7.</w:t>
      </w:r>
      <w:r w:rsidRPr="00144908">
        <w:tab/>
        <w:t>korostaa, että Euroopan parlamentin ehdotukseen Euroopan parlamentin ja neuvoston asetukseksi asetuksen (EU) N:o 182/2011 muuttamisesta 17. joulukuuta 2020 hyväksymissä tarkistuksissa</w:t>
      </w:r>
      <w:r>
        <w:rPr>
          <w:vertAlign w:val="superscript"/>
        </w:rPr>
        <w:footnoteReference w:id="22"/>
      </w:r>
      <w:r w:rsidRPr="00144908">
        <w:t>, jotka hyväksyttiin parlamentissa neuvoston kanssa käytävien neuvottelujen pohjaksi, todetaan, että komission ei pidä myöntää lupaa muuntogeenisille organismeille, jos jäsenvaltioiden määräenemmistö ei kannata sitä; vaatii komissiota noudattamaan tätä kantaa ja kehottaa neuvostoa jatkamaan työtään ja hyväksymään kiireellisesti yleisnäkemyksen tästä asiasta;</w:t>
      </w:r>
    </w:p>
    <w:p w:rsidR="00506A97" w:rsidRPr="00144908" w:rsidP="0096527E" w14:paraId="48FFE215" w14:textId="28746C0D">
      <w:pPr>
        <w:pStyle w:val="NormalHanging12a"/>
        <w:widowControl/>
      </w:pPr>
      <w:r w:rsidRPr="00144908">
        <w:t>8.</w:t>
      </w:r>
      <w:r w:rsidRPr="00144908">
        <w:tab/>
        <w:t>kehottaa puhemiestä välittämään tämän päätöslauselman neuvostolle ja komissiolle sekä jäsenvaltioiden hallituksille ja parlamenteille.</w:t>
      </w:r>
    </w:p>
    <w:sectPr w:rsidSect="00506A9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14FF0" w:rsidRPr="00506A97" w14:paraId="12642F1F" w14:textId="77777777">
      <w:r w:rsidRPr="00506A97">
        <w:separator/>
      </w:r>
    </w:p>
  </w:footnote>
  <w:footnote w:type="continuationSeparator" w:id="1">
    <w:p w:rsidR="00314FF0" w:rsidRPr="00506A97" w14:paraId="7DBC4DFD" w14:textId="77777777">
      <w:r w:rsidRPr="00506A97">
        <w:continuationSeparator/>
      </w:r>
    </w:p>
  </w:footnote>
  <w:footnote w:id="2">
    <w:p w:rsidR="0096527E" w:rsidRPr="00F83CB1" w:rsidP="00F83CB1" w14:paraId="449E434C" w14:textId="6BEE1815">
      <w:pPr>
        <w:pStyle w:val="FootnoteText"/>
        <w:keepLines w:val="0"/>
        <w:ind w:left="567" w:hanging="567"/>
        <w:rPr>
          <w:lang w:val="fr-BE"/>
        </w:rPr>
      </w:pPr>
      <w:r w:rsidRPr="00F83CB1">
        <w:rPr>
          <w:rStyle w:val="FootnoteReference"/>
        </w:rPr>
        <w:footnoteRef/>
      </w:r>
      <w:r w:rsidRPr="00F83CB1">
        <w:rPr>
          <w:lang w:val="fr-BE"/>
        </w:rPr>
        <w:t xml:space="preserve"> </w:t>
      </w:r>
      <w:r w:rsidRPr="00F83CB1">
        <w:rPr>
          <w:lang w:val="fr-BE"/>
        </w:rPr>
        <w:tab/>
      </w:r>
      <w:r w:rsidRPr="00F83CB1">
        <w:rPr>
          <w:color w:val="333333"/>
          <w:sz w:val="24"/>
          <w:szCs w:val="24"/>
          <w:shd w:val="clear" w:color="auto" w:fill="FFFFFF"/>
          <w:lang w:val="fr-BE" w:eastAsia="en-GB"/>
        </w:rPr>
        <w:t>EUVL L, 2026/1419, 3.7.2026, ELI: </w:t>
      </w:r>
      <w:hyperlink r:id="rId1" w:tgtFrame="_blank" w:tooltip="Dà accesso al documento attraverso il suo URI dell'ELI." w:history="1">
        <w:r w:rsidRPr="00F83CB1">
          <w:rPr>
            <w:color w:val="0E47CB"/>
            <w:sz w:val="24"/>
            <w:szCs w:val="24"/>
            <w:u w:val="single"/>
            <w:lang w:val="fr-BE" w:eastAsia="en-GB"/>
          </w:rPr>
          <w:t>http://data.europa.eu/eli/dec_impl/2026/1419/oj</w:t>
        </w:r>
      </w:hyperlink>
      <w:r w:rsidRPr="00F83CB1">
        <w:rPr>
          <w:color w:val="333333"/>
          <w:sz w:val="24"/>
          <w:szCs w:val="24"/>
          <w:shd w:val="clear" w:color="auto" w:fill="FFFFFF"/>
          <w:lang w:val="fr-BE" w:eastAsia="en-GB"/>
        </w:rPr>
        <w:t>.</w:t>
      </w:r>
    </w:p>
  </w:footnote>
  <w:footnote w:id="3">
    <w:p w:rsidR="00B579A2" w:rsidRPr="00F83CB1" w:rsidP="0096527E" w14:paraId="2B0BE56D" w14:textId="2FD6F90C">
      <w:pPr>
        <w:pStyle w:val="FootnoteText"/>
        <w:keepLines w:val="0"/>
        <w:ind w:left="567" w:hanging="567"/>
        <w:rPr>
          <w:sz w:val="24"/>
          <w:lang w:val="fr-BE"/>
        </w:rPr>
      </w:pPr>
      <w:r w:rsidRPr="00F83CB1">
        <w:rPr>
          <w:rStyle w:val="Funotenzeichen"/>
          <w:sz w:val="24"/>
          <w:lang w:val="fi-FI"/>
        </w:rPr>
        <w:footnoteRef/>
      </w:r>
      <w:r w:rsidRPr="00F83CB1" w:rsidR="00506A97">
        <w:rPr>
          <w:sz w:val="24"/>
          <w:lang w:val="fr-BE"/>
        </w:rPr>
        <w:t xml:space="preserve"> </w:t>
      </w:r>
      <w:r w:rsidRPr="00F83CB1" w:rsidR="00506A97">
        <w:rPr>
          <w:sz w:val="24"/>
          <w:lang w:val="fr-BE"/>
        </w:rPr>
        <w:tab/>
      </w:r>
      <w:r w:rsidRPr="00F83CB1">
        <w:rPr>
          <w:sz w:val="24"/>
          <w:lang w:val="fr-BE"/>
        </w:rPr>
        <w:t>EUVL L 268, 18.10.2003, s. 1, ELI: </w:t>
      </w:r>
      <w:hyperlink r:id="rId2" w:tooltip="Avaa asiakirjan ELI URI -osoitteen kautta." w:history="1">
        <w:r w:rsidRPr="00F83CB1">
          <w:rPr>
            <w:rStyle w:val="Hyperlink"/>
            <w:sz w:val="24"/>
            <w:lang w:val="fr-BE"/>
          </w:rPr>
          <w:t>http://data.europa.eu/eli/reg/2003/1829/oj</w:t>
        </w:r>
      </w:hyperlink>
      <w:r w:rsidRPr="00F83CB1">
        <w:rPr>
          <w:sz w:val="24"/>
          <w:lang w:val="fr-BE"/>
        </w:rPr>
        <w:t>.</w:t>
      </w:r>
    </w:p>
  </w:footnote>
  <w:footnote w:id="4">
    <w:p w:rsidR="00B579A2" w:rsidRPr="00F83CB1" w:rsidP="0096527E" w14:paraId="026D61B7" w14:textId="10A340F7">
      <w:pPr>
        <w:pStyle w:val="FootnoteText"/>
        <w:keepLines w:val="0"/>
        <w:ind w:left="567" w:hanging="567"/>
        <w:rPr>
          <w:sz w:val="24"/>
          <w:lang w:val="fi-FI"/>
        </w:rPr>
      </w:pPr>
      <w:r w:rsidRPr="00F83CB1">
        <w:rPr>
          <w:rStyle w:val="FootnoteReference"/>
          <w:sz w:val="24"/>
          <w:lang w:val="fi-FI"/>
        </w:rPr>
        <w:footnoteRef/>
      </w:r>
      <w:r w:rsidRPr="00F83CB1" w:rsidR="00506A97">
        <w:rPr>
          <w:sz w:val="24"/>
          <w:lang w:val="fi-FI"/>
        </w:rPr>
        <w:t xml:space="preserve"> </w:t>
      </w:r>
      <w:r w:rsidRPr="00F83CB1" w:rsidR="00506A97">
        <w:rPr>
          <w:sz w:val="24"/>
          <w:lang w:val="fi-FI"/>
        </w:rPr>
        <w:tab/>
      </w:r>
      <w:r w:rsidRPr="00F83CB1">
        <w:rPr>
          <w:sz w:val="24"/>
          <w:lang w:val="fi-FI"/>
        </w:rPr>
        <w:t xml:space="preserve">EUVL L 55, 28.2.2011, s. 13, ELI: </w:t>
      </w:r>
      <w:hyperlink r:id="rId3" w:tooltip="http://data.europa.eu/eli/reg/2011/182/oj" w:history="1">
        <w:r w:rsidRPr="00F83CB1">
          <w:rPr>
            <w:rStyle w:val="Hyperlink"/>
            <w:sz w:val="24"/>
            <w:lang w:val="fi-FI"/>
          </w:rPr>
          <w:t>http://data.europa.eu/eli/reg/2011/182/oj</w:t>
        </w:r>
      </w:hyperlink>
      <w:r w:rsidRPr="00F83CB1">
        <w:rPr>
          <w:sz w:val="24"/>
          <w:lang w:val="fi-FI"/>
        </w:rPr>
        <w:t>.</w:t>
      </w:r>
    </w:p>
  </w:footnote>
  <w:footnote w:id="5">
    <w:p w:rsidR="00B579A2" w:rsidRPr="00F83CB1" w:rsidP="0096527E" w14:paraId="394A5829" w14:textId="592EED1C">
      <w:pPr>
        <w:pStyle w:val="FootnoteText"/>
        <w:keepLines w:val="0"/>
        <w:ind w:left="567" w:hanging="567"/>
        <w:rPr>
          <w:sz w:val="24"/>
          <w:lang w:val="fi-FI"/>
        </w:rPr>
      </w:pPr>
      <w:r w:rsidRPr="00F83CB1">
        <w:rPr>
          <w:rStyle w:val="Funotenzeichen"/>
          <w:sz w:val="24"/>
          <w:lang w:val="fi-FI"/>
        </w:rPr>
        <w:footnoteRef/>
      </w:r>
      <w:r w:rsidRPr="00F83CB1" w:rsidR="00506A97">
        <w:rPr>
          <w:sz w:val="24"/>
          <w:lang w:val="fi-FI"/>
        </w:rPr>
        <w:t xml:space="preserve"> </w:t>
      </w:r>
      <w:r w:rsidRPr="00F83CB1" w:rsidR="00506A97">
        <w:rPr>
          <w:sz w:val="24"/>
          <w:lang w:val="fi-FI"/>
        </w:rPr>
        <w:tab/>
      </w:r>
      <w:r w:rsidRPr="00F83CB1">
        <w:rPr>
          <w:sz w:val="24"/>
          <w:lang w:val="fi-FI"/>
        </w:rPr>
        <w:t xml:space="preserve">Muuntogeenisiä organismeja käsittelevän EFSAn tiedelautakunnan tieteellinen lausunto ”Assessment of genetically modified soybean MON 87705 (application GMFF-2023-21236)”, </w:t>
      </w:r>
      <w:r w:rsidRPr="00F83CB1">
        <w:rPr>
          <w:i/>
          <w:sz w:val="24"/>
          <w:lang w:val="fi-FI"/>
        </w:rPr>
        <w:t>EFSA Journal,</w:t>
      </w:r>
      <w:r w:rsidRPr="00F83CB1">
        <w:rPr>
          <w:sz w:val="24"/>
          <w:lang w:val="fi-FI"/>
        </w:rPr>
        <w:t xml:space="preserve"> 2026</w:t>
      </w:r>
      <w:r w:rsidRPr="00F83CB1" w:rsidR="00EB0CDD">
        <w:rPr>
          <w:sz w:val="24"/>
          <w:lang w:val="fi-FI"/>
        </w:rPr>
        <w:t>,</w:t>
      </w:r>
      <w:r w:rsidRPr="00F83CB1">
        <w:rPr>
          <w:sz w:val="24"/>
          <w:lang w:val="fi-FI"/>
        </w:rPr>
        <w:t xml:space="preserve"> 24(1):e9846, </w:t>
      </w:r>
      <w:hyperlink r:id="rId4" w:history="1">
        <w:r w:rsidRPr="00F83CB1">
          <w:rPr>
            <w:rStyle w:val="Hyperlink"/>
            <w:sz w:val="24"/>
            <w:lang w:val="fi-FI"/>
          </w:rPr>
          <w:t>https://doi.org/10.2903/j.efsa.2026.9846</w:t>
        </w:r>
      </w:hyperlink>
      <w:r w:rsidRPr="00F83CB1">
        <w:rPr>
          <w:rStyle w:val="Hyperlink"/>
          <w:sz w:val="24"/>
          <w:lang w:val="fi-FI"/>
        </w:rPr>
        <w:t>.</w:t>
      </w:r>
    </w:p>
  </w:footnote>
  <w:footnote w:id="6">
    <w:p w:rsidR="00B579A2" w:rsidRPr="00F83CB1" w:rsidP="0096527E" w14:paraId="7424FCF4" w14:textId="3099B0FB">
      <w:pPr>
        <w:pStyle w:val="FootnoteText"/>
        <w:keepLines w:val="0"/>
        <w:ind w:left="567" w:hanging="567"/>
        <w:rPr>
          <w:color w:val="000000" w:themeColor="text1"/>
          <w:sz w:val="24"/>
          <w:lang w:val="fi-FI"/>
        </w:rPr>
      </w:pPr>
      <w:r w:rsidRPr="00F83CB1">
        <w:rPr>
          <w:rStyle w:val="Funotenzeichen"/>
          <w:sz w:val="24"/>
          <w:lang w:val="fi-FI"/>
        </w:rPr>
        <w:footnoteRef/>
      </w:r>
      <w:r w:rsidRPr="00F83CB1" w:rsidR="00506A97">
        <w:rPr>
          <w:sz w:val="24"/>
          <w:lang w:val="fi-FI"/>
        </w:rPr>
        <w:t xml:space="preserve"> </w:t>
      </w:r>
      <w:r w:rsidRPr="00F83CB1" w:rsidR="00506A97">
        <w:rPr>
          <w:sz w:val="24"/>
          <w:lang w:val="fi-FI"/>
        </w:rPr>
        <w:tab/>
      </w:r>
      <w:r w:rsidRPr="00F83CB1">
        <w:rPr>
          <w:sz w:val="24"/>
          <w:lang w:val="fi-FI"/>
        </w:rPr>
        <w:t>Kahdeksannella vaalikaudella parlamentti hyväksyi 36 päätöslauselmaa ja yhdeksännellä vaalikaudella 38 päätöslauselmaa, joissa vastustettiin lupien myöntämistä muuntogeenisille organismeille.</w:t>
      </w:r>
      <w:r w:rsidRPr="00F83CB1">
        <w:rPr>
          <w:color w:val="000000" w:themeColor="text1"/>
          <w:sz w:val="24"/>
          <w:lang w:val="fi-FI"/>
        </w:rPr>
        <w:t xml:space="preserve"> Lisäksi parlamentti on hyväksynyt kymmenennellä vaalikaudella seuraavat päätöslauselmat:</w:t>
      </w:r>
    </w:p>
    <w:p w:rsidR="00B579A2" w:rsidRPr="00F83CB1" w:rsidP="00F83CB1" w14:paraId="4A09083D" w14:textId="22653105">
      <w:pPr>
        <w:pStyle w:val="FootnoteText"/>
        <w:ind w:left="1134" w:hanging="567"/>
        <w:rPr>
          <w:color w:val="000000" w:themeColor="text1"/>
          <w:sz w:val="24"/>
          <w:vertAlign w:val="superscript"/>
          <w:lang w:val="fi-FI"/>
        </w:rPr>
      </w:pPr>
      <w:r w:rsidRPr="00F83CB1">
        <w:rPr>
          <w:color w:val="000000" w:themeColor="text1"/>
          <w:sz w:val="24"/>
          <w:lang w:val="fi-FI"/>
        </w:rPr>
        <w:t>–</w:t>
      </w:r>
      <w:r w:rsidRPr="00F83CB1">
        <w:rPr>
          <w:color w:val="000000" w:themeColor="text1"/>
          <w:sz w:val="24"/>
          <w:lang w:val="fi-FI"/>
        </w:rPr>
        <w:tab/>
        <w:t>Euroopan parlamentin päätöslauselma 26. marraskuuta 2024 komission täytäntöönpanopäätöksestä (EU) 2024/2628 muuntogeenistä maissia MON 89034 × 1507 × NK603 sisältävien, siitä koostuvien tai siitä valmistettujen tuotteiden markkinoille saattamista koskevan luvan uusimisesta Euroopan parlamentin ja neuvoston asetuksen (EY) N:o 1829/2003 mukaisesti (EUVL C, C/2025/1797, 4.4.2025, ELI: </w:t>
      </w:r>
      <w:hyperlink r:id="rId5" w:history="1">
        <w:r w:rsidRPr="00F83CB1">
          <w:rPr>
            <w:rStyle w:val="Hyperlink"/>
            <w:sz w:val="24"/>
            <w:lang w:val="fi-FI"/>
          </w:rPr>
          <w:t>http://data.europa.eu/eli/C/2025/1797/oj</w:t>
        </w:r>
      </w:hyperlink>
      <w:r w:rsidRPr="00F83CB1">
        <w:rPr>
          <w:color w:val="000000" w:themeColor="text1"/>
          <w:sz w:val="24"/>
          <w:lang w:val="fi-FI"/>
        </w:rPr>
        <w:t>).</w:t>
      </w:r>
    </w:p>
    <w:p w:rsidR="00B579A2" w:rsidRPr="00F83CB1" w:rsidP="00EB0CDD" w14:paraId="578DDFB4" w14:textId="52CFCB7A">
      <w:pPr>
        <w:pStyle w:val="FootnoteText"/>
        <w:ind w:left="1134" w:hanging="567"/>
        <w:rPr>
          <w:color w:val="000000" w:themeColor="text1"/>
          <w:sz w:val="24"/>
          <w:vertAlign w:val="superscript"/>
          <w:lang w:val="fi-FI"/>
        </w:rPr>
      </w:pPr>
      <w:r w:rsidRPr="00F83CB1">
        <w:rPr>
          <w:color w:val="000000" w:themeColor="text1"/>
          <w:sz w:val="24"/>
          <w:lang w:val="fi-FI"/>
        </w:rPr>
        <w:t>–</w:t>
      </w:r>
      <w:r w:rsidRPr="00F83CB1">
        <w:rPr>
          <w:color w:val="000000" w:themeColor="text1"/>
          <w:sz w:val="24"/>
          <w:lang w:val="fi-FI"/>
        </w:rPr>
        <w:tab/>
        <w:t>Euroopan parlamentin päätöslauselma 26. marraskuuta 2024 komission täytäntöönpanopäätöksestä (EU) 2024/2627 luvan myöntämisestä muuntogeenistä puuvillaa COT102 sisältävien, siitä koostuvien tai siitä valmistettujen tuotteiden markkinoille saattamiseen Euroopan parlamentin ja neuvoston asetuksen (EY) N:o 1829/2003 mukaisesti (EUVL C, C/2025/1798, 4.4.2025, ELI: </w:t>
      </w:r>
      <w:hyperlink r:id="rId6" w:history="1">
        <w:r w:rsidRPr="00F83CB1">
          <w:rPr>
            <w:rStyle w:val="Hyperlink"/>
            <w:sz w:val="24"/>
            <w:lang w:val="fi-FI"/>
          </w:rPr>
          <w:t>http://data.europa.eu/eli/C/2025/1798/oj</w:t>
        </w:r>
      </w:hyperlink>
      <w:r w:rsidRPr="00F83CB1">
        <w:rPr>
          <w:color w:val="000000" w:themeColor="text1"/>
          <w:sz w:val="24"/>
          <w:lang w:val="fi-FI"/>
        </w:rPr>
        <w:t>).</w:t>
      </w:r>
    </w:p>
    <w:p w:rsidR="00B579A2" w:rsidRPr="00F83CB1" w:rsidP="00EB0CDD" w14:paraId="78CBEA88" w14:textId="6BE6BFC3">
      <w:pPr>
        <w:pStyle w:val="FootnoteText"/>
        <w:ind w:left="1134" w:hanging="567"/>
        <w:rPr>
          <w:color w:val="000000" w:themeColor="text1"/>
          <w:sz w:val="24"/>
          <w:vertAlign w:val="superscript"/>
          <w:lang w:val="fi-FI"/>
        </w:rPr>
      </w:pPr>
      <w:r w:rsidRPr="00F83CB1">
        <w:rPr>
          <w:color w:val="000000" w:themeColor="text1"/>
          <w:sz w:val="24"/>
          <w:lang w:val="fi-FI"/>
        </w:rPr>
        <w:t>–</w:t>
      </w:r>
      <w:r w:rsidRPr="00F83CB1">
        <w:rPr>
          <w:color w:val="000000" w:themeColor="text1"/>
          <w:sz w:val="24"/>
          <w:lang w:val="fi-FI"/>
        </w:rPr>
        <w:tab/>
        <w:t>Euroopan parlamentin päätöslauselma 26. marraskuuta 2024 komission täytäntöönpanopäätöksestä (EU) 2024/2629 muuntogeenistä maissia MON 89034 × 1507 × MON 88017 × 59122 ja sen kahdeksaa alayhdistelmää sisältävien, niistä koostuvien tai niistä valmistettujen tuotteiden markkinoille saattamista koskevan luvan uusimisesta Euroopan parlamentin ja neuvoston asetuksen (EY) N:o 1829/2003 mukaisesti (EUVL C, C/2025/1799, 4.4.2025, ELI: </w:t>
      </w:r>
      <w:hyperlink r:id="rId7" w:history="1">
        <w:r w:rsidRPr="00F83CB1">
          <w:rPr>
            <w:rStyle w:val="Hyperlink"/>
            <w:sz w:val="24"/>
            <w:lang w:val="fi-FI"/>
          </w:rPr>
          <w:t>http://data.europa.eu/eli/C/2025/1799/oj</w:t>
        </w:r>
      </w:hyperlink>
      <w:r w:rsidRPr="00F83CB1">
        <w:rPr>
          <w:color w:val="000000" w:themeColor="text1"/>
          <w:sz w:val="24"/>
          <w:lang w:val="fi-FI"/>
        </w:rPr>
        <w:t>).</w:t>
      </w:r>
    </w:p>
    <w:p w:rsidR="00B579A2" w:rsidRPr="00F83CB1" w:rsidP="00EB0CDD" w14:paraId="41F1640F" w14:textId="6F18759B">
      <w:pPr>
        <w:pStyle w:val="FootnoteText"/>
        <w:ind w:left="1134" w:hanging="567"/>
        <w:rPr>
          <w:color w:val="000000" w:themeColor="text1"/>
          <w:sz w:val="24"/>
          <w:lang w:val="fi-FI"/>
        </w:rPr>
      </w:pPr>
      <w:r w:rsidRPr="00F83CB1">
        <w:rPr>
          <w:color w:val="000000" w:themeColor="text1"/>
          <w:sz w:val="24"/>
          <w:lang w:val="fi-FI"/>
        </w:rPr>
        <w:t>–</w:t>
      </w:r>
      <w:r w:rsidRPr="00F83CB1">
        <w:rPr>
          <w:color w:val="000000" w:themeColor="text1"/>
          <w:sz w:val="24"/>
          <w:lang w:val="fi-FI"/>
        </w:rPr>
        <w:tab/>
        <w:t>Euroopan parlamentin päätöslauselma 26. marraskuuta 2024 komission täytäntöönpanopäätöksestä (EU) 2024/1828 muuntogeenistä maissia MON 810 sisältävien tai siitä koostuvien rehujen sekä siitä valmistettujen elintarvikkeiden ja rehujen markkinoille saattamista koskevan luvan uusimisesta Euroopan parlamentin ja neuvoston asetuksen (EY) N:o 1829/2003 mukaisesti ja komission täytäntöönpanopäätöksen (EU) 2017/1207 kumoamisesta (EUVL C, C/2025/1800, 4.4.2025, ELI: </w:t>
      </w:r>
      <w:hyperlink r:id="rId8" w:history="1">
        <w:r w:rsidRPr="00F83CB1">
          <w:rPr>
            <w:color w:val="000000" w:themeColor="text1"/>
            <w:lang w:val="fi-FI"/>
          </w:rPr>
          <w:t>http://data.europa.eu/eli/C/2025/1800/oj</w:t>
        </w:r>
      </w:hyperlink>
      <w:r w:rsidRPr="00F83CB1">
        <w:rPr>
          <w:color w:val="000000" w:themeColor="text1"/>
          <w:sz w:val="24"/>
          <w:lang w:val="fi-FI"/>
        </w:rPr>
        <w:t>).</w:t>
      </w:r>
    </w:p>
    <w:p w:rsidR="00B579A2" w:rsidRPr="00F83CB1" w:rsidP="00EB0CDD" w14:paraId="649868A4" w14:textId="6F9A23FF">
      <w:pPr>
        <w:pStyle w:val="FootnoteText"/>
        <w:ind w:left="1134" w:hanging="567"/>
        <w:rPr>
          <w:color w:val="000000" w:themeColor="text1"/>
          <w:sz w:val="24"/>
          <w:lang w:val="fi-FI"/>
        </w:rPr>
      </w:pPr>
      <w:r w:rsidRPr="00F83CB1">
        <w:rPr>
          <w:color w:val="000000" w:themeColor="text1"/>
          <w:sz w:val="24"/>
          <w:lang w:val="fi-FI"/>
        </w:rPr>
        <w:t>–</w:t>
      </w:r>
      <w:r w:rsidRPr="00F83CB1">
        <w:rPr>
          <w:color w:val="000000" w:themeColor="text1"/>
          <w:sz w:val="24"/>
          <w:lang w:val="fi-FI"/>
        </w:rPr>
        <w:tab/>
        <w:t>Euroopan parlamentin päätöslauselma 26. marraskuuta 2024 komission täytäntöönpanopäätöksestä (EU) 2024/1822 luvan antamisesta muuntogeenistä maissia DP915635 sisältävien, siitä koostuvien tai siitä valmistettujen tuotteiden saattamiseksi markkinoille Euroopan parlamentin ja neuvoston asetuksen (EY) N:o 1829/2003 mukaisesti (EUVL C, C/2025/1801, 4.4.2025, ELI: </w:t>
      </w:r>
      <w:hyperlink r:id="rId9" w:history="1">
        <w:r w:rsidRPr="00F83CB1">
          <w:rPr>
            <w:color w:val="000000" w:themeColor="text1"/>
            <w:lang w:val="fi-FI"/>
          </w:rPr>
          <w:t>http://data.europa.eu/eli/C/2025/1801/oj</w:t>
        </w:r>
      </w:hyperlink>
      <w:r w:rsidRPr="00F83CB1">
        <w:rPr>
          <w:color w:val="000000" w:themeColor="text1"/>
          <w:sz w:val="24"/>
          <w:lang w:val="fi-FI"/>
        </w:rPr>
        <w:t>).</w:t>
      </w:r>
    </w:p>
    <w:p w:rsidR="00B579A2" w:rsidRPr="00F83CB1" w:rsidP="00EB0CDD" w14:paraId="45F34993" w14:textId="665B1D31">
      <w:pPr>
        <w:pStyle w:val="FootnoteText"/>
        <w:ind w:left="1134" w:hanging="567"/>
        <w:rPr>
          <w:color w:val="000000" w:themeColor="text1"/>
          <w:sz w:val="24"/>
          <w:lang w:val="fi-FI"/>
        </w:rPr>
      </w:pPr>
      <w:r w:rsidRPr="00F83CB1">
        <w:rPr>
          <w:color w:val="000000" w:themeColor="text1"/>
          <w:sz w:val="24"/>
          <w:lang w:val="fi-FI"/>
        </w:rPr>
        <w:t>–</w:t>
      </w:r>
      <w:r w:rsidRPr="00F83CB1">
        <w:rPr>
          <w:color w:val="000000" w:themeColor="text1"/>
          <w:sz w:val="24"/>
          <w:lang w:val="fi-FI"/>
        </w:rPr>
        <w:tab/>
        <w:t>Euroopan parlamentin päätöslauselma 26. marraskuuta 2024 komission täytäntöönpanopäätöksestä (EU) 2024/1826 luvan antamisesta muuntogeenistä maissia DP23211 sisältävien, siitä koostuvien tai siitä valmistettujen tuotteiden saattamiseksi markkinoille Euroopan parlamentin ja neuvoston asetuksen (EY) N:o 1829/2003 mukaisesti (EUVL C, C/2025/1802, 4.4.2025, ELI: </w:t>
      </w:r>
      <w:hyperlink r:id="rId10" w:history="1">
        <w:r w:rsidRPr="00F83CB1">
          <w:rPr>
            <w:color w:val="000000" w:themeColor="text1"/>
            <w:lang w:val="fi-FI"/>
          </w:rPr>
          <w:t>http://data.europa.eu/eli/C/2025/1802/oj</w:t>
        </w:r>
      </w:hyperlink>
      <w:r w:rsidRPr="00F83CB1">
        <w:rPr>
          <w:color w:val="000000" w:themeColor="text1"/>
          <w:sz w:val="24"/>
          <w:lang w:val="fi-FI"/>
        </w:rPr>
        <w:t>).</w:t>
      </w:r>
    </w:p>
    <w:p w:rsidR="00B579A2" w:rsidRPr="00F83CB1" w:rsidP="00EB0CDD" w14:paraId="215A58C2" w14:textId="1E35D295">
      <w:pPr>
        <w:pStyle w:val="FootnoteText"/>
        <w:ind w:left="1134" w:hanging="567"/>
        <w:rPr>
          <w:color w:val="000000" w:themeColor="text1"/>
          <w:sz w:val="24"/>
          <w:lang w:val="fi-FI"/>
        </w:rPr>
      </w:pPr>
      <w:r w:rsidRPr="00F83CB1">
        <w:rPr>
          <w:color w:val="000000" w:themeColor="text1"/>
          <w:sz w:val="24"/>
          <w:lang w:val="fi-FI"/>
        </w:rPr>
        <w:t>–</w:t>
      </w:r>
      <w:r w:rsidRPr="00F83CB1">
        <w:rPr>
          <w:color w:val="000000" w:themeColor="text1"/>
          <w:sz w:val="24"/>
          <w:lang w:val="fi-FI"/>
        </w:rPr>
        <w:tab/>
        <w:t>Euroopan parlamentin päätöslauselma 26. marraskuuta 2024 komission täytäntöönpanopäätöksestä (EU) 2024/2618 luvan antamisesta muuntogeenistä maissia DP202216 sisältävien, siitä koostuvien tai siitä valmistettujen tuotteiden saattamiseksi markkinoille Euroopan parlamentin ja neuvoston asetuksen (EY) N:o 1829/2003 mukaisesti (EUVL C, C/2025/1803, 4.4.2025, ELI: </w:t>
      </w:r>
      <w:hyperlink r:id="rId11" w:history="1">
        <w:r w:rsidRPr="00F83CB1">
          <w:rPr>
            <w:color w:val="000000" w:themeColor="text1"/>
            <w:lang w:val="fi-FI"/>
          </w:rPr>
          <w:t>http://data.europa.eu/eli/C/2025/1803/oj</w:t>
        </w:r>
      </w:hyperlink>
      <w:r w:rsidRPr="00F83CB1">
        <w:rPr>
          <w:color w:val="000000" w:themeColor="text1"/>
          <w:sz w:val="24"/>
          <w:lang w:val="fi-FI"/>
        </w:rPr>
        <w:t>).</w:t>
      </w:r>
    </w:p>
    <w:p w:rsidR="00B579A2" w:rsidRPr="00F83CB1" w:rsidP="00EB0CDD" w14:paraId="220BC17A" w14:textId="01D7210F">
      <w:pPr>
        <w:pStyle w:val="FootnoteText"/>
        <w:ind w:left="1134" w:hanging="567"/>
        <w:rPr>
          <w:color w:val="000000" w:themeColor="text1"/>
          <w:sz w:val="24"/>
          <w:lang w:val="fi-FI"/>
        </w:rPr>
      </w:pPr>
      <w:r w:rsidRPr="00F83CB1">
        <w:rPr>
          <w:color w:val="000000" w:themeColor="text1"/>
          <w:sz w:val="24"/>
          <w:lang w:val="fi-FI"/>
        </w:rPr>
        <w:t>–</w:t>
      </w:r>
      <w:r w:rsidRPr="00F83CB1">
        <w:rPr>
          <w:color w:val="000000" w:themeColor="text1"/>
          <w:sz w:val="24"/>
          <w:lang w:val="fi-FI"/>
        </w:rPr>
        <w:tab/>
        <w:t>Euroopan parlamentin päätöslauselma 26. marraskuuta 2024 ehdotuksesta komission täytäntöönpanopäätökseksi luvan antamisesta muuntogeenistä maissia MON 94804 sisältävien, siitä koostuvien tai siitä valmistettujen tuotteiden saattamiseksi markkinoille Euroopan parlamentin ja neuvoston asetuksen (EY) N:o 1829/2003 mukaisesti (EUVL C, C/2025/1804, 4.4.2025, ELI: </w:t>
      </w:r>
      <w:hyperlink r:id="rId12" w:history="1">
        <w:r w:rsidRPr="00F83CB1">
          <w:rPr>
            <w:color w:val="000000" w:themeColor="text1"/>
            <w:lang w:val="fi-FI"/>
          </w:rPr>
          <w:t>http://data.europa.eu/eli/C/2025/1804/oj</w:t>
        </w:r>
      </w:hyperlink>
      <w:r w:rsidRPr="00F83CB1">
        <w:rPr>
          <w:color w:val="000000" w:themeColor="text1"/>
          <w:sz w:val="24"/>
          <w:lang w:val="fi-FI"/>
        </w:rPr>
        <w:t>).</w:t>
      </w:r>
    </w:p>
    <w:p w:rsidR="00B579A2" w:rsidRPr="00F83CB1" w:rsidP="00EB0CDD" w14:paraId="380A253C" w14:textId="71308CD2">
      <w:pPr>
        <w:pStyle w:val="FootnoteText"/>
        <w:ind w:left="1134" w:hanging="567"/>
        <w:rPr>
          <w:color w:val="000000" w:themeColor="text1"/>
          <w:sz w:val="24"/>
          <w:lang w:val="fi-FI"/>
        </w:rPr>
      </w:pPr>
      <w:r w:rsidRPr="00F83CB1">
        <w:rPr>
          <w:color w:val="000000" w:themeColor="text1"/>
          <w:sz w:val="24"/>
          <w:lang w:val="fi-FI"/>
        </w:rPr>
        <w:t>–</w:t>
      </w:r>
      <w:r w:rsidRPr="00F83CB1">
        <w:rPr>
          <w:color w:val="000000" w:themeColor="text1"/>
          <w:sz w:val="24"/>
          <w:lang w:val="fi-FI"/>
        </w:rPr>
        <w:tab/>
        <w:t>Euroopan parlamentin päätöslauselma 12. helmikuuta 2025 ehdotuksesta komission täytäntöönpanopäätökseksi luvan antamisesta muuntogeenistä maissia DP910521 sisältävien, siitä koostuvien tai siitä valmistettujen tuotteiden saattamiseksi markkinoille Euroopan parlamentin ja neuvoston asetuksen (EY) N:o 1829/2003 mukaisesti (EUVL C, C/2025/2246, 29.4.2025, ELI: </w:t>
      </w:r>
      <w:hyperlink r:id="rId13" w:tooltip="Avaa asiakirjan ELI URI -osoitteen kautta." w:history="1">
        <w:r w:rsidRPr="00F83CB1">
          <w:rPr>
            <w:color w:val="000000" w:themeColor="text1"/>
            <w:lang w:val="fi-FI"/>
          </w:rPr>
          <w:t>http://data.europa.eu/eli/C/2025/2246/oj</w:t>
        </w:r>
      </w:hyperlink>
      <w:r w:rsidRPr="00F83CB1">
        <w:rPr>
          <w:color w:val="000000" w:themeColor="text1"/>
          <w:sz w:val="24"/>
          <w:lang w:val="fi-FI"/>
        </w:rPr>
        <w:t>).</w:t>
      </w:r>
    </w:p>
    <w:p w:rsidR="00B579A2" w:rsidRPr="00F83CB1" w:rsidP="00EB0CDD" w14:paraId="7843464F" w14:textId="74F9ADC4">
      <w:pPr>
        <w:pStyle w:val="FootnoteText"/>
        <w:ind w:left="1134" w:hanging="567"/>
        <w:rPr>
          <w:color w:val="000000" w:themeColor="text1"/>
          <w:sz w:val="24"/>
          <w:lang w:val="fi-FI"/>
        </w:rPr>
      </w:pPr>
      <w:r w:rsidRPr="00F83CB1">
        <w:rPr>
          <w:color w:val="000000" w:themeColor="text1"/>
          <w:sz w:val="24"/>
          <w:lang w:val="fi-FI"/>
        </w:rPr>
        <w:t>–</w:t>
      </w:r>
      <w:r w:rsidRPr="00F83CB1">
        <w:rPr>
          <w:color w:val="000000" w:themeColor="text1"/>
          <w:sz w:val="24"/>
          <w:lang w:val="fi-FI"/>
        </w:rPr>
        <w:tab/>
        <w:t>Euroopan parlamentin päätöslauselma 12. helmikuuta 2025 ehdotuksesta komission täytäntöönpanopäätökseksi luvan antamisesta muuntogeenistä maissia MON 95275 sisältävien, siitä koostuvien tai siitä valmistettujen tuotteiden saattamiseksi markkinoille Euroopan parlamentin ja neuvoston asetuksen (EY) N:o 1829/2003 mukaisesti (EUVL C, C/2025/2247, 29.4.2025, ELI: </w:t>
      </w:r>
      <w:hyperlink r:id="rId14" w:tooltip="Avaa asiakirjan ELI URI -osoitteen kautta." w:history="1">
        <w:r w:rsidRPr="00F83CB1">
          <w:rPr>
            <w:color w:val="000000" w:themeColor="text1"/>
            <w:lang w:val="fi-FI"/>
          </w:rPr>
          <w:t>http://data.europa.eu/eli/C/2025/2247/oj</w:t>
        </w:r>
      </w:hyperlink>
      <w:r w:rsidRPr="00F83CB1">
        <w:rPr>
          <w:color w:val="000000" w:themeColor="text1"/>
          <w:sz w:val="24"/>
          <w:lang w:val="fi-FI"/>
        </w:rPr>
        <w:t>).</w:t>
      </w:r>
    </w:p>
    <w:p w:rsidR="00B579A2" w:rsidRPr="00F83CB1" w:rsidP="00EB0CDD" w14:paraId="47ED4AE5" w14:textId="54A66407">
      <w:pPr>
        <w:pStyle w:val="FootnoteText"/>
        <w:ind w:left="1134" w:hanging="567"/>
        <w:rPr>
          <w:color w:val="000000" w:themeColor="text1"/>
          <w:sz w:val="24"/>
          <w:lang w:val="fi-FI"/>
        </w:rPr>
      </w:pPr>
      <w:r w:rsidRPr="00F83CB1">
        <w:rPr>
          <w:color w:val="000000" w:themeColor="text1"/>
          <w:sz w:val="24"/>
          <w:lang w:val="fi-FI"/>
        </w:rPr>
        <w:t>–</w:t>
      </w:r>
      <w:r w:rsidRPr="00F83CB1">
        <w:rPr>
          <w:color w:val="000000" w:themeColor="text1"/>
          <w:sz w:val="24"/>
          <w:lang w:val="fi-FI"/>
        </w:rPr>
        <w:tab/>
        <w:t>Euroopan parlamentin päätöslauselma 8. toukokuuta 2025 ehdotuksesta komission täytäntöönpanopäätökseksi muuntogeenistä soijaa MON 87705 × MON 87708 × MON 89788 sisältävien, siitä koostuvien tai siitä valmistettujen tuotteiden saattamiseksi markkinoille Euroopan parlamentin ja neuvoston asetuksen (EY) N:o 1829/2003 mukaisesti (EUVL C, C/2026/586, 24.2.2026, ELI: </w:t>
      </w:r>
      <w:hyperlink r:id="rId15" w:tooltip="Avaa asiakirjan ELI URI -osoitteen kautta." w:history="1">
        <w:r w:rsidRPr="00F83CB1">
          <w:rPr>
            <w:color w:val="000000" w:themeColor="text1"/>
            <w:lang w:val="fi-FI"/>
          </w:rPr>
          <w:t>http://data.europa.eu/eli/C/2026/586/oj</w:t>
        </w:r>
      </w:hyperlink>
      <w:r w:rsidRPr="00F83CB1">
        <w:rPr>
          <w:color w:val="000000" w:themeColor="text1"/>
          <w:sz w:val="24"/>
          <w:lang w:val="fi-FI"/>
        </w:rPr>
        <w:t>).</w:t>
      </w:r>
    </w:p>
    <w:p w:rsidR="00B579A2" w:rsidRPr="00F83CB1" w:rsidP="00EB0CDD" w14:paraId="755F1951" w14:textId="59748B06">
      <w:pPr>
        <w:pStyle w:val="FootnoteText"/>
        <w:ind w:left="1134" w:hanging="567"/>
        <w:rPr>
          <w:color w:val="000000" w:themeColor="text1"/>
          <w:sz w:val="24"/>
          <w:lang w:val="fi-FI"/>
        </w:rPr>
      </w:pPr>
      <w:r w:rsidRPr="00F83CB1">
        <w:rPr>
          <w:color w:val="000000" w:themeColor="text1"/>
          <w:sz w:val="24"/>
          <w:lang w:val="fi-FI"/>
        </w:rPr>
        <w:t>–</w:t>
      </w:r>
      <w:r w:rsidRPr="00F83CB1">
        <w:rPr>
          <w:color w:val="000000" w:themeColor="text1"/>
          <w:sz w:val="24"/>
          <w:lang w:val="fi-FI"/>
        </w:rPr>
        <w:tab/>
        <w:t>Euroopan parlamentin päätöslauselma 8. lokakuuta 2025 22. syyskuuta 2025 annetusta komission täytäntöönpanopäätöksestä (EU) 2025/1898 luvan antamisesta muuntogeenistä maissia DP51291 sisältävien, siitä koostuvien tai siitä valmistettujen tuotteiden saattamiseksi markkinoille Euroopan parlamentin ja neuvoston asetuksen (EY) N:o 1829/2003 mukaisesti (EUVL C, C/2026/1523, 15.4.2026, ELI: </w:t>
      </w:r>
      <w:hyperlink r:id="rId16" w:history="1">
        <w:r w:rsidRPr="00F83CB1">
          <w:rPr>
            <w:color w:val="000000" w:themeColor="text1"/>
            <w:lang w:val="fi-FI"/>
          </w:rPr>
          <w:t>http://data.europa.eu/eli/C/2026/1523/oj</w:t>
        </w:r>
      </w:hyperlink>
      <w:r w:rsidRPr="00F83CB1">
        <w:rPr>
          <w:color w:val="000000" w:themeColor="text1"/>
          <w:sz w:val="24"/>
          <w:lang w:val="fi-FI"/>
        </w:rPr>
        <w:t>).</w:t>
      </w:r>
    </w:p>
    <w:p w:rsidR="00B579A2" w:rsidRPr="00F83CB1" w:rsidP="00EB0CDD" w14:paraId="5C5B285E" w14:textId="352AD6B2">
      <w:pPr>
        <w:pStyle w:val="FootnoteText"/>
        <w:ind w:left="1134" w:hanging="567"/>
        <w:rPr>
          <w:color w:val="000000" w:themeColor="text1"/>
          <w:sz w:val="24"/>
          <w:lang w:val="fi-FI"/>
        </w:rPr>
      </w:pPr>
      <w:r w:rsidRPr="00F83CB1">
        <w:rPr>
          <w:color w:val="000000" w:themeColor="text1"/>
          <w:sz w:val="24"/>
          <w:lang w:val="fi-FI"/>
        </w:rPr>
        <w:t>–</w:t>
      </w:r>
      <w:r w:rsidRPr="00F83CB1">
        <w:rPr>
          <w:color w:val="000000" w:themeColor="text1"/>
          <w:sz w:val="24"/>
          <w:lang w:val="fi-FI"/>
        </w:rPr>
        <w:tab/>
        <w:t>Euroopan parlamentin päätöslauselma 25. marraskuuta 2025 ehdotuksesta komission täytäntöönpanopäätökseksi luvan antamisesta muuntogeenistä maissia DAS1131 sisältävien, siitä koostuvien tai siitä valmistettujen tuotteiden saattamiseksi markkinoille Euroopan parlamentin ja neuvoston asetuksen (EY) N:o 1829/2003 mukaisesti (EUVL C, C/2026/1703, 24.4.2026, ELI: </w:t>
      </w:r>
      <w:hyperlink r:id="rId17" w:history="1">
        <w:r w:rsidRPr="00F83CB1">
          <w:rPr>
            <w:color w:val="000000" w:themeColor="text1"/>
            <w:lang w:val="fi-FI"/>
          </w:rPr>
          <w:t>http://data.europa.eu/eli/C/2026/1703/oj</w:t>
        </w:r>
      </w:hyperlink>
      <w:r w:rsidRPr="00F83CB1">
        <w:rPr>
          <w:color w:val="000000" w:themeColor="text1"/>
          <w:sz w:val="24"/>
          <w:lang w:val="fi-FI"/>
        </w:rPr>
        <w:t>).</w:t>
      </w:r>
    </w:p>
    <w:p w:rsidR="00B579A2" w:rsidRPr="00F83CB1" w:rsidP="00EB0CDD" w14:paraId="30288660" w14:textId="437830F1">
      <w:pPr>
        <w:pStyle w:val="FootnoteText"/>
        <w:ind w:left="1134" w:hanging="567"/>
        <w:rPr>
          <w:color w:val="000000" w:themeColor="text1"/>
          <w:sz w:val="24"/>
          <w:lang w:val="fi-FI"/>
        </w:rPr>
      </w:pPr>
      <w:r w:rsidRPr="00F83CB1">
        <w:rPr>
          <w:color w:val="000000" w:themeColor="text1"/>
          <w:sz w:val="24"/>
          <w:lang w:val="fi-FI"/>
        </w:rPr>
        <w:t>–</w:t>
      </w:r>
      <w:r w:rsidRPr="00F83CB1">
        <w:rPr>
          <w:color w:val="000000" w:themeColor="text1"/>
          <w:sz w:val="24"/>
          <w:lang w:val="fi-FI"/>
        </w:rPr>
        <w:tab/>
        <w:t>Euroopan parlamentin päätöslauselma 25. marraskuuta 2025 ehdotuksesta komission täytäntöönpanopäätökseksi muuntogeenistä puuvillaa MON 88913 (MON-88913-8) sisältävien, siitä koostuvien tai siitä valmistettujen tuotteiden markkinoille saattamista koskevan luvan uusimisesta Euroopan parlamentin ja neuvoston asetuksen (EY) N:o 1829/2003 mukaisesti (EUVL C, C/2026/1704, 24.4.2026, ELI: </w:t>
      </w:r>
      <w:hyperlink r:id="rId18" w:history="1">
        <w:r w:rsidRPr="00F83CB1">
          <w:rPr>
            <w:color w:val="000000" w:themeColor="text1"/>
            <w:lang w:val="fi-FI"/>
          </w:rPr>
          <w:t>http://data.europa.eu/eli/C/2026/1704/oj</w:t>
        </w:r>
      </w:hyperlink>
      <w:r w:rsidRPr="00F83CB1">
        <w:rPr>
          <w:color w:val="000000" w:themeColor="text1"/>
          <w:sz w:val="24"/>
          <w:lang w:val="fi-FI"/>
        </w:rPr>
        <w:t>).</w:t>
      </w:r>
    </w:p>
    <w:p w:rsidR="00B579A2" w:rsidRPr="00F83CB1" w:rsidP="00EB0CDD" w14:paraId="1DB7DDC1" w14:textId="5487A501">
      <w:pPr>
        <w:pStyle w:val="FootnoteText"/>
        <w:ind w:left="1134" w:hanging="567"/>
        <w:rPr>
          <w:color w:val="000000" w:themeColor="text1"/>
          <w:sz w:val="24"/>
          <w:lang w:val="fi-FI"/>
        </w:rPr>
      </w:pPr>
      <w:r w:rsidRPr="00F83CB1">
        <w:rPr>
          <w:color w:val="000000" w:themeColor="text1"/>
          <w:sz w:val="24"/>
          <w:lang w:val="fi-FI"/>
        </w:rPr>
        <w:t>–</w:t>
      </w:r>
      <w:r w:rsidRPr="00F83CB1">
        <w:rPr>
          <w:color w:val="000000" w:themeColor="text1"/>
          <w:sz w:val="24"/>
          <w:lang w:val="fi-FI"/>
        </w:rPr>
        <w:tab/>
        <w:t>Euroopan parlamentin päätöslauselma 25. marraskuuta 2025 ehdotuksesta komission täytäntöönpanopäätökseksi muuntogeenistä rapsia MON 88302 sisältävien, siitä koostuvien tai siitä valmistettujen tuotteiden markkinoille saattamista koskevan luvan uusimisesta Euroopan parlamentin ja neuvoston asetuksen (EY) N:o 1829/2003 mukaisesti (EUVL C, C/2026/1705, 24.4.2026, ELI: </w:t>
      </w:r>
      <w:hyperlink r:id="rId19" w:history="1">
        <w:r w:rsidRPr="00F83CB1">
          <w:rPr>
            <w:color w:val="000000" w:themeColor="text1"/>
            <w:lang w:val="fi-FI"/>
          </w:rPr>
          <w:t>http://data.europa.eu/eli/C/2026/1705/oj</w:t>
        </w:r>
      </w:hyperlink>
      <w:r w:rsidRPr="00F83CB1">
        <w:rPr>
          <w:color w:val="000000" w:themeColor="text1"/>
          <w:sz w:val="24"/>
          <w:lang w:val="fi-FI"/>
        </w:rPr>
        <w:t>).</w:t>
      </w:r>
    </w:p>
    <w:p w:rsidR="00B579A2" w:rsidRPr="00F83CB1" w:rsidP="00EB0CDD" w14:paraId="31C2F687" w14:textId="18DC0A56">
      <w:pPr>
        <w:pStyle w:val="FootnoteText"/>
        <w:ind w:left="1134" w:hanging="567"/>
        <w:rPr>
          <w:color w:val="000000" w:themeColor="text1"/>
          <w:sz w:val="24"/>
          <w:lang w:val="fi-FI"/>
        </w:rPr>
      </w:pPr>
      <w:r w:rsidRPr="00F83CB1">
        <w:rPr>
          <w:color w:val="000000" w:themeColor="text1"/>
          <w:sz w:val="24"/>
          <w:lang w:val="fi-FI"/>
        </w:rPr>
        <w:t>–</w:t>
      </w:r>
      <w:r w:rsidRPr="00F83CB1">
        <w:rPr>
          <w:color w:val="000000" w:themeColor="text1"/>
          <w:sz w:val="24"/>
          <w:lang w:val="fi-FI"/>
        </w:rPr>
        <w:tab/>
        <w:t>Euroopan parlamentin päätöslauselma 25. marraskuuta 2025 komission täytäntöönpanopäätöksestä muuntogeenistä soijaa MON 87708 sisältävien, siitä koostuvien tai siitä valmistettujen tuotteiden markkinoille saattamista koskevan luvan uusimisesta Euroopan parlamentin ja neuvoston asetuksen (EY) N:o 1829/2003 mukaisesti (EUVL C, C/2026/1706, 24.4.2026, ELI: </w:t>
      </w:r>
      <w:hyperlink r:id="rId20" w:history="1">
        <w:r w:rsidRPr="00F83CB1">
          <w:rPr>
            <w:color w:val="000000" w:themeColor="text1"/>
            <w:lang w:val="fi-FI"/>
          </w:rPr>
          <w:t>http://data.europa.eu/eli/C/2026/1706/oj</w:t>
        </w:r>
      </w:hyperlink>
      <w:r w:rsidRPr="00F83CB1">
        <w:rPr>
          <w:color w:val="000000" w:themeColor="text1"/>
          <w:sz w:val="24"/>
          <w:lang w:val="fi-FI"/>
        </w:rPr>
        <w:t>).</w:t>
      </w:r>
    </w:p>
    <w:p w:rsidR="00B579A2" w:rsidRPr="00F83CB1" w:rsidP="00EB0CDD" w14:paraId="1F78627A" w14:textId="1A9FDF64">
      <w:pPr>
        <w:pStyle w:val="FootnoteText"/>
        <w:ind w:left="1134" w:hanging="567"/>
        <w:rPr>
          <w:color w:val="000000" w:themeColor="text1"/>
          <w:sz w:val="24"/>
          <w:lang w:val="fi-FI"/>
        </w:rPr>
      </w:pPr>
      <w:r w:rsidRPr="00F83CB1">
        <w:rPr>
          <w:color w:val="000000" w:themeColor="text1"/>
          <w:sz w:val="24"/>
          <w:lang w:val="fi-FI"/>
        </w:rPr>
        <w:t>–</w:t>
      </w:r>
      <w:r w:rsidRPr="00F83CB1">
        <w:rPr>
          <w:color w:val="000000" w:themeColor="text1"/>
          <w:sz w:val="24"/>
          <w:lang w:val="fi-FI"/>
        </w:rPr>
        <w:tab/>
        <w:t xml:space="preserve">Euroopan parlamentin päätöslauselma 25. marraskuuta 2025 ehdotuksesta komission täytäntöönpanopäätökseksi luvan antamisesta muuntogeenistä maissia MON 87427 sisältävien, siitä koostuvien tai siitä valmistettujen tuotteiden saattamiseksi markkinoille Euroopan parlamentin ja neuvoston asetuksen </w:t>
      </w:r>
      <w:r w:rsidR="009649A6">
        <w:rPr>
          <w:color w:val="000000" w:themeColor="text1"/>
          <w:sz w:val="24"/>
          <w:lang w:val="fi-FI"/>
        </w:rPr>
        <w:t xml:space="preserve">(EY) </w:t>
      </w:r>
      <w:r w:rsidRPr="00F83CB1">
        <w:rPr>
          <w:color w:val="000000" w:themeColor="text1"/>
          <w:sz w:val="24"/>
          <w:lang w:val="fi-FI"/>
        </w:rPr>
        <w:t>N:o 1829/2003 mukaisesti (EUVL C, C/2026/1707, 24.4.2026, ELI: </w:t>
      </w:r>
      <w:hyperlink r:id="rId21" w:history="1">
        <w:r w:rsidRPr="00F83CB1">
          <w:rPr>
            <w:color w:val="000000" w:themeColor="text1"/>
            <w:lang w:val="fi-FI"/>
          </w:rPr>
          <w:t>http://data.europa.eu/eli/C/2026/1707/oj</w:t>
        </w:r>
      </w:hyperlink>
      <w:r w:rsidRPr="00F83CB1">
        <w:rPr>
          <w:color w:val="000000" w:themeColor="text1"/>
          <w:sz w:val="24"/>
          <w:lang w:val="fi-FI"/>
        </w:rPr>
        <w:t>).</w:t>
      </w:r>
    </w:p>
    <w:p w:rsidR="00B579A2" w:rsidRPr="00F83CB1" w:rsidP="00F83CB1" w14:paraId="68669618" w14:textId="02E25748">
      <w:pPr>
        <w:pStyle w:val="FootnoteText"/>
        <w:ind w:left="1134" w:hanging="567"/>
        <w:rPr>
          <w:sz w:val="24"/>
          <w:vertAlign w:val="superscript"/>
          <w:lang w:val="fi-FI"/>
        </w:rPr>
      </w:pPr>
      <w:r w:rsidRPr="00F83CB1">
        <w:rPr>
          <w:sz w:val="24"/>
          <w:lang w:val="fi-FI"/>
        </w:rPr>
        <w:t>–</w:t>
      </w:r>
      <w:r w:rsidRPr="00F83CB1">
        <w:rPr>
          <w:sz w:val="24"/>
          <w:lang w:val="fi-FI"/>
        </w:rPr>
        <w:tab/>
        <w:t>Euroopan parlamentin päätöslauselma 16. joulukuuta 2025 ehdotuksesta komission täytäntöönpanopäätökseksi muuntogeenistä maissia NK603 sisältävien, siitä koostuvien tai siitä valmistettujen tuotteiden markkinoille saattamista koskevan luvan uusimisesta Euroopan parlamentin ja neuvoston asetuksen (EY) N:o 1829/2003 mukaisesti (EUVL C, C/2026/2150, 6.5.2026, ELI: </w:t>
      </w:r>
      <w:hyperlink r:id="rId22" w:history="1">
        <w:r w:rsidRPr="00F83CB1">
          <w:rPr>
            <w:rStyle w:val="Hyperlink"/>
            <w:sz w:val="24"/>
            <w:lang w:val="fi-FI"/>
          </w:rPr>
          <w:t>http://data.europa.eu/eli/C/2026/2150/oj</w:t>
        </w:r>
      </w:hyperlink>
      <w:r w:rsidRPr="00F83CB1">
        <w:rPr>
          <w:sz w:val="24"/>
          <w:lang w:val="fi-FI"/>
        </w:rPr>
        <w:t>).</w:t>
      </w:r>
    </w:p>
    <w:p w:rsidR="00B579A2" w:rsidRPr="00F83CB1" w:rsidP="00F83CB1" w14:paraId="42990444" w14:textId="27E34CCF">
      <w:pPr>
        <w:pStyle w:val="FootnoteText"/>
        <w:ind w:left="1134" w:hanging="567"/>
        <w:rPr>
          <w:sz w:val="24"/>
          <w:vertAlign w:val="superscript"/>
          <w:lang w:val="fi-FI"/>
        </w:rPr>
      </w:pPr>
      <w:r w:rsidRPr="00F83CB1">
        <w:rPr>
          <w:sz w:val="24"/>
          <w:lang w:val="fi-FI"/>
        </w:rPr>
        <w:t>–</w:t>
      </w:r>
      <w:r w:rsidRPr="00F83CB1">
        <w:rPr>
          <w:sz w:val="24"/>
          <w:lang w:val="fi-FI"/>
        </w:rPr>
        <w:tab/>
      </w:r>
      <w:r w:rsidRPr="00F83CB1">
        <w:rPr>
          <w:sz w:val="24"/>
          <w:lang w:val="fi-FI"/>
        </w:rPr>
        <w:t>Euroopan parlamentin päätöslauselma 16. joulukuuta 2025 ehdotuksesta komission täytäntöönpanopäätökseksi luvan antamisesta muuntogeenisestä sokerijuurikkaasta KWS20-1 valmistettujen elintarvikkeiden, elintarvikkeiden ainesosien ja rehujen saattamiseksi markkinoille Euroopan parlamentin ja neuvoston asetuksen (EY) N:o 1829/2003 mukaisesti (EUVL C, C/2026/2151, 6.5.2026, ELI: </w:t>
      </w:r>
      <w:hyperlink r:id="rId23" w:history="1">
        <w:r w:rsidRPr="00F83CB1">
          <w:rPr>
            <w:rStyle w:val="Hyperlink"/>
            <w:sz w:val="24"/>
            <w:lang w:val="fi-FI"/>
          </w:rPr>
          <w:t>http://data.europa.eu/eli/C/2026/2151/oj</w:t>
        </w:r>
      </w:hyperlink>
      <w:r w:rsidRPr="00F83CB1">
        <w:rPr>
          <w:sz w:val="24"/>
          <w:lang w:val="fi-FI"/>
        </w:rPr>
        <w:t>).</w:t>
      </w:r>
    </w:p>
    <w:p w:rsidR="00B579A2" w:rsidRPr="00F83CB1" w:rsidP="00F83CB1" w14:paraId="03456D9D" w14:textId="765AECBE">
      <w:pPr>
        <w:pStyle w:val="FootnoteText"/>
        <w:ind w:left="1134" w:hanging="567"/>
        <w:rPr>
          <w:sz w:val="24"/>
          <w:vertAlign w:val="superscript"/>
          <w:lang w:val="fi-FI"/>
        </w:rPr>
      </w:pPr>
      <w:r w:rsidRPr="00F83CB1">
        <w:rPr>
          <w:sz w:val="24"/>
          <w:lang w:val="fi-FI"/>
        </w:rPr>
        <w:t>–</w:t>
      </w:r>
      <w:r w:rsidRPr="00F83CB1">
        <w:rPr>
          <w:sz w:val="24"/>
          <w:lang w:val="fi-FI"/>
        </w:rPr>
        <w:tab/>
        <w:t>Euroopan parlamentin päätöslauselma 11. helmikuuta 2026 ehdotuksesta komission täytäntöönpanopäätökseksi luvan antamisesta muuntogeenistä soijaa DBN-09004-6 sisältävien, siitä koostuvien tai siitä valmistettujen tuotteiden saattamiseksi markkinoille Euroopan parlamentin ja neuvoston asetuksen (EY) N:o 1829/2003 mukaisesti (Hyväksytyt tekstit, P10_TA(2026)0041).</w:t>
      </w:r>
    </w:p>
    <w:p w:rsidR="00B579A2" w:rsidRPr="00F83CB1" w:rsidP="00F83CB1" w14:paraId="198AC966" w14:textId="60D1C410">
      <w:pPr>
        <w:pStyle w:val="FootnoteText"/>
        <w:ind w:left="1134" w:hanging="567"/>
        <w:rPr>
          <w:sz w:val="24"/>
          <w:vertAlign w:val="superscript"/>
          <w:lang w:val="fi-FI"/>
        </w:rPr>
      </w:pPr>
      <w:r w:rsidRPr="00F83CB1">
        <w:rPr>
          <w:sz w:val="24"/>
          <w:lang w:val="fi-FI"/>
        </w:rPr>
        <w:t>–</w:t>
      </w:r>
      <w:r w:rsidRPr="00F83CB1">
        <w:rPr>
          <w:sz w:val="24"/>
          <w:lang w:val="fi-FI"/>
        </w:rPr>
        <w:tab/>
        <w:t>Euroopan parlamentin päätöslauselma 11. helmikuuta 2026 ehdotuksesta komission täytäntöönpanopäätökseksi muuntogeenistä maissia T25 (ACS-ZMØØ3-2) sisältävien, siitä koostuvien tai siitä valmistettujen tuotteiden markkinoille saattamista koskevan luvan uusimisesta Euroopan parlamentin ja neuvoston asetuksen (EY) N:o 1829/2003 mukaisesti (Hyväksytyt tekstit, P10_TA(2026)0042)</w:t>
      </w:r>
    </w:p>
    <w:p w:rsidR="00B579A2" w:rsidRPr="00F83CB1" w:rsidP="00F83CB1" w14:paraId="7C5D0BB8" w14:textId="3E35C021">
      <w:pPr>
        <w:pStyle w:val="FootnoteText"/>
        <w:ind w:left="1134" w:hanging="567"/>
        <w:rPr>
          <w:sz w:val="24"/>
          <w:vertAlign w:val="superscript"/>
          <w:lang w:val="fi-FI"/>
        </w:rPr>
      </w:pPr>
      <w:r w:rsidRPr="00F83CB1">
        <w:rPr>
          <w:sz w:val="24"/>
          <w:lang w:val="fi-FI"/>
        </w:rPr>
        <w:t>–</w:t>
      </w:r>
      <w:r w:rsidRPr="00F83CB1">
        <w:rPr>
          <w:sz w:val="24"/>
          <w:lang w:val="fi-FI"/>
        </w:rPr>
        <w:tab/>
        <w:t>Euroopan parlamentin päätöslauselma 11. helmikuuta 2026 ehdotuksesta komission täytäntöönpanopäätökseksi muuntogeenistä puuvillaa GHB614 × LLCotton25 sisältävien, siitä koostuvien tai siitä valmistettujen tuotteiden markkinoille saattamista koskevan luvan uusimisesta Euroopan parlamentin ja neuvoston asetuksen (EY) N:o 1829/2003 mukaisesti (Hyväksytyt tekstit, P10_TA(2026)0043).</w:t>
      </w:r>
    </w:p>
    <w:p w:rsidR="00B579A2" w:rsidRPr="00F83CB1" w:rsidP="00F83CB1" w14:paraId="1897957F" w14:textId="1CF76641">
      <w:pPr>
        <w:pStyle w:val="FootnoteText"/>
        <w:ind w:left="1134" w:hanging="567"/>
        <w:rPr>
          <w:sz w:val="24"/>
          <w:vertAlign w:val="superscript"/>
          <w:lang w:val="fi-FI"/>
        </w:rPr>
      </w:pPr>
      <w:r w:rsidRPr="00F83CB1">
        <w:rPr>
          <w:sz w:val="24"/>
          <w:lang w:val="fi-FI"/>
        </w:rPr>
        <w:t>–</w:t>
      </w:r>
      <w:r w:rsidRPr="00F83CB1">
        <w:rPr>
          <w:sz w:val="24"/>
          <w:lang w:val="fi-FI"/>
        </w:rPr>
        <w:tab/>
        <w:t>Euroopan parlamentin päätöslauselma 11. helmikuuta 2026 ehdotuksesta komission täytäntöönpanopäätökseksi muuntogeenistä puuvillaa GHB614 (T304-40) sisältävien, siitä koostuvien tai siitä valmistettujen tuotteiden markkinoille saattamista koskevan luvan uusimisesta Euroopan parlamentin ja neuvoston asetuksen (EY) N:o 1829/2003 mukaisesti (Hyväksytyt tekstit, P10_TA(2026)0044).</w:t>
      </w:r>
    </w:p>
    <w:p w:rsidR="00B579A2" w:rsidRPr="00F83CB1" w:rsidP="00F83CB1" w14:paraId="0A4EE229" w14:textId="3CBA504B">
      <w:pPr>
        <w:pStyle w:val="FootnoteText"/>
        <w:ind w:left="1134" w:hanging="567"/>
        <w:rPr>
          <w:sz w:val="24"/>
          <w:lang w:val="fi-FI"/>
        </w:rPr>
      </w:pPr>
      <w:r w:rsidRPr="00F83CB1">
        <w:rPr>
          <w:sz w:val="24"/>
          <w:lang w:val="fi-FI"/>
        </w:rPr>
        <w:t>–</w:t>
      </w:r>
      <w:r w:rsidRPr="00F83CB1">
        <w:rPr>
          <w:sz w:val="24"/>
          <w:lang w:val="fi-FI"/>
        </w:rPr>
        <w:tab/>
        <w:t>Euroopan parlamentin päätöslauselma 29. huhtikuuta 2026 ehdotuksesta komission täytäntöönpanopäätökseksi luvan antamisesta muuntogeenistä soijaa MON 94637 sisältävien, siitä koostuvien tai siitä valmistettujen tuotteiden saattamiseksi markkinoille Euroopan parlamentin ja neuvoston asetuksen (EY) N:o 1829/2003 mukaisesti (Hyväksytyt tekstit, P10_TA(2026)0150).</w:t>
      </w:r>
    </w:p>
  </w:footnote>
  <w:footnote w:id="7">
    <w:p w:rsidR="00B579A2" w:rsidRPr="00F83CB1" w:rsidP="0096527E" w14:paraId="0F46FB24" w14:textId="07FBE5D7">
      <w:pPr>
        <w:pStyle w:val="FootnoteText"/>
        <w:keepLines w:val="0"/>
        <w:ind w:left="567" w:hanging="567"/>
        <w:rPr>
          <w:sz w:val="24"/>
          <w:lang w:val="fi-FI"/>
        </w:rPr>
      </w:pPr>
      <w:r w:rsidRPr="00F83CB1">
        <w:rPr>
          <w:rStyle w:val="FootnoteReference"/>
          <w:sz w:val="24"/>
          <w:lang w:val="fi-FI"/>
        </w:rPr>
        <w:footnoteRef/>
      </w:r>
      <w:r w:rsidRPr="00F83CB1" w:rsidR="00506A97">
        <w:rPr>
          <w:sz w:val="24"/>
          <w:lang w:val="fi-FI"/>
        </w:rPr>
        <w:t xml:space="preserve"> </w:t>
      </w:r>
      <w:r w:rsidRPr="00F83CB1" w:rsidR="00506A97">
        <w:rPr>
          <w:sz w:val="24"/>
          <w:lang w:val="fi-FI"/>
        </w:rPr>
        <w:tab/>
      </w:r>
      <w:r w:rsidRPr="00F83CB1">
        <w:rPr>
          <w:sz w:val="24"/>
          <w:lang w:val="fi-FI"/>
        </w:rPr>
        <w:t>Komission täytäntöönpanopäätös (EU) 2015/696, annettu 24. huhtikuuta 2015, muuntogeenistä soijaa MON 87705 (MON-877Ø5-6) sisältävien, siitä koostuvien tai siitä valmistettujen tuotteiden markkinoille saattamisen sallimisesta Euroopan parlamentin ja neuvoston asetuksen (EY) N:o 1829/2003 mukaisesti (EUVL L 112, 30.4.2015, s. 60, ELI: </w:t>
      </w:r>
      <w:hyperlink r:id="rId24" w:history="1">
        <w:r w:rsidRPr="00F83CB1">
          <w:rPr>
            <w:rStyle w:val="Hyperlink"/>
            <w:sz w:val="24"/>
            <w:lang w:val="fi-FI"/>
          </w:rPr>
          <w:t>http://data.europa.eu/eli/dec_impl/2015/696/2021-02-16</w:t>
        </w:r>
      </w:hyperlink>
      <w:r w:rsidRPr="00F83CB1">
        <w:rPr>
          <w:sz w:val="24"/>
          <w:lang w:val="fi-FI"/>
        </w:rPr>
        <w:t>).</w:t>
      </w:r>
    </w:p>
  </w:footnote>
  <w:footnote w:id="8">
    <w:p w:rsidR="00B579A2" w:rsidRPr="00F83CB1" w:rsidP="0096527E" w14:paraId="311D490E" w14:textId="3EF75D3D">
      <w:pPr>
        <w:pStyle w:val="FootnoteText"/>
        <w:keepLines w:val="0"/>
        <w:ind w:left="567" w:hanging="567"/>
        <w:rPr>
          <w:sz w:val="24"/>
          <w:lang w:val="fi-FI"/>
        </w:rPr>
      </w:pPr>
      <w:r w:rsidRPr="00F83CB1">
        <w:rPr>
          <w:rStyle w:val="FootnoteReference"/>
          <w:sz w:val="24"/>
          <w:lang w:val="fi-FI"/>
        </w:rPr>
        <w:footnoteRef/>
      </w:r>
      <w:r w:rsidRPr="00F83CB1" w:rsidR="00506A97">
        <w:rPr>
          <w:sz w:val="24"/>
          <w:lang w:val="fi-FI"/>
        </w:rPr>
        <w:t xml:space="preserve"> </w:t>
      </w:r>
      <w:r w:rsidRPr="00F83CB1" w:rsidR="00506A97">
        <w:rPr>
          <w:sz w:val="24"/>
          <w:lang w:val="fi-FI"/>
        </w:rPr>
        <w:tab/>
      </w:r>
      <w:r w:rsidRPr="00F83CB1">
        <w:rPr>
          <w:sz w:val="24"/>
          <w:lang w:val="fi-FI"/>
        </w:rPr>
        <w:t xml:space="preserve">Muuntogeenisiä organismeja käsittelevän EFSAn lautakunnan tieteellinen lausunto ”Assessment of genetically modified soybean MON 87705 for renewal authorisation under Regulation (EC) No 1829/2003 (application GMFF-2023-21236)”, </w:t>
      </w:r>
      <w:r w:rsidRPr="00F83CB1">
        <w:rPr>
          <w:i/>
          <w:sz w:val="24"/>
          <w:lang w:val="fi-FI"/>
        </w:rPr>
        <w:t>EFSA Journal</w:t>
      </w:r>
      <w:r w:rsidRPr="00F83CB1">
        <w:rPr>
          <w:sz w:val="24"/>
          <w:lang w:val="fi-FI"/>
        </w:rPr>
        <w:t xml:space="preserve">, 2026, 24(1):e9846, </w:t>
      </w:r>
      <w:hyperlink r:id="rId4" w:history="1">
        <w:r w:rsidRPr="00F83CB1">
          <w:rPr>
            <w:rStyle w:val="Hyperlink"/>
            <w:sz w:val="24"/>
            <w:lang w:val="fi-FI"/>
          </w:rPr>
          <w:t>https://doi.org/10.2903/j.efsa.2026.9846</w:t>
        </w:r>
      </w:hyperlink>
      <w:r w:rsidRPr="00F83CB1">
        <w:rPr>
          <w:sz w:val="24"/>
          <w:lang w:val="fi-FI"/>
        </w:rPr>
        <w:t>.</w:t>
      </w:r>
    </w:p>
  </w:footnote>
  <w:footnote w:id="9">
    <w:p w:rsidR="00B579A2" w:rsidRPr="00F83CB1" w:rsidP="0096527E" w14:paraId="4B8861AC" w14:textId="281802C0">
      <w:pPr>
        <w:pStyle w:val="FootnoteText"/>
        <w:keepLines w:val="0"/>
        <w:ind w:left="567" w:hanging="567"/>
        <w:rPr>
          <w:sz w:val="24"/>
          <w:lang w:val="en-GB"/>
        </w:rPr>
      </w:pPr>
      <w:r w:rsidRPr="00F83CB1">
        <w:rPr>
          <w:rStyle w:val="FootnoteReference"/>
          <w:sz w:val="24"/>
          <w:lang w:val="fi-FI"/>
        </w:rPr>
        <w:footnoteRef/>
      </w:r>
      <w:r w:rsidRPr="00F83CB1" w:rsidR="00506A97">
        <w:rPr>
          <w:sz w:val="24"/>
          <w:lang w:val="en-GB"/>
        </w:rPr>
        <w:t xml:space="preserve"> </w:t>
      </w:r>
      <w:r w:rsidRPr="00F83CB1" w:rsidR="00506A97">
        <w:rPr>
          <w:sz w:val="24"/>
          <w:lang w:val="en-GB"/>
        </w:rPr>
        <w:tab/>
      </w:r>
      <w:r w:rsidRPr="00F83CB1">
        <w:rPr>
          <w:sz w:val="24"/>
          <w:lang w:val="en-GB"/>
        </w:rPr>
        <w:t>”Scientific Opinion of the EFSA Panel on Genetically Modified Organisms on application EFSA</w:t>
      </w:r>
      <w:r w:rsidRPr="00F83CB1">
        <w:rPr>
          <w:sz w:val="24"/>
          <w:lang w:val="en-GB"/>
        </w:rPr>
        <w:noBreakHyphen/>
        <w:t>GMO</w:t>
      </w:r>
      <w:r w:rsidRPr="00F83CB1">
        <w:rPr>
          <w:sz w:val="24"/>
          <w:lang w:val="en-GB"/>
        </w:rPr>
        <w:noBreakHyphen/>
        <w:t xml:space="preserve">NL-2010-78 for the placing on the market of herbicide tolerant genetically modified soybean MON 87705 for food and feed uses, import and processing under regulation (EC) No 1829/2003 from Monsanto”, </w:t>
      </w:r>
      <w:r w:rsidRPr="00F83CB1">
        <w:rPr>
          <w:i/>
          <w:sz w:val="24"/>
          <w:lang w:val="en-GB"/>
        </w:rPr>
        <w:t>EFSA Journal</w:t>
      </w:r>
      <w:r w:rsidRPr="00F83CB1">
        <w:rPr>
          <w:sz w:val="24"/>
          <w:lang w:val="en-GB"/>
        </w:rPr>
        <w:t xml:space="preserve">, 2012, 10(10):2909, </w:t>
      </w:r>
      <w:hyperlink r:id="rId25" w:history="1">
        <w:r w:rsidRPr="00F83CB1">
          <w:rPr>
            <w:rStyle w:val="Hyperlink"/>
            <w:sz w:val="24"/>
            <w:lang w:val="en-GB"/>
          </w:rPr>
          <w:t>https://doi.org/10.2903/j.efsa.2012.2909</w:t>
        </w:r>
      </w:hyperlink>
      <w:r w:rsidRPr="00F83CB1">
        <w:rPr>
          <w:sz w:val="24"/>
          <w:lang w:val="en-GB"/>
        </w:rPr>
        <w:t>.</w:t>
      </w:r>
    </w:p>
  </w:footnote>
  <w:footnote w:id="10">
    <w:p w:rsidR="00B579A2" w:rsidRPr="00F83CB1" w:rsidP="0096527E" w14:paraId="4A17D72E" w14:textId="59666512">
      <w:pPr>
        <w:pStyle w:val="FootnoteText"/>
        <w:keepLines w:val="0"/>
        <w:ind w:left="567" w:hanging="567"/>
        <w:rPr>
          <w:sz w:val="24"/>
          <w:lang w:val="en-GB"/>
        </w:rPr>
      </w:pPr>
      <w:r w:rsidRPr="00F83CB1">
        <w:rPr>
          <w:rStyle w:val="FootnoteReference"/>
          <w:sz w:val="24"/>
          <w:lang w:val="fi-FI"/>
        </w:rPr>
        <w:footnoteRef/>
      </w:r>
      <w:r w:rsidRPr="00F83CB1" w:rsidR="00506A97">
        <w:rPr>
          <w:sz w:val="24"/>
          <w:lang w:val="en-GB"/>
        </w:rPr>
        <w:t xml:space="preserve"> </w:t>
      </w:r>
      <w:r w:rsidRPr="00F83CB1" w:rsidR="00506A97">
        <w:rPr>
          <w:sz w:val="24"/>
          <w:lang w:val="en-GB"/>
        </w:rPr>
        <w:tab/>
      </w:r>
      <w:r w:rsidRPr="00F83CB1">
        <w:rPr>
          <w:sz w:val="24"/>
          <w:lang w:val="en-GB"/>
        </w:rPr>
        <w:t xml:space="preserve">Muuntogeenisiä organismeja käsittelevä EFSAn lautakunta ”Statement complementing the scientific opinion on application EFSA-GMO-NL-2010-78 to cover the safety of soybean MON 87705 oil for commercial frying”, </w:t>
      </w:r>
      <w:r w:rsidRPr="00F83CB1">
        <w:rPr>
          <w:i/>
          <w:sz w:val="24"/>
          <w:lang w:val="en-GB"/>
        </w:rPr>
        <w:t>EFSA Journal</w:t>
      </w:r>
      <w:r w:rsidRPr="00F83CB1">
        <w:rPr>
          <w:sz w:val="24"/>
          <w:lang w:val="en-GB"/>
        </w:rPr>
        <w:t xml:space="preserve">, 2013, 11(12):3507, </w:t>
      </w:r>
      <w:hyperlink r:id="rId26" w:history="1">
        <w:r w:rsidRPr="00F83CB1">
          <w:rPr>
            <w:rStyle w:val="Hyperlink"/>
            <w:sz w:val="24"/>
            <w:lang w:val="en-GB"/>
          </w:rPr>
          <w:t>https://doi.org/10.2903/j.efsa.2013.3507</w:t>
        </w:r>
      </w:hyperlink>
      <w:r w:rsidRPr="00F83CB1">
        <w:rPr>
          <w:sz w:val="24"/>
          <w:lang w:val="en-GB"/>
        </w:rPr>
        <w:t>.</w:t>
      </w:r>
    </w:p>
  </w:footnote>
  <w:footnote w:id="11">
    <w:p w:rsidR="00B579A2" w:rsidRPr="00F83CB1" w:rsidP="0096527E" w14:paraId="0FA6D56F" w14:textId="0C872FFD">
      <w:pPr>
        <w:pStyle w:val="FootnoteText"/>
        <w:keepLines w:val="0"/>
        <w:ind w:left="567" w:hanging="567"/>
        <w:rPr>
          <w:sz w:val="24"/>
          <w:lang w:val="en-GB"/>
        </w:rPr>
      </w:pPr>
      <w:r w:rsidRPr="00F83CB1">
        <w:rPr>
          <w:rStyle w:val="FootnoteReference"/>
          <w:sz w:val="24"/>
          <w:lang w:val="fi-FI"/>
        </w:rPr>
        <w:footnoteRef/>
      </w:r>
      <w:r w:rsidRPr="00F83CB1" w:rsidR="00506A97">
        <w:rPr>
          <w:sz w:val="24"/>
          <w:shd w:val="clear" w:color="auto" w:fill="FFFFFF"/>
          <w:lang w:val="en-GB"/>
        </w:rPr>
        <w:t xml:space="preserve"> </w:t>
      </w:r>
      <w:r w:rsidRPr="00F83CB1" w:rsidR="00506A97">
        <w:rPr>
          <w:sz w:val="24"/>
          <w:shd w:val="clear" w:color="auto" w:fill="FFFFFF"/>
          <w:lang w:val="en-GB"/>
        </w:rPr>
        <w:tab/>
      </w:r>
      <w:r w:rsidRPr="00F83CB1">
        <w:rPr>
          <w:sz w:val="24"/>
          <w:shd w:val="clear" w:color="auto" w:fill="FFFFFF"/>
          <w:lang w:val="en-GB"/>
        </w:rPr>
        <w:t>Ks. esim. Bonny, S., ”Genetically Modified Herbicide-Tolerant Crops, Weeds, and Herbicides: Overview and Impact”, Environmental Management, tammikuu 2016;57(1), s. 31–48,</w:t>
      </w:r>
      <w:bookmarkStart w:id="6" w:name="_Hlk104996594"/>
      <w:hyperlink r:id="rId27" w:history="1">
        <w:r w:rsidRPr="00F83CB1">
          <w:rPr>
            <w:rStyle w:val="Hyperlink"/>
            <w:sz w:val="24"/>
            <w:shd w:val="clear" w:color="auto" w:fill="FFFFFF"/>
            <w:lang w:val="en-GB"/>
          </w:rPr>
          <w:t>https://doi.org/10.1007/s00267-015-0589-7</w:t>
        </w:r>
      </w:hyperlink>
      <w:bookmarkEnd w:id="6"/>
      <w:r w:rsidRPr="00F83CB1">
        <w:rPr>
          <w:sz w:val="24"/>
          <w:shd w:val="clear" w:color="auto" w:fill="FFFFFF"/>
          <w:lang w:val="en-GB"/>
        </w:rPr>
        <w:t xml:space="preserve"> ja Benbrook, C. M., ”Impacts of genetically engineered crops on pesticide use in the U.S. – the first sixteen years”, Environmental Sciences Europe, 28. syyskuuta 2012, Vol. 24(1), </w:t>
      </w:r>
      <w:hyperlink r:id="rId28" w:history="1">
        <w:r w:rsidRPr="00F83CB1">
          <w:rPr>
            <w:rStyle w:val="Hyperlink"/>
            <w:sz w:val="24"/>
            <w:lang w:val="en-GB"/>
          </w:rPr>
          <w:t>https://doi.org/10.1186/2190-4715-24-24</w:t>
        </w:r>
      </w:hyperlink>
      <w:r w:rsidRPr="00F83CB1">
        <w:rPr>
          <w:sz w:val="24"/>
          <w:shd w:val="clear" w:color="auto" w:fill="FFFFFF"/>
          <w:lang w:val="en-GB"/>
        </w:rPr>
        <w:t>.</w:t>
      </w:r>
    </w:p>
  </w:footnote>
  <w:footnote w:id="12">
    <w:p w:rsidR="00B579A2" w:rsidRPr="00F83CB1" w:rsidP="0096527E" w14:paraId="0E56AF03" w14:textId="240CF555">
      <w:pPr>
        <w:pStyle w:val="FootnoteText"/>
        <w:keepLines w:val="0"/>
        <w:ind w:left="567" w:hanging="567"/>
        <w:rPr>
          <w:sz w:val="24"/>
          <w:lang w:val="fi-FI"/>
        </w:rPr>
      </w:pPr>
      <w:r w:rsidRPr="00F83CB1">
        <w:rPr>
          <w:rStyle w:val="FootnoteReference"/>
          <w:sz w:val="24"/>
          <w:lang w:val="fi-FI"/>
        </w:rPr>
        <w:footnoteRef/>
      </w:r>
      <w:r w:rsidRPr="00F83CB1" w:rsidR="00506A97">
        <w:rPr>
          <w:sz w:val="24"/>
          <w:shd w:val="clear" w:color="auto" w:fill="FFFFFF"/>
          <w:lang w:val="fi-FI"/>
        </w:rPr>
        <w:t xml:space="preserve"> </w:t>
      </w:r>
      <w:r w:rsidRPr="00F83CB1" w:rsidR="00506A97">
        <w:rPr>
          <w:sz w:val="24"/>
          <w:shd w:val="clear" w:color="auto" w:fill="FFFFFF"/>
          <w:lang w:val="fi-FI"/>
        </w:rPr>
        <w:tab/>
      </w:r>
      <w:r w:rsidRPr="00F83CB1">
        <w:rPr>
          <w:sz w:val="24"/>
          <w:shd w:val="clear" w:color="auto" w:fill="FFFFFF"/>
          <w:lang w:val="fi-FI"/>
        </w:rPr>
        <w:t xml:space="preserve">Ks. esim. </w:t>
      </w:r>
      <w:bookmarkStart w:id="7" w:name="_Hlk104996780"/>
      <w:hyperlink r:id="rId29" w:history="1">
        <w:r w:rsidRPr="00F83CB1">
          <w:rPr>
            <w:rStyle w:val="Hyperlink"/>
            <w:sz w:val="24"/>
            <w:lang w:val="fi-FI"/>
          </w:rPr>
          <w:t>https://doi.org/10.1016/j.mrrev.2019.02.001</w:t>
        </w:r>
      </w:hyperlink>
      <w:bookmarkEnd w:id="7"/>
      <w:r w:rsidRPr="00F83CB1">
        <w:rPr>
          <w:sz w:val="24"/>
          <w:shd w:val="clear" w:color="auto" w:fill="FFFFFF"/>
          <w:lang w:val="fi-FI"/>
        </w:rPr>
        <w:t xml:space="preserve"> </w:t>
      </w:r>
      <w:hyperlink r:id="rId30" w:history="1">
        <w:r w:rsidRPr="00F83CB1">
          <w:rPr>
            <w:rStyle w:val="Hyperlink"/>
            <w:sz w:val="24"/>
            <w:lang w:val="fi-FI"/>
          </w:rPr>
          <w:t>https://doi.org/10.1093/ije/dyz017</w:t>
        </w:r>
      </w:hyperlink>
      <w:r w:rsidRPr="00F83CB1">
        <w:rPr>
          <w:sz w:val="24"/>
          <w:shd w:val="clear" w:color="auto" w:fill="FFFFFF"/>
          <w:lang w:val="fi-FI"/>
        </w:rPr>
        <w:t xml:space="preserve">, </w:t>
      </w:r>
      <w:hyperlink r:id="rId31" w:history="1">
        <w:r w:rsidRPr="00F83CB1">
          <w:rPr>
            <w:rStyle w:val="Hyperlink"/>
            <w:sz w:val="24"/>
            <w:lang w:val="fi-FI"/>
          </w:rPr>
          <w:t>https://doi.org/10.1371/journal.pone.0219610</w:t>
        </w:r>
      </w:hyperlink>
      <w:r w:rsidRPr="00F83CB1">
        <w:rPr>
          <w:sz w:val="24"/>
          <w:shd w:val="clear" w:color="auto" w:fill="FFFFFF"/>
          <w:lang w:val="fi-FI"/>
        </w:rPr>
        <w:t xml:space="preserve">, ja </w:t>
      </w:r>
      <w:hyperlink r:id="rId32" w:history="1">
        <w:r w:rsidRPr="00F83CB1">
          <w:rPr>
            <w:rStyle w:val="Hyperlink"/>
            <w:sz w:val="24"/>
            <w:lang w:val="fi-FI"/>
          </w:rPr>
          <w:t>https://doi.org/10.1186/s13045-019-0767-9</w:t>
        </w:r>
      </w:hyperlink>
      <w:r w:rsidRPr="00F83CB1">
        <w:rPr>
          <w:sz w:val="24"/>
          <w:shd w:val="clear" w:color="auto" w:fill="FFFFFF"/>
          <w:lang w:val="fi-FI"/>
        </w:rPr>
        <w:t>.</w:t>
      </w:r>
    </w:p>
  </w:footnote>
  <w:footnote w:id="13">
    <w:p w:rsidR="00B579A2" w:rsidRPr="00F83CB1" w:rsidP="0096527E" w14:paraId="2E84B599" w14:textId="1627F9E4">
      <w:pPr>
        <w:pStyle w:val="FootnoteText"/>
        <w:keepLines w:val="0"/>
        <w:ind w:left="567" w:hanging="567"/>
        <w:rPr>
          <w:sz w:val="24"/>
          <w:lang w:val="en-GB"/>
        </w:rPr>
      </w:pPr>
      <w:r w:rsidRPr="00F83CB1">
        <w:rPr>
          <w:rStyle w:val="FootnoteReference"/>
          <w:sz w:val="24"/>
          <w:lang w:val="fi-FI"/>
        </w:rPr>
        <w:footnoteRef/>
      </w:r>
      <w:r w:rsidRPr="00F83CB1" w:rsidR="00506A97">
        <w:rPr>
          <w:sz w:val="24"/>
          <w:lang w:val="en-GB"/>
        </w:rPr>
        <w:t xml:space="preserve"> </w:t>
      </w:r>
      <w:r w:rsidRPr="00F83CB1" w:rsidR="00506A97">
        <w:rPr>
          <w:sz w:val="24"/>
          <w:lang w:val="en-GB"/>
        </w:rPr>
        <w:tab/>
      </w:r>
      <w:hyperlink r:id="rId33" w:tgtFrame="_blank" w:tooltip="Pysyvä linkki, jossa käytetään digitaalista objektitunnusta" w:history="1">
        <w:r w:rsidRPr="00F83CB1">
          <w:rPr>
            <w:rStyle w:val="Hyperlink"/>
            <w:sz w:val="24"/>
            <w:lang w:val="en-GB"/>
          </w:rPr>
          <w:t>https://doi.org/10.1006/rtph.1999.1371</w:t>
        </w:r>
      </w:hyperlink>
      <w:r w:rsidRPr="00F83CB1">
        <w:rPr>
          <w:sz w:val="24"/>
          <w:lang w:val="en-GB"/>
        </w:rPr>
        <w:t>.</w:t>
      </w:r>
    </w:p>
  </w:footnote>
  <w:footnote w:id="14">
    <w:p w:rsidR="00B579A2" w:rsidRPr="00F83CB1" w:rsidP="0096527E" w14:paraId="34376834" w14:textId="784B4321">
      <w:pPr>
        <w:pStyle w:val="FootnoteText"/>
        <w:keepLines w:val="0"/>
        <w:ind w:left="567" w:hanging="567"/>
        <w:rPr>
          <w:sz w:val="24"/>
          <w:szCs w:val="24"/>
          <w:lang w:val="en-GB"/>
        </w:rPr>
      </w:pPr>
      <w:r w:rsidRPr="00F83CB1">
        <w:rPr>
          <w:rStyle w:val="FootnoteReference"/>
          <w:sz w:val="24"/>
          <w:lang w:val="fi-FI"/>
        </w:rPr>
        <w:footnoteRef/>
      </w:r>
      <w:r w:rsidRPr="00F83CB1" w:rsidR="00506A97">
        <w:rPr>
          <w:sz w:val="24"/>
          <w:shd w:val="clear" w:color="auto" w:fill="FFFFFF"/>
          <w:lang w:val="en-GB"/>
        </w:rPr>
        <w:t xml:space="preserve"> </w:t>
      </w:r>
      <w:r w:rsidRPr="00F83CB1" w:rsidR="00506A97">
        <w:rPr>
          <w:sz w:val="24"/>
          <w:shd w:val="clear" w:color="auto" w:fill="FFFFFF"/>
          <w:lang w:val="en-GB"/>
        </w:rPr>
        <w:tab/>
      </w:r>
      <w:r w:rsidRPr="00F83CB1">
        <w:rPr>
          <w:sz w:val="24"/>
          <w:shd w:val="clear" w:color="auto" w:fill="FFFFFF"/>
          <w:lang w:val="en-GB"/>
        </w:rPr>
        <w:t>Tämä koskee nimenomaan glyfosaattia, kuten todetaan EFSAn perustellussa lausunnossa ”Review of the existing maximum residue levels for glyphosate according to Article 12 of Regulation (EC) No 396/2005</w:t>
      </w:r>
      <w:r w:rsidRPr="00F83CB1" w:rsidR="006201F4">
        <w:rPr>
          <w:sz w:val="24"/>
          <w:shd w:val="clear" w:color="auto" w:fill="FFFFFF"/>
          <w:lang w:val="en-GB"/>
        </w:rPr>
        <w:t>”</w:t>
      </w:r>
      <w:r w:rsidRPr="00F83CB1">
        <w:rPr>
          <w:sz w:val="24"/>
          <w:shd w:val="clear" w:color="auto" w:fill="FFFFFF"/>
          <w:lang w:val="en-GB"/>
        </w:rPr>
        <w:t xml:space="preserve">, </w:t>
      </w:r>
      <w:r w:rsidRPr="00F83CB1">
        <w:rPr>
          <w:i/>
          <w:sz w:val="24"/>
          <w:shd w:val="clear" w:color="auto" w:fill="FFFFFF"/>
          <w:lang w:val="en-GB"/>
        </w:rPr>
        <w:t>EFSA Journal</w:t>
      </w:r>
      <w:r w:rsidRPr="00F83CB1">
        <w:rPr>
          <w:sz w:val="24"/>
          <w:shd w:val="clear" w:color="auto" w:fill="FFFFFF"/>
          <w:lang w:val="en-GB"/>
        </w:rPr>
        <w:t xml:space="preserve">, 2018,16(5):e5263, </w:t>
      </w:r>
      <w:r w:rsidRPr="00F83CB1" w:rsidR="006201F4">
        <w:rPr>
          <w:sz w:val="24"/>
          <w:shd w:val="clear" w:color="auto" w:fill="FFFFFF"/>
          <w:lang w:val="en-GB"/>
        </w:rPr>
        <w:t>s</w:t>
      </w:r>
      <w:r w:rsidRPr="00F83CB1">
        <w:rPr>
          <w:sz w:val="24"/>
          <w:shd w:val="clear" w:color="auto" w:fill="FFFFFF"/>
          <w:lang w:val="en-GB"/>
        </w:rPr>
        <w:t>.</w:t>
      </w:r>
      <w:r w:rsidRPr="00F83CB1" w:rsidR="00C0743E">
        <w:rPr>
          <w:sz w:val="24"/>
          <w:shd w:val="clear" w:color="auto" w:fill="FFFFFF"/>
          <w:lang w:val="en-GB"/>
        </w:rPr>
        <w:t> </w:t>
      </w:r>
      <w:r w:rsidRPr="00F83CB1">
        <w:rPr>
          <w:sz w:val="24"/>
          <w:shd w:val="clear" w:color="auto" w:fill="FFFFFF"/>
          <w:lang w:val="en-GB"/>
        </w:rPr>
        <w:t xml:space="preserve">12, </w:t>
      </w:r>
      <w:hyperlink r:id="rId34" w:history="1">
        <w:r w:rsidRPr="00F83CB1">
          <w:rPr>
            <w:rStyle w:val="Hyperlink"/>
            <w:color w:val="123D80"/>
            <w:sz w:val="24"/>
            <w:shd w:val="clear" w:color="auto" w:fill="FFFFFF"/>
            <w:lang w:val="en-GB"/>
          </w:rPr>
          <w:t>https://doi.org/10.2903/j.efsa.2018.5263</w:t>
        </w:r>
      </w:hyperlink>
      <w:r w:rsidRPr="00F83CB1">
        <w:rPr>
          <w:sz w:val="24"/>
          <w:shd w:val="clear" w:color="auto" w:fill="FFFFFF"/>
          <w:lang w:val="en-GB"/>
        </w:rPr>
        <w:t>.</w:t>
      </w:r>
    </w:p>
  </w:footnote>
  <w:footnote w:id="15">
    <w:p w:rsidR="00B579A2" w:rsidRPr="00F83CB1" w:rsidP="0096527E" w14:paraId="4CA56084" w14:textId="40077F18">
      <w:pPr>
        <w:pStyle w:val="FootnoteText"/>
        <w:keepLines w:val="0"/>
        <w:ind w:left="567" w:hanging="567"/>
        <w:rPr>
          <w:sz w:val="24"/>
          <w:lang w:val="da-DK"/>
        </w:rPr>
      </w:pPr>
      <w:r w:rsidRPr="00F83CB1">
        <w:rPr>
          <w:rStyle w:val="FootnoteReference"/>
          <w:sz w:val="24"/>
          <w:lang w:val="fi-FI"/>
        </w:rPr>
        <w:footnoteRef/>
      </w:r>
      <w:r w:rsidRPr="00F83CB1" w:rsidR="00506A97">
        <w:rPr>
          <w:sz w:val="24"/>
          <w:lang w:val="da-DK"/>
        </w:rPr>
        <w:t xml:space="preserve"> </w:t>
      </w:r>
      <w:r w:rsidRPr="00F83CB1" w:rsidR="00506A97">
        <w:rPr>
          <w:sz w:val="24"/>
          <w:lang w:val="da-DK"/>
        </w:rPr>
        <w:tab/>
      </w:r>
      <w:r w:rsidRPr="00F83CB1">
        <w:rPr>
          <w:sz w:val="24"/>
          <w:lang w:val="da-DK"/>
        </w:rPr>
        <w:t>EUVL L 282, 19.10.2016, s. 4.</w:t>
      </w:r>
    </w:p>
  </w:footnote>
  <w:footnote w:id="16">
    <w:p w:rsidR="00B579A2" w:rsidRPr="00F83CB1" w:rsidP="0096527E" w14:paraId="7F7488AF" w14:textId="71EBBE0D">
      <w:pPr>
        <w:pStyle w:val="FootnoteText"/>
        <w:keepLines w:val="0"/>
        <w:ind w:left="567" w:hanging="567"/>
        <w:rPr>
          <w:sz w:val="24"/>
          <w:lang w:val="da-DK"/>
        </w:rPr>
      </w:pPr>
      <w:r w:rsidRPr="00F83CB1">
        <w:rPr>
          <w:rStyle w:val="FootnoteReference"/>
          <w:sz w:val="24"/>
          <w:lang w:val="fi-FI"/>
        </w:rPr>
        <w:footnoteRef/>
      </w:r>
      <w:r w:rsidRPr="00F83CB1" w:rsidR="00506A97">
        <w:rPr>
          <w:sz w:val="24"/>
          <w:lang w:val="da-DK"/>
        </w:rPr>
        <w:t xml:space="preserve"> </w:t>
      </w:r>
      <w:r w:rsidRPr="00F83CB1" w:rsidR="00506A97">
        <w:rPr>
          <w:sz w:val="24"/>
          <w:lang w:val="da-DK"/>
        </w:rPr>
        <w:tab/>
      </w:r>
      <w:r w:rsidRPr="00F83CB1">
        <w:rPr>
          <w:sz w:val="24"/>
          <w:lang w:val="da-DK"/>
        </w:rPr>
        <w:t>EYVL L 309, 13.12.1993, s. 3, ELI: </w:t>
      </w:r>
      <w:hyperlink r:id="rId35" w:tooltip="Avaa asiakirjan ELI URI -osoitteen kautta." w:history="1">
        <w:r w:rsidRPr="00F83CB1">
          <w:rPr>
            <w:rStyle w:val="Hyperlink"/>
            <w:sz w:val="24"/>
            <w:lang w:val="da-DK"/>
          </w:rPr>
          <w:t>http://data.europa.eu/eli/convention/1993/626/oj</w:t>
        </w:r>
      </w:hyperlink>
      <w:r w:rsidRPr="00F83CB1">
        <w:rPr>
          <w:sz w:val="24"/>
          <w:lang w:val="da-DK"/>
        </w:rPr>
        <w:t>.</w:t>
      </w:r>
    </w:p>
  </w:footnote>
  <w:footnote w:id="17">
    <w:p w:rsidR="00B579A2" w:rsidRPr="00F83CB1" w:rsidP="0096527E" w14:paraId="34AC8E85" w14:textId="0DFAE145">
      <w:pPr>
        <w:pStyle w:val="FootnoteText"/>
        <w:keepLines w:val="0"/>
        <w:ind w:left="567" w:hanging="567"/>
        <w:rPr>
          <w:sz w:val="24"/>
        </w:rPr>
      </w:pPr>
      <w:r w:rsidRPr="00F83CB1">
        <w:rPr>
          <w:rStyle w:val="FootnoteReference"/>
          <w:sz w:val="24"/>
          <w:lang w:val="fi-FI"/>
        </w:rPr>
        <w:footnoteRef/>
      </w:r>
      <w:r w:rsidRPr="00F83CB1" w:rsidR="00506A97">
        <w:rPr>
          <w:sz w:val="24"/>
          <w:lang w:val="fi-FI"/>
        </w:rPr>
        <w:t xml:space="preserve"> </w:t>
      </w:r>
      <w:r w:rsidRPr="00F83CB1" w:rsidR="00506A97">
        <w:rPr>
          <w:sz w:val="24"/>
          <w:lang w:val="fi-FI"/>
        </w:rPr>
        <w:tab/>
      </w:r>
      <w:r w:rsidRPr="00F83CB1">
        <w:rPr>
          <w:sz w:val="24"/>
          <w:lang w:val="fi-FI"/>
        </w:rPr>
        <w:t>YK:n biodiversiteettisopimuksen COP15-kokouksessa sovittiin joulukuussa 2022 maailmanlaajuisesta biodiversiteettikehyksestä, johon sisältyy maailmanlaajuinen tavoite vähentää torjunta-aineista aiheutuvia riskejä vähintään 50 prosentilla vuoteen 2030 mennessä (ks.</w:t>
      </w:r>
      <w:r w:rsidRPr="00F83CB1">
        <w:rPr>
          <w:color w:val="000000" w:themeColor="text1"/>
          <w:sz w:val="24"/>
          <w:lang w:val="fi-FI"/>
        </w:rPr>
        <w:t xml:space="preserve"> </w:t>
      </w:r>
      <w:hyperlink r:id="rId36" w:history="1">
        <w:r w:rsidRPr="00F83CB1">
          <w:rPr>
            <w:rStyle w:val="Hyperlink"/>
            <w:sz w:val="24"/>
          </w:rPr>
          <w:t>https://ec.europa.eu/commission/presscorner/detail/fi/ip_22_7834</w:t>
        </w:r>
      </w:hyperlink>
      <w:r w:rsidRPr="00F83CB1">
        <w:rPr>
          <w:sz w:val="24"/>
        </w:rPr>
        <w:t>).</w:t>
      </w:r>
    </w:p>
  </w:footnote>
  <w:footnote w:id="18">
    <w:p w:rsidR="00B579A2" w:rsidRPr="00F83CB1" w:rsidP="0096527E" w14:paraId="5AE4625A" w14:textId="7C54F9C4">
      <w:pPr>
        <w:pStyle w:val="FootnoteText"/>
        <w:keepLines w:val="0"/>
        <w:ind w:left="567" w:hanging="567"/>
        <w:rPr>
          <w:sz w:val="24"/>
        </w:rPr>
      </w:pPr>
      <w:r w:rsidRPr="00F83CB1">
        <w:rPr>
          <w:rStyle w:val="FootnoteReference"/>
          <w:sz w:val="24"/>
          <w:lang w:val="fi-FI"/>
        </w:rPr>
        <w:footnoteRef/>
      </w:r>
      <w:r w:rsidRPr="00F83CB1" w:rsidR="00506A97">
        <w:rPr>
          <w:sz w:val="24"/>
        </w:rPr>
        <w:t xml:space="preserve"> </w:t>
      </w:r>
      <w:r w:rsidRPr="00F83CB1" w:rsidR="00506A97">
        <w:rPr>
          <w:sz w:val="24"/>
        </w:rPr>
        <w:tab/>
      </w:r>
      <w:hyperlink r:id="rId37" w:history="1">
        <w:r w:rsidRPr="00F83CB1">
          <w:rPr>
            <w:rStyle w:val="Hyperlink"/>
            <w:sz w:val="24"/>
          </w:rPr>
          <w:t>https://commission.europa.eu/topics/agriculture-and-rural-development/strategic-dialogue-future-eu-agriculture_fi</w:t>
        </w:r>
      </w:hyperlink>
      <w:r w:rsidRPr="00F83CB1">
        <w:rPr>
          <w:rStyle w:val="Hyperlink"/>
          <w:sz w:val="24"/>
        </w:rPr>
        <w:t>.</w:t>
      </w:r>
    </w:p>
  </w:footnote>
  <w:footnote w:id="19">
    <w:p w:rsidR="00B579A2" w:rsidRPr="00F83CB1" w:rsidP="0096527E" w14:paraId="069DEEF7" w14:textId="1D440F6C">
      <w:pPr>
        <w:pStyle w:val="FootnoteText"/>
        <w:keepLines w:val="0"/>
        <w:ind w:left="567" w:hanging="567"/>
        <w:rPr>
          <w:sz w:val="24"/>
          <w:szCs w:val="24"/>
          <w:lang w:val="fi-FI"/>
        </w:rPr>
      </w:pPr>
      <w:r w:rsidRPr="00F83CB1">
        <w:rPr>
          <w:rStyle w:val="FootnoteReference"/>
          <w:sz w:val="24"/>
          <w:lang w:val="fi-FI"/>
        </w:rPr>
        <w:footnoteRef/>
      </w:r>
      <w:r w:rsidRPr="00F83CB1" w:rsidR="00506A97">
        <w:rPr>
          <w:sz w:val="24"/>
          <w:lang w:val="fi-FI"/>
        </w:rPr>
        <w:t xml:space="preserve"> </w:t>
      </w:r>
      <w:r w:rsidRPr="00F83CB1" w:rsidR="00506A97">
        <w:rPr>
          <w:sz w:val="24"/>
          <w:lang w:val="fi-FI"/>
        </w:rPr>
        <w:tab/>
      </w:r>
      <w:r w:rsidRPr="00F83CB1">
        <w:rPr>
          <w:sz w:val="24"/>
          <w:lang w:val="fi-FI"/>
        </w:rPr>
        <w:t>Euroopan parlamentin ja neuvoston asetus (EY) N:o 178/2002, annettu 28 päivänä tammikuuta 2002, elintarvikelainsäädäntöä koskevista yleisistä periaatteista ja vaatimuksista, Euroopan elintarviketurvallisuusviranomaisen perustamisesta sekä elintarvikkeiden turvallisuuteen liittyvistä menettelyistä (EYVL L 31, 1.2.2002, s. 1, ELI: </w:t>
      </w:r>
      <w:hyperlink r:id="rId38" w:tgtFrame="Gives access to this document through its ELI URI." w:history="1">
        <w:r w:rsidRPr="00F83CB1">
          <w:rPr>
            <w:rStyle w:val="Hyperlink"/>
            <w:color w:val="0070C0"/>
            <w:sz w:val="24"/>
            <w:lang w:val="fi-FI"/>
          </w:rPr>
          <w:t>http://data.europa.eu/eli/reg/2002/178/oj</w:t>
        </w:r>
      </w:hyperlink>
      <w:r w:rsidRPr="00F83CB1">
        <w:rPr>
          <w:sz w:val="24"/>
          <w:lang w:val="fi-FI"/>
        </w:rPr>
        <w:t>).</w:t>
      </w:r>
    </w:p>
  </w:footnote>
  <w:footnote w:id="20">
    <w:p w:rsidR="00B579A2" w:rsidRPr="00F83CB1" w:rsidP="0096527E" w14:paraId="73E52C28" w14:textId="0BF0E2EA">
      <w:pPr>
        <w:pStyle w:val="FootnoteText"/>
        <w:keepLines w:val="0"/>
        <w:ind w:left="567" w:hanging="567"/>
        <w:rPr>
          <w:sz w:val="24"/>
          <w:szCs w:val="24"/>
          <w:lang w:val="fi-FI"/>
        </w:rPr>
      </w:pPr>
      <w:r w:rsidRPr="00F83CB1">
        <w:rPr>
          <w:rStyle w:val="FootnoteReference"/>
          <w:sz w:val="24"/>
          <w:lang w:val="fi-FI"/>
        </w:rPr>
        <w:footnoteRef/>
      </w:r>
      <w:r w:rsidRPr="00F83CB1" w:rsidR="00506A97">
        <w:rPr>
          <w:sz w:val="24"/>
          <w:lang w:val="fi-FI"/>
        </w:rPr>
        <w:t xml:space="preserve"> </w:t>
      </w:r>
      <w:r w:rsidRPr="00F83CB1" w:rsidR="00506A97">
        <w:rPr>
          <w:sz w:val="24"/>
          <w:lang w:val="fi-FI"/>
        </w:rPr>
        <w:tab/>
      </w:r>
      <w:hyperlink r:id="rId39" w:history="1">
        <w:r w:rsidRPr="00F83CB1">
          <w:rPr>
            <w:rStyle w:val="Hyperlink"/>
            <w:sz w:val="24"/>
            <w:shd w:val="clear" w:color="auto" w:fill="FFFFFF"/>
            <w:lang w:val="fi-FI"/>
          </w:rPr>
          <w:t>https://tillymetz.lu/wp-content/uploads/2020/09/Co-signed-letter-MEP-Metz.pdf</w:t>
        </w:r>
      </w:hyperlink>
      <w:r w:rsidRPr="00F83CB1">
        <w:rPr>
          <w:sz w:val="24"/>
          <w:shd w:val="clear" w:color="auto" w:fill="FFFFFF"/>
          <w:lang w:val="fi-FI"/>
        </w:rPr>
        <w:t>.</w:t>
      </w:r>
    </w:p>
  </w:footnote>
  <w:footnote w:id="21">
    <w:p w:rsidR="00B579A2" w:rsidRPr="00F83CB1" w:rsidP="0096527E" w14:paraId="39DBDDBD" w14:textId="3126AFD0">
      <w:pPr>
        <w:pStyle w:val="FootnoteText"/>
        <w:keepLines w:val="0"/>
        <w:ind w:left="567" w:hanging="567"/>
        <w:rPr>
          <w:sz w:val="24"/>
          <w:lang w:val="fi-FI"/>
        </w:rPr>
      </w:pPr>
      <w:r w:rsidRPr="00F83CB1">
        <w:rPr>
          <w:rStyle w:val="FootnoteReference"/>
          <w:sz w:val="24"/>
          <w:lang w:val="fi-FI"/>
        </w:rPr>
        <w:footnoteRef/>
      </w:r>
      <w:r w:rsidRPr="00F83CB1" w:rsidR="00506A97">
        <w:rPr>
          <w:sz w:val="24"/>
          <w:shd w:val="clear" w:color="auto" w:fill="FFFFFF"/>
          <w:lang w:val="fi-FI"/>
        </w:rPr>
        <w:t xml:space="preserve"> </w:t>
      </w:r>
      <w:r w:rsidRPr="00F83CB1" w:rsidR="00506A97">
        <w:rPr>
          <w:sz w:val="24"/>
          <w:shd w:val="clear" w:color="auto" w:fill="FFFFFF"/>
          <w:lang w:val="fi-FI"/>
        </w:rPr>
        <w:tab/>
      </w:r>
      <w:r w:rsidRPr="00F83CB1">
        <w:rPr>
          <w:sz w:val="24"/>
          <w:shd w:val="clear" w:color="auto" w:fill="FFFFFF"/>
          <w:lang w:val="fi-FI"/>
        </w:rPr>
        <w:t>Euroopan parlamentin päätöslauselma, annettu 15. tammikuuta 2020, Euroopan vihreän kehityksen ohjelmasta (EUVL C 270, 7.7.2021, s. 2), 102 kohta.</w:t>
      </w:r>
    </w:p>
  </w:footnote>
  <w:footnote w:id="22">
    <w:p w:rsidR="00B579A2" w:rsidRPr="00506A97" w:rsidP="0096527E" w14:paraId="42D66205" w14:textId="04EEA994">
      <w:pPr>
        <w:pStyle w:val="FootnoteText"/>
        <w:keepLines w:val="0"/>
        <w:ind w:left="567" w:hanging="567"/>
        <w:rPr>
          <w:sz w:val="24"/>
          <w:szCs w:val="24"/>
          <w:lang w:val="fi-FI"/>
        </w:rPr>
      </w:pPr>
      <w:r w:rsidRPr="00F83CB1">
        <w:rPr>
          <w:rStyle w:val="FootnoteReference"/>
          <w:sz w:val="24"/>
          <w:lang w:val="fi-FI"/>
        </w:rPr>
        <w:footnoteRef/>
      </w:r>
      <w:r w:rsidRPr="00F83CB1" w:rsidR="00506A97">
        <w:rPr>
          <w:sz w:val="24"/>
          <w:shd w:val="clear" w:color="auto" w:fill="FFFFFF"/>
          <w:lang w:val="fi-FI"/>
        </w:rPr>
        <w:t xml:space="preserve"> </w:t>
      </w:r>
      <w:r w:rsidRPr="00F83CB1" w:rsidR="00506A97">
        <w:rPr>
          <w:sz w:val="24"/>
          <w:shd w:val="clear" w:color="auto" w:fill="FFFFFF"/>
          <w:lang w:val="fi-FI"/>
        </w:rPr>
        <w:tab/>
      </w:r>
      <w:r w:rsidRPr="00F83CB1">
        <w:rPr>
          <w:sz w:val="24"/>
          <w:shd w:val="clear" w:color="auto" w:fill="FFFFFF"/>
          <w:lang w:val="fi-FI"/>
        </w:rPr>
        <w:t>EUVL C 445, 29.10.2021, s. 257.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4546346">
    <w:abstractNumId w:val="9"/>
  </w:num>
  <w:num w:numId="2" w16cid:durableId="1285576137">
    <w:abstractNumId w:val="9"/>
  </w:num>
  <w:num w:numId="3" w16cid:durableId="985627815">
    <w:abstractNumId w:val="7"/>
  </w:num>
  <w:num w:numId="4" w16cid:durableId="1479111087">
    <w:abstractNumId w:val="7"/>
  </w:num>
  <w:num w:numId="5" w16cid:durableId="1184586007">
    <w:abstractNumId w:val="6"/>
  </w:num>
  <w:num w:numId="6" w16cid:durableId="287392430">
    <w:abstractNumId w:val="6"/>
  </w:num>
  <w:num w:numId="7" w16cid:durableId="812987572">
    <w:abstractNumId w:val="5"/>
  </w:num>
  <w:num w:numId="8" w16cid:durableId="1297637277">
    <w:abstractNumId w:val="5"/>
  </w:num>
  <w:num w:numId="9" w16cid:durableId="1624115212">
    <w:abstractNumId w:val="4"/>
  </w:num>
  <w:num w:numId="10" w16cid:durableId="1657681181">
    <w:abstractNumId w:val="4"/>
  </w:num>
  <w:num w:numId="11" w16cid:durableId="1213733288">
    <w:abstractNumId w:val="8"/>
  </w:num>
  <w:num w:numId="12" w16cid:durableId="422071148">
    <w:abstractNumId w:val="8"/>
  </w:num>
  <w:num w:numId="13" w16cid:durableId="1091272081">
    <w:abstractNumId w:val="3"/>
  </w:num>
  <w:num w:numId="14" w16cid:durableId="22756017">
    <w:abstractNumId w:val="3"/>
  </w:num>
  <w:num w:numId="15" w16cid:durableId="1313101547">
    <w:abstractNumId w:val="2"/>
  </w:num>
  <w:num w:numId="16" w16cid:durableId="72245179">
    <w:abstractNumId w:val="2"/>
  </w:num>
  <w:num w:numId="17" w16cid:durableId="1136263736">
    <w:abstractNumId w:val="1"/>
  </w:num>
  <w:num w:numId="18" w16cid:durableId="1261568267">
    <w:abstractNumId w:val="1"/>
  </w:num>
  <w:num w:numId="19" w16cid:durableId="737627656">
    <w:abstractNumId w:val="0"/>
  </w:num>
  <w:num w:numId="20" w16cid:durableId="1611936848">
    <w:abstractNumId w:val="0"/>
  </w:num>
  <w:num w:numId="21" w16cid:durableId="1068579980">
    <w:abstractNumId w:val="9"/>
  </w:num>
  <w:num w:numId="22" w16cid:durableId="141197065">
    <w:abstractNumId w:val="7"/>
  </w:num>
  <w:num w:numId="23" w16cid:durableId="1819760411">
    <w:abstractNumId w:val="6"/>
  </w:num>
  <w:num w:numId="24" w16cid:durableId="1582838652">
    <w:abstractNumId w:val="5"/>
  </w:num>
  <w:num w:numId="25" w16cid:durableId="883715330">
    <w:abstractNumId w:val="4"/>
  </w:num>
  <w:num w:numId="26" w16cid:durableId="2135714811">
    <w:abstractNumId w:val="8"/>
  </w:num>
  <w:num w:numId="27" w16cid:durableId="1237516796">
    <w:abstractNumId w:val="3"/>
  </w:num>
  <w:num w:numId="28" w16cid:durableId="2145610433">
    <w:abstractNumId w:val="2"/>
  </w:num>
  <w:num w:numId="29" w16cid:durableId="753555246">
    <w:abstractNumId w:val="1"/>
  </w:num>
  <w:num w:numId="30" w16cid:durableId="1684162546">
    <w:abstractNumId w:val="0"/>
  </w:num>
  <w:num w:numId="31" w16cid:durableId="709646925">
    <w:abstractNumId w:val="9"/>
  </w:num>
  <w:num w:numId="32" w16cid:durableId="646207688">
    <w:abstractNumId w:val="7"/>
  </w:num>
  <w:num w:numId="33" w16cid:durableId="2065368146">
    <w:abstractNumId w:val="6"/>
  </w:num>
  <w:num w:numId="34" w16cid:durableId="107625008">
    <w:abstractNumId w:val="5"/>
  </w:num>
  <w:num w:numId="35" w16cid:durableId="662587681">
    <w:abstractNumId w:val="4"/>
  </w:num>
  <w:num w:numId="36" w16cid:durableId="827328657">
    <w:abstractNumId w:val="8"/>
  </w:num>
  <w:num w:numId="37" w16cid:durableId="1606032573">
    <w:abstractNumId w:val="3"/>
  </w:num>
  <w:num w:numId="38" w16cid:durableId="925192893">
    <w:abstractNumId w:val="2"/>
  </w:num>
  <w:num w:numId="39" w16cid:durableId="148987616">
    <w:abstractNumId w:val="1"/>
  </w:num>
  <w:num w:numId="40" w16cid:durableId="335886793">
    <w:abstractNumId w:val="0"/>
  </w:num>
  <w:num w:numId="41" w16cid:durableId="219171209">
    <w:abstractNumId w:val="10"/>
  </w:num>
  <w:num w:numId="42" w16cid:durableId="2122799011">
    <w:abstractNumId w:val="10"/>
  </w:num>
  <w:num w:numId="43" w16cid:durableId="1939210505">
    <w:abstractNumId w:val="10"/>
  </w:num>
  <w:num w:numId="44" w16cid:durableId="7290408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FF0"/>
    <w:rsid w:val="00002272"/>
    <w:rsid w:val="00064002"/>
    <w:rsid w:val="000677B9"/>
    <w:rsid w:val="00080FA4"/>
    <w:rsid w:val="000831BA"/>
    <w:rsid w:val="000A42CC"/>
    <w:rsid w:val="000E7DD9"/>
    <w:rsid w:val="0010095E"/>
    <w:rsid w:val="00125B37"/>
    <w:rsid w:val="00144908"/>
    <w:rsid w:val="00187494"/>
    <w:rsid w:val="001F32AE"/>
    <w:rsid w:val="002767FF"/>
    <w:rsid w:val="002B18FE"/>
    <w:rsid w:val="002B5493"/>
    <w:rsid w:val="00314FF0"/>
    <w:rsid w:val="00343214"/>
    <w:rsid w:val="00361C00"/>
    <w:rsid w:val="00395FA1"/>
    <w:rsid w:val="003E15D4"/>
    <w:rsid w:val="00411CCE"/>
    <w:rsid w:val="0041666E"/>
    <w:rsid w:val="00421060"/>
    <w:rsid w:val="00471C19"/>
    <w:rsid w:val="004867E3"/>
    <w:rsid w:val="00494A28"/>
    <w:rsid w:val="004B2A04"/>
    <w:rsid w:val="004C0004"/>
    <w:rsid w:val="004C5D52"/>
    <w:rsid w:val="0050519A"/>
    <w:rsid w:val="00506A97"/>
    <w:rsid w:val="005072A1"/>
    <w:rsid w:val="00514517"/>
    <w:rsid w:val="00524553"/>
    <w:rsid w:val="00545827"/>
    <w:rsid w:val="00560270"/>
    <w:rsid w:val="005C2568"/>
    <w:rsid w:val="005F1B17"/>
    <w:rsid w:val="006037C0"/>
    <w:rsid w:val="006201F4"/>
    <w:rsid w:val="006631B6"/>
    <w:rsid w:val="00680577"/>
    <w:rsid w:val="006D004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49A6"/>
    <w:rsid w:val="0096527E"/>
    <w:rsid w:val="00981893"/>
    <w:rsid w:val="00983B8A"/>
    <w:rsid w:val="009E53E2"/>
    <w:rsid w:val="00A1687D"/>
    <w:rsid w:val="00A43E52"/>
    <w:rsid w:val="00A4678D"/>
    <w:rsid w:val="00A778C7"/>
    <w:rsid w:val="00AB441E"/>
    <w:rsid w:val="00AB6293"/>
    <w:rsid w:val="00AE0928"/>
    <w:rsid w:val="00AF3B82"/>
    <w:rsid w:val="00B12E95"/>
    <w:rsid w:val="00B22876"/>
    <w:rsid w:val="00B558F0"/>
    <w:rsid w:val="00B579A2"/>
    <w:rsid w:val="00BD48FE"/>
    <w:rsid w:val="00BD7BD8"/>
    <w:rsid w:val="00BE6ADC"/>
    <w:rsid w:val="00C05BFE"/>
    <w:rsid w:val="00C0743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0CDD"/>
    <w:rsid w:val="00EB4772"/>
    <w:rsid w:val="00EB6911"/>
    <w:rsid w:val="00ED169E"/>
    <w:rsid w:val="00ED4235"/>
    <w:rsid w:val="00F04346"/>
    <w:rsid w:val="00F075DC"/>
    <w:rsid w:val="00F149E9"/>
    <w:rsid w:val="00F4761B"/>
    <w:rsid w:val="00F5134D"/>
    <w:rsid w:val="00F647DE"/>
    <w:rsid w:val="00F72D46"/>
    <w:rsid w:val="00F74202"/>
    <w:rsid w:val="00F83CB1"/>
    <w:rsid w:val="00F87713"/>
    <w:rsid w:val="00FB4360"/>
    <w:rsid w:val="00FD0C70"/>
  </w:rsids>
  <w:docVars>
    <w:docVar w:name="dvdocse" w:val="B10-0334/2026"/>
    <w:docVar w:name="dvlangue" w:val="FI"/>
    <w:docVar w:name="dvnumam" w:val="0"/>
    <w:docVar w:name="dvpe" w:val="789.024"/>
    <w:docVar w:name="dvtitre" w:val="Euroopan parlamentin päätöslauselma 8. heinäkuuta 2026 ehdotuksesta komission täytäntöönpanopäätökseksi muuntogeenistä soijaa MON 87705 sisältävien, siitä koostuvien tai siitä valmistettujen tuotteiden markkinoille saattamista koskevan luvan uusimisesta Euroopan parlamentin ja neuvoston asetuksen (EY) N:o 1829/2003 mukaisesti (D114998/03 – 2026/274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B951177"/>
  <w15:chartTrackingRefBased/>
  <w15:docId w15:val="{CE4D41ED-92C2-4AC0-B9A1-00C1E3451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579A2"/>
    <w:pPr>
      <w:spacing w:before="480" w:after="240"/>
    </w:pPr>
  </w:style>
  <w:style w:type="paragraph" w:customStyle="1" w:styleId="NormalHanging12a">
    <w:name w:val="NormalHanging12a"/>
    <w:basedOn w:val="Normal"/>
    <w:qFormat/>
    <w:rsid w:val="00B579A2"/>
    <w:pPr>
      <w:spacing w:after="240"/>
      <w:ind w:left="567" w:hanging="567"/>
    </w:pPr>
  </w:style>
  <w:style w:type="character" w:styleId="Hyperlink">
    <w:name w:val="Hyperlink"/>
    <w:basedOn w:val="DefaultParagraphFont"/>
    <w:uiPriority w:val="99"/>
    <w:rsid w:val="00B579A2"/>
    <w:rPr>
      <w:color w:val="0563C1" w:themeColor="hyperlink"/>
      <w:u w:val="single"/>
    </w:rPr>
  </w:style>
  <w:style w:type="character" w:customStyle="1" w:styleId="Funotenzeichen">
    <w:name w:val="Fußnotenzeichen"/>
    <w:basedOn w:val="DefaultParagraphFont"/>
    <w:uiPriority w:val="99"/>
    <w:qFormat/>
    <w:rsid w:val="00B579A2"/>
    <w:rPr>
      <w:rFonts w:cs="Times New Roman"/>
      <w:vertAlign w:val="superscript"/>
    </w:rPr>
  </w:style>
  <w:style w:type="paragraph" w:styleId="Footer">
    <w:name w:val="footer"/>
    <w:basedOn w:val="Normal"/>
    <w:link w:val="FooterChar"/>
    <w:rsid w:val="0096527E"/>
    <w:pPr>
      <w:tabs>
        <w:tab w:val="center" w:pos="4513"/>
        <w:tab w:val="right" w:pos="9026"/>
      </w:tabs>
    </w:pPr>
  </w:style>
  <w:style w:type="character" w:customStyle="1" w:styleId="FooterChar">
    <w:name w:val="Footer Char"/>
    <w:basedOn w:val="DefaultParagraphFont"/>
    <w:link w:val="Footer"/>
    <w:rsid w:val="0096527E"/>
    <w:rPr>
      <w:sz w:val="24"/>
      <w:lang w:val="fi-FI"/>
    </w:rPr>
  </w:style>
  <w:style w:type="paragraph" w:styleId="Revision">
    <w:name w:val="Revision"/>
    <w:hidden/>
    <w:uiPriority w:val="99"/>
    <w:semiHidden/>
    <w:rsid w:val="0096527E"/>
    <w:rPr>
      <w:sz w:val="24"/>
      <w:lang w:val="fi-FI"/>
    </w:rPr>
  </w:style>
  <w:style w:type="character" w:styleId="CommentReference">
    <w:name w:val="annotation reference"/>
    <w:basedOn w:val="DefaultParagraphFont"/>
    <w:rsid w:val="006201F4"/>
    <w:rPr>
      <w:sz w:val="16"/>
      <w:szCs w:val="16"/>
    </w:rPr>
  </w:style>
  <w:style w:type="paragraph" w:styleId="CommentText">
    <w:name w:val="annotation text"/>
    <w:basedOn w:val="Normal"/>
    <w:link w:val="CommentTextChar"/>
    <w:rsid w:val="006201F4"/>
    <w:rPr>
      <w:sz w:val="20"/>
    </w:rPr>
  </w:style>
  <w:style w:type="character" w:customStyle="1" w:styleId="CommentTextChar">
    <w:name w:val="Comment Text Char"/>
    <w:basedOn w:val="DefaultParagraphFont"/>
    <w:link w:val="CommentText"/>
    <w:rsid w:val="006201F4"/>
    <w:rPr>
      <w:lang w:val="fi-FI"/>
    </w:rPr>
  </w:style>
  <w:style w:type="paragraph" w:styleId="CommentSubject">
    <w:name w:val="annotation subject"/>
    <w:basedOn w:val="CommentText"/>
    <w:next w:val="CommentText"/>
    <w:link w:val="CommentSubjectChar"/>
    <w:rsid w:val="006201F4"/>
    <w:rPr>
      <w:b/>
      <w:bCs/>
    </w:rPr>
  </w:style>
  <w:style w:type="character" w:customStyle="1" w:styleId="CommentSubjectChar">
    <w:name w:val="Comment Subject Char"/>
    <w:basedOn w:val="CommentTextChar"/>
    <w:link w:val="CommentSubject"/>
    <w:rsid w:val="006201F4"/>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9/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696/2021-02-16" TargetMode="External" /><Relationship Id="rId25" Type="http://schemas.openxmlformats.org/officeDocument/2006/relationships/hyperlink" Target="https://doi.org/10.2903/j.efsa.2012.2909" TargetMode="External" /><Relationship Id="rId26" Type="http://schemas.openxmlformats.org/officeDocument/2006/relationships/hyperlink" Target="https://doi.org/10.2903/j.efsa.2013.3507" TargetMode="External" /><Relationship Id="rId27" Type="http://schemas.openxmlformats.org/officeDocument/2006/relationships/hyperlink" Target="https://doi.org/10.1007/s00267-015-0589-7" TargetMode="External" /><Relationship Id="rId28" Type="http://schemas.openxmlformats.org/officeDocument/2006/relationships/hyperlink" Target="https://doi.org/10.1186/2190-4715-24-24" TargetMode="External" /><Relationship Id="rId29" Type="http://schemas.openxmlformats.org/officeDocument/2006/relationships/hyperlink" Target="https://doi.org/10.1016/j.mrrev.2019.02.001"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093/ije/dyz017" TargetMode="External" /><Relationship Id="rId31" Type="http://schemas.openxmlformats.org/officeDocument/2006/relationships/hyperlink" Target="https://doi.org/10.1371/journal.pone.0219610" TargetMode="External" /><Relationship Id="rId32" Type="http://schemas.openxmlformats.org/officeDocument/2006/relationships/hyperlink" Target="https://doi.org/10.1186/s13045-019-0767-9" TargetMode="External" /><Relationship Id="rId33" Type="http://schemas.openxmlformats.org/officeDocument/2006/relationships/hyperlink" Target="https://doi.org/10.1006/rtph.1999.1371"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fi/ip_22_7834" TargetMode="External" /><Relationship Id="rId37" Type="http://schemas.openxmlformats.org/officeDocument/2006/relationships/hyperlink" Target="https://commission.europa.eu/topics/agriculture-and-rural-development/strategic-dialogue-future-eu-agriculture_fi"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6.98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1639</Words>
  <Characters>13851</Characters>
  <Application>Microsoft Office Word</Application>
  <DocSecurity>0</DocSecurity>
  <Lines>115</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2026-08-04T13:13:00Z</dcterms:created>
  <dcterms:modified xsi:type="dcterms:W3CDTF">2026-08-04T13:13:00Z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B10-0334/2026</vt:lpwstr>
  </property>
  <property fmtid="{D5CDD505-2E9C-101B-9397-08002B2CF9AE}" pid="4" name="&lt;Type&gt;">
    <vt:lpwstr>RR</vt:lpwstr>
  </property>
</Properties>
</file>