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8A7D46D" w14:textId="77777777" w:rsidTr="0010095E">
        <w:tblPrEx>
          <w:tblW w:w="9072" w:type="dxa"/>
          <w:tblLook w:val="01E0"/>
        </w:tblPrEx>
        <w:trPr>
          <w:trHeight w:hRule="exact" w:val="1418"/>
        </w:trPr>
        <w:tc>
          <w:tcPr>
            <w:tcW w:w="6804" w:type="dxa"/>
            <w:vAlign w:val="center"/>
          </w:tcPr>
          <w:p w:rsidR="00751A4A" w:rsidRPr="005E48E0" w:rsidP="0010095E" w14:paraId="2E70B4A2" w14:textId="77777777">
            <w:pPr>
              <w:pStyle w:val="EPName"/>
            </w:pPr>
            <w:r w:rsidRPr="005E48E0">
              <w:t>Europski parlament</w:t>
            </w:r>
          </w:p>
          <w:p w:rsidR="00751A4A" w:rsidRPr="005E48E0" w:rsidP="005F1B17" w14:paraId="34CE6B25" w14:textId="77777777">
            <w:pPr>
              <w:pStyle w:val="EPTerm"/>
              <w:rPr>
                <w:rStyle w:val="HideTWBExt"/>
                <w:noProof w:val="0"/>
                <w:vanish w:val="0"/>
                <w:color w:val="auto"/>
              </w:rPr>
            </w:pPr>
            <w:r w:rsidRPr="005E48E0">
              <w:t>2024</w:t>
            </w:r>
            <w:r w:rsidRPr="005E48E0" w:rsidR="00817416">
              <w:t>-202</w:t>
            </w:r>
            <w:r w:rsidRPr="005E48E0">
              <w:t>9</w:t>
            </w:r>
          </w:p>
        </w:tc>
        <w:tc>
          <w:tcPr>
            <w:tcW w:w="2268" w:type="dxa"/>
          </w:tcPr>
          <w:p w:rsidR="00751A4A" w:rsidRPr="005E48E0" w:rsidP="0010095E" w14:paraId="6DF12F13" w14:textId="77777777">
            <w:pPr>
              <w:pStyle w:val="EPLogo"/>
            </w:pPr>
            <w:r w:rsidRPr="005E48E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E48E0" w:rsidP="004C5D52" w14:paraId="398D426C" w14:textId="77777777">
      <w:pPr>
        <w:pStyle w:val="LineTop"/>
      </w:pPr>
    </w:p>
    <w:p w:rsidR="00680577" w:rsidRPr="005E48E0" w:rsidP="00680577" w14:paraId="7B3A077E" w14:textId="77777777">
      <w:pPr>
        <w:pStyle w:val="EPBodyTA1"/>
      </w:pPr>
      <w:r w:rsidRPr="005E48E0">
        <w:t>USVOJENI TEKSTOVI</w:t>
      </w:r>
    </w:p>
    <w:p w:rsidR="00D058B8" w:rsidRPr="005E48E0" w:rsidP="00D058B8" w14:paraId="7C3E59F1" w14:textId="77777777">
      <w:pPr>
        <w:pStyle w:val="LineBottom"/>
      </w:pPr>
    </w:p>
    <w:p w:rsidR="00BD3E43" w:rsidRPr="005E48E0" w:rsidP="00BD3E43" w14:paraId="7F0D656A" w14:textId="46846501">
      <w:pPr>
        <w:pStyle w:val="ATHeading1"/>
      </w:pPr>
      <w:bookmarkStart w:id="0" w:name="TANumber"/>
      <w:r w:rsidRPr="005E48E0">
        <w:t>P10_TA(2026)0</w:t>
      </w:r>
      <w:r w:rsidR="00A439A7">
        <w:t>264</w:t>
      </w:r>
      <w:bookmarkEnd w:id="0"/>
    </w:p>
    <w:p w:rsidR="00BD3E43" w:rsidRPr="005E48E0" w:rsidP="00BD3E43" w14:paraId="3FF87EE1" w14:textId="6A8F5E7F">
      <w:pPr>
        <w:pStyle w:val="ATHeading2"/>
      </w:pPr>
      <w:bookmarkStart w:id="1" w:name="title"/>
      <w:r>
        <w:t>G</w:t>
      </w:r>
      <w:r w:rsidRPr="0052753B">
        <w:t>enetski modificiran</w:t>
      </w:r>
      <w:r>
        <w:t>a</w:t>
      </w:r>
      <w:r w:rsidRPr="0052753B">
        <w:t xml:space="preserve"> soj</w:t>
      </w:r>
      <w:r>
        <w:t>a</w:t>
      </w:r>
      <w:r w:rsidRPr="0052753B">
        <w:t xml:space="preserve"> MON 87705</w:t>
      </w:r>
      <w:bookmarkEnd w:id="1"/>
    </w:p>
    <w:p w:rsidR="00BD3E43" w:rsidRPr="005E48E0" w:rsidP="00BD3E43" w14:paraId="3B2862D1" w14:textId="77777777">
      <w:pPr>
        <w:rPr>
          <w:i/>
          <w:vanish/>
        </w:rPr>
      </w:pPr>
      <w:r>
        <w:rPr>
          <w:i/>
        </w:rPr>
        <w:fldChar w:fldCharType="begin"/>
      </w:r>
      <w:r w:rsidRPr="005E48E0">
        <w:rPr>
          <w:i/>
        </w:rPr>
        <w:instrText xml:space="preserve"> TC"(</w:instrText>
      </w:r>
      <w:bookmarkStart w:id="2" w:name="DocNumber"/>
      <w:r w:rsidRPr="005E48E0">
        <w:rPr>
          <w:i/>
        </w:rPr>
        <w:instrText>B10-0334/2026</w:instrText>
      </w:r>
      <w:bookmarkEnd w:id="2"/>
      <w:r w:rsidRPr="005E48E0">
        <w:rPr>
          <w:i/>
        </w:rPr>
        <w:instrText xml:space="preserve">)"\l3 \n&gt; \* MERGEFORMAT </w:instrText>
      </w:r>
      <w:r>
        <w:rPr>
          <w:i/>
        </w:rPr>
        <w:fldChar w:fldCharType="end"/>
      </w:r>
    </w:p>
    <w:p w:rsidR="00BD3E43" w:rsidRPr="005E48E0" w:rsidP="00BD3E43" w14:paraId="1763C70B" w14:textId="77777777">
      <w:pPr>
        <w:rPr>
          <w:vanish/>
        </w:rPr>
      </w:pPr>
      <w:bookmarkStart w:id="3" w:name="PE"/>
      <w:r w:rsidRPr="005E48E0">
        <w:rPr>
          <w:vanish/>
        </w:rPr>
        <w:t>PE789.024</w:t>
      </w:r>
      <w:bookmarkEnd w:id="3"/>
    </w:p>
    <w:p w:rsidR="00BD3E43" w:rsidRPr="005E48E0" w:rsidP="00BD3E43" w14:paraId="69D79FAD" w14:textId="25A4F9AE">
      <w:pPr>
        <w:pStyle w:val="ATHeading3"/>
      </w:pPr>
      <w:bookmarkStart w:id="4" w:name="Sujet"/>
      <w:r w:rsidRPr="005E48E0">
        <w:t xml:space="preserve">Rezolucija Europskog parlamenta od </w:t>
      </w:r>
      <w:r w:rsidR="0052753B">
        <w:t>8. srpnja</w:t>
      </w:r>
      <w:r w:rsidRPr="005E48E0">
        <w:t xml:space="preserve"> 2026. o </w:t>
      </w:r>
      <w:r w:rsidR="0052753B">
        <w:t>P</w:t>
      </w:r>
      <w:r w:rsidRPr="005E48E0">
        <w:t>rovedben</w:t>
      </w:r>
      <w:r w:rsidR="0052753B">
        <w:t>oj</w:t>
      </w:r>
      <w:r w:rsidRPr="005E48E0">
        <w:t xml:space="preserve"> odlu</w:t>
      </w:r>
      <w:r w:rsidR="0052753B">
        <w:t>ci</w:t>
      </w:r>
      <w:r w:rsidRPr="005E48E0">
        <w:t xml:space="preserve"> Komisije </w:t>
      </w:r>
      <w:r w:rsidRPr="0052753B" w:rsidR="0052753B">
        <w:t>(EU) 2026/1419 o</w:t>
      </w:r>
      <w:r w:rsidR="0052753B">
        <w:t>d</w:t>
      </w:r>
      <w:r w:rsidRPr="0052753B" w:rsidR="0052753B">
        <w:t xml:space="preserve"> 29</w:t>
      </w:r>
      <w:r w:rsidR="0052753B">
        <w:t>.</w:t>
      </w:r>
      <w:r w:rsidRPr="0052753B" w:rsidR="0052753B">
        <w:t xml:space="preserve"> </w:t>
      </w:r>
      <w:r w:rsidR="0052753B">
        <w:t>lipnja</w:t>
      </w:r>
      <w:r w:rsidRPr="0052753B" w:rsidR="0052753B">
        <w:t xml:space="preserve"> 2026</w:t>
      </w:r>
      <w:r w:rsidR="0052753B">
        <w:t>.</w:t>
      </w:r>
      <w:r w:rsidRPr="0052753B" w:rsidR="0052753B">
        <w:t xml:space="preserve"> </w:t>
      </w:r>
      <w:r w:rsidRPr="005E48E0">
        <w:t xml:space="preserve">o produljenju odobrenja za stavljanje na tržište proizvoda koji sadržavaju genetski modificiranu soju MON 87705, sastoje se ili su proizvedeni od nje na temelju Uredbe (EZ) br. 1829/2003 Europskog parlamenta i Vijeća </w:t>
      </w:r>
      <w:bookmarkStart w:id="5" w:name="References"/>
      <w:bookmarkEnd w:id="4"/>
      <w:r w:rsidRPr="005E48E0">
        <w:t>(2026/2747(RSP))</w:t>
      </w:r>
      <w:bookmarkEnd w:id="5"/>
    </w:p>
    <w:p w:rsidR="00C0275F" w:rsidRPr="005E48E0" w:rsidP="00C0275F" w14:paraId="0C5148C8" w14:textId="77777777">
      <w:pPr>
        <w:pStyle w:val="EPComma"/>
      </w:pPr>
      <w:bookmarkStart w:id="6" w:name="TextBodyBegin"/>
      <w:bookmarkEnd w:id="6"/>
      <w:r w:rsidRPr="005E48E0">
        <w:rPr>
          <w:i/>
          <w:iCs/>
        </w:rPr>
        <w:t>Europski parlament,</w:t>
      </w:r>
    </w:p>
    <w:p w:rsidR="00C0275F" w:rsidRPr="005E48E0" w:rsidP="00C0275F" w14:paraId="2561C8D2" w14:textId="04991708">
      <w:pPr>
        <w:pStyle w:val="NormalHanging12a"/>
      </w:pPr>
      <w:r w:rsidRPr="005E48E0">
        <w:t>–</w:t>
      </w:r>
      <w:r w:rsidRPr="005E48E0">
        <w:tab/>
        <w:t xml:space="preserve">uzimajući u obzir </w:t>
      </w:r>
      <w:r w:rsidR="0052753B">
        <w:t>P</w:t>
      </w:r>
      <w:r w:rsidRPr="005E48E0">
        <w:t>rovedben</w:t>
      </w:r>
      <w:r w:rsidR="0052753B">
        <w:t>u</w:t>
      </w:r>
      <w:r w:rsidRPr="005E48E0">
        <w:t xml:space="preserve"> odluk</w:t>
      </w:r>
      <w:r w:rsidR="0052753B">
        <w:t>u</w:t>
      </w:r>
      <w:r w:rsidRPr="005E48E0">
        <w:t xml:space="preserve"> Komisije </w:t>
      </w:r>
      <w:r w:rsidRPr="0052753B" w:rsidR="0052753B">
        <w:t xml:space="preserve">(EU) 2026/1419 od 29. lipnja 2026. </w:t>
      </w:r>
      <w:r w:rsidRPr="005E48E0">
        <w:t>o produljenju odobrenja za stavljanje na tržište proizvoda koji sadržavaju genetski modificiranu soju MON 87705, sastoje se ili su proizvedeni od nje na temelju Uredbe (EZ) br. 1829/2003 Europskog parlamenta i Vijeća</w:t>
      </w:r>
      <w:r>
        <w:rPr>
          <w:rStyle w:val="FootnoteReference"/>
        </w:rPr>
        <w:footnoteReference w:id="2"/>
      </w:r>
      <w:r w:rsidRPr="005E48E0">
        <w:t>,</w:t>
      </w:r>
    </w:p>
    <w:p w:rsidR="00C0275F" w:rsidRPr="005E48E0" w:rsidP="00C0275F" w14:paraId="3361E18D" w14:textId="77777777">
      <w:pPr>
        <w:pStyle w:val="NormalHanging12a"/>
      </w:pPr>
      <w:r w:rsidRPr="005E48E0">
        <w:t>–</w:t>
      </w:r>
      <w:r w:rsidRPr="005E48E0">
        <w:tab/>
        <w:t>uzimajući u obzir Uredbu (EZ) br. 1829/2003 Europskog parlamenta i Vijeća od 22. rujna 2003. o genetski modificiranoj hrani i hrani za životinje</w:t>
      </w:r>
      <w:r>
        <w:rPr>
          <w:rStyle w:val="FootnoteReference"/>
        </w:rPr>
        <w:footnoteReference w:id="3"/>
      </w:r>
      <w:r w:rsidRPr="005E48E0">
        <w:t>, a posebno njezin članak 11. stavak 3. i članak 23. stavak 3.,</w:t>
      </w:r>
    </w:p>
    <w:p w:rsidR="00C0275F" w:rsidRPr="005E48E0" w:rsidP="00C0275F" w14:paraId="4D16C014" w14:textId="77777777">
      <w:pPr>
        <w:pStyle w:val="NormalHanging12a"/>
      </w:pPr>
      <w:r w:rsidRPr="005E48E0">
        <w:t>–</w:t>
      </w:r>
      <w:r w:rsidRPr="005E48E0">
        <w:tab/>
        <w:t>uzimajući u obzir glasovanje Stalnog odbora za bilje, životinje, hranu i hranu za životinje iz članka 35. Uredbe (EZ) br. 1829/2003, koje je održano 27. travnja 2026. i na kojem nije doneseno mišljenje te glasovanje žalbenog odbora od 2. lipnja 2026. na kojem, isto tako, nije doneseno mišljenje,</w:t>
      </w:r>
    </w:p>
    <w:p w:rsidR="00C0275F" w:rsidRPr="005E48E0" w:rsidP="00C0275F" w14:paraId="7CD3A1A5" w14:textId="77777777">
      <w:pPr>
        <w:pStyle w:val="NormalHanging12a"/>
      </w:pPr>
      <w:r w:rsidRPr="005E48E0">
        <w:t>–</w:t>
      </w:r>
      <w:r w:rsidRPr="005E48E0">
        <w:tab/>
        <w:t>uzimajući u obzir članak 11. Uredbe (EU) br. 182/2011 Europskog parlamenta i Vijeća od 16. veljače 2011. o utvrđivanju pravila i općih načela u vezi s mehanizmima nadzora država članica nad izvršavanjem provedbenih ovlasti Komisije</w:t>
      </w:r>
      <w:r>
        <w:rPr>
          <w:rStyle w:val="FootnoteReference"/>
        </w:rPr>
        <w:footnoteReference w:id="4"/>
      </w:r>
      <w:r w:rsidRPr="005E48E0">
        <w:t>,</w:t>
      </w:r>
    </w:p>
    <w:p w:rsidR="00C0275F" w:rsidRPr="005E48E0" w:rsidP="00C0275F" w14:paraId="5DED23BC" w14:textId="77777777">
      <w:pPr>
        <w:pStyle w:val="NormalHanging12a"/>
      </w:pPr>
      <w:r w:rsidRPr="005E48E0">
        <w:t>–</w:t>
      </w:r>
      <w:r w:rsidRPr="005E48E0">
        <w:tab/>
        <w:t>uzimajući u obzir mišljenje Europske agencije za sigurnost hrane (EFSA) usvojeno 10. prosinca 2025. i objavljeno 12. siječnja 2026.</w:t>
      </w:r>
      <w:r>
        <w:rPr>
          <w:rStyle w:val="FootnoteReference"/>
        </w:rPr>
        <w:footnoteReference w:id="5"/>
      </w:r>
      <w:r w:rsidRPr="005E48E0">
        <w:t>,</w:t>
      </w:r>
    </w:p>
    <w:p w:rsidR="00C0275F" w:rsidRPr="005E48E0" w:rsidP="00C0275F" w14:paraId="6D80D99B" w14:textId="77777777">
      <w:pPr>
        <w:pStyle w:val="NormalHanging12a"/>
      </w:pPr>
      <w:r w:rsidRPr="005E48E0">
        <w:t>–</w:t>
      </w:r>
      <w:r w:rsidRPr="005E48E0">
        <w:tab/>
        <w:t>uzimajući u obzir svoje prethodne rezolucije u kojima se protivi odobrenju genetski modificiranih organizama („GMO”)</w:t>
      </w:r>
      <w:r>
        <w:rPr>
          <w:rStyle w:val="FootnoteReference"/>
        </w:rPr>
        <w:footnoteReference w:id="6"/>
      </w:r>
      <w:r w:rsidRPr="005E48E0">
        <w:t>,</w:t>
      </w:r>
    </w:p>
    <w:p w:rsidR="00C0275F" w:rsidRPr="005E48E0" w:rsidP="00C0275F" w14:paraId="0329083F" w14:textId="77777777">
      <w:pPr>
        <w:pStyle w:val="NormalHanging12a"/>
      </w:pPr>
      <w:r w:rsidRPr="005E48E0">
        <w:t>–</w:t>
      </w:r>
      <w:r w:rsidRPr="005E48E0">
        <w:tab/>
        <w:t>uzimajući u obzir članak 115. stavke 2. i 3. Poslovnika,</w:t>
      </w:r>
    </w:p>
    <w:p w:rsidR="00C0275F" w:rsidRPr="005E48E0" w:rsidP="00C0275F" w14:paraId="582E12F4" w14:textId="77777777">
      <w:pPr>
        <w:pStyle w:val="NormalHanging12a"/>
      </w:pPr>
      <w:r w:rsidRPr="005E48E0">
        <w:t>–</w:t>
      </w:r>
      <w:r w:rsidRPr="005E48E0">
        <w:tab/>
        <w:t>uzimajući u obzir prijedlog rezolucije Odbora za okoliš, klimu i sigurnost hrane,</w:t>
      </w:r>
    </w:p>
    <w:p w:rsidR="00C0275F" w:rsidRPr="005E48E0" w:rsidP="00C0275F" w14:paraId="7A9A1213" w14:textId="77777777">
      <w:pPr>
        <w:spacing w:after="240"/>
        <w:ind w:left="567" w:hanging="567"/>
      </w:pPr>
      <w:r w:rsidRPr="005E48E0">
        <w:t>A.</w:t>
      </w:r>
      <w:r w:rsidRPr="005E48E0">
        <w:tab/>
        <w:t>budući da je Provedbenom odlukom Komisije (EU) 2015/696</w:t>
      </w:r>
      <w:r>
        <w:rPr>
          <w:rStyle w:val="FootnoteReference"/>
        </w:rPr>
        <w:footnoteReference w:id="7"/>
      </w:r>
      <w:r w:rsidRPr="005E48E0">
        <w:t xml:space="preserve"> odobreno stavljanje na tržište hrane i hrane za životinje koja sadržava genetski modificiranu soju MON 87705 (genetski modificirana soja), od nje se sastoji ili je od nje proizvedena; budući da to odobrenje obuhvaća i stavljanje na tržište proizvoda povrh hrane i hrane za životinje, koji sadržavaju genetski modificiranu soju ili se od nje sastoje, za istu namjenu kao i druge vrste soje, osim za uzgoj;</w:t>
      </w:r>
    </w:p>
    <w:p w:rsidR="00C0275F" w:rsidRPr="005E48E0" w:rsidP="00C0275F" w14:paraId="03B46847" w14:textId="77777777">
      <w:pPr>
        <w:spacing w:after="240"/>
        <w:ind w:left="567" w:hanging="567"/>
      </w:pPr>
      <w:r w:rsidRPr="005E48E0">
        <w:t>B.</w:t>
      </w:r>
      <w:r w:rsidRPr="005E48E0">
        <w:tab/>
        <w:t xml:space="preserve">budući da je društvo Bayer </w:t>
      </w:r>
      <w:r w:rsidRPr="005E48E0">
        <w:t>Agriculture</w:t>
      </w:r>
      <w:r w:rsidRPr="005E48E0">
        <w:t xml:space="preserve"> BV, sa sjedištem u Belgiji, Komisiji 8. ožujka 2024. podnijelo zahtjev za produljenje tog odobrenja u ime društva Bayer </w:t>
      </w:r>
      <w:r w:rsidRPr="005E48E0">
        <w:t>CropScience</w:t>
      </w:r>
      <w:r w:rsidRPr="005E48E0">
        <w:t xml:space="preserve"> LP, sa sjedištem u Sjedinjenim Državama;</w:t>
      </w:r>
    </w:p>
    <w:p w:rsidR="00C0275F" w:rsidRPr="005E48E0" w:rsidP="00C0275F" w14:paraId="3B112B8F" w14:textId="77777777">
      <w:pPr>
        <w:spacing w:after="240"/>
        <w:ind w:left="567" w:hanging="567"/>
      </w:pPr>
      <w:r w:rsidRPr="005E48E0">
        <w:t>C.</w:t>
      </w:r>
      <w:r w:rsidRPr="005E48E0">
        <w:tab/>
        <w:t>budući da je EFSA 12. siječnja 2026. objavila povoljno znanstveno mišljenje o genetski modificiranoj soji</w:t>
      </w:r>
      <w:r>
        <w:rPr>
          <w:rStyle w:val="FootnoteReference"/>
        </w:rPr>
        <w:footnoteReference w:id="8"/>
      </w:r>
      <w:r w:rsidRPr="005E48E0">
        <w:t>, u skladu s člancima 6. i 18. Uredbe (EZ) br. 1829/2003; budući da je EFSA zaključila da u zahtjevu za produljenje odobrenja nema dokaza o novim opasnostima, promijenjenoj izloženosti ili znanstvenim dvojbama zbog kojih bi se promijenili zaključci prvobitne procjene rizika za genetski modificiranu soju, koje je EFSA donijela 2012.</w:t>
      </w:r>
      <w:r>
        <w:rPr>
          <w:rStyle w:val="FootnoteReference"/>
        </w:rPr>
        <w:footnoteReference w:id="9"/>
      </w:r>
      <w:r w:rsidRPr="005E48E0">
        <w:t xml:space="preserve"> i 2013.</w:t>
      </w:r>
      <w:r>
        <w:rPr>
          <w:rStyle w:val="FootnoteReference"/>
        </w:rPr>
        <w:footnoteReference w:id="10"/>
      </w:r>
      <w:r w:rsidRPr="005E48E0">
        <w:t>; budući da se u tim mišljenjima nije razmotrilo nekoliko širih okolišnih, socioekonomskih i kumulativnih učinaka, za koje EFSA smatra da nisu u njezinu djelokrugu;</w:t>
      </w:r>
    </w:p>
    <w:p w:rsidR="00C0275F" w:rsidRPr="005E48E0" w:rsidP="00C0275F" w14:paraId="1CC0D688" w14:textId="77777777">
      <w:pPr>
        <w:pStyle w:val="NormalHanging12a"/>
      </w:pPr>
      <w:r w:rsidRPr="005E48E0">
        <w:t>D.</w:t>
      </w:r>
      <w:r w:rsidRPr="005E48E0">
        <w:tab/>
        <w:t xml:space="preserve">budući da genetski modificirana soja ima visok udio </w:t>
      </w:r>
      <w:r w:rsidRPr="005E48E0">
        <w:t>oleinske</w:t>
      </w:r>
      <w:r w:rsidRPr="005E48E0">
        <w:t xml:space="preserve"> kiseline i otporna je na herbicide koji sadržavaju </w:t>
      </w:r>
      <w:r w:rsidRPr="005E48E0">
        <w:t>glifosat</w:t>
      </w:r>
      <w:r w:rsidRPr="005E48E0">
        <w:t>;</w:t>
      </w:r>
    </w:p>
    <w:p w:rsidR="00C0275F" w:rsidRPr="005E48E0" w:rsidP="00C0275F" w14:paraId="2CF2E11F" w14:textId="77777777">
      <w:pPr>
        <w:pStyle w:val="NormalHanging12a"/>
      </w:pPr>
      <w:r w:rsidRPr="005E48E0">
        <w:t>E.</w:t>
      </w:r>
      <w:r w:rsidRPr="005E48E0">
        <w:tab/>
        <w:t>budući da procjena rizika koju je provela EFSA nije obuhvaćala dugoročne toksikološke studije ili detaljnu analizu kumulativnih i kombinatornih učinaka, uključujući moguće interakcije s ostacima pesticida koji se obično upotrebljavaju u uzgoju soje;</w:t>
      </w:r>
    </w:p>
    <w:p w:rsidR="00C0275F" w:rsidRPr="005E48E0" w:rsidP="00C0275F" w14:paraId="7CB32133" w14:textId="77777777">
      <w:pPr>
        <w:pStyle w:val="NormalHanging12a"/>
      </w:pPr>
      <w:r w:rsidRPr="005E48E0">
        <w:t>F.</w:t>
      </w:r>
      <w:r w:rsidRPr="005E48E0">
        <w:tab/>
        <w:t xml:space="preserve">budući da je većina genetski modificiranih usjeva, uključujući genetski modificiranu soju, genetski modificirana kako bi bila otporna na jedan ili više „komplementarnih” herbicida koji se mogu upotrebljavati tijekom cijelog uzgoja genetski modificirane kulture, a da pritom ne dođe do odumiranja usjeva, što bi bio slučaj s usjevom koji nije otporan na herbicide; budući da se u brojnim studijama navodi da je za genetski modificirane usjeve otporne na herbicide potrebna upotrebljavati više komplementarnih </w:t>
      </w:r>
      <w:r w:rsidRPr="005E48E0">
        <w:t>herbicida, velikim dijelom zbog pojave korova otpornih na herbicide;</w:t>
      </w:r>
    </w:p>
    <w:p w:rsidR="00C0275F" w:rsidRPr="005E48E0" w:rsidP="00C0275F" w14:paraId="7F0D918B" w14:textId="77777777">
      <w:pPr>
        <w:pStyle w:val="NormalHanging12a"/>
      </w:pPr>
      <w:r w:rsidRPr="005E48E0">
        <w:t>G.</w:t>
      </w:r>
      <w:r w:rsidRPr="005E48E0">
        <w:tab/>
        <w:t>budući da genetski modificirani usjevi otporni na herbicide poljoprivrednike uvlače u sustav suzbijanja korova koji u velikoj mjeri ili u potpunosti ovisi o herbicidima, pri čemu se plaća premija za genetski modificirano sjeme i istodobno stvara ovisnost o korištenju komplementarnih herbicida kao sastavnog dijela proizvodnog sustava; budući da će se povećanim oslanjanjem na komplementarne herbicide na poljoprivrednim gospodarstvima na kojima je posađena genetski modificirana soja ubrzati pojava i širenje korova otpornih na te herbicide, što će dovesti do potrebe za još većom uporabom herbicida i izazvati situaciju iz koje nema izlaza; budući da će se zbog toga povećati negativni učinci koji proizlaze iz prekomjernog oslanjanja na herbicide na zdravlje tla i kvalitetu vode te na biološku raznolikost iznad zemlje i u njoj te će to dovesti do povećane izloženosti ljudi i životinja tim negativnim učincima, potencijalno i preko povećanja ostataka herbicida u hrani i hrani za životinje;</w:t>
      </w:r>
    </w:p>
    <w:p w:rsidR="00C0275F" w:rsidRPr="005E48E0" w:rsidP="00C0275F" w14:paraId="4695709D" w14:textId="77777777">
      <w:pPr>
        <w:pStyle w:val="NormalHanging12a"/>
      </w:pPr>
      <w:r w:rsidRPr="005E48E0">
        <w:t>H.</w:t>
      </w:r>
      <w:r w:rsidRPr="005E48E0">
        <w:tab/>
        <w:t>budući da se u brojnim studijama navodi da je za genetski modificirane usjeve otporne na herbicide potrebna veća upotreba komplementarnih herbicida, velikim dijelom zbog pojave korova otpornih na herbicide</w:t>
      </w:r>
      <w:r>
        <w:rPr>
          <w:vertAlign w:val="superscript"/>
        </w:rPr>
        <w:footnoteReference w:id="11"/>
      </w:r>
      <w:r w:rsidRPr="005E48E0">
        <w:t xml:space="preserve">; budući da se zbog toga očekuje da će genetski modificirana soja biti izložena i višim i ponovljenim dozama </w:t>
      </w:r>
      <w:r w:rsidRPr="005E48E0">
        <w:t>glifosata</w:t>
      </w:r>
      <w:r w:rsidRPr="005E48E0">
        <w:t xml:space="preserve"> te da bi stoga količina njihovih ostataka i njihovih proizvoda razgradnje (metabolita) tijekom žetve mogla biti veća;</w:t>
      </w:r>
    </w:p>
    <w:p w:rsidR="00C0275F" w:rsidRPr="005E48E0" w:rsidP="00C0275F" w14:paraId="6E0E1F42" w14:textId="77777777">
      <w:pPr>
        <w:pStyle w:val="NormalHanging12a"/>
      </w:pPr>
      <w:r w:rsidRPr="005E48E0">
        <w:t>I.</w:t>
      </w:r>
      <w:r w:rsidRPr="005E48E0">
        <w:tab/>
        <w:t xml:space="preserve">budući da i dalje postoje znatne znanstvene nesigurnosti u pogledu sigurnosti </w:t>
      </w:r>
      <w:r w:rsidRPr="005E48E0">
        <w:t>glifosata</w:t>
      </w:r>
      <w:r w:rsidRPr="005E48E0">
        <w:t xml:space="preserve"> za zdravlje ljudi i okoliš; budući da je EFSA u studenome 2015. zaključila da </w:t>
      </w:r>
      <w:r w:rsidRPr="005E48E0">
        <w:t>glifosat</w:t>
      </w:r>
      <w:r w:rsidRPr="005E48E0">
        <w:t xml:space="preserve"> vjerojatno nije karcinogen, a Europska agencija za kemikalije u ožujku 2017. da nije potrebna nikakva klasifikacija; budući da je, s druge strane, Međunarodna agencija za istraživanje raka, specijalizirana agencija Svjetske zdravstvene organizacije, 2015. kategorizirala </w:t>
      </w:r>
      <w:r w:rsidRPr="005E48E0">
        <w:t>glifosat</w:t>
      </w:r>
      <w:r w:rsidRPr="005E48E0">
        <w:t xml:space="preserve"> kao tvar vjerojatno karcinogenu za čovjeka; budući da se u nizu najnovijih znanstvenih stručno recenziranih studija potvrđuje moguća karcinogenost </w:t>
      </w:r>
      <w:r w:rsidRPr="005E48E0">
        <w:t>glifosata</w:t>
      </w:r>
      <w:r>
        <w:rPr>
          <w:vertAlign w:val="superscript"/>
        </w:rPr>
        <w:footnoteReference w:id="12"/>
      </w:r>
      <w:r w:rsidRPr="005E48E0">
        <w:t xml:space="preserve">; </w:t>
      </w:r>
      <w:bookmarkStart w:id="9" w:name="_Hlk218688545"/>
      <w:r w:rsidRPr="005E48E0">
        <w:t xml:space="preserve">budući da je časopis </w:t>
      </w:r>
      <w:r w:rsidRPr="005E48E0">
        <w:rPr>
          <w:i/>
          <w:iCs/>
        </w:rPr>
        <w:t>Regulatory</w:t>
      </w:r>
      <w:r w:rsidRPr="005E48E0">
        <w:rPr>
          <w:i/>
          <w:iCs/>
        </w:rPr>
        <w:t xml:space="preserve"> </w:t>
      </w:r>
      <w:r w:rsidRPr="005E48E0">
        <w:rPr>
          <w:i/>
          <w:iCs/>
        </w:rPr>
        <w:t>Toxicology</w:t>
      </w:r>
      <w:r w:rsidRPr="005E48E0">
        <w:rPr>
          <w:i/>
          <w:iCs/>
        </w:rPr>
        <w:t xml:space="preserve"> </w:t>
      </w:r>
      <w:r w:rsidRPr="005E48E0">
        <w:rPr>
          <w:i/>
          <w:iCs/>
        </w:rPr>
        <w:t>and</w:t>
      </w:r>
      <w:r w:rsidRPr="005E48E0">
        <w:rPr>
          <w:i/>
          <w:iCs/>
        </w:rPr>
        <w:t xml:space="preserve"> </w:t>
      </w:r>
      <w:r w:rsidRPr="005E48E0">
        <w:rPr>
          <w:i/>
          <w:iCs/>
        </w:rPr>
        <w:t>Pharmacology</w:t>
      </w:r>
      <w:r w:rsidRPr="005E48E0">
        <w:t xml:space="preserve"> službeno povukao znanstveni rad </w:t>
      </w:r>
      <w:r w:rsidRPr="005E48E0">
        <w:rPr>
          <w:shd w:val="clear" w:color="auto" w:fill="FFFFFF"/>
        </w:rPr>
        <w:t>„</w:t>
      </w:r>
      <w:r w:rsidRPr="005E48E0">
        <w:t>Safety</w:t>
      </w:r>
      <w:r w:rsidRPr="005E48E0">
        <w:t xml:space="preserve"> </w:t>
      </w:r>
      <w:r w:rsidRPr="005E48E0">
        <w:t>Evaluation</w:t>
      </w:r>
      <w:r w:rsidRPr="005E48E0">
        <w:t xml:space="preserve"> </w:t>
      </w:r>
      <w:r w:rsidRPr="005E48E0">
        <w:t>and</w:t>
      </w:r>
      <w:r w:rsidRPr="005E48E0">
        <w:t xml:space="preserve"> </w:t>
      </w:r>
      <w:r w:rsidRPr="005E48E0">
        <w:t>Risk</w:t>
      </w:r>
      <w:r w:rsidRPr="005E48E0">
        <w:t xml:space="preserve"> </w:t>
      </w:r>
      <w:r w:rsidRPr="005E48E0">
        <w:t>Assessment</w:t>
      </w:r>
      <w:r w:rsidRPr="005E48E0">
        <w:t xml:space="preserve"> </w:t>
      </w:r>
      <w:r w:rsidRPr="005E48E0">
        <w:t>of</w:t>
      </w:r>
      <w:r w:rsidRPr="005E48E0">
        <w:t xml:space="preserve"> </w:t>
      </w:r>
      <w:r w:rsidRPr="005E48E0">
        <w:t>the</w:t>
      </w:r>
      <w:r w:rsidRPr="005E48E0">
        <w:t xml:space="preserve"> Herbicide </w:t>
      </w:r>
      <w:r w:rsidRPr="005E48E0">
        <w:t>Roundup</w:t>
      </w:r>
      <w:r w:rsidRPr="005E48E0">
        <w:t xml:space="preserve"> </w:t>
      </w:r>
      <w:r w:rsidRPr="005E48E0">
        <w:t>and</w:t>
      </w:r>
      <w:r w:rsidRPr="005E48E0">
        <w:t xml:space="preserve"> </w:t>
      </w:r>
      <w:r w:rsidRPr="005E48E0">
        <w:t>Its</w:t>
      </w:r>
      <w:r w:rsidRPr="005E48E0">
        <w:t xml:space="preserve"> </w:t>
      </w:r>
      <w:r w:rsidRPr="005E48E0">
        <w:t>Active</w:t>
      </w:r>
      <w:r w:rsidRPr="005E48E0">
        <w:t xml:space="preserve"> </w:t>
      </w:r>
      <w:r w:rsidRPr="005E48E0">
        <w:t>Ingredient</w:t>
      </w:r>
      <w:r w:rsidRPr="005E48E0">
        <w:t xml:space="preserve">, </w:t>
      </w:r>
      <w:r w:rsidRPr="005E48E0">
        <w:t>Glyphosate</w:t>
      </w:r>
      <w:r w:rsidRPr="005E48E0">
        <w:t xml:space="preserve"> for </w:t>
      </w:r>
      <w:r w:rsidRPr="005E48E0">
        <w:t>Humans</w:t>
      </w:r>
      <w:r w:rsidRPr="005E48E0">
        <w:rPr>
          <w:shd w:val="clear" w:color="auto" w:fill="FFFFFF"/>
        </w:rPr>
        <w:t>”</w:t>
      </w:r>
      <w:r w:rsidRPr="005E48E0">
        <w:t xml:space="preserve"> (Procjena sigurnosti i rizika za ljude u pogledu herbicida </w:t>
      </w:r>
      <w:r w:rsidRPr="005E48E0">
        <w:t>Roundup</w:t>
      </w:r>
      <w:r w:rsidRPr="005E48E0">
        <w:t xml:space="preserve"> i njegova aktivnog sastojka </w:t>
      </w:r>
      <w:r w:rsidRPr="005E48E0">
        <w:t>glifosata</w:t>
      </w:r>
      <w:r w:rsidRPr="005E48E0">
        <w:t xml:space="preserve">), objavljen 2000., koji je u mnogim procjenama rizika korišten za obranu sigurnosti </w:t>
      </w:r>
      <w:r w:rsidRPr="005E48E0">
        <w:t>glifosata</w:t>
      </w:r>
      <w:r w:rsidRPr="005E48E0">
        <w:t>, i to jer je izražena zabrinutost u pogledu njegovih autora, valjanosti rezultata istraživanja u kontekstu pogrešnog prikazivanja doprinosa autora i sponzora studije te mogućih sukoba interesa autora</w:t>
      </w:r>
      <w:r>
        <w:rPr>
          <w:rStyle w:val="FootnoteReference"/>
        </w:rPr>
        <w:footnoteReference w:id="13"/>
      </w:r>
      <w:r w:rsidRPr="005E48E0">
        <w:t>;</w:t>
      </w:r>
      <w:bookmarkEnd w:id="9"/>
    </w:p>
    <w:p w:rsidR="00C0275F" w:rsidRPr="005E48E0" w:rsidP="00C0275F" w14:paraId="2ED21A38" w14:textId="77777777">
      <w:pPr>
        <w:pStyle w:val="NormalHanging12a"/>
      </w:pPr>
      <w:r w:rsidRPr="005E48E0">
        <w:t>J.</w:t>
      </w:r>
      <w:r w:rsidRPr="005E48E0">
        <w:tab/>
        <w:t>budući da se smatra da procjena za ostatke herbicida i metabolite pronađene na genetski modificiranim biljkama nije u nadležnosti Povjerenstva EFSA-e za genetski modificirane organizme te se stoga ne provodi u okviru postupka odobravanja GMO-a; budući da je to problematično jer sama genetska modifikacija može utjecati na način na koji pojedina genetski modificirana biljka razgrađuje komplementarne herbicide, kao i na sastav, a stoga i toksičnost metabolita</w:t>
      </w:r>
      <w:r>
        <w:rPr>
          <w:vertAlign w:val="superscript"/>
        </w:rPr>
        <w:footnoteReference w:id="14"/>
      </w:r>
      <w:r w:rsidRPr="005E48E0">
        <w:t>;</w:t>
      </w:r>
    </w:p>
    <w:p w:rsidR="00C0275F" w:rsidRPr="005E48E0" w:rsidP="00C0275F" w14:paraId="4D4497E8" w14:textId="77777777">
      <w:pPr>
        <w:pStyle w:val="NormalHanging12a"/>
      </w:pPr>
      <w:r w:rsidRPr="005E48E0">
        <w:t>K.</w:t>
      </w:r>
      <w:r w:rsidRPr="005E48E0">
        <w:tab/>
        <w:t xml:space="preserve">budući da je analiza sastava pokazala da genetski modificirana soja ima znatno izmijenjen profil masnih kiselina u usporedbi s konvencionalnim ekvivalentom, uz povećanje </w:t>
      </w:r>
      <w:r w:rsidRPr="005E48E0">
        <w:t>oleinske</w:t>
      </w:r>
      <w:r w:rsidRPr="005E48E0">
        <w:t xml:space="preserve"> kiseline i prateća smanjenja </w:t>
      </w:r>
      <w:r w:rsidRPr="005E48E0">
        <w:t>linolne</w:t>
      </w:r>
      <w:r w:rsidRPr="005E48E0">
        <w:t xml:space="preserve"> i </w:t>
      </w:r>
      <w:r w:rsidRPr="005E48E0">
        <w:t>palmitinske</w:t>
      </w:r>
      <w:r w:rsidRPr="005E48E0">
        <w:t xml:space="preserve"> kiseline; budući da je znanstvena zajednica zabrinuta zbog dugoročnih prehrambenih posljedica šire izloženosti stanovništva tom promijenjenom profilu, posebno kad je riječ o potrošačima koji se u velikoj mjeri oslanjaju na sojino ulje; budući da je EFSA razmotrila procjene unosa putem hrane kako bi procijenila nutritivnu relevantnost tih promjena, koristeći se različitim pretpostavkama o konzumaciji i scenarijima zamjene; budući da je EFSA na temelju tih pretpostavki preporučila tek plan praćenja nakon stavljanja na tržište koji je usmjeren na prikupljanje podataka o uvozu u Uniju i provedbu ažurirane procjene hranjive vrijednosti u slučajevima kada su se dostupne informacije o obrascima konzumacije razlikovale od onih upotrijebljenih tijekom izvorne procjene rizika;</w:t>
      </w:r>
    </w:p>
    <w:p w:rsidR="00C0275F" w:rsidRPr="005E48E0" w:rsidP="00C0275F" w14:paraId="5B8476A5" w14:textId="77777777">
      <w:pPr>
        <w:pStyle w:val="NormalHanging12a"/>
      </w:pPr>
      <w:r w:rsidRPr="005E48E0">
        <w:t>L.</w:t>
      </w:r>
      <w:r w:rsidRPr="005E48E0">
        <w:tab/>
        <w:t>budući da se u Uredbi (EZ) br. 1829/2003 navodi da genetski modificirana hrana ili hrana za životinje ne smije imati nepovoljne učinke na zdravlje ljudi, zdravlje životinja ili okoliš te da Komisija pri sastavljanju svojih odluka mora uzeti u obzir sve relevantne odredbe prava Unije i ostale legitimne čimbenike relevantne za predmet koji se razmatra; budući da bi takvi legitimni čimbenici trebali obuhvaćati obveze Unije u okviru ciljeva održivog razvoja Ujedinjenih naroda (UN), Pariškog sporazuma o klimatskim promjenama</w:t>
      </w:r>
      <w:r>
        <w:rPr>
          <w:rStyle w:val="FootnoteReference"/>
        </w:rPr>
        <w:footnoteReference w:id="15"/>
      </w:r>
      <w:r w:rsidRPr="005E48E0">
        <w:t xml:space="preserve"> i Konvencije UN-a o biološkoj raznolikosti</w:t>
      </w:r>
      <w:r>
        <w:rPr>
          <w:rStyle w:val="FootnoteReference"/>
        </w:rPr>
        <w:footnoteReference w:id="16"/>
      </w:r>
      <w:r w:rsidRPr="005E48E0">
        <w:t>;</w:t>
      </w:r>
    </w:p>
    <w:p w:rsidR="00C0275F" w:rsidRPr="005E48E0" w:rsidP="00C0275F" w14:paraId="03C89035" w14:textId="77777777">
      <w:pPr>
        <w:pStyle w:val="NormalHanging12a"/>
      </w:pPr>
      <w:r w:rsidRPr="005E48E0">
        <w:t>M.</w:t>
      </w:r>
      <w:r w:rsidRPr="005E48E0">
        <w:tab/>
        <w:t xml:space="preserve">budući da su neovisno praćenje i nadzor mogućih štetnih učinaka na biološku raznolikost, zdravlje tla, oprašivače i </w:t>
      </w:r>
      <w:r w:rsidRPr="005E48E0">
        <w:t>neciljane</w:t>
      </w:r>
      <w:r w:rsidRPr="005E48E0">
        <w:t xml:space="preserve"> organizme i dalje nedostatno zajamčeni;</w:t>
      </w:r>
    </w:p>
    <w:p w:rsidR="00C0275F" w:rsidRPr="005E48E0" w:rsidP="00C0275F" w14:paraId="4050E2D2" w14:textId="77777777">
      <w:pPr>
        <w:pStyle w:val="NormalHanging12a"/>
      </w:pPr>
      <w:r w:rsidRPr="005E48E0">
        <w:t>N.</w:t>
      </w:r>
      <w:r w:rsidRPr="005E48E0">
        <w:tab/>
        <w:t>budući da bi se u slučajevima znanstvene nesigurnosti trebalo primjenjivati načelo predostrožnosti iz članka 191. Ugovora o funkcioniranju Europske unije;</w:t>
      </w:r>
    </w:p>
    <w:p w:rsidR="00C0275F" w:rsidRPr="005E48E0" w:rsidP="00C0275F" w14:paraId="7A1A7A83" w14:textId="77777777">
      <w:pPr>
        <w:pStyle w:val="NormalHanging12a"/>
      </w:pPr>
      <w:r w:rsidRPr="005E48E0">
        <w:t>O.</w:t>
      </w:r>
      <w:r w:rsidRPr="005E48E0">
        <w:tab/>
        <w:t>budući da Unija kao ugovorna stranka Konvencije UN-a o biološkoj raznolikosti u skladu s njezinim člankom 3. ima odgovornost zajamčiti da se aktivnostima u okviru njezine jurisdikcije ili pod njezinom kontrolom ne uzrokuje šteta u okolišu drugih država;</w:t>
      </w:r>
    </w:p>
    <w:p w:rsidR="00C0275F" w:rsidRPr="005E48E0" w:rsidP="00C0275F" w14:paraId="64DAE6D4" w14:textId="77777777">
      <w:pPr>
        <w:pStyle w:val="NormalHanging12a"/>
      </w:pPr>
      <w:r w:rsidRPr="005E48E0">
        <w:t>P.</w:t>
      </w:r>
      <w:r w:rsidRPr="005E48E0">
        <w:tab/>
        <w:t xml:space="preserve">budući da obnova odobrenja Unije za genetski modificiranu soju ne bi bila u skladu s </w:t>
      </w:r>
      <w:r w:rsidRPr="005E48E0">
        <w:t>međunarodnim obvezama u pogledu smanjenja pesticida</w:t>
      </w:r>
      <w:r>
        <w:rPr>
          <w:vertAlign w:val="superscript"/>
        </w:rPr>
        <w:footnoteReference w:id="17"/>
      </w:r>
      <w:r w:rsidRPr="005E48E0">
        <w:t xml:space="preserve">, s obzirom na povećanu izloženost ljudi, životinja i okoliša </w:t>
      </w:r>
      <w:r w:rsidRPr="005E48E0">
        <w:t>glifosatu</w:t>
      </w:r>
      <w:r w:rsidRPr="005E48E0">
        <w:t xml:space="preserve">  u zemljama koje uzgajaju taj genetski modificiran usjev otporan na herbicide, kao i s obzirom na potencijalno teške zdravstvene posljedice;</w:t>
      </w:r>
    </w:p>
    <w:p w:rsidR="00C0275F" w:rsidRPr="005E48E0" w:rsidP="00C0275F" w14:paraId="3CD63AF1" w14:textId="77777777">
      <w:pPr>
        <w:pStyle w:val="NormalHanging12a"/>
      </w:pPr>
      <w:r w:rsidRPr="005E48E0">
        <w:t>Q.</w:t>
      </w:r>
      <w:r w:rsidRPr="005E48E0">
        <w:tab/>
        <w:t>budući da u Uniji nije dopušteno uzgajati genetski modificiranu soju;</w:t>
      </w:r>
    </w:p>
    <w:p w:rsidR="00C0275F" w:rsidRPr="005E48E0" w:rsidP="00C0275F" w14:paraId="01A006EC" w14:textId="289A2EE2">
      <w:pPr>
        <w:pStyle w:val="NormalHanging12a"/>
      </w:pPr>
      <w:r w:rsidRPr="005E48E0">
        <w:t>R.</w:t>
      </w:r>
      <w:r w:rsidRPr="005E48E0">
        <w:tab/>
        <w:t xml:space="preserve">budući da bi se </w:t>
      </w:r>
      <w:r w:rsidR="00A83599">
        <w:t>P</w:t>
      </w:r>
      <w:r w:rsidRPr="005E48E0">
        <w:t>rovedben</w:t>
      </w:r>
      <w:r w:rsidR="00A83599">
        <w:t>om</w:t>
      </w:r>
      <w:r w:rsidRPr="005E48E0">
        <w:t xml:space="preserve"> odluk</w:t>
      </w:r>
      <w:r w:rsidR="00A83599">
        <w:t>om</w:t>
      </w:r>
      <w:r w:rsidRPr="005E48E0">
        <w:t xml:space="preserve"> Komisije </w:t>
      </w:r>
      <w:r w:rsidRPr="00A83599" w:rsidR="00A83599">
        <w:t xml:space="preserve">(EU) 2026/1419 </w:t>
      </w:r>
      <w:r w:rsidRPr="005E48E0">
        <w:t>omogućio uvoz u Uniju koji nije u skladu sa standardima koje poštuju poljoprivrednici Unije, čime bi se stavili u nepovoljan tržišni položaj;</w:t>
      </w:r>
    </w:p>
    <w:p w:rsidR="00C0275F" w:rsidRPr="005E48E0" w:rsidP="00C0275F" w14:paraId="73363744" w14:textId="77777777">
      <w:pPr>
        <w:pStyle w:val="NormalHanging12a"/>
      </w:pPr>
      <w:r w:rsidRPr="005E48E0">
        <w:t>S.</w:t>
      </w:r>
      <w:r w:rsidRPr="005E48E0">
        <w:tab/>
        <w:t>budući da se u zaključcima strateškog dijaloga o budućnosti poljoprivrede u EU-u</w:t>
      </w:r>
      <w:r>
        <w:rPr>
          <w:vertAlign w:val="superscript"/>
        </w:rPr>
        <w:footnoteReference w:id="18"/>
      </w:r>
      <w:r w:rsidRPr="005E48E0">
        <w:t>, uzimajući u obzir to što Unija i njezini trgovinski partneri imaju različite standarde, Komisija poziva da preispita svoj stav u pogledu pristupa tržištu za uvoz i izvoz poljoprivredno-prehrambenih proizvoda; budući da su pravedniji trgovinski odnosi na globalnoj razini, usklađeni s ciljevima u pogledu zdravog okoliša, bili jedan od glavnih zahtjeva poljoprivrednika tijekom prosvjeda održanih 2023., 2024. i 2025.;</w:t>
      </w:r>
    </w:p>
    <w:p w:rsidR="00C0275F" w:rsidRPr="005E48E0" w:rsidP="00C0275F" w14:paraId="01F31A01" w14:textId="77777777">
      <w:pPr>
        <w:pStyle w:val="NormalHanging12a"/>
      </w:pPr>
      <w:r w:rsidRPr="005E48E0">
        <w:t>T.</w:t>
      </w:r>
      <w:r w:rsidRPr="005E48E0">
        <w:tab/>
        <w:t>budući da je Parlament u više navrata naglasio da Komisija ne bi trebala odobriti genetski modificirane organizme u slučajevima u kojima države članice u Stalnom odboru za bilje, životinje, hranu i hranu za životinje ili žalbenom odboru ne postignu kvalificiranu većinu, kako bi se odgovorilo na trajni demokratski deficit;</w:t>
      </w:r>
    </w:p>
    <w:p w:rsidR="00C0275F" w:rsidRPr="005E48E0" w:rsidP="00C0275F" w14:paraId="66393F66" w14:textId="77777777">
      <w:pPr>
        <w:pStyle w:val="NormalHanging12a"/>
      </w:pPr>
      <w:r w:rsidRPr="005E48E0">
        <w:t>U.</w:t>
      </w:r>
      <w:r w:rsidRPr="005E48E0">
        <w:tab/>
        <w:t>budući da Komisija i dalje izdaje odobrenja za genetski modificirane organizme unatoč tome što je i sama priznala postojanje demokratskih nedostataka te usprkos izostanku potpore država članica i prigovorima Parlamenta;</w:t>
      </w:r>
    </w:p>
    <w:p w:rsidR="00C0275F" w:rsidRPr="005E48E0" w:rsidP="00C0275F" w14:paraId="3D421E40" w14:textId="77777777">
      <w:pPr>
        <w:pStyle w:val="NormalHanging12a"/>
      </w:pPr>
      <w:r w:rsidRPr="005E48E0">
        <w:t>V.</w:t>
      </w:r>
      <w:r w:rsidRPr="005E48E0">
        <w:tab/>
        <w:t>budući da se pristupom „Jedno zdravlje” zahtijeva da se pri procjeni dugoročne održivosti i sigurnosti genetski modificiranih organizama uzme u obzir međuovisnost zdravlja ljudi, životinja, biljaka i okoliša;</w:t>
      </w:r>
    </w:p>
    <w:p w:rsidR="00C0275F" w:rsidRPr="005E48E0" w:rsidP="00C0275F" w14:paraId="2C8F40D6" w14:textId="40F8B171">
      <w:pPr>
        <w:pStyle w:val="NormalHanging12a"/>
      </w:pPr>
      <w:r w:rsidRPr="005E48E0">
        <w:t>1.</w:t>
      </w:r>
      <w:r w:rsidRPr="005E48E0">
        <w:tab/>
        <w:t xml:space="preserve">smatra da </w:t>
      </w:r>
      <w:r w:rsidR="00A83599">
        <w:t>P</w:t>
      </w:r>
      <w:r w:rsidRPr="005E48E0">
        <w:t>rovedben</w:t>
      </w:r>
      <w:r w:rsidR="00A83599">
        <w:t>a</w:t>
      </w:r>
      <w:r w:rsidRPr="005E48E0">
        <w:t xml:space="preserve"> odluk</w:t>
      </w:r>
      <w:r w:rsidR="00A83599">
        <w:t>a</w:t>
      </w:r>
      <w:r w:rsidRPr="005E48E0">
        <w:t xml:space="preserve"> Komisije </w:t>
      </w:r>
      <w:r w:rsidRPr="00A439A7" w:rsidR="00A83599">
        <w:t xml:space="preserve">(EU) 2026/1419 </w:t>
      </w:r>
      <w:r w:rsidRPr="005E48E0">
        <w:t>prekoračuje provedbene ovlasti predviđene Uredbom (EZ) br. 1829/2003;</w:t>
      </w:r>
    </w:p>
    <w:p w:rsidR="00C0275F" w:rsidRPr="005E48E0" w:rsidP="00C0275F" w14:paraId="0EB72571" w14:textId="3AF68EA1">
      <w:pPr>
        <w:pStyle w:val="NormalHanging12a"/>
      </w:pPr>
      <w:r w:rsidRPr="005E48E0">
        <w:t>2.</w:t>
      </w:r>
      <w:r w:rsidRPr="005E48E0">
        <w:tab/>
        <w:t xml:space="preserve">smatra da </w:t>
      </w:r>
      <w:r w:rsidR="00A83599">
        <w:t>P</w:t>
      </w:r>
      <w:r w:rsidRPr="005E48E0">
        <w:t>rovedben</w:t>
      </w:r>
      <w:r w:rsidR="00A83599">
        <w:t>a</w:t>
      </w:r>
      <w:r w:rsidRPr="005E48E0">
        <w:t xml:space="preserve"> odluk</w:t>
      </w:r>
      <w:r w:rsidR="00A83599">
        <w:t>a</w:t>
      </w:r>
      <w:r w:rsidRPr="005E48E0">
        <w:t xml:space="preserve"> Komisije </w:t>
      </w:r>
      <w:r w:rsidRPr="00A439A7" w:rsidR="00A83599">
        <w:t xml:space="preserve">(EU) 2026/1419 </w:t>
      </w:r>
      <w:r w:rsidRPr="005E48E0">
        <w:t>nije u skladu s pravom Unije jer nije spojiv s ciljem Uredbe (EZ) br. 1829/2003, a on je, u skladu s općim načelima utvrđenima u Uredbi (EZ) br. 178/2002 Europskog parlamenta i Vijeća</w:t>
      </w:r>
      <w:r>
        <w:rPr>
          <w:vertAlign w:val="superscript"/>
        </w:rPr>
        <w:footnoteReference w:id="19"/>
      </w:r>
      <w:r w:rsidRPr="005E48E0">
        <w:t>, pružanje osnove za visoku razinu zaštite života i zdravlja ljudi, zdravlja i dobrobiti životinja, interesa okoliša i potrošača u pogledu genetski modificirane hrane i hrane za životinje, uz istovremeno osiguravanje uspješnog funkcioniranja unutarnjeg tržišta;</w:t>
      </w:r>
    </w:p>
    <w:p w:rsidR="00C0275F" w:rsidRPr="005E48E0" w:rsidP="00C0275F" w14:paraId="23240F68" w14:textId="6062417F">
      <w:pPr>
        <w:pStyle w:val="NormalHanging12a"/>
      </w:pPr>
      <w:r w:rsidRPr="005E48E0">
        <w:t>3.</w:t>
      </w:r>
      <w:r w:rsidRPr="005E48E0">
        <w:tab/>
        <w:t xml:space="preserve">traži od Komisije da </w:t>
      </w:r>
      <w:r w:rsidR="00A83599">
        <w:t>stavi izvan snage</w:t>
      </w:r>
      <w:r w:rsidRPr="005E48E0">
        <w:t xml:space="preserve"> </w:t>
      </w:r>
      <w:r w:rsidR="00A83599">
        <w:t>P</w:t>
      </w:r>
      <w:r w:rsidRPr="005E48E0">
        <w:t>rovedben</w:t>
      </w:r>
      <w:r w:rsidR="00A83599">
        <w:t>u</w:t>
      </w:r>
      <w:r w:rsidRPr="005E48E0">
        <w:t xml:space="preserve"> odluk</w:t>
      </w:r>
      <w:r w:rsidR="00A83599">
        <w:t xml:space="preserve">u </w:t>
      </w:r>
      <w:r w:rsidRPr="00A83599" w:rsidR="00A83599">
        <w:t>Komisije</w:t>
      </w:r>
      <w:r w:rsidR="00A83599">
        <w:t xml:space="preserve"> </w:t>
      </w:r>
      <w:r w:rsidRPr="00A83599" w:rsidR="00A83599">
        <w:t>(EU) 2026/1419</w:t>
      </w:r>
      <w:r w:rsidRPr="005E48E0">
        <w:t>;</w:t>
      </w:r>
    </w:p>
    <w:p w:rsidR="00C0275F" w:rsidRPr="005E48E0" w:rsidP="00C0275F" w14:paraId="396FDAD4" w14:textId="77777777">
      <w:pPr>
        <w:pStyle w:val="NormalHanging12a"/>
      </w:pPr>
      <w:r w:rsidRPr="005E48E0">
        <w:t>4.</w:t>
      </w:r>
      <w:r w:rsidRPr="005E48E0">
        <w:tab/>
        <w:t>traži od Komisije da ne odobri uvoz genetski modificiranih usjeva otpornih na herbicide zbog povezane povećane uporabe komplementarnih herbicida i stoga povećanih rizika za biološku raznolikost, sigurnost hrane i zdravlje radnika;</w:t>
      </w:r>
    </w:p>
    <w:p w:rsidR="00C0275F" w:rsidRPr="005E48E0" w:rsidP="00C0275F" w14:paraId="132ACCE3" w14:textId="77777777">
      <w:pPr>
        <w:pStyle w:val="NormalHanging12a"/>
      </w:pPr>
      <w:r w:rsidRPr="005E48E0">
        <w:t>5.</w:t>
      </w:r>
      <w:r w:rsidRPr="005E48E0">
        <w:tab/>
        <w:t>pozdravlja činjenicu da je Komisija u dopisu zastupnicima od 11. rujna 2020. uvidjela potrebu da se pri donošenju odluka o odobrenju genetski modificiranih organizama u obzir uzme održivost</w:t>
      </w:r>
      <w:r>
        <w:rPr>
          <w:vertAlign w:val="superscript"/>
        </w:rPr>
        <w:footnoteReference w:id="20"/>
      </w:r>
      <w:r w:rsidRPr="005E48E0">
        <w:t>; međutim, izražava duboko razočaranje zbog toga što Komisija i dalje odobrava uvoz genetski modificiranih organizama u Uniju unatoč stalnim prigovorima Parlamenta i činjenici da većina država članica glasuje protiv;</w:t>
      </w:r>
    </w:p>
    <w:p w:rsidR="00C0275F" w:rsidRPr="005E48E0" w:rsidP="00C0275F" w14:paraId="6C02DA15" w14:textId="77777777">
      <w:pPr>
        <w:pStyle w:val="NormalHanging12a"/>
      </w:pPr>
      <w:r w:rsidRPr="005E48E0">
        <w:t>6.</w:t>
      </w:r>
      <w:r w:rsidRPr="005E48E0">
        <w:tab/>
        <w:t>ponovno apelira na Komisiju da u obzir uzme obveze Unije na temelju međunarodnih sporazuma, kao što su Pariški sporazum o klimatskim promjenama, Konvencija UN-a o biološkoj raznolikosti i ciljevi održivog razvoja UN-a; ponavlja poziv da se nacrti provedbenih akata poprate obrazloženjem u kojem se objašnjava na koji se način poštuje načelo „</w:t>
      </w:r>
      <w:r w:rsidRPr="005E48E0">
        <w:t>nenanošenja</w:t>
      </w:r>
      <w:r w:rsidRPr="005E48E0">
        <w:t xml:space="preserve"> štete”</w:t>
      </w:r>
      <w:r>
        <w:rPr>
          <w:vertAlign w:val="superscript"/>
        </w:rPr>
        <w:footnoteReference w:id="21"/>
      </w:r>
      <w:r w:rsidRPr="005E48E0">
        <w:t>;</w:t>
      </w:r>
    </w:p>
    <w:p w:rsidR="00C0275F" w:rsidRPr="005E48E0" w:rsidP="00C0275F" w14:paraId="44754B9E" w14:textId="77777777">
      <w:pPr>
        <w:pStyle w:val="NormalHanging12a"/>
      </w:pPr>
      <w:r w:rsidRPr="005E48E0">
        <w:t>7.</w:t>
      </w:r>
      <w:r w:rsidRPr="005E48E0">
        <w:tab/>
        <w:t>naglašava da se u amandmanima koje je Europski parlament usvojio 17. prosinca 2020. na Prijedlog uredbe Europskog parlamenta i Vijeća o izmjeni Uredbe (EU) br. 182/2011</w:t>
      </w:r>
      <w:r>
        <w:rPr>
          <w:vertAlign w:val="superscript"/>
        </w:rPr>
        <w:footnoteReference w:id="22"/>
      </w:r>
      <w:r w:rsidRPr="005E48E0">
        <w:t>, a koje je Parlament usvojio kao temelj za pregovore s Vijećem, navodi da Komisija ne smije dati odobrenje za genetski modificirane organizme ako se kvalificirana većina država članica nije izjasnila za to; inzistira na tome da Komisija poštuje to stajalište i poziva Vijeće da hitno nastavi s radom i donese opći pristup o tom predmetu;</w:t>
      </w:r>
    </w:p>
    <w:p w:rsidR="005E48E0" w:rsidRPr="005E48E0" w:rsidP="005E48E0" w14:paraId="62E2CD21" w14:textId="0062D884">
      <w:pPr>
        <w:pStyle w:val="NormalHanging12a"/>
      </w:pPr>
      <w:r w:rsidRPr="005E48E0">
        <w:t>8.</w:t>
      </w:r>
      <w:r w:rsidRPr="005E48E0">
        <w:tab/>
        <w:t>nalaže svojoj predsjednici da ovu Rezoluciju proslijedi Vijeću i Komisiji te vladama i parlamentima država članica.</w:t>
      </w:r>
    </w:p>
    <w:p w:rsidR="00E365E1" w:rsidRPr="005E48E0" w:rsidP="00BD3E43" w14:paraId="4888ECFC" w14:textId="6E19C42A"/>
    <w:sectPr w:rsidSect="005E48E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48E0" w14:paraId="241CE30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48E0" w14:paraId="21DB150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48E0" w14:paraId="4315AF6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27109" w:rsidRPr="005E48E0" w14:paraId="44464AFC" w14:textId="77777777">
      <w:r w:rsidRPr="005E48E0">
        <w:separator/>
      </w:r>
    </w:p>
  </w:footnote>
  <w:footnote w:type="continuationSeparator" w:id="1">
    <w:p w:rsidR="00A27109" w:rsidRPr="005E48E0" w14:paraId="378D3465" w14:textId="77777777">
      <w:r w:rsidRPr="005E48E0">
        <w:continuationSeparator/>
      </w:r>
    </w:p>
  </w:footnote>
  <w:footnote w:id="2">
    <w:p w:rsidR="0052753B" w:rsidRPr="00A439A7" w:rsidP="00A439A7" w14:paraId="5BF824A2" w14:textId="31F3152B">
      <w:pPr>
        <w:pStyle w:val="FootnoteText"/>
        <w:ind w:left="567" w:hanging="567"/>
        <w:rPr>
          <w:sz w:val="24"/>
          <w:szCs w:val="24"/>
          <w:lang w:val="hr-HR"/>
        </w:rPr>
      </w:pPr>
      <w:r w:rsidRPr="00A439A7">
        <w:rPr>
          <w:rStyle w:val="FootnoteReference"/>
          <w:sz w:val="24"/>
          <w:szCs w:val="24"/>
        </w:rPr>
        <w:footnoteRef/>
      </w:r>
      <w:r w:rsidRPr="00A439A7">
        <w:rPr>
          <w:sz w:val="24"/>
          <w:szCs w:val="24"/>
          <w:lang w:val="pl-PL"/>
        </w:rPr>
        <w:t xml:space="preserve"> </w:t>
      </w:r>
      <w:r w:rsidRPr="00A439A7">
        <w:rPr>
          <w:sz w:val="24"/>
          <w:szCs w:val="24"/>
          <w:lang w:val="pl-PL"/>
        </w:rPr>
        <w:tab/>
        <w:t>SL</w:t>
      </w:r>
      <w:r w:rsidRPr="00A439A7">
        <w:rPr>
          <w:color w:val="333333"/>
          <w:sz w:val="24"/>
          <w:szCs w:val="24"/>
          <w:shd w:val="clear" w:color="auto" w:fill="FFFFFF"/>
          <w:lang w:val="pl-PL" w:eastAsia="en-GB"/>
        </w:rPr>
        <w:t xml:space="preserve"> L, 2026/1419, 3.7.2026., ELI: </w:t>
      </w:r>
      <w:hyperlink r:id="rId1" w:tgtFrame="_blank" w:tooltip="Dà accesso al documento attraverso il suo URI dell'ELI." w:history="1">
        <w:r w:rsidRPr="00A439A7">
          <w:rPr>
            <w:color w:val="0E47CB"/>
            <w:sz w:val="24"/>
            <w:szCs w:val="24"/>
            <w:u w:val="single"/>
            <w:lang w:val="pl-PL" w:eastAsia="en-GB"/>
          </w:rPr>
          <w:t>http://data.europa.eu/eli/dec_impl/2026/1419/oj</w:t>
        </w:r>
      </w:hyperlink>
      <w:r w:rsidRPr="00A439A7">
        <w:rPr>
          <w:color w:val="333333"/>
          <w:sz w:val="24"/>
          <w:szCs w:val="24"/>
          <w:shd w:val="clear" w:color="auto" w:fill="FFFFFF"/>
          <w:lang w:val="en-GB" w:eastAsia="en-GB"/>
        </w:rPr>
        <w:t>.</w:t>
      </w:r>
    </w:p>
  </w:footnote>
  <w:footnote w:id="3">
    <w:p w:rsidR="00C0275F" w:rsidRPr="00A439A7" w:rsidP="005E48E0" w14:paraId="19281773" w14:textId="271B9508">
      <w:pPr>
        <w:pStyle w:val="FootnoteText"/>
        <w:ind w:left="567" w:hanging="567"/>
        <w:rPr>
          <w:sz w:val="24"/>
          <w:szCs w:val="24"/>
          <w:lang w:val="hr-HR"/>
        </w:rPr>
      </w:pPr>
      <w:r w:rsidRPr="00A439A7">
        <w:rPr>
          <w:rStyle w:val="Funotenzeichen"/>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SL L 268, 18.10.2003., str. 1., ELI: </w:t>
      </w:r>
      <w:hyperlink r:id="rId2" w:tooltip="ELI URI za pristup dokumentu." w:history="1">
        <w:r w:rsidRPr="00A439A7">
          <w:rPr>
            <w:rStyle w:val="Hyperlink"/>
            <w:sz w:val="24"/>
            <w:szCs w:val="24"/>
            <w:lang w:val="hr-HR"/>
          </w:rPr>
          <w:t>http://data.europa.eu/eli/reg/2003/1829/oj</w:t>
        </w:r>
      </w:hyperlink>
      <w:r w:rsidRPr="00A439A7">
        <w:rPr>
          <w:sz w:val="24"/>
          <w:szCs w:val="24"/>
          <w:lang w:val="hr-HR"/>
        </w:rPr>
        <w:t>.</w:t>
      </w:r>
    </w:p>
  </w:footnote>
  <w:footnote w:id="4">
    <w:p w:rsidR="00C0275F" w:rsidRPr="00A439A7" w:rsidP="005E48E0" w14:paraId="321852DF" w14:textId="4E2EEE18">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 xml:space="preserve">SL L 55, 28.2.2011., str. 13., ELI: </w:t>
      </w:r>
      <w:hyperlink r:id="rId3" w:tooltip="http://data.europa.eu/eli/reg/2011/182/oj" w:history="1">
        <w:r w:rsidRPr="00A439A7">
          <w:rPr>
            <w:rStyle w:val="Hyperlink"/>
            <w:sz w:val="24"/>
            <w:szCs w:val="24"/>
            <w:lang w:val="hr-HR"/>
          </w:rPr>
          <w:t>http://data.europa.eu/eli/reg/2011/182/oj</w:t>
        </w:r>
      </w:hyperlink>
      <w:r w:rsidRPr="00A439A7">
        <w:rPr>
          <w:sz w:val="24"/>
          <w:szCs w:val="24"/>
          <w:lang w:val="hr-HR"/>
        </w:rPr>
        <w:t>.</w:t>
      </w:r>
    </w:p>
  </w:footnote>
  <w:footnote w:id="5">
    <w:p w:rsidR="00C0275F" w:rsidRPr="00A439A7" w:rsidP="005E48E0" w14:paraId="6A300269" w14:textId="34779A07">
      <w:pPr>
        <w:pStyle w:val="FootnoteText"/>
        <w:ind w:left="567" w:hanging="567"/>
        <w:rPr>
          <w:sz w:val="24"/>
          <w:szCs w:val="24"/>
          <w:lang w:val="hr-HR"/>
        </w:rPr>
      </w:pPr>
      <w:r w:rsidRPr="00A439A7">
        <w:rPr>
          <w:rStyle w:val="Funotenzeichen"/>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 xml:space="preserve">Znanstveno mišljenje EFSA-ina Povjerenstva za genetski modificirane organizme o procjeni genetski modificirane soje MON 87705 (zahtjev GMFF-2023-21236), </w:t>
      </w:r>
      <w:r w:rsidRPr="00A439A7">
        <w:rPr>
          <w:i/>
          <w:iCs/>
          <w:sz w:val="24"/>
          <w:szCs w:val="24"/>
          <w:lang w:val="hr-HR"/>
        </w:rPr>
        <w:t>EFSA Journal</w:t>
      </w:r>
      <w:r w:rsidRPr="00A439A7">
        <w:rPr>
          <w:sz w:val="24"/>
          <w:szCs w:val="24"/>
          <w:lang w:val="hr-HR"/>
        </w:rPr>
        <w:t>, 2026.</w:t>
      </w:r>
      <w:r w:rsidRPr="00A439A7" w:rsidR="0052753B">
        <w:rPr>
          <w:sz w:val="24"/>
          <w:szCs w:val="24"/>
          <w:lang w:val="hr-HR"/>
        </w:rPr>
        <w:t>,</w:t>
      </w:r>
      <w:r w:rsidRPr="00A439A7">
        <w:rPr>
          <w:sz w:val="24"/>
          <w:szCs w:val="24"/>
          <w:lang w:val="hr-HR"/>
        </w:rPr>
        <w:t xml:space="preserve"> 24(1):e9846 , </w:t>
      </w:r>
      <w:hyperlink r:id="rId4" w:history="1">
        <w:r w:rsidRPr="00A439A7">
          <w:rPr>
            <w:rStyle w:val="Hyperlink"/>
            <w:sz w:val="24"/>
            <w:szCs w:val="24"/>
            <w:lang w:val="hr-HR"/>
          </w:rPr>
          <w:t>https://doi.org/10.2903/j.efsa.2026.9846</w:t>
        </w:r>
      </w:hyperlink>
      <w:r w:rsidRPr="00A439A7">
        <w:rPr>
          <w:rStyle w:val="Hyperlink"/>
          <w:sz w:val="24"/>
          <w:szCs w:val="24"/>
          <w:lang w:val="hr-HR"/>
        </w:rPr>
        <w:t>.</w:t>
      </w:r>
    </w:p>
  </w:footnote>
  <w:footnote w:id="6">
    <w:p w:rsidR="00C0275F" w:rsidRPr="00A439A7" w:rsidP="005E48E0" w14:paraId="4ED96856" w14:textId="6E6BC023">
      <w:pPr>
        <w:pStyle w:val="FootnoteText"/>
        <w:ind w:left="567" w:hanging="567"/>
        <w:rPr>
          <w:color w:val="000000" w:themeColor="text1"/>
          <w:sz w:val="24"/>
          <w:szCs w:val="24"/>
          <w:vertAlign w:val="superscript"/>
          <w:lang w:val="hr-HR"/>
        </w:rPr>
      </w:pPr>
      <w:r w:rsidRPr="00A439A7">
        <w:rPr>
          <w:rStyle w:val="Funotenzeichen"/>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Parlament je u osmom sazivu donio 36, a u devetom sazivu 38 rezolucija u kojima se protivi odobravanju genetski modificiranih organizama.</w:t>
      </w:r>
      <w:r w:rsidRPr="00A439A7">
        <w:rPr>
          <w:color w:val="000000" w:themeColor="text1"/>
          <w:sz w:val="24"/>
          <w:szCs w:val="24"/>
          <w:lang w:val="hr-HR"/>
        </w:rPr>
        <w:t xml:space="preserve"> Nadalje, u desetom sazivu Parlament je donio sljedeće rezolucije:</w:t>
      </w:r>
    </w:p>
    <w:p w:rsidR="00C0275F" w:rsidRPr="00A439A7" w:rsidP="00A439A7" w14:paraId="05847E31" w14:textId="0F71A60E">
      <w:pPr>
        <w:pStyle w:val="FootnoteText"/>
        <w:ind w:left="1134" w:hanging="567"/>
        <w:rPr>
          <w:color w:val="000000" w:themeColor="text1"/>
          <w:sz w:val="24"/>
          <w:szCs w:val="24"/>
          <w:vertAlign w:val="superscript"/>
          <w:lang w:val="hr-HR"/>
        </w:rPr>
      </w:pPr>
      <w:r w:rsidRPr="00A439A7">
        <w:rPr>
          <w:color w:val="000000" w:themeColor="text1"/>
          <w:sz w:val="24"/>
          <w:szCs w:val="24"/>
          <w:lang w:val="hr-HR"/>
        </w:rPr>
        <w:t>–</w:t>
      </w:r>
      <w:r w:rsidRPr="00A439A7">
        <w:rPr>
          <w:color w:val="000000" w:themeColor="text1"/>
          <w:sz w:val="24"/>
          <w:szCs w:val="24"/>
          <w:lang w:val="hr-HR"/>
        </w:rPr>
        <w:tab/>
        <w:t>Rezoluciju Europskog parlamenta od 26. studenoga 2024. o Provedbenoj odluci Komisije (EU) 2024/2628 o produljenju odobrenja za stavljanje na tržište proizvoda koji sadržavaju genetski modificirani kukuruz MON 89034 × 1507 × NK603, sastoje se ili su proizvedeni od njega na temelju Uredbe (EZ) br. 1829/2003 Europskog parlamenta i Vijeća (SL C, C/2025/1797, 4.4.2025., ELI: </w:t>
      </w:r>
      <w:hyperlink r:id="rId5" w:history="1">
        <w:r w:rsidRPr="00A439A7">
          <w:rPr>
            <w:rStyle w:val="Hyperlink"/>
            <w:sz w:val="24"/>
            <w:szCs w:val="24"/>
            <w:lang w:val="hr-HR"/>
          </w:rPr>
          <w:t>http://data.europa.eu/eli/C/2025/1797/oj</w:t>
        </w:r>
      </w:hyperlink>
      <w:r w:rsidRPr="00A439A7">
        <w:rPr>
          <w:color w:val="000000" w:themeColor="text1"/>
          <w:sz w:val="24"/>
          <w:szCs w:val="24"/>
          <w:lang w:val="hr-HR"/>
        </w:rPr>
        <w:t>);</w:t>
      </w:r>
    </w:p>
    <w:p w:rsidR="00C0275F" w:rsidRPr="00A439A7" w:rsidP="00A439A7" w14:paraId="46E9D433" w14:textId="15FC194A">
      <w:pPr>
        <w:pStyle w:val="FootnoteText"/>
        <w:ind w:left="1134" w:hanging="567"/>
        <w:rPr>
          <w:color w:val="000000" w:themeColor="text1"/>
          <w:sz w:val="24"/>
          <w:szCs w:val="24"/>
          <w:vertAlign w:val="superscript"/>
          <w:lang w:val="hr-HR"/>
        </w:rPr>
      </w:pPr>
      <w:r w:rsidRPr="00A439A7">
        <w:rPr>
          <w:color w:val="000000" w:themeColor="text1"/>
          <w:sz w:val="24"/>
          <w:szCs w:val="24"/>
          <w:lang w:val="hr-HR"/>
        </w:rPr>
        <w:t>–</w:t>
      </w:r>
      <w:r w:rsidRPr="00A439A7">
        <w:rPr>
          <w:color w:val="000000" w:themeColor="text1"/>
          <w:sz w:val="24"/>
          <w:szCs w:val="24"/>
          <w:lang w:val="hr-HR"/>
        </w:rPr>
        <w:tab/>
        <w:t>Rezoluciju Europskog parlamenta od 26. studenoga 2024. o Provedbenoj odluci Komisije (EU) 2024/2627 o odobravanju stavljanja na tržište proizvoda koji sadržavaju genetski modificirani pamuk COT102, sastoje se od njega ili su od njega proizvedeni, na temelju Uredbe (EZ) br. 1829/2003 Europskog parlamenta i Vijeća (SL C, C/2025/1798, 4.4.2025., ELI: </w:t>
      </w:r>
      <w:hyperlink r:id="rId6" w:history="1">
        <w:r w:rsidRPr="00A439A7">
          <w:rPr>
            <w:rStyle w:val="Hyperlink"/>
            <w:sz w:val="24"/>
            <w:szCs w:val="24"/>
            <w:lang w:val="hr-HR"/>
          </w:rPr>
          <w:t>http://data.europa.eu/eli/C/2025/1798/oj</w:t>
        </w:r>
      </w:hyperlink>
      <w:r w:rsidRPr="00A439A7">
        <w:rPr>
          <w:color w:val="000000" w:themeColor="text1"/>
          <w:sz w:val="24"/>
          <w:szCs w:val="24"/>
          <w:lang w:val="hr-HR"/>
        </w:rPr>
        <w:t>);</w:t>
      </w:r>
    </w:p>
    <w:p w:rsidR="00C0275F" w:rsidRPr="00A439A7" w:rsidP="00A439A7" w14:paraId="137E7D6D" w14:textId="0362FA30">
      <w:pPr>
        <w:pStyle w:val="FootnoteText"/>
        <w:ind w:left="1134" w:hanging="567"/>
        <w:rPr>
          <w:color w:val="000000" w:themeColor="text1"/>
          <w:sz w:val="24"/>
          <w:szCs w:val="24"/>
          <w:vertAlign w:val="superscript"/>
          <w:lang w:val="hr-HR"/>
        </w:rPr>
      </w:pPr>
      <w:r w:rsidRPr="00A439A7">
        <w:rPr>
          <w:color w:val="000000" w:themeColor="text1"/>
          <w:sz w:val="24"/>
          <w:szCs w:val="24"/>
          <w:lang w:val="hr-HR"/>
        </w:rPr>
        <w:t>–</w:t>
      </w:r>
      <w:r w:rsidRPr="00A439A7">
        <w:rPr>
          <w:color w:val="000000" w:themeColor="text1"/>
          <w:sz w:val="24"/>
          <w:szCs w:val="24"/>
          <w:lang w:val="hr-HR"/>
        </w:rPr>
        <w:tab/>
        <w:t xml:space="preserve">Rezoluciju Europskog parlamenta od 26. studenoga 2024. o Provedbenoj odluci Komisije (EU) 2024/2629 o produljenju odobrenja za stavljanje na tržište proizvoda koji sadržavaju genetski modificirani kukuruz MON 89034 × 1507 × MON 88017 × 59122 i osam njegovih </w:t>
      </w:r>
      <w:r w:rsidRPr="00A439A7">
        <w:rPr>
          <w:color w:val="000000" w:themeColor="text1"/>
          <w:sz w:val="24"/>
          <w:szCs w:val="24"/>
          <w:lang w:val="hr-HR"/>
        </w:rPr>
        <w:t>potkombinacija</w:t>
      </w:r>
      <w:r w:rsidRPr="00A439A7">
        <w:rPr>
          <w:color w:val="000000" w:themeColor="text1"/>
          <w:sz w:val="24"/>
          <w:szCs w:val="24"/>
          <w:lang w:val="hr-HR"/>
        </w:rPr>
        <w:t>, sastoje se ili su proizvedeni od njih, u skladu s Uredbom (EZ) br. 1829/2003 Europskog parlamenta i Vijeća (SL C, C/2025/1799, 4.4.2025., ELI: </w:t>
      </w:r>
      <w:hyperlink r:id="rId7" w:history="1">
        <w:r w:rsidRPr="00A439A7">
          <w:rPr>
            <w:rStyle w:val="Hyperlink"/>
            <w:sz w:val="24"/>
            <w:szCs w:val="24"/>
            <w:lang w:val="hr-HR"/>
          </w:rPr>
          <w:t>http://data.europa.eu/eli/C/2025/1799/oj</w:t>
        </w:r>
      </w:hyperlink>
      <w:r w:rsidRPr="00A439A7">
        <w:rPr>
          <w:color w:val="000000" w:themeColor="text1"/>
          <w:sz w:val="24"/>
          <w:szCs w:val="24"/>
          <w:lang w:val="hr-HR"/>
        </w:rPr>
        <w:t>);</w:t>
      </w:r>
    </w:p>
    <w:p w:rsidR="00C0275F" w:rsidRPr="00A439A7" w:rsidP="00A439A7" w14:paraId="769E6A5A" w14:textId="0724AFCD">
      <w:pPr>
        <w:pStyle w:val="FootnoteText"/>
        <w:ind w:left="1134" w:hanging="567"/>
        <w:rPr>
          <w:color w:val="000000" w:themeColor="text1"/>
          <w:sz w:val="24"/>
          <w:szCs w:val="24"/>
          <w:vertAlign w:val="superscript"/>
          <w:lang w:val="hr-HR"/>
        </w:rPr>
      </w:pPr>
      <w:r w:rsidRPr="00A439A7">
        <w:rPr>
          <w:color w:val="000000" w:themeColor="text1"/>
          <w:sz w:val="24"/>
          <w:szCs w:val="24"/>
          <w:lang w:val="hr-HR"/>
        </w:rPr>
        <w:t>–</w:t>
      </w:r>
      <w:r w:rsidRPr="00A439A7">
        <w:rPr>
          <w:color w:val="000000" w:themeColor="text1"/>
          <w:sz w:val="24"/>
          <w:szCs w:val="24"/>
          <w:lang w:val="hr-HR"/>
        </w:rPr>
        <w:tab/>
        <w:t>Rezoluciju Europskog parlamenta od 26. studenoga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 (SL C, C/2025/1800, 4.4.2025., ELI: </w:t>
      </w:r>
      <w:hyperlink r:id="rId8" w:history="1">
        <w:r w:rsidRPr="00A439A7">
          <w:rPr>
            <w:rStyle w:val="Hyperlink"/>
            <w:sz w:val="24"/>
            <w:szCs w:val="24"/>
            <w:lang w:val="hr-HR"/>
          </w:rPr>
          <w:t>http://data.europa.eu/eli/C/2025/1800/oj</w:t>
        </w:r>
      </w:hyperlink>
      <w:r w:rsidRPr="00A439A7">
        <w:rPr>
          <w:color w:val="000000" w:themeColor="text1"/>
          <w:sz w:val="24"/>
          <w:szCs w:val="24"/>
          <w:lang w:val="hr-HR"/>
        </w:rPr>
        <w:t>)</w:t>
      </w:r>
      <w:r w:rsidRPr="00A439A7">
        <w:rPr>
          <w:sz w:val="24"/>
          <w:szCs w:val="24"/>
          <w:lang w:val="hr-HR"/>
        </w:rPr>
        <w:t>;</w:t>
      </w:r>
    </w:p>
    <w:p w:rsidR="00C0275F" w:rsidRPr="00A439A7" w:rsidP="00A439A7" w14:paraId="366301E5" w14:textId="2578ECF8">
      <w:pPr>
        <w:pStyle w:val="FootnoteText"/>
        <w:ind w:left="1134" w:hanging="567"/>
        <w:rPr>
          <w:color w:val="000000" w:themeColor="text1"/>
          <w:sz w:val="24"/>
          <w:szCs w:val="24"/>
          <w:vertAlign w:val="superscript"/>
          <w:lang w:val="hr-HR"/>
        </w:rPr>
      </w:pPr>
      <w:r w:rsidRPr="00A439A7">
        <w:rPr>
          <w:color w:val="000000" w:themeColor="text1"/>
          <w:sz w:val="24"/>
          <w:szCs w:val="24"/>
          <w:lang w:val="hr-HR"/>
        </w:rPr>
        <w:t>–</w:t>
      </w:r>
      <w:r w:rsidRPr="00A439A7">
        <w:rPr>
          <w:color w:val="000000" w:themeColor="text1"/>
          <w:sz w:val="24"/>
          <w:szCs w:val="24"/>
          <w:lang w:val="hr-HR"/>
        </w:rPr>
        <w:tab/>
        <w:t>Rezoluciju Europskog parlamenta od 26. studenoga 2024. o Provedbenoj odluci Komisije (EU) 2024/1822 o odobravanju stavljanja na tržište proizvoda koji sadržavaju genetski modificirani kukuruz DP915635, od njega se sastoje ili su od njega proizvedeni, u skladu s Uredbom (EZ) br. 1829/2003 Europskog parlamenta i Vijeća (SL C, C/2025/1801, 4.4.2025., ELI: </w:t>
      </w:r>
      <w:hyperlink r:id="rId9" w:history="1">
        <w:r w:rsidRPr="00A439A7">
          <w:rPr>
            <w:rStyle w:val="Hyperlink"/>
            <w:sz w:val="24"/>
            <w:szCs w:val="24"/>
            <w:lang w:val="hr-HR"/>
          </w:rPr>
          <w:t>http://data.europa.eu/eli/C/2025/1801/oj</w:t>
        </w:r>
      </w:hyperlink>
      <w:r w:rsidRPr="00A439A7">
        <w:rPr>
          <w:color w:val="000000" w:themeColor="text1"/>
          <w:sz w:val="24"/>
          <w:szCs w:val="24"/>
          <w:lang w:val="hr-HR"/>
        </w:rPr>
        <w:t>);</w:t>
      </w:r>
    </w:p>
    <w:p w:rsidR="00C0275F" w:rsidRPr="00A439A7" w:rsidP="00A439A7" w14:paraId="0F4C8A22" w14:textId="2B27A0FD">
      <w:pPr>
        <w:pStyle w:val="FootnoteText"/>
        <w:ind w:left="1134" w:hanging="567"/>
        <w:rPr>
          <w:color w:val="000000" w:themeColor="text1"/>
          <w:sz w:val="24"/>
          <w:szCs w:val="24"/>
          <w:vertAlign w:val="superscript"/>
          <w:lang w:val="hr-HR"/>
        </w:rPr>
      </w:pPr>
      <w:r w:rsidRPr="00A439A7">
        <w:rPr>
          <w:color w:val="000000" w:themeColor="text1"/>
          <w:sz w:val="24"/>
          <w:szCs w:val="24"/>
          <w:lang w:val="hr-HR"/>
        </w:rPr>
        <w:t>–</w:t>
      </w:r>
      <w:r w:rsidRPr="00A439A7">
        <w:rPr>
          <w:color w:val="000000" w:themeColor="text1"/>
          <w:sz w:val="24"/>
          <w:szCs w:val="24"/>
          <w:lang w:val="hr-HR"/>
        </w:rPr>
        <w:tab/>
        <w:t>Europskog parlamenta od 26. studenoga 2024. o Provedbenoj odluci Komisije (EU) 2024/1826 o odobravanju stavljanja na tržište proizvoda koji sadržavaju genetski modificirani kukuruz DP23211, od njega se sastoje ili su od njega proizvedeni, u skladu s Uredbom (EZ) br. 1829/2003 Europskog parlamenta i Vijeća (SL C, C/2025/1802, 4.4.2025., ELI: </w:t>
      </w:r>
      <w:hyperlink r:id="rId10" w:history="1">
        <w:r w:rsidRPr="00A439A7">
          <w:rPr>
            <w:rStyle w:val="Hyperlink"/>
            <w:sz w:val="24"/>
            <w:szCs w:val="24"/>
            <w:lang w:val="hr-HR"/>
          </w:rPr>
          <w:t>http://data.europa.eu/eli/C/2025/1802/oj</w:t>
        </w:r>
      </w:hyperlink>
      <w:r w:rsidRPr="00A439A7">
        <w:rPr>
          <w:color w:val="000000" w:themeColor="text1"/>
          <w:sz w:val="24"/>
          <w:szCs w:val="24"/>
          <w:lang w:val="hr-HR"/>
        </w:rPr>
        <w:t>);</w:t>
      </w:r>
    </w:p>
    <w:p w:rsidR="00C0275F" w:rsidRPr="00A439A7" w:rsidP="00A439A7" w14:paraId="065BE8F6" w14:textId="2A57DAE9">
      <w:pPr>
        <w:pStyle w:val="FootnoteText"/>
        <w:ind w:left="1134" w:hanging="567"/>
        <w:rPr>
          <w:color w:val="000000" w:themeColor="text1"/>
          <w:sz w:val="24"/>
          <w:szCs w:val="24"/>
          <w:vertAlign w:val="superscript"/>
          <w:lang w:val="hr-HR"/>
        </w:rPr>
      </w:pPr>
      <w:r w:rsidRPr="00A439A7">
        <w:rPr>
          <w:color w:val="000000" w:themeColor="text1"/>
          <w:sz w:val="24"/>
          <w:szCs w:val="24"/>
          <w:lang w:val="hr-HR"/>
        </w:rPr>
        <w:t>–</w:t>
      </w:r>
      <w:r w:rsidRPr="00A439A7">
        <w:rPr>
          <w:color w:val="000000" w:themeColor="text1"/>
          <w:sz w:val="24"/>
          <w:szCs w:val="24"/>
          <w:lang w:val="hr-HR"/>
        </w:rPr>
        <w:tab/>
        <w:t>Rezoluciju Europskog parlamenta od 26. studenoga 2024. o Provedbenoj odluci Komisije (EU) 2024/2618 o odobravanju stavljanja na tržište proizvoda koji sadržavaju genetski modificirani kukuruz DP202216, sastoje se od njega ili su od njega proizvedeni, na temelju Uredbe (EZ) br. 1829/2003 Europskog parlamenta i Vijeća (SL C, C/2025/1803, 4.4.2025., ELI: </w:t>
      </w:r>
      <w:hyperlink r:id="rId11" w:history="1">
        <w:r w:rsidRPr="00A439A7">
          <w:rPr>
            <w:rStyle w:val="Hyperlink"/>
            <w:sz w:val="24"/>
            <w:szCs w:val="24"/>
            <w:lang w:val="hr-HR"/>
          </w:rPr>
          <w:t>http://data.europa.eu/eli/C/2025/1803/oj</w:t>
        </w:r>
      </w:hyperlink>
      <w:r w:rsidRPr="00A439A7">
        <w:rPr>
          <w:color w:val="000000" w:themeColor="text1"/>
          <w:sz w:val="24"/>
          <w:szCs w:val="24"/>
          <w:lang w:val="hr-HR"/>
        </w:rPr>
        <w:t>);</w:t>
      </w:r>
    </w:p>
    <w:p w:rsidR="00C0275F" w:rsidRPr="00A439A7" w:rsidP="00A439A7" w14:paraId="0F04D819" w14:textId="0775DDB0">
      <w:pPr>
        <w:pStyle w:val="FootnoteText"/>
        <w:ind w:left="1134" w:hanging="567"/>
        <w:rPr>
          <w:color w:val="000000" w:themeColor="text1"/>
          <w:sz w:val="24"/>
          <w:szCs w:val="24"/>
          <w:vertAlign w:val="superscript"/>
          <w:lang w:val="hr-HR"/>
        </w:rPr>
      </w:pPr>
      <w:r w:rsidRPr="00A439A7">
        <w:rPr>
          <w:color w:val="000000" w:themeColor="text1"/>
          <w:sz w:val="24"/>
          <w:szCs w:val="24"/>
          <w:lang w:val="hr-HR"/>
        </w:rPr>
        <w:t>–</w:t>
      </w:r>
      <w:r w:rsidRPr="00A439A7">
        <w:rPr>
          <w:color w:val="000000" w:themeColor="text1"/>
          <w:sz w:val="24"/>
          <w:szCs w:val="24"/>
          <w:lang w:val="hr-HR"/>
        </w:rPr>
        <w:tab/>
        <w:t>Rezoluciju Europskog parlamenta od 26. studenoga 2024. o Nacrtu provedbene odluke Komisije o odobravanju stavljanja na tržište proizvoda koji sadržavaju genetski modificirani kukuruz MON 94804, sastoje se od njega ili su od njega proizvedeni, na temelju Uredbe (EZ) br. 1829/2003 Europskog parlamenta i Vijeća (SL C, C/2025/1804, 4.4.2025., ELI: </w:t>
      </w:r>
      <w:hyperlink r:id="rId12" w:history="1">
        <w:r w:rsidRPr="00A439A7">
          <w:rPr>
            <w:rStyle w:val="Hyperlink"/>
            <w:sz w:val="24"/>
            <w:szCs w:val="24"/>
            <w:lang w:val="hr-HR"/>
          </w:rPr>
          <w:t>http://data.europa.eu/eli/C/2025/1804/oj</w:t>
        </w:r>
      </w:hyperlink>
      <w:r w:rsidRPr="00A439A7">
        <w:rPr>
          <w:color w:val="000000" w:themeColor="text1"/>
          <w:sz w:val="24"/>
          <w:szCs w:val="24"/>
          <w:lang w:val="hr-HR"/>
        </w:rPr>
        <w:t>);</w:t>
      </w:r>
    </w:p>
    <w:p w:rsidR="00C0275F" w:rsidRPr="00A439A7" w:rsidP="00A439A7" w14:paraId="47E2E96F" w14:textId="755177AA">
      <w:pPr>
        <w:pStyle w:val="FootnoteText"/>
        <w:ind w:left="1134" w:hanging="567"/>
        <w:rPr>
          <w:sz w:val="24"/>
          <w:szCs w:val="24"/>
          <w:vertAlign w:val="superscript"/>
          <w:lang w:val="hr-HR"/>
        </w:rPr>
      </w:pPr>
      <w:r w:rsidRPr="00A439A7">
        <w:rPr>
          <w:color w:val="000000" w:themeColor="text1"/>
          <w:sz w:val="24"/>
          <w:szCs w:val="24"/>
          <w:lang w:val="hr-HR"/>
        </w:rPr>
        <w:t>–</w:t>
      </w:r>
      <w:r w:rsidRPr="00A439A7">
        <w:rPr>
          <w:color w:val="000000" w:themeColor="text1"/>
          <w:sz w:val="24"/>
          <w:szCs w:val="24"/>
          <w:lang w:val="hr-HR"/>
        </w:rPr>
        <w:tab/>
      </w:r>
      <w:r w:rsidRPr="00A439A7">
        <w:rPr>
          <w:sz w:val="24"/>
          <w:szCs w:val="24"/>
          <w:lang w:val="hr-HR"/>
        </w:rPr>
        <w:t>Rezoluciju Europskog parlamenta od 12. veljače 2025. o Nacrtu provedbene odluke Komisije o odobravanju stavljanja na tržište proizvoda koji sadržavaju genetski modificirani kukuruz DP910521, sastoje se od njega ili su od njega proizvedeni, na temelju Uredbe (EZ) br. 1829/2003 Europskog parlamenta i Vijeća (SL C, C/2025/2246, 29.4.2025., ELI: </w:t>
      </w:r>
      <w:hyperlink r:id="rId13" w:tooltip="ELI URI za pristup dokumentu." w:history="1">
        <w:r w:rsidRPr="00A439A7">
          <w:rPr>
            <w:rStyle w:val="Hyperlink"/>
            <w:sz w:val="24"/>
            <w:szCs w:val="24"/>
            <w:lang w:val="hr-HR"/>
          </w:rPr>
          <w:t>http://data.europa.eu/eli/C/2025/2246/oj</w:t>
        </w:r>
      </w:hyperlink>
      <w:r w:rsidRPr="00A439A7">
        <w:rPr>
          <w:sz w:val="24"/>
          <w:szCs w:val="24"/>
          <w:lang w:val="hr-HR"/>
        </w:rPr>
        <w:t>);</w:t>
      </w:r>
    </w:p>
    <w:p w:rsidR="00C0275F" w:rsidRPr="00A439A7" w:rsidP="00A439A7" w14:paraId="6722238F" w14:textId="51689C15">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12. veljače 2025. o Nacrtu provedbene odluke Komisije o odobravanju stavljanja na tržište proizvoda koji sadržavaju genetski modificirani kukuruz MON 95275, sastoje se od njega ili su od njega proizvedeni, na temelju Uredbe (EZ) br. 1829/2003 Europskog parlamenta i Vijeća (SL C, C/2025/2247, 29.4.2025., ELI: </w:t>
      </w:r>
      <w:hyperlink r:id="rId14" w:tooltip="ELI URI za pristup dokumentu." w:history="1">
        <w:r w:rsidRPr="00A439A7">
          <w:rPr>
            <w:rStyle w:val="Hyperlink"/>
            <w:sz w:val="24"/>
            <w:szCs w:val="24"/>
            <w:lang w:val="hr-HR"/>
          </w:rPr>
          <w:t>http://data.europa.eu/eli/C/2025/2247/oj</w:t>
        </w:r>
      </w:hyperlink>
      <w:r w:rsidRPr="00A439A7">
        <w:rPr>
          <w:sz w:val="24"/>
          <w:szCs w:val="24"/>
          <w:lang w:val="hr-HR"/>
        </w:rPr>
        <w:t>);</w:t>
      </w:r>
    </w:p>
    <w:p w:rsidR="00C0275F" w:rsidRPr="00A439A7" w:rsidP="00A439A7" w14:paraId="23BB15CB" w14:textId="3538BE0D">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8. svibnja 2025. o Nacrtu provedbene odluke Komisije o odobravanju stavljanja na tržište proizvoda koji sadržavaju genetski modificiranu soju MON 87705 × MON 87708 × MON 89788, sastoje se od nje ili su proizvedeni od nje, na temelju Uredbe (EZ) br. 1829/2003 Europskog parlamenta i Vijeća (SL C, C/2026/586, 24.2.2026., ELI: </w:t>
      </w:r>
      <w:hyperlink r:id="rId15" w:tooltip="ELI URI za pristup dokumentu." w:history="1">
        <w:r w:rsidRPr="00A439A7">
          <w:rPr>
            <w:rStyle w:val="Hyperlink"/>
            <w:sz w:val="24"/>
            <w:szCs w:val="24"/>
            <w:lang w:val="hr-HR"/>
          </w:rPr>
          <w:t>http://data.europa.eu/eli/C/2026/586/oj</w:t>
        </w:r>
      </w:hyperlink>
      <w:r w:rsidRPr="00A439A7">
        <w:rPr>
          <w:sz w:val="24"/>
          <w:szCs w:val="24"/>
          <w:lang w:val="hr-HR"/>
        </w:rPr>
        <w:t>);</w:t>
      </w:r>
    </w:p>
    <w:p w:rsidR="00C0275F" w:rsidRPr="00A439A7" w:rsidP="00A439A7" w14:paraId="5B3FD55A" w14:textId="5CDFCC31">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8. listopada 2025. o Provedbenoj odluci Komisije (EU) 2025/1898 od 22. rujna 2025. o odobravanju stavljanja na tržište proizvoda koji sadržavaju genetski modificirani kukuruz DP51291, sastoje se od njega ili su od njega proizvedeni, na temelju Uredbe (EZ) br. 1829/2003 Europskog parlamenta i Vijeća (SL C, C/2026/1523, 15.4.2026., ELI: </w:t>
      </w:r>
      <w:hyperlink r:id="rId16" w:history="1">
        <w:r w:rsidRPr="00A439A7">
          <w:rPr>
            <w:rStyle w:val="Hyperlink"/>
            <w:sz w:val="24"/>
            <w:szCs w:val="24"/>
            <w:lang w:val="hr-HR"/>
          </w:rPr>
          <w:t>http://data.europa.eu/eli/C/2026/1523/oj</w:t>
        </w:r>
      </w:hyperlink>
      <w:r w:rsidRPr="00A439A7">
        <w:rPr>
          <w:sz w:val="24"/>
          <w:szCs w:val="24"/>
          <w:lang w:val="hr-HR"/>
        </w:rPr>
        <w:t>);</w:t>
      </w:r>
    </w:p>
    <w:p w:rsidR="00C0275F" w:rsidRPr="00A439A7" w:rsidP="00A439A7" w14:paraId="3AE8B7E9" w14:textId="10A95AFB">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25. studenoga 2025. o Nacrtu provedbene odluke Komisije o odobravanju stavljanja na tržište proizvoda koji sadržavaju genetski modificirani kukuruz DAS1131, sastoje se od njega ili su od njega proizvedeni, na temelju Uredbe (EZ) br. 1829/2003 Europskog parlamenta i Vijeća (SL C, C/2026/1703, 24.4.2026., ELI: </w:t>
      </w:r>
      <w:hyperlink r:id="rId17" w:history="1">
        <w:r w:rsidRPr="00A439A7">
          <w:rPr>
            <w:rStyle w:val="Hyperlink"/>
            <w:sz w:val="24"/>
            <w:szCs w:val="24"/>
            <w:lang w:val="hr-HR"/>
          </w:rPr>
          <w:t>http://data.europa.eu/eli/C/2026/1703/oj</w:t>
        </w:r>
      </w:hyperlink>
      <w:r w:rsidRPr="00A439A7">
        <w:rPr>
          <w:sz w:val="24"/>
          <w:szCs w:val="24"/>
          <w:lang w:val="hr-HR"/>
        </w:rPr>
        <w:t>);</w:t>
      </w:r>
    </w:p>
    <w:p w:rsidR="00C0275F" w:rsidRPr="00A439A7" w:rsidP="00A439A7" w14:paraId="0CE433CC" w14:textId="4C14073B">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25. studenoga 2025. o Nacrtu provedbene odluke Komisije o produljenju odobrenja za stavljanje na tržište proizvoda koji sadržavaju genetski modificirani pamuk MON 88913 (MON-88913-8), sastoje se od njega ili su proizvedeni od njega, u skladu s Uredbom (EZ) br. 1829/2003 Europskog parlamenta i Vijeća (SL C, C/2026/1704, 24.4.2026., ELI: </w:t>
      </w:r>
      <w:hyperlink r:id="rId18" w:history="1">
        <w:r w:rsidRPr="00A439A7">
          <w:rPr>
            <w:rStyle w:val="Hyperlink"/>
            <w:sz w:val="24"/>
            <w:szCs w:val="24"/>
            <w:lang w:val="hr-HR"/>
          </w:rPr>
          <w:t>http://data.europa.eu/eli/C/2026/1704/oj</w:t>
        </w:r>
      </w:hyperlink>
      <w:r w:rsidRPr="00A439A7">
        <w:rPr>
          <w:sz w:val="24"/>
          <w:szCs w:val="24"/>
          <w:lang w:val="hr-HR"/>
        </w:rPr>
        <w:t>);</w:t>
      </w:r>
    </w:p>
    <w:p w:rsidR="00C0275F" w:rsidRPr="00A439A7" w:rsidP="00A439A7" w14:paraId="29A3DDE5" w14:textId="3766372E">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25. studenoga 2025. o Nacrtu provedbene odluke Komisije o produljenju odobrenja za stavljanje na tržište proizvoda koji sadržavaju genetski modificiranu uljanu repicu MON 88302, sastoje se ili su proizvedeni od nje na temelju Uredbe (EZ) br. 1829/2003 Europskog parlamenta i Vijeća (SL C, C/2026/1705, 24.4.2026., ELI: </w:t>
      </w:r>
      <w:hyperlink r:id="rId19" w:history="1">
        <w:r w:rsidRPr="00A439A7">
          <w:rPr>
            <w:rStyle w:val="Hyperlink"/>
            <w:sz w:val="24"/>
            <w:szCs w:val="24"/>
            <w:lang w:val="hr-HR"/>
          </w:rPr>
          <w:t>http://data.europa.eu/eli/C/2026/1705/oj</w:t>
        </w:r>
      </w:hyperlink>
      <w:r w:rsidRPr="00A439A7">
        <w:rPr>
          <w:sz w:val="24"/>
          <w:szCs w:val="24"/>
          <w:lang w:val="hr-HR"/>
        </w:rPr>
        <w:t>);</w:t>
      </w:r>
    </w:p>
    <w:p w:rsidR="00C0275F" w:rsidRPr="00A439A7" w:rsidP="00A439A7" w14:paraId="0E846A4B" w14:textId="675FA3E5">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25. studenoga 2025. o Provedbenoj odluci Komisije o produljenju odobrenja za stavljanje na tržište proizvoda koji sadržavaju genetski modificiranu soju MON 87708, sastoje se ili su proizvedeni od nje na temelju Uredbe (EZ) br. 1829/2003 Europskog parlamenta i Vijeća (SL C, C/2026/1706, 24.4.2026., ELI: </w:t>
      </w:r>
      <w:hyperlink r:id="rId20" w:history="1">
        <w:r w:rsidRPr="00A439A7">
          <w:rPr>
            <w:rStyle w:val="Hyperlink"/>
            <w:sz w:val="24"/>
            <w:szCs w:val="24"/>
            <w:lang w:val="hr-HR"/>
          </w:rPr>
          <w:t>http://data.europa.eu/eli/C/2026/1706/oj</w:t>
        </w:r>
      </w:hyperlink>
      <w:r w:rsidRPr="00A439A7">
        <w:rPr>
          <w:sz w:val="24"/>
          <w:szCs w:val="24"/>
          <w:lang w:val="hr-HR"/>
        </w:rPr>
        <w:t>);</w:t>
      </w:r>
    </w:p>
    <w:p w:rsidR="00C0275F" w:rsidRPr="00A439A7" w:rsidP="00A439A7" w14:paraId="08EE7965" w14:textId="5B1F6D45">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25. studenoga 2025. o Nacrtu provedbene odluke Komisije o produljenju odobrenja za stavljanje na tržište proizvoda koji sadržavaju genetski modificirani kukuruz MON 87427, sastoje se od njega ili su proizvedeni od njega, u skladu s Uredbom (EZ) br. 1829/2003 Europskog parlamenta i Vijeća (SL C, C/2026/1707, 24.4.2026., ELI: </w:t>
      </w:r>
      <w:hyperlink r:id="rId21" w:history="1">
        <w:r w:rsidRPr="00A439A7">
          <w:rPr>
            <w:rStyle w:val="Hyperlink"/>
            <w:sz w:val="24"/>
            <w:szCs w:val="24"/>
            <w:lang w:val="hr-HR"/>
          </w:rPr>
          <w:t>http://data.europa.eu/eli/C/2026/1707/oj</w:t>
        </w:r>
      </w:hyperlink>
      <w:r w:rsidRPr="00A439A7">
        <w:rPr>
          <w:sz w:val="24"/>
          <w:szCs w:val="24"/>
          <w:lang w:val="hr-HR"/>
        </w:rPr>
        <w:t>);</w:t>
      </w:r>
    </w:p>
    <w:p w:rsidR="00C0275F" w:rsidRPr="00A439A7" w:rsidP="00A439A7" w14:paraId="3FB3C95F" w14:textId="26E978E3">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16. prosinca 2025. o Nacrtu provedbene odluke Komisije o produljenju odobrenja za stavljanje na tržište proizvoda koji sadržavaju genetski modificirani kukuruz NK603, sastoje se ili su proizvedeni od njega, na temelju Uredbe (EZ) br. 1829/2003 Europskog parlamenta i Vijeća (SL C, C/2026/2150, 6.5.2026., ELI: </w:t>
      </w:r>
      <w:hyperlink r:id="rId22" w:history="1">
        <w:r w:rsidRPr="00A439A7">
          <w:rPr>
            <w:rStyle w:val="Hyperlink"/>
            <w:sz w:val="24"/>
            <w:szCs w:val="24"/>
            <w:lang w:val="hr-HR"/>
          </w:rPr>
          <w:t>http://data.europa.eu/eli/C/2026/2150/oj</w:t>
        </w:r>
      </w:hyperlink>
      <w:r w:rsidRPr="00A439A7">
        <w:rPr>
          <w:sz w:val="24"/>
          <w:szCs w:val="24"/>
          <w:lang w:val="hr-HR"/>
        </w:rPr>
        <w:t>);</w:t>
      </w:r>
    </w:p>
    <w:p w:rsidR="00C0275F" w:rsidRPr="00A439A7" w:rsidP="00A439A7" w14:paraId="6F410565" w14:textId="65CF5628">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16. prosinca 2025. o Nacrtu provedbene odluke Komisije o odobravanju stavljanja na tržište hrane, sastojaka hrane i hrane za životinje proizvedenih od genetski modificirane šećerne repe KWS20-1 u skladu s Uredbom (EZ) br. 1829/2003 Europskog parlamenta i Vijeća (SL C, C/2026/2151, 6.5.2026., ELI: </w:t>
      </w:r>
      <w:hyperlink r:id="rId23" w:history="1">
        <w:r w:rsidRPr="00A439A7">
          <w:rPr>
            <w:rStyle w:val="Hyperlink"/>
            <w:sz w:val="24"/>
            <w:szCs w:val="24"/>
            <w:lang w:val="hr-HR"/>
          </w:rPr>
          <w:t>http://data.europa.eu/eli/C/2026/2151/oj</w:t>
        </w:r>
      </w:hyperlink>
      <w:r w:rsidRPr="00A439A7">
        <w:rPr>
          <w:sz w:val="24"/>
          <w:szCs w:val="24"/>
          <w:lang w:val="hr-HR"/>
        </w:rPr>
        <w:t>);</w:t>
      </w:r>
    </w:p>
    <w:p w:rsidR="00C0275F" w:rsidRPr="00A439A7" w:rsidP="00A439A7" w14:paraId="2C78E343" w14:textId="5E29377D">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11. veljače 2026. o Nacrtu provedbene odluke Komisije o odobravanju stavljanja na tržište proizvoda koji sadržavaju genetski modificiranu soju DBN-09004-6, sastoje se ili su proizvedeni od nje, u skladu s Uredbom (EZ) br. 1829/2003 Europskog parlamenta i Vijeća (Usvojeni tekstovi, P10_TA(2026)0041);</w:t>
      </w:r>
    </w:p>
    <w:p w:rsidR="00C0275F" w:rsidRPr="00A439A7" w:rsidP="00A439A7" w14:paraId="34B346A6" w14:textId="0B0F1424">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11. veljače 2026. o nacrtu Provedbene odluke Komisije o produljenju odobrenja za stavljanje na tržište proizvoda koji sadržavaju genetski modificirani kukuruz T25 (ACS-ZMØØ3-2), sastoje se ili su proizvedeni od njega na temelju Uredbe (EZ) br. 1829/2003 Europskog parlamenta i Vijeća (Usvojeni tekstovi, P10_TA(2026)0042);</w:t>
      </w:r>
    </w:p>
    <w:p w:rsidR="00C0275F" w:rsidRPr="00A439A7" w:rsidP="00A439A7" w14:paraId="5CAA28D1" w14:textId="6E429305">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11. veljače 2026. o Nacrtu provedbene odluke Komisije o produljenju odobrenja za stavljanje na tržište proizvoda koji sadržavaju genetski modificirani pamuk GHB614 × LLCotton25, sastoje se ili su proizvedeni od njega na temelju Uredbe (EZ) br. 1829/2003 Europskog parlamenta i Vijeća (Usvojeni tekstovi, P10_TA(2026)0043);</w:t>
      </w:r>
    </w:p>
    <w:p w:rsidR="00C0275F" w:rsidRPr="00A439A7" w:rsidP="00A439A7" w14:paraId="06ECC3F4" w14:textId="5C845D27">
      <w:pPr>
        <w:pStyle w:val="FootnoteText"/>
        <w:ind w:left="1134" w:hanging="567"/>
        <w:rPr>
          <w:sz w:val="24"/>
          <w:szCs w:val="24"/>
          <w:vertAlign w:val="superscript"/>
          <w:lang w:val="hr-HR"/>
        </w:rPr>
      </w:pPr>
      <w:r w:rsidRPr="00A439A7">
        <w:rPr>
          <w:sz w:val="24"/>
          <w:szCs w:val="24"/>
          <w:lang w:val="hr-HR"/>
        </w:rPr>
        <w:t>–</w:t>
      </w:r>
      <w:r w:rsidRPr="00A439A7">
        <w:rPr>
          <w:sz w:val="24"/>
          <w:szCs w:val="24"/>
          <w:lang w:val="hr-HR"/>
        </w:rPr>
        <w:tab/>
        <w:t>Rezoluciju Europskog parlamenta od 11. veljače 2026. o Nacrtu provedbene odluke Komisije o produljenju odobrenja za stavljanje na tržište proizvoda koji sadržavaju genetski modificirani pamuk T304-40, sastoje se ili su proizvedeni od njega, u skladu s Uredbom (EZ) br. 1829/2003 Europskog parlamenta i Vijeća (Usvojeni tekstovi, P10_TA(2026)0044);</w:t>
      </w:r>
    </w:p>
    <w:p w:rsidR="00C0275F" w:rsidRPr="00A439A7" w:rsidP="00A439A7" w14:paraId="44261BF1" w14:textId="5CF68439">
      <w:pPr>
        <w:pStyle w:val="FootnoteText"/>
        <w:ind w:left="1134" w:hanging="567"/>
        <w:rPr>
          <w:sz w:val="24"/>
          <w:szCs w:val="24"/>
          <w:lang w:val="hr-HR"/>
        </w:rPr>
      </w:pPr>
      <w:r w:rsidRPr="00A439A7">
        <w:rPr>
          <w:sz w:val="24"/>
          <w:szCs w:val="24"/>
          <w:lang w:val="hr-HR"/>
        </w:rPr>
        <w:t>–</w:t>
      </w:r>
      <w:r w:rsidRPr="00A439A7">
        <w:rPr>
          <w:sz w:val="24"/>
          <w:szCs w:val="24"/>
          <w:lang w:val="hr-HR"/>
        </w:rPr>
        <w:tab/>
        <w:t>Rezoluciju Europskog parlamenta od 29. travnja 2026. o Nacrtu provedbene odluke Komisije o odobravanju stavljanja na tržište proizvoda koji sadržavaju genetski modificiranu soju MON 94637, sastoje se ili su proizvedeni od nje, u skladu s Uredbom (EZ) br. 1829/2003 Europskog parlamenta i Vijeća (Usvojeni tekstovi, P10_TA(2026)0150).</w:t>
      </w:r>
    </w:p>
  </w:footnote>
  <w:footnote w:id="7">
    <w:p w:rsidR="00C0275F" w:rsidRPr="00A439A7" w:rsidP="005E48E0" w14:paraId="050ABE27" w14:textId="220E07E6">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Provedbena odluka Komisije (EU) 2015/696 od 24. travnja 2015. o odobravanju stavljanja na tržište proizvoda koji sadržavaju genetski modificiranu soju MON 87705 (MON-877Ø5-6), sastoje se ili su proizvedeni od nje na temelju Uredbe (EZ) br. 1829/2003 Europskog parlamenta i Vijeća (SL L 112, 30.4.2015., str. 60., ELI: </w:t>
      </w:r>
      <w:hyperlink r:id="rId24" w:history="1">
        <w:r w:rsidRPr="00A439A7">
          <w:rPr>
            <w:rStyle w:val="Hyperlink"/>
            <w:sz w:val="24"/>
            <w:szCs w:val="24"/>
            <w:lang w:val="hr-HR"/>
          </w:rPr>
          <w:t>http://data.europa.eu/eli/dec_impl/2015/696/2021-02-16</w:t>
        </w:r>
      </w:hyperlink>
      <w:r w:rsidRPr="00A439A7">
        <w:rPr>
          <w:sz w:val="24"/>
          <w:szCs w:val="24"/>
          <w:lang w:val="hr-HR"/>
        </w:rPr>
        <w:t>).</w:t>
      </w:r>
    </w:p>
  </w:footnote>
  <w:footnote w:id="8">
    <w:p w:rsidR="00C0275F" w:rsidRPr="00A439A7" w:rsidP="005E48E0" w14:paraId="082D8A3B" w14:textId="4D005FBC">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 xml:space="preserve">Znanstveno mišljenje Povjerenstva EFSA-e za genetski modificirane organizme o ocjeni genetski modificirane soje MON 87705 u svrhu produljenja odobrenja u skladu s Uredbom (EZ) br. 1829/2003 (zahtjev GMFF-2023-21236), </w:t>
      </w:r>
      <w:r w:rsidRPr="00A439A7">
        <w:rPr>
          <w:i/>
          <w:iCs/>
          <w:sz w:val="24"/>
          <w:szCs w:val="24"/>
          <w:lang w:val="hr-HR"/>
        </w:rPr>
        <w:t>EFSA Journal</w:t>
      </w:r>
      <w:r w:rsidRPr="00A439A7">
        <w:rPr>
          <w:sz w:val="24"/>
          <w:szCs w:val="24"/>
          <w:lang w:val="hr-HR"/>
        </w:rPr>
        <w:t xml:space="preserve">, 2026., 24(1):e9846, </w:t>
      </w:r>
      <w:hyperlink r:id="rId4" w:history="1">
        <w:r w:rsidRPr="00A439A7">
          <w:rPr>
            <w:rStyle w:val="Hyperlink"/>
            <w:sz w:val="24"/>
            <w:szCs w:val="24"/>
            <w:lang w:val="hr-HR"/>
          </w:rPr>
          <w:t>https://doi.org/10.2903/j.efsa.2026.9846</w:t>
        </w:r>
      </w:hyperlink>
      <w:r w:rsidRPr="00A439A7">
        <w:rPr>
          <w:sz w:val="24"/>
          <w:szCs w:val="24"/>
          <w:lang w:val="hr-HR"/>
        </w:rPr>
        <w:t>.</w:t>
      </w:r>
    </w:p>
  </w:footnote>
  <w:footnote w:id="9">
    <w:p w:rsidR="00C0275F" w:rsidRPr="00A439A7" w:rsidP="005E48E0" w14:paraId="561CA56A" w14:textId="2A22EE38">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 xml:space="preserve">Znanstveno mišljenje Povjerenstva EFSA-e za genetski modificirane organizme o zahtjevu EFSA-GMO-NL-2010-78 za stavljanje na tržište genetski modificirane soje MON 87705 otporne na herbicide za upotrebu u hrani i hrani za životinje te uvoz i obradu, u skladu s Uredbom (EZ) br. 1829/2003, koji je podnijelo društvo Monsanto, </w:t>
      </w:r>
      <w:r w:rsidRPr="00A439A7">
        <w:rPr>
          <w:i/>
          <w:iCs/>
          <w:sz w:val="24"/>
          <w:szCs w:val="24"/>
          <w:lang w:val="hr-HR"/>
        </w:rPr>
        <w:t>EFSA Journal</w:t>
      </w:r>
      <w:r w:rsidRPr="00A439A7">
        <w:rPr>
          <w:sz w:val="24"/>
          <w:szCs w:val="24"/>
          <w:lang w:val="hr-HR"/>
        </w:rPr>
        <w:t xml:space="preserve">, 2012., 10(10):2909, </w:t>
      </w:r>
      <w:hyperlink r:id="rId25" w:history="1">
        <w:r w:rsidRPr="00A439A7">
          <w:rPr>
            <w:rStyle w:val="Hyperlink"/>
            <w:sz w:val="24"/>
            <w:szCs w:val="24"/>
            <w:lang w:val="hr-HR"/>
          </w:rPr>
          <w:t>https://doi.org/10.2903/j.efsa.2012.2909</w:t>
        </w:r>
      </w:hyperlink>
      <w:r w:rsidRPr="00A439A7">
        <w:rPr>
          <w:sz w:val="24"/>
          <w:szCs w:val="24"/>
          <w:lang w:val="hr-HR"/>
        </w:rPr>
        <w:t>.</w:t>
      </w:r>
    </w:p>
  </w:footnote>
  <w:footnote w:id="10">
    <w:p w:rsidR="00C0275F" w:rsidRPr="00A439A7" w:rsidP="005E48E0" w14:paraId="2402C540" w14:textId="07E91A5B">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 xml:space="preserve">Izjava Povjerenstva EFSA-e za genetski modificirane organizme kojom se dopunjuje znanstveno mišljenje o zahtjevu EFSA-GMO-NL-2010 – 78 o sigurnosti ulja soje MON 87705 za prženje u komercijalne svrhe, </w:t>
      </w:r>
      <w:r w:rsidRPr="00A439A7">
        <w:rPr>
          <w:i/>
          <w:iCs/>
          <w:sz w:val="24"/>
          <w:szCs w:val="24"/>
          <w:lang w:val="hr-HR"/>
        </w:rPr>
        <w:t>EFSA Journal</w:t>
      </w:r>
      <w:r w:rsidRPr="00A439A7">
        <w:rPr>
          <w:sz w:val="24"/>
          <w:szCs w:val="24"/>
          <w:lang w:val="hr-HR"/>
        </w:rPr>
        <w:t xml:space="preserve">, 2013., 11(12):3507, </w:t>
      </w:r>
      <w:hyperlink r:id="rId26" w:history="1">
        <w:r w:rsidRPr="00A439A7">
          <w:rPr>
            <w:rStyle w:val="Hyperlink"/>
            <w:sz w:val="24"/>
            <w:szCs w:val="24"/>
            <w:lang w:val="hr-HR"/>
          </w:rPr>
          <w:t>https://doi.org/10.2903/j.efsa.2013.3507</w:t>
        </w:r>
      </w:hyperlink>
      <w:r w:rsidRPr="00A439A7">
        <w:rPr>
          <w:sz w:val="24"/>
          <w:szCs w:val="24"/>
          <w:lang w:val="hr-HR"/>
        </w:rPr>
        <w:t>.</w:t>
      </w:r>
    </w:p>
  </w:footnote>
  <w:footnote w:id="11">
    <w:p w:rsidR="00C0275F" w:rsidRPr="00A439A7" w:rsidP="005E48E0" w14:paraId="1955F7C0" w14:textId="5AC8BF02">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shd w:val="clear" w:color="auto" w:fill="FFFFFF"/>
          <w:lang w:val="hr-HR"/>
        </w:rPr>
        <w:t xml:space="preserve"> </w:t>
      </w:r>
      <w:r w:rsidRPr="00A439A7" w:rsidR="005E48E0">
        <w:rPr>
          <w:sz w:val="24"/>
          <w:szCs w:val="24"/>
          <w:shd w:val="clear" w:color="auto" w:fill="FFFFFF"/>
          <w:lang w:val="hr-HR"/>
        </w:rPr>
        <w:tab/>
      </w:r>
      <w:r w:rsidRPr="00A439A7">
        <w:rPr>
          <w:sz w:val="24"/>
          <w:szCs w:val="24"/>
          <w:shd w:val="clear" w:color="auto" w:fill="FFFFFF"/>
          <w:lang w:val="hr-HR"/>
        </w:rPr>
        <w:t xml:space="preserve">Vidi primjerice </w:t>
      </w:r>
      <w:r w:rsidRPr="00A439A7">
        <w:rPr>
          <w:sz w:val="24"/>
          <w:szCs w:val="24"/>
          <w:shd w:val="clear" w:color="auto" w:fill="FFFFFF"/>
          <w:lang w:val="hr-HR"/>
        </w:rPr>
        <w:t>Bonny</w:t>
      </w:r>
      <w:r w:rsidRPr="00A439A7">
        <w:rPr>
          <w:sz w:val="24"/>
          <w:szCs w:val="24"/>
          <w:shd w:val="clear" w:color="auto" w:fill="FFFFFF"/>
          <w:lang w:val="hr-HR"/>
        </w:rPr>
        <w:t>, S., „</w:t>
      </w:r>
      <w:r w:rsidRPr="00A439A7">
        <w:rPr>
          <w:sz w:val="24"/>
          <w:szCs w:val="24"/>
          <w:shd w:val="clear" w:color="auto" w:fill="FFFFFF"/>
          <w:lang w:val="hr-HR"/>
        </w:rPr>
        <w:t>Genetically</w:t>
      </w:r>
      <w:r w:rsidRPr="00A439A7">
        <w:rPr>
          <w:sz w:val="24"/>
          <w:szCs w:val="24"/>
          <w:shd w:val="clear" w:color="auto" w:fill="FFFFFF"/>
          <w:lang w:val="hr-HR"/>
        </w:rPr>
        <w:t xml:space="preserve"> </w:t>
      </w:r>
      <w:r w:rsidRPr="00A439A7">
        <w:rPr>
          <w:sz w:val="24"/>
          <w:szCs w:val="24"/>
          <w:shd w:val="clear" w:color="auto" w:fill="FFFFFF"/>
          <w:lang w:val="hr-HR"/>
        </w:rPr>
        <w:t>Modified</w:t>
      </w:r>
      <w:r w:rsidRPr="00A439A7">
        <w:rPr>
          <w:sz w:val="24"/>
          <w:szCs w:val="24"/>
          <w:shd w:val="clear" w:color="auto" w:fill="FFFFFF"/>
          <w:lang w:val="hr-HR"/>
        </w:rPr>
        <w:t xml:space="preserve"> Herbicide-</w:t>
      </w:r>
      <w:r w:rsidRPr="00A439A7">
        <w:rPr>
          <w:sz w:val="24"/>
          <w:szCs w:val="24"/>
          <w:shd w:val="clear" w:color="auto" w:fill="FFFFFF"/>
          <w:lang w:val="hr-HR"/>
        </w:rPr>
        <w:t>Tolerant</w:t>
      </w:r>
      <w:r w:rsidRPr="00A439A7">
        <w:rPr>
          <w:sz w:val="24"/>
          <w:szCs w:val="24"/>
          <w:shd w:val="clear" w:color="auto" w:fill="FFFFFF"/>
          <w:lang w:val="hr-HR"/>
        </w:rPr>
        <w:t xml:space="preserve"> </w:t>
      </w:r>
      <w:r w:rsidRPr="00A439A7">
        <w:rPr>
          <w:sz w:val="24"/>
          <w:szCs w:val="24"/>
          <w:shd w:val="clear" w:color="auto" w:fill="FFFFFF"/>
          <w:lang w:val="hr-HR"/>
        </w:rPr>
        <w:t>Crops</w:t>
      </w:r>
      <w:r w:rsidRPr="00A439A7">
        <w:rPr>
          <w:sz w:val="24"/>
          <w:szCs w:val="24"/>
          <w:shd w:val="clear" w:color="auto" w:fill="FFFFFF"/>
          <w:lang w:val="hr-HR"/>
        </w:rPr>
        <w:t xml:space="preserve">, </w:t>
      </w:r>
      <w:r w:rsidRPr="00A439A7">
        <w:rPr>
          <w:sz w:val="24"/>
          <w:szCs w:val="24"/>
          <w:shd w:val="clear" w:color="auto" w:fill="FFFFFF"/>
          <w:lang w:val="hr-HR"/>
        </w:rPr>
        <w:t>Weeds</w:t>
      </w:r>
      <w:r w:rsidRPr="00A439A7">
        <w:rPr>
          <w:sz w:val="24"/>
          <w:szCs w:val="24"/>
          <w:shd w:val="clear" w:color="auto" w:fill="FFFFFF"/>
          <w:lang w:val="hr-HR"/>
        </w:rPr>
        <w:t xml:space="preserve">, </w:t>
      </w:r>
      <w:r w:rsidRPr="00A439A7">
        <w:rPr>
          <w:sz w:val="24"/>
          <w:szCs w:val="24"/>
          <w:shd w:val="clear" w:color="auto" w:fill="FFFFFF"/>
          <w:lang w:val="hr-HR"/>
        </w:rPr>
        <w:t>and</w:t>
      </w:r>
      <w:r w:rsidRPr="00A439A7">
        <w:rPr>
          <w:sz w:val="24"/>
          <w:szCs w:val="24"/>
          <w:shd w:val="clear" w:color="auto" w:fill="FFFFFF"/>
          <w:lang w:val="hr-HR"/>
        </w:rPr>
        <w:t xml:space="preserve"> </w:t>
      </w:r>
      <w:r w:rsidRPr="00A439A7">
        <w:rPr>
          <w:sz w:val="24"/>
          <w:szCs w:val="24"/>
          <w:shd w:val="clear" w:color="auto" w:fill="FFFFFF"/>
          <w:lang w:val="hr-HR"/>
        </w:rPr>
        <w:t>Herbicides</w:t>
      </w:r>
      <w:r w:rsidRPr="00A439A7">
        <w:rPr>
          <w:sz w:val="24"/>
          <w:szCs w:val="24"/>
          <w:shd w:val="clear" w:color="auto" w:fill="FFFFFF"/>
          <w:lang w:val="hr-HR"/>
        </w:rPr>
        <w:t xml:space="preserve">: </w:t>
      </w:r>
      <w:r w:rsidRPr="00A439A7">
        <w:rPr>
          <w:sz w:val="24"/>
          <w:szCs w:val="24"/>
          <w:shd w:val="clear" w:color="auto" w:fill="FFFFFF"/>
          <w:lang w:val="hr-HR"/>
        </w:rPr>
        <w:t>Overview</w:t>
      </w:r>
      <w:r w:rsidRPr="00A439A7">
        <w:rPr>
          <w:sz w:val="24"/>
          <w:szCs w:val="24"/>
          <w:shd w:val="clear" w:color="auto" w:fill="FFFFFF"/>
          <w:lang w:val="hr-HR"/>
        </w:rPr>
        <w:t xml:space="preserve"> </w:t>
      </w:r>
      <w:r w:rsidRPr="00A439A7">
        <w:rPr>
          <w:sz w:val="24"/>
          <w:szCs w:val="24"/>
          <w:shd w:val="clear" w:color="auto" w:fill="FFFFFF"/>
          <w:lang w:val="hr-HR"/>
        </w:rPr>
        <w:t>and</w:t>
      </w:r>
      <w:r w:rsidRPr="00A439A7">
        <w:rPr>
          <w:sz w:val="24"/>
          <w:szCs w:val="24"/>
          <w:shd w:val="clear" w:color="auto" w:fill="FFFFFF"/>
          <w:lang w:val="hr-HR"/>
        </w:rPr>
        <w:t xml:space="preserve"> </w:t>
      </w:r>
      <w:r w:rsidRPr="00A439A7">
        <w:rPr>
          <w:sz w:val="24"/>
          <w:szCs w:val="24"/>
          <w:shd w:val="clear" w:color="auto" w:fill="FFFFFF"/>
          <w:lang w:val="hr-HR"/>
        </w:rPr>
        <w:t>Impact</w:t>
      </w:r>
      <w:r w:rsidRPr="00A439A7">
        <w:rPr>
          <w:sz w:val="24"/>
          <w:szCs w:val="24"/>
          <w:shd w:val="clear" w:color="auto" w:fill="FFFFFF"/>
          <w:lang w:val="hr-HR"/>
        </w:rPr>
        <w:t xml:space="preserve">” (Genetski modificirani usjevi i korovi otporni na herbicide i herbicidi: pregled i učinak), </w:t>
      </w:r>
      <w:r w:rsidRPr="00A439A7">
        <w:rPr>
          <w:i/>
          <w:iCs/>
          <w:sz w:val="24"/>
          <w:szCs w:val="24"/>
          <w:shd w:val="clear" w:color="auto" w:fill="FFFFFF"/>
          <w:lang w:val="hr-HR"/>
        </w:rPr>
        <w:t>Environmental</w:t>
      </w:r>
      <w:r w:rsidRPr="00A439A7">
        <w:rPr>
          <w:i/>
          <w:iCs/>
          <w:sz w:val="24"/>
          <w:szCs w:val="24"/>
          <w:shd w:val="clear" w:color="auto" w:fill="FFFFFF"/>
          <w:lang w:val="hr-HR"/>
        </w:rPr>
        <w:t xml:space="preserve"> Management</w:t>
      </w:r>
      <w:r w:rsidRPr="00A439A7">
        <w:rPr>
          <w:sz w:val="24"/>
          <w:szCs w:val="24"/>
          <w:shd w:val="clear" w:color="auto" w:fill="FFFFFF"/>
          <w:lang w:val="hr-HR"/>
        </w:rPr>
        <w:t>, siječanj 2016., 57(1), str. 31. </w:t>
      </w:r>
      <w:r w:rsidRPr="00A439A7">
        <w:rPr>
          <w:sz w:val="24"/>
          <w:szCs w:val="24"/>
          <w:shd w:val="clear" w:color="auto" w:fill="FFFFFF"/>
          <w:lang w:val="hr-HR"/>
        </w:rPr>
        <w:t xml:space="preserve">– 48., </w:t>
      </w:r>
      <w:bookmarkStart w:id="7" w:name="_Hlk104996594"/>
      <w:hyperlink r:id="rId27" w:history="1">
        <w:r w:rsidRPr="00A439A7">
          <w:rPr>
            <w:rStyle w:val="Hyperlink"/>
            <w:sz w:val="24"/>
            <w:szCs w:val="24"/>
            <w:shd w:val="clear" w:color="auto" w:fill="FFFFFF"/>
            <w:lang w:val="hr-HR"/>
          </w:rPr>
          <w:t>https://doi.org/10.1007/s00267-015-0589-7</w:t>
        </w:r>
      </w:hyperlink>
      <w:r w:rsidRPr="00A439A7">
        <w:rPr>
          <w:sz w:val="24"/>
          <w:szCs w:val="24"/>
          <w:shd w:val="clear" w:color="auto" w:fill="FFFFFF"/>
          <w:lang w:val="hr-HR"/>
        </w:rPr>
        <w:t xml:space="preserve"> </w:t>
      </w:r>
      <w:bookmarkEnd w:id="7"/>
      <w:r w:rsidRPr="00A439A7">
        <w:rPr>
          <w:sz w:val="24"/>
          <w:szCs w:val="24"/>
          <w:shd w:val="clear" w:color="auto" w:fill="FFFFFF"/>
          <w:lang w:val="hr-HR"/>
        </w:rPr>
        <w:t xml:space="preserve">i </w:t>
      </w:r>
      <w:r w:rsidRPr="00A439A7">
        <w:rPr>
          <w:sz w:val="24"/>
          <w:szCs w:val="24"/>
          <w:shd w:val="clear" w:color="auto" w:fill="FFFFFF"/>
          <w:lang w:val="hr-HR"/>
        </w:rPr>
        <w:t>Benbrook</w:t>
      </w:r>
      <w:r w:rsidRPr="00A439A7">
        <w:rPr>
          <w:sz w:val="24"/>
          <w:szCs w:val="24"/>
          <w:shd w:val="clear" w:color="auto" w:fill="FFFFFF"/>
          <w:lang w:val="hr-HR"/>
        </w:rPr>
        <w:t>, C.M., „</w:t>
      </w:r>
      <w:r w:rsidRPr="00A439A7">
        <w:rPr>
          <w:sz w:val="24"/>
          <w:szCs w:val="24"/>
          <w:shd w:val="clear" w:color="auto" w:fill="FFFFFF"/>
          <w:lang w:val="hr-HR"/>
        </w:rPr>
        <w:t>Impacts</w:t>
      </w:r>
      <w:r w:rsidRPr="00A439A7">
        <w:rPr>
          <w:sz w:val="24"/>
          <w:szCs w:val="24"/>
          <w:shd w:val="clear" w:color="auto" w:fill="FFFFFF"/>
          <w:lang w:val="hr-HR"/>
        </w:rPr>
        <w:t xml:space="preserve"> </w:t>
      </w:r>
      <w:r w:rsidRPr="00A439A7">
        <w:rPr>
          <w:sz w:val="24"/>
          <w:szCs w:val="24"/>
          <w:shd w:val="clear" w:color="auto" w:fill="FFFFFF"/>
          <w:lang w:val="hr-HR"/>
        </w:rPr>
        <w:t>of</w:t>
      </w:r>
      <w:r w:rsidRPr="00A439A7">
        <w:rPr>
          <w:sz w:val="24"/>
          <w:szCs w:val="24"/>
          <w:shd w:val="clear" w:color="auto" w:fill="FFFFFF"/>
          <w:lang w:val="hr-HR"/>
        </w:rPr>
        <w:t xml:space="preserve"> </w:t>
      </w:r>
      <w:r w:rsidRPr="00A439A7">
        <w:rPr>
          <w:sz w:val="24"/>
          <w:szCs w:val="24"/>
          <w:shd w:val="clear" w:color="auto" w:fill="FFFFFF"/>
          <w:lang w:val="hr-HR"/>
        </w:rPr>
        <w:t>genetically</w:t>
      </w:r>
      <w:r w:rsidRPr="00A439A7">
        <w:rPr>
          <w:sz w:val="24"/>
          <w:szCs w:val="24"/>
          <w:shd w:val="clear" w:color="auto" w:fill="FFFFFF"/>
          <w:lang w:val="hr-HR"/>
        </w:rPr>
        <w:t xml:space="preserve"> </w:t>
      </w:r>
      <w:r w:rsidRPr="00A439A7">
        <w:rPr>
          <w:sz w:val="24"/>
          <w:szCs w:val="24"/>
          <w:shd w:val="clear" w:color="auto" w:fill="FFFFFF"/>
          <w:lang w:val="hr-HR"/>
        </w:rPr>
        <w:t>engineered</w:t>
      </w:r>
      <w:r w:rsidRPr="00A439A7">
        <w:rPr>
          <w:sz w:val="24"/>
          <w:szCs w:val="24"/>
          <w:shd w:val="clear" w:color="auto" w:fill="FFFFFF"/>
          <w:lang w:val="hr-HR"/>
        </w:rPr>
        <w:t xml:space="preserve"> </w:t>
      </w:r>
      <w:r w:rsidRPr="00A439A7">
        <w:rPr>
          <w:sz w:val="24"/>
          <w:szCs w:val="24"/>
          <w:shd w:val="clear" w:color="auto" w:fill="FFFFFF"/>
          <w:lang w:val="hr-HR"/>
        </w:rPr>
        <w:t>crops</w:t>
      </w:r>
      <w:r w:rsidRPr="00A439A7">
        <w:rPr>
          <w:sz w:val="24"/>
          <w:szCs w:val="24"/>
          <w:shd w:val="clear" w:color="auto" w:fill="FFFFFF"/>
          <w:lang w:val="hr-HR"/>
        </w:rPr>
        <w:t xml:space="preserve"> on pesticide use </w:t>
      </w:r>
      <w:r w:rsidRPr="00A439A7">
        <w:rPr>
          <w:sz w:val="24"/>
          <w:szCs w:val="24"/>
          <w:shd w:val="clear" w:color="auto" w:fill="FFFFFF"/>
          <w:lang w:val="hr-HR"/>
        </w:rPr>
        <w:t>in</w:t>
      </w:r>
      <w:r w:rsidRPr="00A439A7">
        <w:rPr>
          <w:sz w:val="24"/>
          <w:szCs w:val="24"/>
          <w:shd w:val="clear" w:color="auto" w:fill="FFFFFF"/>
          <w:lang w:val="hr-HR"/>
        </w:rPr>
        <w:t xml:space="preserve"> </w:t>
      </w:r>
      <w:r w:rsidRPr="00A439A7">
        <w:rPr>
          <w:sz w:val="24"/>
          <w:szCs w:val="24"/>
          <w:shd w:val="clear" w:color="auto" w:fill="FFFFFF"/>
          <w:lang w:val="hr-HR"/>
        </w:rPr>
        <w:t>the</w:t>
      </w:r>
      <w:r w:rsidRPr="00A439A7">
        <w:rPr>
          <w:sz w:val="24"/>
          <w:szCs w:val="24"/>
          <w:shd w:val="clear" w:color="auto" w:fill="FFFFFF"/>
          <w:lang w:val="hr-HR"/>
        </w:rPr>
        <w:t xml:space="preserve"> U.S. - </w:t>
      </w:r>
      <w:r w:rsidRPr="00A439A7">
        <w:rPr>
          <w:sz w:val="24"/>
          <w:szCs w:val="24"/>
          <w:shd w:val="clear" w:color="auto" w:fill="FFFFFF"/>
          <w:lang w:val="hr-HR"/>
        </w:rPr>
        <w:t>the</w:t>
      </w:r>
      <w:r w:rsidRPr="00A439A7">
        <w:rPr>
          <w:sz w:val="24"/>
          <w:szCs w:val="24"/>
          <w:shd w:val="clear" w:color="auto" w:fill="FFFFFF"/>
          <w:lang w:val="hr-HR"/>
        </w:rPr>
        <w:t xml:space="preserve"> </w:t>
      </w:r>
      <w:r w:rsidRPr="00A439A7">
        <w:rPr>
          <w:sz w:val="24"/>
          <w:szCs w:val="24"/>
          <w:shd w:val="clear" w:color="auto" w:fill="FFFFFF"/>
          <w:lang w:val="hr-HR"/>
        </w:rPr>
        <w:t>first</w:t>
      </w:r>
      <w:r w:rsidRPr="00A439A7">
        <w:rPr>
          <w:sz w:val="24"/>
          <w:szCs w:val="24"/>
          <w:shd w:val="clear" w:color="auto" w:fill="FFFFFF"/>
          <w:lang w:val="hr-HR"/>
        </w:rPr>
        <w:t xml:space="preserve"> </w:t>
      </w:r>
      <w:r w:rsidRPr="00A439A7">
        <w:rPr>
          <w:sz w:val="24"/>
          <w:szCs w:val="24"/>
          <w:shd w:val="clear" w:color="auto" w:fill="FFFFFF"/>
          <w:lang w:val="hr-HR"/>
        </w:rPr>
        <w:t>sixteen</w:t>
      </w:r>
      <w:r w:rsidRPr="00A439A7">
        <w:rPr>
          <w:sz w:val="24"/>
          <w:szCs w:val="24"/>
          <w:shd w:val="clear" w:color="auto" w:fill="FFFFFF"/>
          <w:lang w:val="hr-HR"/>
        </w:rPr>
        <w:t xml:space="preserve"> </w:t>
      </w:r>
      <w:r w:rsidRPr="00A439A7">
        <w:rPr>
          <w:sz w:val="24"/>
          <w:szCs w:val="24"/>
          <w:shd w:val="clear" w:color="auto" w:fill="FFFFFF"/>
          <w:lang w:val="hr-HR"/>
        </w:rPr>
        <w:t>years</w:t>
      </w:r>
      <w:r w:rsidRPr="00A439A7">
        <w:rPr>
          <w:sz w:val="24"/>
          <w:szCs w:val="24"/>
          <w:shd w:val="clear" w:color="auto" w:fill="FFFFFF"/>
          <w:lang w:val="hr-HR"/>
        </w:rPr>
        <w:t xml:space="preserve">” (Učinak genetski modificiranih usjeva na korištenje pesticida u SAD-u – prvih šesnaest godina), </w:t>
      </w:r>
      <w:r w:rsidRPr="00A439A7">
        <w:rPr>
          <w:i/>
          <w:iCs/>
          <w:sz w:val="24"/>
          <w:szCs w:val="24"/>
          <w:shd w:val="clear" w:color="auto" w:fill="FFFFFF"/>
          <w:lang w:val="hr-HR"/>
        </w:rPr>
        <w:t>Environmental</w:t>
      </w:r>
      <w:r w:rsidRPr="00A439A7">
        <w:rPr>
          <w:i/>
          <w:iCs/>
          <w:sz w:val="24"/>
          <w:szCs w:val="24"/>
          <w:shd w:val="clear" w:color="auto" w:fill="FFFFFF"/>
          <w:lang w:val="hr-HR"/>
        </w:rPr>
        <w:t xml:space="preserve"> </w:t>
      </w:r>
      <w:r w:rsidRPr="00A439A7">
        <w:rPr>
          <w:i/>
          <w:iCs/>
          <w:sz w:val="24"/>
          <w:szCs w:val="24"/>
          <w:shd w:val="clear" w:color="auto" w:fill="FFFFFF"/>
          <w:lang w:val="hr-HR"/>
        </w:rPr>
        <w:t>Sciences</w:t>
      </w:r>
      <w:r w:rsidRPr="00A439A7">
        <w:rPr>
          <w:i/>
          <w:iCs/>
          <w:sz w:val="24"/>
          <w:szCs w:val="24"/>
          <w:shd w:val="clear" w:color="auto" w:fill="FFFFFF"/>
          <w:lang w:val="hr-HR"/>
        </w:rPr>
        <w:t xml:space="preserve"> Europe</w:t>
      </w:r>
      <w:r w:rsidRPr="00A439A7">
        <w:rPr>
          <w:sz w:val="24"/>
          <w:szCs w:val="24"/>
          <w:shd w:val="clear" w:color="auto" w:fill="FFFFFF"/>
          <w:lang w:val="hr-HR"/>
        </w:rPr>
        <w:t xml:space="preserve">, 28. rujna 2012., sv. 24(1), </w:t>
      </w:r>
      <w:hyperlink r:id="rId28" w:history="1">
        <w:r w:rsidRPr="00A439A7">
          <w:rPr>
            <w:rStyle w:val="Hyperlink"/>
            <w:sz w:val="24"/>
            <w:szCs w:val="24"/>
            <w:lang w:val="hr-HR"/>
          </w:rPr>
          <w:t>https://doi.org/10.1186/2190-4715-24-24</w:t>
        </w:r>
      </w:hyperlink>
      <w:r w:rsidRPr="00A439A7">
        <w:rPr>
          <w:sz w:val="24"/>
          <w:szCs w:val="24"/>
          <w:shd w:val="clear" w:color="auto" w:fill="FFFFFF"/>
          <w:lang w:val="hr-HR"/>
        </w:rPr>
        <w:t>.</w:t>
      </w:r>
    </w:p>
  </w:footnote>
  <w:footnote w:id="12">
    <w:p w:rsidR="00C0275F" w:rsidRPr="00A439A7" w:rsidP="005E48E0" w14:paraId="120E4FE1" w14:textId="6806B77C">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shd w:val="clear" w:color="auto" w:fill="FFFFFF"/>
          <w:lang w:val="hr-HR"/>
        </w:rPr>
        <w:t xml:space="preserve"> </w:t>
      </w:r>
      <w:r w:rsidRPr="00A439A7" w:rsidR="005E48E0">
        <w:rPr>
          <w:sz w:val="24"/>
          <w:szCs w:val="24"/>
          <w:shd w:val="clear" w:color="auto" w:fill="FFFFFF"/>
          <w:lang w:val="hr-HR"/>
        </w:rPr>
        <w:tab/>
      </w:r>
      <w:r w:rsidRPr="00A439A7">
        <w:rPr>
          <w:sz w:val="24"/>
          <w:szCs w:val="24"/>
          <w:shd w:val="clear" w:color="auto" w:fill="FFFFFF"/>
          <w:lang w:val="hr-HR"/>
        </w:rPr>
        <w:t xml:space="preserve">Vidi primjerice </w:t>
      </w:r>
      <w:bookmarkStart w:id="8" w:name="_Hlk104996780"/>
      <w:hyperlink r:id="rId29" w:history="1">
        <w:r w:rsidRPr="00A439A7">
          <w:rPr>
            <w:rStyle w:val="Hyperlink"/>
            <w:sz w:val="24"/>
            <w:szCs w:val="24"/>
            <w:lang w:val="hr-HR"/>
          </w:rPr>
          <w:t>https://doi.org/10.1016/j.mrrev.2019.02.001</w:t>
        </w:r>
      </w:hyperlink>
      <w:bookmarkEnd w:id="8"/>
      <w:r w:rsidRPr="00A439A7">
        <w:rPr>
          <w:sz w:val="24"/>
          <w:szCs w:val="24"/>
          <w:shd w:val="clear" w:color="auto" w:fill="FFFFFF"/>
          <w:lang w:val="hr-HR"/>
        </w:rPr>
        <w:t xml:space="preserve">, </w:t>
      </w:r>
      <w:hyperlink r:id="rId30" w:history="1">
        <w:r w:rsidRPr="00A439A7">
          <w:rPr>
            <w:rStyle w:val="Hyperlink"/>
            <w:sz w:val="24"/>
            <w:szCs w:val="24"/>
            <w:lang w:val="hr-HR"/>
          </w:rPr>
          <w:t>https://doi.org/10.1093/ije/dyz017</w:t>
        </w:r>
      </w:hyperlink>
      <w:r w:rsidRPr="00A439A7">
        <w:rPr>
          <w:sz w:val="24"/>
          <w:szCs w:val="24"/>
          <w:shd w:val="clear" w:color="auto" w:fill="FFFFFF"/>
          <w:lang w:val="hr-HR"/>
        </w:rPr>
        <w:t xml:space="preserve">, </w:t>
      </w:r>
      <w:hyperlink r:id="rId31" w:history="1">
        <w:r w:rsidRPr="00A439A7">
          <w:rPr>
            <w:rStyle w:val="Hyperlink"/>
            <w:sz w:val="24"/>
            <w:szCs w:val="24"/>
            <w:lang w:val="hr-HR"/>
          </w:rPr>
          <w:t>https://doi.org/10.1371/journal.pone.0219610</w:t>
        </w:r>
      </w:hyperlink>
      <w:r w:rsidRPr="00A439A7">
        <w:rPr>
          <w:sz w:val="24"/>
          <w:szCs w:val="24"/>
          <w:shd w:val="clear" w:color="auto" w:fill="FFFFFF"/>
          <w:lang w:val="hr-HR"/>
        </w:rPr>
        <w:t xml:space="preserve"> i </w:t>
      </w:r>
      <w:hyperlink r:id="rId32" w:history="1">
        <w:r w:rsidRPr="00A439A7">
          <w:rPr>
            <w:rStyle w:val="Hyperlink"/>
            <w:sz w:val="24"/>
            <w:szCs w:val="24"/>
            <w:lang w:val="hr-HR"/>
          </w:rPr>
          <w:t>https://doi.org/10.1186/s13045-019-0767-9</w:t>
        </w:r>
      </w:hyperlink>
      <w:r w:rsidRPr="00A439A7">
        <w:rPr>
          <w:sz w:val="24"/>
          <w:szCs w:val="24"/>
          <w:shd w:val="clear" w:color="auto" w:fill="FFFFFF"/>
          <w:lang w:val="hr-HR"/>
        </w:rPr>
        <w:t>.</w:t>
      </w:r>
    </w:p>
  </w:footnote>
  <w:footnote w:id="13">
    <w:p w:rsidR="00C0275F" w:rsidRPr="00A439A7" w:rsidP="005E48E0" w14:paraId="4A1B1705" w14:textId="5167F7E6">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hyperlink r:id="rId33" w:tgtFrame="_blank" w:tooltip="Trajna poveznica koja se koristi digitalnim identifikatorom objekta" w:history="1">
        <w:r w:rsidRPr="00A439A7">
          <w:rPr>
            <w:rStyle w:val="Hyperlink"/>
            <w:sz w:val="24"/>
            <w:szCs w:val="24"/>
            <w:lang w:val="hr-HR"/>
          </w:rPr>
          <w:t>https://doi.org/10.1006/rtph.1999.1371</w:t>
        </w:r>
      </w:hyperlink>
      <w:r w:rsidRPr="00A439A7">
        <w:rPr>
          <w:sz w:val="24"/>
          <w:szCs w:val="24"/>
          <w:lang w:val="hr-HR"/>
        </w:rPr>
        <w:t>.</w:t>
      </w:r>
    </w:p>
  </w:footnote>
  <w:footnote w:id="14">
    <w:p w:rsidR="00C0275F" w:rsidRPr="00A439A7" w:rsidP="005E48E0" w14:paraId="0C4F0212" w14:textId="51265808">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shd w:val="clear" w:color="auto" w:fill="FFFFFF"/>
          <w:lang w:val="hr-HR"/>
        </w:rPr>
        <w:t xml:space="preserve"> </w:t>
      </w:r>
      <w:r w:rsidRPr="00A439A7" w:rsidR="005E48E0">
        <w:rPr>
          <w:sz w:val="24"/>
          <w:szCs w:val="24"/>
          <w:shd w:val="clear" w:color="auto" w:fill="FFFFFF"/>
          <w:lang w:val="hr-HR"/>
        </w:rPr>
        <w:tab/>
      </w:r>
      <w:r w:rsidRPr="00A439A7">
        <w:rPr>
          <w:sz w:val="24"/>
          <w:szCs w:val="24"/>
          <w:shd w:val="clear" w:color="auto" w:fill="FFFFFF"/>
          <w:lang w:val="hr-HR"/>
        </w:rPr>
        <w:t xml:space="preserve">To je doista slučaj s </w:t>
      </w:r>
      <w:r w:rsidRPr="00A439A7">
        <w:rPr>
          <w:sz w:val="24"/>
          <w:szCs w:val="24"/>
          <w:shd w:val="clear" w:color="auto" w:fill="FFFFFF"/>
          <w:lang w:val="hr-HR"/>
        </w:rPr>
        <w:t>glifosatima</w:t>
      </w:r>
      <w:r w:rsidRPr="00A439A7">
        <w:rPr>
          <w:sz w:val="24"/>
          <w:szCs w:val="24"/>
          <w:shd w:val="clear" w:color="auto" w:fill="FFFFFF"/>
          <w:lang w:val="hr-HR"/>
        </w:rPr>
        <w:t>, kako se navodi u obrazloženom mišljenju EFSA-e „</w:t>
      </w:r>
      <w:r w:rsidRPr="00A439A7">
        <w:rPr>
          <w:sz w:val="24"/>
          <w:szCs w:val="24"/>
          <w:shd w:val="clear" w:color="auto" w:fill="FFFFFF"/>
          <w:lang w:val="hr-HR"/>
        </w:rPr>
        <w:t>Review</w:t>
      </w:r>
      <w:r w:rsidRPr="00A439A7">
        <w:rPr>
          <w:sz w:val="24"/>
          <w:szCs w:val="24"/>
          <w:shd w:val="clear" w:color="auto" w:fill="FFFFFF"/>
          <w:lang w:val="hr-HR"/>
        </w:rPr>
        <w:t xml:space="preserve"> </w:t>
      </w:r>
      <w:r w:rsidRPr="00A439A7">
        <w:rPr>
          <w:sz w:val="24"/>
          <w:szCs w:val="24"/>
          <w:shd w:val="clear" w:color="auto" w:fill="FFFFFF"/>
          <w:lang w:val="hr-HR"/>
        </w:rPr>
        <w:t>of</w:t>
      </w:r>
      <w:r w:rsidRPr="00A439A7">
        <w:rPr>
          <w:sz w:val="24"/>
          <w:szCs w:val="24"/>
          <w:shd w:val="clear" w:color="auto" w:fill="FFFFFF"/>
          <w:lang w:val="hr-HR"/>
        </w:rPr>
        <w:t xml:space="preserve"> </w:t>
      </w:r>
      <w:r w:rsidRPr="00A439A7">
        <w:rPr>
          <w:sz w:val="24"/>
          <w:szCs w:val="24"/>
          <w:shd w:val="clear" w:color="auto" w:fill="FFFFFF"/>
          <w:lang w:val="hr-HR"/>
        </w:rPr>
        <w:t>the</w:t>
      </w:r>
      <w:r w:rsidRPr="00A439A7">
        <w:rPr>
          <w:sz w:val="24"/>
          <w:szCs w:val="24"/>
          <w:shd w:val="clear" w:color="auto" w:fill="FFFFFF"/>
          <w:lang w:val="hr-HR"/>
        </w:rPr>
        <w:t xml:space="preserve"> </w:t>
      </w:r>
      <w:r w:rsidRPr="00A439A7">
        <w:rPr>
          <w:sz w:val="24"/>
          <w:szCs w:val="24"/>
          <w:shd w:val="clear" w:color="auto" w:fill="FFFFFF"/>
          <w:lang w:val="hr-HR"/>
        </w:rPr>
        <w:t>existing</w:t>
      </w:r>
      <w:r w:rsidRPr="00A439A7">
        <w:rPr>
          <w:sz w:val="24"/>
          <w:szCs w:val="24"/>
          <w:shd w:val="clear" w:color="auto" w:fill="FFFFFF"/>
          <w:lang w:val="hr-HR"/>
        </w:rPr>
        <w:t xml:space="preserve"> </w:t>
      </w:r>
      <w:r w:rsidRPr="00A439A7">
        <w:rPr>
          <w:sz w:val="24"/>
          <w:szCs w:val="24"/>
          <w:shd w:val="clear" w:color="auto" w:fill="FFFFFF"/>
          <w:lang w:val="hr-HR"/>
        </w:rPr>
        <w:t>maximum</w:t>
      </w:r>
      <w:r w:rsidRPr="00A439A7">
        <w:rPr>
          <w:sz w:val="24"/>
          <w:szCs w:val="24"/>
          <w:shd w:val="clear" w:color="auto" w:fill="FFFFFF"/>
          <w:lang w:val="hr-HR"/>
        </w:rPr>
        <w:t xml:space="preserve"> </w:t>
      </w:r>
      <w:r w:rsidRPr="00A439A7">
        <w:rPr>
          <w:sz w:val="24"/>
          <w:szCs w:val="24"/>
          <w:shd w:val="clear" w:color="auto" w:fill="FFFFFF"/>
          <w:lang w:val="hr-HR"/>
        </w:rPr>
        <w:t>residue</w:t>
      </w:r>
      <w:r w:rsidRPr="00A439A7">
        <w:rPr>
          <w:sz w:val="24"/>
          <w:szCs w:val="24"/>
          <w:shd w:val="clear" w:color="auto" w:fill="FFFFFF"/>
          <w:lang w:val="hr-HR"/>
        </w:rPr>
        <w:t xml:space="preserve"> </w:t>
      </w:r>
      <w:r w:rsidRPr="00A439A7">
        <w:rPr>
          <w:sz w:val="24"/>
          <w:szCs w:val="24"/>
          <w:shd w:val="clear" w:color="auto" w:fill="FFFFFF"/>
          <w:lang w:val="hr-HR"/>
        </w:rPr>
        <w:t>levels</w:t>
      </w:r>
      <w:r w:rsidRPr="00A439A7">
        <w:rPr>
          <w:sz w:val="24"/>
          <w:szCs w:val="24"/>
          <w:shd w:val="clear" w:color="auto" w:fill="FFFFFF"/>
          <w:lang w:val="hr-HR"/>
        </w:rPr>
        <w:t xml:space="preserve"> for </w:t>
      </w:r>
      <w:r w:rsidRPr="00A439A7">
        <w:rPr>
          <w:sz w:val="24"/>
          <w:szCs w:val="24"/>
          <w:shd w:val="clear" w:color="auto" w:fill="FFFFFF"/>
          <w:lang w:val="hr-HR"/>
        </w:rPr>
        <w:t>glyphosate</w:t>
      </w:r>
      <w:r w:rsidRPr="00A439A7">
        <w:rPr>
          <w:sz w:val="24"/>
          <w:szCs w:val="24"/>
          <w:shd w:val="clear" w:color="auto" w:fill="FFFFFF"/>
          <w:lang w:val="hr-HR"/>
        </w:rPr>
        <w:t xml:space="preserve"> </w:t>
      </w:r>
      <w:r w:rsidRPr="00A439A7">
        <w:rPr>
          <w:sz w:val="24"/>
          <w:szCs w:val="24"/>
          <w:shd w:val="clear" w:color="auto" w:fill="FFFFFF"/>
          <w:lang w:val="hr-HR"/>
        </w:rPr>
        <w:t>according</w:t>
      </w:r>
      <w:r w:rsidRPr="00A439A7">
        <w:rPr>
          <w:sz w:val="24"/>
          <w:szCs w:val="24"/>
          <w:shd w:val="clear" w:color="auto" w:fill="FFFFFF"/>
          <w:lang w:val="hr-HR"/>
        </w:rPr>
        <w:t xml:space="preserve"> to </w:t>
      </w:r>
      <w:r w:rsidRPr="00A439A7">
        <w:rPr>
          <w:sz w:val="24"/>
          <w:szCs w:val="24"/>
          <w:shd w:val="clear" w:color="auto" w:fill="FFFFFF"/>
          <w:lang w:val="hr-HR"/>
        </w:rPr>
        <w:t>Article</w:t>
      </w:r>
      <w:r w:rsidRPr="00A439A7">
        <w:rPr>
          <w:sz w:val="24"/>
          <w:szCs w:val="24"/>
          <w:shd w:val="clear" w:color="auto" w:fill="FFFFFF"/>
          <w:lang w:val="hr-HR"/>
        </w:rPr>
        <w:t xml:space="preserve"> 12 </w:t>
      </w:r>
      <w:r w:rsidRPr="00A439A7">
        <w:rPr>
          <w:sz w:val="24"/>
          <w:szCs w:val="24"/>
          <w:shd w:val="clear" w:color="auto" w:fill="FFFFFF"/>
          <w:lang w:val="hr-HR"/>
        </w:rPr>
        <w:t>of</w:t>
      </w:r>
      <w:r w:rsidRPr="00A439A7">
        <w:rPr>
          <w:sz w:val="24"/>
          <w:szCs w:val="24"/>
          <w:shd w:val="clear" w:color="auto" w:fill="FFFFFF"/>
          <w:lang w:val="hr-HR"/>
        </w:rPr>
        <w:t xml:space="preserve"> </w:t>
      </w:r>
      <w:r w:rsidRPr="00A439A7">
        <w:rPr>
          <w:sz w:val="24"/>
          <w:szCs w:val="24"/>
          <w:shd w:val="clear" w:color="auto" w:fill="FFFFFF"/>
          <w:lang w:val="hr-HR"/>
        </w:rPr>
        <w:t>Regulation</w:t>
      </w:r>
      <w:r w:rsidRPr="00A439A7">
        <w:rPr>
          <w:sz w:val="24"/>
          <w:szCs w:val="24"/>
          <w:shd w:val="clear" w:color="auto" w:fill="FFFFFF"/>
          <w:lang w:val="hr-HR"/>
        </w:rPr>
        <w:t xml:space="preserve"> (EC) No 396/2005” (Revizija postojećih maksimalnih razina ostataka </w:t>
      </w:r>
      <w:r w:rsidRPr="00A439A7">
        <w:rPr>
          <w:sz w:val="24"/>
          <w:szCs w:val="24"/>
          <w:shd w:val="clear" w:color="auto" w:fill="FFFFFF"/>
          <w:lang w:val="hr-HR"/>
        </w:rPr>
        <w:t>glifosata</w:t>
      </w:r>
      <w:r w:rsidRPr="00A439A7">
        <w:rPr>
          <w:sz w:val="24"/>
          <w:szCs w:val="24"/>
          <w:shd w:val="clear" w:color="auto" w:fill="FFFFFF"/>
          <w:lang w:val="hr-HR"/>
        </w:rPr>
        <w:t xml:space="preserve"> u skladu s člankom 12. Uredbe (EZ) br. 396/2005), </w:t>
      </w:r>
      <w:r w:rsidRPr="00A439A7">
        <w:rPr>
          <w:i/>
          <w:sz w:val="24"/>
          <w:szCs w:val="24"/>
          <w:shd w:val="clear" w:color="auto" w:fill="FFFFFF"/>
          <w:lang w:val="hr-HR"/>
        </w:rPr>
        <w:t>EFSA Journal</w:t>
      </w:r>
      <w:r w:rsidRPr="00A439A7">
        <w:rPr>
          <w:sz w:val="24"/>
          <w:szCs w:val="24"/>
          <w:shd w:val="clear" w:color="auto" w:fill="FFFFFF"/>
          <w:lang w:val="hr-HR"/>
        </w:rPr>
        <w:t xml:space="preserve">, 2018,16(5):e5263, str. 12., </w:t>
      </w:r>
      <w:hyperlink r:id="rId34" w:history="1">
        <w:r w:rsidRPr="00A439A7">
          <w:rPr>
            <w:rStyle w:val="Hyperlink"/>
            <w:color w:val="123D80"/>
            <w:sz w:val="24"/>
            <w:szCs w:val="24"/>
            <w:shd w:val="clear" w:color="auto" w:fill="FFFFFF"/>
            <w:lang w:val="hr-HR"/>
          </w:rPr>
          <w:t>https://doi.org/10.2903/j.efsa.2018.5263</w:t>
        </w:r>
      </w:hyperlink>
      <w:r w:rsidRPr="00A439A7">
        <w:rPr>
          <w:sz w:val="24"/>
          <w:szCs w:val="24"/>
          <w:lang w:val="hr-HR"/>
        </w:rPr>
        <w:t>.</w:t>
      </w:r>
    </w:p>
  </w:footnote>
  <w:footnote w:id="15">
    <w:p w:rsidR="00C0275F" w:rsidRPr="00A439A7" w:rsidP="005E48E0" w14:paraId="4E0F2B8E" w14:textId="3294EB44">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SL L 282, 19.10.2016., str. 4.</w:t>
      </w:r>
    </w:p>
  </w:footnote>
  <w:footnote w:id="16">
    <w:p w:rsidR="00C0275F" w:rsidRPr="00A439A7" w:rsidP="005E48E0" w14:paraId="3706B736" w14:textId="5C3C8199">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SL L 309, 13.12.1993., str. 3., ELI: </w:t>
      </w:r>
      <w:hyperlink r:id="rId35" w:tooltip="ELI URI za pristup dokumentu." w:history="1">
        <w:r w:rsidRPr="00A439A7">
          <w:rPr>
            <w:rStyle w:val="Hyperlink"/>
            <w:sz w:val="24"/>
            <w:szCs w:val="24"/>
            <w:lang w:val="hr-HR"/>
          </w:rPr>
          <w:t>http://data.europa.eu/eli/convention/1993/626/oj</w:t>
        </w:r>
      </w:hyperlink>
      <w:r w:rsidRPr="00A439A7">
        <w:rPr>
          <w:sz w:val="24"/>
          <w:szCs w:val="24"/>
          <w:lang w:val="hr-HR"/>
        </w:rPr>
        <w:t>.</w:t>
      </w:r>
    </w:p>
  </w:footnote>
  <w:footnote w:id="17">
    <w:p w:rsidR="00C0275F" w:rsidRPr="00A439A7" w:rsidP="005E48E0" w14:paraId="17AF572E" w14:textId="7731A77B">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Na 15. konferenciji stranaka Konvencije Ujedinjenih naroda o biološkoj raznolikosti održanoj u prosincu 2022. dogovoren je globalni okvir za biološku raznolikost, koji uključuje globalni cilj smanjenja rizika od pesticida za najmanje 50 % do 2030. (vidi:</w:t>
      </w:r>
      <w:r w:rsidRPr="00A439A7">
        <w:rPr>
          <w:color w:val="000000" w:themeColor="text1"/>
          <w:sz w:val="24"/>
          <w:szCs w:val="24"/>
          <w:lang w:val="hr-HR"/>
        </w:rPr>
        <w:t xml:space="preserve"> </w:t>
      </w:r>
      <w:hyperlink r:id="rId36" w:history="1">
        <w:r w:rsidRPr="00A439A7">
          <w:rPr>
            <w:rStyle w:val="Hyperlink"/>
            <w:sz w:val="24"/>
            <w:szCs w:val="24"/>
            <w:lang w:val="hr-HR"/>
          </w:rPr>
          <w:t>https://ec.europa.eu/commission/presscorner/detail/hr/ip_22_7834</w:t>
        </w:r>
      </w:hyperlink>
      <w:r w:rsidRPr="00A439A7">
        <w:rPr>
          <w:sz w:val="24"/>
          <w:szCs w:val="24"/>
          <w:lang w:val="hr-HR"/>
        </w:rPr>
        <w:t>).</w:t>
      </w:r>
    </w:p>
  </w:footnote>
  <w:footnote w:id="18">
    <w:p w:rsidR="00C0275F" w:rsidRPr="00A439A7" w:rsidP="005E48E0" w14:paraId="3CB03AE8" w14:textId="7696D23F">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hyperlink r:id="rId37" w:history="1">
        <w:r w:rsidRPr="00A439A7">
          <w:rPr>
            <w:rStyle w:val="Hyperlink"/>
            <w:sz w:val="24"/>
            <w:szCs w:val="24"/>
            <w:lang w:val="hr-HR"/>
          </w:rPr>
          <w:t>https://commission.europa.eu/strategy-and-policy/priorities-2019-2024/european-green-deal/agriculture-and-green-deal/strategic-dialogue-future-eu-agriculture_hr</w:t>
        </w:r>
      </w:hyperlink>
      <w:r w:rsidRPr="00A439A7">
        <w:rPr>
          <w:rStyle w:val="Hyperlink"/>
          <w:sz w:val="24"/>
          <w:szCs w:val="24"/>
          <w:lang w:val="hr-HR"/>
        </w:rPr>
        <w:t>.</w:t>
      </w:r>
    </w:p>
  </w:footnote>
  <w:footnote w:id="19">
    <w:p w:rsidR="00C0275F" w:rsidRPr="00A439A7" w:rsidP="005E48E0" w14:paraId="4FD09CCA" w14:textId="658E4077">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r w:rsidRPr="00A439A7">
        <w:rPr>
          <w:sz w:val="24"/>
          <w:szCs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1., ELI: </w:t>
      </w:r>
      <w:hyperlink r:id="rId38" w:tgtFrame="Gives access to this document through its ELI URI." w:history="1">
        <w:r w:rsidRPr="00A439A7">
          <w:rPr>
            <w:rStyle w:val="Hyperlink"/>
            <w:color w:val="0070C0"/>
            <w:sz w:val="24"/>
            <w:szCs w:val="24"/>
            <w:lang w:val="hr-HR"/>
          </w:rPr>
          <w:t>http://data.europa.eu/eli/reg/2002/178/oj</w:t>
        </w:r>
      </w:hyperlink>
      <w:r w:rsidRPr="00A439A7">
        <w:rPr>
          <w:sz w:val="24"/>
          <w:szCs w:val="24"/>
          <w:lang w:val="hr-HR"/>
        </w:rPr>
        <w:t>).</w:t>
      </w:r>
    </w:p>
  </w:footnote>
  <w:footnote w:id="20">
    <w:p w:rsidR="00C0275F" w:rsidRPr="00A439A7" w:rsidP="005E48E0" w14:paraId="111BC84E" w14:textId="6A41E1FE">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lang w:val="hr-HR"/>
        </w:rPr>
        <w:t xml:space="preserve"> </w:t>
      </w:r>
      <w:r w:rsidRPr="00A439A7" w:rsidR="005E48E0">
        <w:rPr>
          <w:sz w:val="24"/>
          <w:szCs w:val="24"/>
          <w:lang w:val="hr-HR"/>
        </w:rPr>
        <w:tab/>
      </w:r>
      <w:hyperlink r:id="rId39" w:history="1">
        <w:r w:rsidRPr="00A439A7">
          <w:rPr>
            <w:rStyle w:val="Hyperlink"/>
            <w:sz w:val="24"/>
            <w:szCs w:val="24"/>
            <w:shd w:val="clear" w:color="auto" w:fill="FFFFFF"/>
            <w:lang w:val="hr-HR"/>
          </w:rPr>
          <w:t>https://tillymetz.lu/wp-content/uploads/2020/09/Co-signed-letter-MEP-Metz.pdf</w:t>
        </w:r>
      </w:hyperlink>
      <w:r w:rsidRPr="00A439A7">
        <w:rPr>
          <w:sz w:val="24"/>
          <w:szCs w:val="24"/>
          <w:shd w:val="clear" w:color="auto" w:fill="FFFFFF"/>
          <w:lang w:val="hr-HR"/>
        </w:rPr>
        <w:t>.</w:t>
      </w:r>
    </w:p>
  </w:footnote>
  <w:footnote w:id="21">
    <w:p w:rsidR="00C0275F" w:rsidRPr="00A439A7" w:rsidP="005E48E0" w14:paraId="71E0006B" w14:textId="05CA9C87">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shd w:val="clear" w:color="auto" w:fill="FFFFFF"/>
          <w:lang w:val="hr-HR"/>
        </w:rPr>
        <w:t xml:space="preserve"> </w:t>
      </w:r>
      <w:r w:rsidRPr="00A439A7" w:rsidR="005E48E0">
        <w:rPr>
          <w:sz w:val="24"/>
          <w:szCs w:val="24"/>
          <w:shd w:val="clear" w:color="auto" w:fill="FFFFFF"/>
          <w:lang w:val="hr-HR"/>
        </w:rPr>
        <w:tab/>
      </w:r>
      <w:r w:rsidRPr="00A439A7">
        <w:rPr>
          <w:sz w:val="24"/>
          <w:szCs w:val="24"/>
          <w:shd w:val="clear" w:color="auto" w:fill="FFFFFF"/>
          <w:lang w:val="hr-HR"/>
        </w:rPr>
        <w:t>Rezolucija Europskog parlamenta od 15. siječnja 2020. o europskom zelenom planu (SL C 270, 7.7.2021., str. 2.), stavak 102.</w:t>
      </w:r>
    </w:p>
  </w:footnote>
  <w:footnote w:id="22">
    <w:p w:rsidR="00C0275F" w:rsidRPr="00A439A7" w:rsidP="005E48E0" w14:paraId="397D0FE5" w14:textId="2C9B78F8">
      <w:pPr>
        <w:pStyle w:val="FootnoteText"/>
        <w:ind w:left="567" w:hanging="567"/>
        <w:rPr>
          <w:sz w:val="24"/>
          <w:szCs w:val="24"/>
          <w:lang w:val="hr-HR"/>
        </w:rPr>
      </w:pPr>
      <w:r w:rsidRPr="00A439A7">
        <w:rPr>
          <w:rStyle w:val="FootnoteReference"/>
          <w:sz w:val="24"/>
          <w:szCs w:val="24"/>
          <w:lang w:val="hr-HR"/>
        </w:rPr>
        <w:footnoteRef/>
      </w:r>
      <w:r w:rsidRPr="00A439A7" w:rsidR="005E48E0">
        <w:rPr>
          <w:sz w:val="24"/>
          <w:szCs w:val="24"/>
          <w:shd w:val="clear" w:color="auto" w:fill="FFFFFF"/>
          <w:lang w:val="hr-HR"/>
        </w:rPr>
        <w:t xml:space="preserve"> </w:t>
      </w:r>
      <w:r w:rsidRPr="00A439A7" w:rsidR="005E48E0">
        <w:rPr>
          <w:sz w:val="24"/>
          <w:szCs w:val="24"/>
          <w:shd w:val="clear" w:color="auto" w:fill="FFFFFF"/>
          <w:lang w:val="hr-HR"/>
        </w:rPr>
        <w:tab/>
      </w:r>
      <w:r w:rsidRPr="00A439A7">
        <w:rPr>
          <w:sz w:val="24"/>
          <w:szCs w:val="24"/>
          <w:shd w:val="clear" w:color="auto" w:fill="FFFFFF"/>
          <w:lang w:val="hr-HR"/>
        </w:rPr>
        <w:t>SL C 445, 29.10.2021., str.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48E0" w14:paraId="33471AC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48E0" w14:paraId="1B6162E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48E0" w14:paraId="25D2767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4442248">
    <w:abstractNumId w:val="9"/>
  </w:num>
  <w:num w:numId="2" w16cid:durableId="1954163953">
    <w:abstractNumId w:val="9"/>
  </w:num>
  <w:num w:numId="3" w16cid:durableId="1660421158">
    <w:abstractNumId w:val="7"/>
  </w:num>
  <w:num w:numId="4" w16cid:durableId="731923673">
    <w:abstractNumId w:val="7"/>
  </w:num>
  <w:num w:numId="5" w16cid:durableId="1535338287">
    <w:abstractNumId w:val="6"/>
  </w:num>
  <w:num w:numId="6" w16cid:durableId="229972335">
    <w:abstractNumId w:val="6"/>
  </w:num>
  <w:num w:numId="7" w16cid:durableId="1841000488">
    <w:abstractNumId w:val="5"/>
  </w:num>
  <w:num w:numId="8" w16cid:durableId="1831362114">
    <w:abstractNumId w:val="5"/>
  </w:num>
  <w:num w:numId="9" w16cid:durableId="156653888">
    <w:abstractNumId w:val="4"/>
  </w:num>
  <w:num w:numId="10" w16cid:durableId="332953680">
    <w:abstractNumId w:val="4"/>
  </w:num>
  <w:num w:numId="11" w16cid:durableId="1671445854">
    <w:abstractNumId w:val="8"/>
  </w:num>
  <w:num w:numId="12" w16cid:durableId="1164785622">
    <w:abstractNumId w:val="8"/>
  </w:num>
  <w:num w:numId="13" w16cid:durableId="732317315">
    <w:abstractNumId w:val="3"/>
  </w:num>
  <w:num w:numId="14" w16cid:durableId="984161739">
    <w:abstractNumId w:val="3"/>
  </w:num>
  <w:num w:numId="15" w16cid:durableId="1948804312">
    <w:abstractNumId w:val="2"/>
  </w:num>
  <w:num w:numId="16" w16cid:durableId="1574586520">
    <w:abstractNumId w:val="2"/>
  </w:num>
  <w:num w:numId="17" w16cid:durableId="1438519637">
    <w:abstractNumId w:val="1"/>
  </w:num>
  <w:num w:numId="18" w16cid:durableId="726151336">
    <w:abstractNumId w:val="1"/>
  </w:num>
  <w:num w:numId="19" w16cid:durableId="1299844413">
    <w:abstractNumId w:val="0"/>
  </w:num>
  <w:num w:numId="20" w16cid:durableId="80492120">
    <w:abstractNumId w:val="0"/>
  </w:num>
  <w:num w:numId="21" w16cid:durableId="1696080098">
    <w:abstractNumId w:val="9"/>
  </w:num>
  <w:num w:numId="22" w16cid:durableId="1237206021">
    <w:abstractNumId w:val="7"/>
  </w:num>
  <w:num w:numId="23" w16cid:durableId="666445419">
    <w:abstractNumId w:val="6"/>
  </w:num>
  <w:num w:numId="24" w16cid:durableId="1637027695">
    <w:abstractNumId w:val="5"/>
  </w:num>
  <w:num w:numId="25" w16cid:durableId="1629313468">
    <w:abstractNumId w:val="4"/>
  </w:num>
  <w:num w:numId="26" w16cid:durableId="734082597">
    <w:abstractNumId w:val="8"/>
  </w:num>
  <w:num w:numId="27" w16cid:durableId="1191335119">
    <w:abstractNumId w:val="3"/>
  </w:num>
  <w:num w:numId="28" w16cid:durableId="1950503538">
    <w:abstractNumId w:val="2"/>
  </w:num>
  <w:num w:numId="29" w16cid:durableId="1758016638">
    <w:abstractNumId w:val="1"/>
  </w:num>
  <w:num w:numId="30" w16cid:durableId="793987587">
    <w:abstractNumId w:val="0"/>
  </w:num>
  <w:num w:numId="31" w16cid:durableId="347676307">
    <w:abstractNumId w:val="9"/>
  </w:num>
  <w:num w:numId="32" w16cid:durableId="1430278630">
    <w:abstractNumId w:val="7"/>
  </w:num>
  <w:num w:numId="33" w16cid:durableId="526867024">
    <w:abstractNumId w:val="6"/>
  </w:num>
  <w:num w:numId="34" w16cid:durableId="1090001089">
    <w:abstractNumId w:val="5"/>
  </w:num>
  <w:num w:numId="35" w16cid:durableId="1244485735">
    <w:abstractNumId w:val="4"/>
  </w:num>
  <w:num w:numId="36" w16cid:durableId="464397128">
    <w:abstractNumId w:val="8"/>
  </w:num>
  <w:num w:numId="37" w16cid:durableId="1102340289">
    <w:abstractNumId w:val="3"/>
  </w:num>
  <w:num w:numId="38" w16cid:durableId="517355612">
    <w:abstractNumId w:val="2"/>
  </w:num>
  <w:num w:numId="39" w16cid:durableId="1481729273">
    <w:abstractNumId w:val="1"/>
  </w:num>
  <w:num w:numId="40" w16cid:durableId="1162160849">
    <w:abstractNumId w:val="0"/>
  </w:num>
  <w:num w:numId="41" w16cid:durableId="920260029">
    <w:abstractNumId w:val="10"/>
  </w:num>
  <w:num w:numId="42" w16cid:durableId="268271551">
    <w:abstractNumId w:val="10"/>
  </w:num>
  <w:num w:numId="43" w16cid:durableId="1342127108">
    <w:abstractNumId w:val="10"/>
  </w:num>
  <w:num w:numId="44" w16cid:durableId="726031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E4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093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53B"/>
    <w:rsid w:val="00545827"/>
    <w:rsid w:val="00560270"/>
    <w:rsid w:val="005C2568"/>
    <w:rsid w:val="005E48E0"/>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BFB"/>
    <w:rsid w:val="00865F67"/>
    <w:rsid w:val="00881A7B"/>
    <w:rsid w:val="008840E5"/>
    <w:rsid w:val="00887B3E"/>
    <w:rsid w:val="008C2AC6"/>
    <w:rsid w:val="00930C23"/>
    <w:rsid w:val="0093193B"/>
    <w:rsid w:val="009509D8"/>
    <w:rsid w:val="00950B64"/>
    <w:rsid w:val="00981893"/>
    <w:rsid w:val="00A1687D"/>
    <w:rsid w:val="00A27109"/>
    <w:rsid w:val="00A439A7"/>
    <w:rsid w:val="00A43E52"/>
    <w:rsid w:val="00A4678D"/>
    <w:rsid w:val="00A778C7"/>
    <w:rsid w:val="00A83599"/>
    <w:rsid w:val="00AB441E"/>
    <w:rsid w:val="00AB6293"/>
    <w:rsid w:val="00AE0928"/>
    <w:rsid w:val="00AF3B82"/>
    <w:rsid w:val="00B12E95"/>
    <w:rsid w:val="00B22876"/>
    <w:rsid w:val="00B558F0"/>
    <w:rsid w:val="00BD3E43"/>
    <w:rsid w:val="00BD48FE"/>
    <w:rsid w:val="00BD7BD8"/>
    <w:rsid w:val="00BE6ADC"/>
    <w:rsid w:val="00C0275F"/>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27A"/>
    <w:rsid w:val="00FB4360"/>
    <w:rsid w:val="00FC0FBB"/>
    <w:rsid w:val="00FD0C70"/>
  </w:rsids>
  <w:docVars>
    <w:docVar w:name="dvdocse" w:val="B10-0334/2026"/>
    <w:docVar w:name="dvlangue" w:val="HR"/>
    <w:docVar w:name="dvnumam" w:val="0"/>
    <w:docVar w:name="dvpe" w:val="789.024"/>
    <w:docVar w:name="dvtitre" w:val="Rezolucija Europskog parlamenta od .... 2026. o Nacrtu provedbene odluke Komisije o produljenju odobrenja za stavljanje na tržište proizvoda koji sadržavaju genetski modificiranu soju MON 87705, sastoje se ili su proizvedeni od nje na temelju Uredbe (EZ) br. 1829/2003 Europskog parlamenta i Vijeća (D114998/03 – 2026/274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E6D4A1C"/>
  <w15:chartTrackingRefBased/>
  <w15:docId w15:val="{E506866C-012F-4392-B9D7-8031C475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275F"/>
    <w:pPr>
      <w:spacing w:before="480" w:after="240"/>
    </w:pPr>
  </w:style>
  <w:style w:type="paragraph" w:customStyle="1" w:styleId="NormalHanging12a">
    <w:name w:val="NormalHanging12a"/>
    <w:basedOn w:val="Normal"/>
    <w:qFormat/>
    <w:rsid w:val="00C0275F"/>
    <w:pPr>
      <w:spacing w:after="240"/>
      <w:ind w:left="567" w:hanging="567"/>
    </w:pPr>
  </w:style>
  <w:style w:type="character" w:styleId="Hyperlink">
    <w:name w:val="Hyperlink"/>
    <w:basedOn w:val="DefaultParagraphFont"/>
    <w:uiPriority w:val="99"/>
    <w:rsid w:val="00C0275F"/>
    <w:rPr>
      <w:color w:val="0563C1" w:themeColor="hyperlink"/>
      <w:u w:val="single"/>
    </w:rPr>
  </w:style>
  <w:style w:type="character" w:customStyle="1" w:styleId="Funotenzeichen">
    <w:name w:val="Fußnotenzeichen"/>
    <w:basedOn w:val="DefaultParagraphFont"/>
    <w:uiPriority w:val="99"/>
    <w:qFormat/>
    <w:rsid w:val="00C0275F"/>
    <w:rPr>
      <w:rFonts w:cs="Times New Roman"/>
      <w:vertAlign w:val="superscript"/>
    </w:rPr>
  </w:style>
  <w:style w:type="paragraph" w:styleId="Revision">
    <w:name w:val="Revision"/>
    <w:hidden/>
    <w:uiPriority w:val="99"/>
    <w:semiHidden/>
    <w:rsid w:val="0052753B"/>
    <w:rPr>
      <w:sz w:val="24"/>
      <w:lang w:val="hr-HR"/>
    </w:rPr>
  </w:style>
  <w:style w:type="character" w:styleId="FollowedHyperlink">
    <w:name w:val="FollowedHyperlink"/>
    <w:basedOn w:val="DefaultParagraphFont"/>
    <w:rsid w:val="005275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19/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data.europa.eu/eli/dec_impl/2015/696/2021-02-16" TargetMode="External" /><Relationship Id="rId25" Type="http://schemas.openxmlformats.org/officeDocument/2006/relationships/hyperlink" Target="https://doi.org/10.2903/j.efsa.2012.2909" TargetMode="External" /><Relationship Id="rId26" Type="http://schemas.openxmlformats.org/officeDocument/2006/relationships/hyperlink" Target="https://doi.org/10.2903/j.efsa.2013.3507" TargetMode="External" /><Relationship Id="rId27" Type="http://schemas.openxmlformats.org/officeDocument/2006/relationships/hyperlink" Target="https://doi.org/10.1007/s00267-015-0589-7" TargetMode="External" /><Relationship Id="rId28" Type="http://schemas.openxmlformats.org/officeDocument/2006/relationships/hyperlink" Target="https://doi.org/10.1186/2190-4715-24-24" TargetMode="External" /><Relationship Id="rId29" Type="http://schemas.openxmlformats.org/officeDocument/2006/relationships/hyperlink" Target="https://doi.org/10.1016/j.mrrev.2019.02.001"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093/ije/dyz017" TargetMode="External" /><Relationship Id="rId31" Type="http://schemas.openxmlformats.org/officeDocument/2006/relationships/hyperlink" Target="https://doi.org/10.1371/journal.pone.0219610" TargetMode="External" /><Relationship Id="rId32" Type="http://schemas.openxmlformats.org/officeDocument/2006/relationships/hyperlink" Target="https://doi.org/10.1186/s13045-019-0767-9" TargetMode="External" /><Relationship Id="rId33" Type="http://schemas.openxmlformats.org/officeDocument/2006/relationships/hyperlink" Target="https://doi.org/10.1006/rtph.1999.1371"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hr/ip_22_7834" TargetMode="External" /><Relationship Id="rId37" Type="http://schemas.openxmlformats.org/officeDocument/2006/relationships/hyperlink" Target="https://commission.europa.eu/strategy-and-policy/priorities-2019-2024/european-green-deal/agriculture-and-green-deal/strategic-dialogue-future-eu-agriculture_hr"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6.98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2057</Words>
  <Characters>11731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2026-09-29T14:54:00Z</dcterms:created>
  <dcterms:modified xsi:type="dcterms:W3CDTF">2026-09-29T14:54:00Z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P10_TA(2026)0264_</vt:lpwstr>
  </property>
  <property fmtid="{D5CDD505-2E9C-101B-9397-08002B2CF9AE}" pid="4" name="&lt;Type&gt;">
    <vt:lpwstr>RR</vt:lpwstr>
  </property>
</Properties>
</file>