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9D4AEB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2C04" w:rsidP="0010095E" w14:paraId="10B0844D" w14:textId="77777777">
            <w:pPr>
              <w:pStyle w:val="EPName"/>
            </w:pPr>
            <w:r w:rsidRPr="00B02C04">
              <w:t>Európai Parlament</w:t>
            </w:r>
          </w:p>
          <w:p w:rsidR="00751A4A" w:rsidRPr="00B02C04" w:rsidP="005F1B17" w14:paraId="5ED035D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2C04">
              <w:t>2024</w:t>
            </w:r>
            <w:r w:rsidRPr="00B02C04" w:rsidR="00817416">
              <w:t>-202</w:t>
            </w:r>
            <w:r w:rsidRPr="00B02C0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02C04" w:rsidP="0010095E" w14:paraId="74AF72D1" w14:textId="77777777">
            <w:pPr>
              <w:pStyle w:val="EPLogo"/>
            </w:pPr>
            <w:r w:rsidRPr="00B02C0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02C04" w:rsidP="004C5D52" w14:paraId="3F3F86CF" w14:textId="77777777">
      <w:pPr>
        <w:pStyle w:val="LineTop"/>
      </w:pPr>
    </w:p>
    <w:p w:rsidR="00680577" w:rsidRPr="00B02C04" w:rsidP="00680577" w14:paraId="0323955C" w14:textId="77777777">
      <w:pPr>
        <w:pStyle w:val="EPBodyTA1"/>
      </w:pPr>
      <w:r w:rsidRPr="00B02C04">
        <w:t>ELFOGADOTT SZÖVEGEK</w:t>
      </w:r>
    </w:p>
    <w:p w:rsidR="00D058B8" w:rsidRPr="00B02C04" w:rsidP="00D058B8" w14:paraId="07259BF4" w14:textId="77777777">
      <w:pPr>
        <w:pStyle w:val="LineBottom"/>
      </w:pPr>
    </w:p>
    <w:p w:rsidR="005F5F74" w:rsidRPr="00B02C04" w:rsidP="005F5F74" w14:paraId="48DC9597" w14:textId="1B37C1D5">
      <w:pPr>
        <w:pStyle w:val="ATHeading1"/>
      </w:pPr>
      <w:bookmarkStart w:id="0" w:name="TANumber"/>
      <w:r w:rsidRPr="00B02C04">
        <w:t>P10_</w:t>
      </w:r>
      <w:r w:rsidRPr="00B02C04">
        <w:t>TA(</w:t>
      </w:r>
      <w:r w:rsidRPr="00B02C04">
        <w:t>2026)0</w:t>
      </w:r>
      <w:r w:rsidRPr="00B02C04" w:rsidR="00B02C04">
        <w:t>264</w:t>
      </w:r>
      <w:bookmarkEnd w:id="0"/>
    </w:p>
    <w:p w:rsidR="005F5F74" w:rsidRPr="00B02C04" w:rsidP="005F5F74" w14:paraId="5163AA4C" w14:textId="59FDA6E4">
      <w:pPr>
        <w:pStyle w:val="ATHeading2"/>
      </w:pPr>
      <w:bookmarkStart w:id="1" w:name="_Hlk234239172"/>
      <w:bookmarkStart w:id="2" w:name="title"/>
      <w:r w:rsidRPr="00B02C04">
        <w:t>A g</w:t>
      </w:r>
      <w:r w:rsidRPr="00B02C04" w:rsidR="00B33C38">
        <w:t>éntechnológiával módosított MON 87705 szójabab</w:t>
      </w:r>
      <w:bookmarkEnd w:id="1"/>
      <w:bookmarkEnd w:id="2"/>
    </w:p>
    <w:p w:rsidR="005F5F74" w:rsidRPr="00B02C04" w:rsidP="005F5F74" w14:paraId="7788F81A" w14:textId="77777777">
      <w:pPr>
        <w:rPr>
          <w:i/>
          <w:vanish/>
        </w:rPr>
      </w:pPr>
      <w:r>
        <w:rPr>
          <w:i/>
        </w:rPr>
        <w:fldChar w:fldCharType="begin"/>
      </w:r>
      <w:r w:rsidRPr="00B02C04">
        <w:rPr>
          <w:i/>
        </w:rPr>
        <w:instrText xml:space="preserve"> TC"(</w:instrText>
      </w:r>
      <w:bookmarkStart w:id="3" w:name="DocNumber"/>
      <w:r w:rsidRPr="00B02C04">
        <w:rPr>
          <w:i/>
        </w:rPr>
        <w:instrText>B10-0334/2026</w:instrText>
      </w:r>
      <w:bookmarkEnd w:id="3"/>
      <w:r w:rsidRPr="00B02C0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F5F74" w:rsidRPr="00B02C04" w:rsidP="005F5F74" w14:paraId="5CA2FD1F" w14:textId="77777777">
      <w:pPr>
        <w:rPr>
          <w:vanish/>
        </w:rPr>
      </w:pPr>
      <w:bookmarkStart w:id="4" w:name="PE"/>
      <w:r w:rsidRPr="00B02C04">
        <w:rPr>
          <w:vanish/>
        </w:rPr>
        <w:t>PE789.024</w:t>
      </w:r>
      <w:bookmarkEnd w:id="4"/>
    </w:p>
    <w:p w:rsidR="005F5F74" w:rsidRPr="00B02C04" w:rsidP="005F5F74" w14:paraId="73D57BE1" w14:textId="39BE7A23">
      <w:pPr>
        <w:pStyle w:val="ATHeading3"/>
      </w:pPr>
      <w:bookmarkStart w:id="5" w:name="Sujet"/>
      <w:r w:rsidRPr="00B02C04">
        <w:t xml:space="preserve">Az Európai Parlament 2026. </w:t>
      </w:r>
      <w:r w:rsidRPr="00B02C04" w:rsidR="00A80126">
        <w:t>július</w:t>
      </w:r>
      <w:r w:rsidRPr="00B02C04">
        <w:t xml:space="preserve"> </w:t>
      </w:r>
      <w:r w:rsidRPr="00B02C04" w:rsidR="005E6140">
        <w:t>8-</w:t>
      </w:r>
      <w:r w:rsidRPr="00B02C04">
        <w:t xml:space="preserve">i állásfoglalása </w:t>
      </w:r>
      <w:bookmarkStart w:id="6" w:name="_Hlk234227615"/>
      <w:bookmarkStart w:id="7" w:name="_Hlk234239081"/>
      <w:r w:rsidRPr="00B02C04">
        <w:t>a géntechnológiával módosított MON 87705 szójababot tartalmazó, abból álló vagy abból előállított termékek forgalomba hozatalának az 1829/2003/EK európai parlamenti és tanácsi rendelet szerinti engedélyezésének megújításáról szóló</w:t>
      </w:r>
      <w:r w:rsidRPr="00B02C04" w:rsidR="00B33C38">
        <w:t>, 2026. június 29-i</w:t>
      </w:r>
      <w:r w:rsidRPr="00B02C04">
        <w:t xml:space="preserve"> </w:t>
      </w:r>
      <w:r w:rsidRPr="00B02C04" w:rsidR="00B33C38">
        <w:t xml:space="preserve">(EU) 2026/1419 </w:t>
      </w:r>
      <w:r w:rsidRPr="00B02C04">
        <w:t>bizottsági végrehajtási</w:t>
      </w:r>
      <w:r w:rsidRPr="00B02C04" w:rsidR="005E6140">
        <w:t xml:space="preserve"> </w:t>
      </w:r>
      <w:r w:rsidRPr="00B02C04">
        <w:t>határozat</w:t>
      </w:r>
      <w:r w:rsidRPr="00B02C04" w:rsidR="00B33C38">
        <w:t>ról</w:t>
      </w:r>
      <w:bookmarkEnd w:id="6"/>
      <w:r w:rsidRPr="00B02C04">
        <w:t xml:space="preserve"> </w:t>
      </w:r>
      <w:bookmarkStart w:id="8" w:name="References"/>
      <w:bookmarkEnd w:id="5"/>
      <w:bookmarkEnd w:id="7"/>
      <w:r w:rsidRPr="00B02C04">
        <w:t>(D114998/03 – 2026/2747(RSP))</w:t>
      </w:r>
      <w:bookmarkEnd w:id="8"/>
    </w:p>
    <w:p w:rsidR="008A39C0" w:rsidRPr="00B02C04" w:rsidP="008A39C0" w14:paraId="296B8936" w14:textId="77777777">
      <w:pPr>
        <w:pStyle w:val="EPComma"/>
      </w:pPr>
      <w:bookmarkStart w:id="9" w:name="TextBodyBegin"/>
      <w:bookmarkEnd w:id="9"/>
      <w:r w:rsidRPr="00B02C04">
        <w:rPr>
          <w:i/>
        </w:rPr>
        <w:t>Az Európai Parlament</w:t>
      </w:r>
      <w:r w:rsidRPr="00B02C04">
        <w:t>,</w:t>
      </w:r>
    </w:p>
    <w:p w:rsidR="008A39C0" w:rsidRPr="00B02C04" w:rsidP="00A80126" w14:paraId="1D7BADB1" w14:textId="7B424996">
      <w:pPr>
        <w:pStyle w:val="NormalHanging12a"/>
        <w:widowControl/>
      </w:pPr>
      <w:r w:rsidRPr="00B02C04">
        <w:t>–</w:t>
      </w:r>
      <w:r w:rsidRPr="00B02C04">
        <w:tab/>
        <w:t>tekintettel a géntechnológiával módosított MON 87705 szójababot tartalmazó, abból álló vagy abból előállított termékek forgalomba hozatalának az 1829/2003/EK európai parlamenti és tanácsi rendelet szerinti engedélyezésének megújításáról szóló</w:t>
      </w:r>
      <w:r w:rsidRPr="00B02C04" w:rsidR="00B33C38">
        <w:t xml:space="preserve">, 2026. június 29-i (EU) 2026/1419 </w:t>
      </w:r>
      <w:r w:rsidRPr="00B02C04">
        <w:t>bizottsági végrehajtási határozat</w:t>
      </w:r>
      <w:r w:rsidRPr="00B02C04" w:rsidR="00B33C38">
        <w:t>ra</w:t>
      </w:r>
      <w:r>
        <w:rPr>
          <w:rStyle w:val="FootnoteReference"/>
        </w:rPr>
        <w:footnoteReference w:id="2"/>
      </w:r>
      <w:r w:rsidRPr="00B02C04">
        <w:t>,</w:t>
      </w:r>
    </w:p>
    <w:p w:rsidR="008A39C0" w:rsidRPr="00B02C04" w:rsidP="00A80126" w14:paraId="2CC3274F" w14:textId="77777777">
      <w:pPr>
        <w:pStyle w:val="NormalHanging12a"/>
        <w:widowControl/>
      </w:pPr>
      <w:r w:rsidRPr="00B02C04">
        <w:t>–</w:t>
      </w:r>
      <w:r w:rsidRPr="00B02C04">
        <w:tab/>
        <w:t>tekintettel a géntechnológiával módosított élelmiszerekről és takarmányokról szóló, 2003. szeptember 22-i 1829/2003/EK európai parlamenti és tanácsi rendeletre</w:t>
      </w:r>
      <w:r>
        <w:rPr>
          <w:rStyle w:val="FootnoteReference"/>
        </w:rPr>
        <w:footnoteReference w:id="3"/>
      </w:r>
      <w:r w:rsidRPr="00B02C04">
        <w:t>, és különösen 11. cikkének (3) bekezdésére és 23. cikkének (3) bekezdésére,</w:t>
      </w:r>
    </w:p>
    <w:p w:rsidR="008A39C0" w:rsidRPr="00B02C04" w:rsidP="00A80126" w14:paraId="55C7CA87" w14:textId="77777777">
      <w:pPr>
        <w:pStyle w:val="NormalHanging12a"/>
        <w:widowControl/>
      </w:pPr>
      <w:r w:rsidRPr="00B02C04">
        <w:t>–</w:t>
      </w:r>
      <w:r w:rsidRPr="00B02C04">
        <w:tab/>
        <w:t>tekintettel az 1829/2003/EK rendelet 35. cikkében említett Növények, Állatok, Élelmiszerek és Takarmányok Állandó Bizottságának 2026. április 27-i szavazására, ahol nem nyilvánítottak véleményt, valamint a fellebbviteli bizottságban 2026. június 2-én tartott szavazásra, amelyen ugyancsak nem született vélemény,</w:t>
      </w:r>
    </w:p>
    <w:p w:rsidR="008A39C0" w:rsidRPr="00B02C04" w:rsidP="00A80126" w14:paraId="6CB18C29" w14:textId="77777777">
      <w:pPr>
        <w:pStyle w:val="NormalHanging12a"/>
        <w:widowControl/>
      </w:pPr>
      <w:r w:rsidRPr="00B02C04">
        <w:t>–</w:t>
      </w:r>
      <w:r w:rsidRPr="00B02C04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</w:t>
      </w:r>
      <w:r>
        <w:rPr>
          <w:rStyle w:val="FootnoteReference"/>
        </w:rPr>
        <w:footnoteReference w:id="4"/>
      </w:r>
      <w:r w:rsidRPr="00B02C04">
        <w:t xml:space="preserve"> 11. cikkére,</w:t>
      </w:r>
    </w:p>
    <w:p w:rsidR="008A39C0" w:rsidRPr="00B02C04" w:rsidP="00A80126" w14:paraId="725AE90B" w14:textId="77777777">
      <w:pPr>
        <w:pStyle w:val="NormalHanging12a"/>
        <w:widowControl/>
      </w:pPr>
      <w:r w:rsidRPr="00B02C04">
        <w:t>–</w:t>
      </w:r>
      <w:r w:rsidRPr="00B02C04">
        <w:tab/>
        <w:t>tekintettel az Európai Élelmiszerbiztonsági Hatóság (EFSA) által 2025. december 10-én elfogadott és 2026. január 12-én közzétett véleményre</w:t>
      </w:r>
      <w:r>
        <w:rPr>
          <w:rStyle w:val="FootnoteReference"/>
        </w:rPr>
        <w:footnoteReference w:id="5"/>
      </w:r>
      <w:r w:rsidRPr="00B02C04">
        <w:t>,</w:t>
      </w:r>
    </w:p>
    <w:p w:rsidR="008A39C0" w:rsidRPr="00B02C04" w:rsidP="00A80126" w14:paraId="24AB376B" w14:textId="77777777">
      <w:pPr>
        <w:pStyle w:val="NormalHanging12a"/>
        <w:widowControl/>
      </w:pPr>
      <w:r w:rsidRPr="00B02C04">
        <w:t>–</w:t>
      </w:r>
      <w:r w:rsidRPr="00B02C04">
        <w:tab/>
        <w:t>tekintettel a géntechnológiával módosított szervezetek (a továbbiakban: GMO-k) engedélyezését kifogásoló korábbi állásfoglalásaira</w:t>
      </w:r>
      <w:r>
        <w:rPr>
          <w:rStyle w:val="FootnoteReference"/>
        </w:rPr>
        <w:footnoteReference w:id="6"/>
      </w:r>
      <w:r w:rsidRPr="00B02C04">
        <w:t>,</w:t>
      </w:r>
    </w:p>
    <w:p w:rsidR="008A39C0" w:rsidRPr="00B02C04" w:rsidP="00A80126" w14:paraId="5779D76A" w14:textId="77777777">
      <w:pPr>
        <w:pStyle w:val="NormalHanging12a"/>
        <w:widowControl/>
      </w:pPr>
      <w:r w:rsidRPr="00B02C04">
        <w:t>–</w:t>
      </w:r>
      <w:r w:rsidRPr="00B02C04">
        <w:tab/>
        <w:t>tekintettel eljárási szabályzata 115. cikkének (2) és (3) bekezdésére,</w:t>
      </w:r>
    </w:p>
    <w:p w:rsidR="008A39C0" w:rsidRPr="00B02C04" w:rsidP="00A80126" w14:paraId="7849EBA6" w14:textId="77777777">
      <w:pPr>
        <w:pStyle w:val="NormalHanging12a"/>
        <w:widowControl/>
      </w:pPr>
      <w:r w:rsidRPr="00B02C04">
        <w:t>–</w:t>
      </w:r>
      <w:r w:rsidRPr="00B02C04">
        <w:tab/>
        <w:t>tekintettel a Környezetvédelmi, Éghajlatváltozási és Élelmiszer-biztonsági Bizottság állásfoglalási indítványára,</w:t>
      </w:r>
    </w:p>
    <w:p w:rsidR="008A39C0" w:rsidRPr="00B02C04" w:rsidP="00A80126" w14:paraId="46E23FF5" w14:textId="77777777">
      <w:pPr>
        <w:widowControl/>
        <w:spacing w:after="240"/>
        <w:ind w:left="567" w:hanging="567"/>
      </w:pPr>
      <w:r w:rsidRPr="00B02C04">
        <w:t>A.</w:t>
      </w:r>
      <w:r w:rsidRPr="00B02C04">
        <w:tab/>
        <w:t>mivel az (EU) 2015/696 bizottsági végrehajtási határozat</w:t>
      </w:r>
      <w:r>
        <w:rPr>
          <w:rStyle w:val="FootnoteReference"/>
        </w:rPr>
        <w:footnoteReference w:id="7"/>
      </w:r>
      <w:r w:rsidRPr="00B02C04">
        <w:t xml:space="preserve"> engedélyezte a géntechnológiával módosított MON 87705 szójababot (a továbbiakban: géntechnológiával módosított szójabab) tartalmazó, abból álló vagy abból előállított élelmiszerek és takarmányok forgalomba hozatalát; mivel az engedély hatálya kiterjedt a géntechnológiával módosított szójababot tartalmazó vagy abból álló – élelmiszeren és takarmányon kívüli – olyan termékek forgalomba hozatalára is, amelyeket – a termesztésen kívül – ugyanarra a felhasználásra szánnak, mint bármely más szójababot;</w:t>
      </w:r>
    </w:p>
    <w:p w:rsidR="008A39C0" w:rsidRPr="00B02C04" w:rsidP="00A80126" w14:paraId="70BC6F32" w14:textId="77777777">
      <w:pPr>
        <w:widowControl/>
        <w:spacing w:after="240"/>
        <w:ind w:left="567" w:hanging="567"/>
      </w:pPr>
      <w:r w:rsidRPr="00B02C04">
        <w:t>B.</w:t>
      </w:r>
      <w:r w:rsidRPr="00B02C04">
        <w:tab/>
        <w:t>mivel 2024. március 8-án az Amerikai Egyesült Államokban székhellyel rendelkező Bayer CropScience LP nevében eljáró belgiumi székhelyű Bayer Agriculture B.V. kérelmet nyújtott be a Bizottsághoz a szóban forgó engedély megújítása iránt;</w:t>
      </w:r>
    </w:p>
    <w:p w:rsidR="008A39C0" w:rsidRPr="00B02C04" w:rsidP="00A80126" w14:paraId="0802BF2A" w14:textId="77777777">
      <w:pPr>
        <w:widowControl/>
        <w:spacing w:after="240"/>
        <w:ind w:left="567" w:hanging="567"/>
      </w:pPr>
      <w:r w:rsidRPr="00B02C04">
        <w:t>C.</w:t>
      </w:r>
      <w:r w:rsidRPr="00B02C04">
        <w:tab/>
        <w:t>mivel 2026. január 12-én az EFSA kedvező tudományos véleményt fogadott el a géntechnológiával módosított szójababbal kapcsolatban</w:t>
      </w:r>
      <w:r>
        <w:rPr>
          <w:rStyle w:val="FootnoteReference"/>
        </w:rPr>
        <w:footnoteReference w:id="8"/>
      </w:r>
      <w:r w:rsidRPr="00B02C04">
        <w:t xml:space="preserve"> az 1829/2003/EK rendelet 6. és 18. cikkével összhangban; mivel ebben az EFSA arra a következtetésre jutott, hogy a megújítás iránti kérelem nem vetett fel olyan, új veszélyekre, az expozíció módosulására vagy tudományos bizonytalanságra vonatkozó bizonyítékokat, amelyek megváltoztatnák a Hatóság által a géntechnológiával módosított szójababra vonatkozóan 2012-ben</w:t>
      </w:r>
      <w:r>
        <w:rPr>
          <w:rStyle w:val="FootnoteReference"/>
        </w:rPr>
        <w:footnoteReference w:id="9"/>
      </w:r>
      <w:r w:rsidRPr="00B02C04">
        <w:t xml:space="preserve"> és 2013-ban</w:t>
      </w:r>
      <w:r>
        <w:rPr>
          <w:rStyle w:val="FootnoteReference"/>
        </w:rPr>
        <w:footnoteReference w:id="10"/>
      </w:r>
      <w:r w:rsidRPr="00B02C04">
        <w:t xml:space="preserve"> elfogadott eredeti kockázatértékelés következtetéseit; mivel ezek a vélemények nem foglalkoztak több olyan szélesebb körű </w:t>
      </w:r>
      <w:r w:rsidRPr="00B02C04">
        <w:t>környezeti, társadalmi-gazdasági és kumulatív hatással, amelyek az EFSA szerint nem tartoznak a hatáskörébe;</w:t>
      </w:r>
    </w:p>
    <w:p w:rsidR="008A39C0" w:rsidRPr="00B02C04" w:rsidP="00A80126" w14:paraId="6C6C543E" w14:textId="77777777">
      <w:pPr>
        <w:pStyle w:val="NormalHanging12a"/>
        <w:widowControl/>
      </w:pPr>
      <w:r w:rsidRPr="00B02C04">
        <w:t>D.</w:t>
      </w:r>
      <w:r w:rsidRPr="00B02C04">
        <w:tab/>
        <w:t>mivel a géntechnológiával módosított szójabab magasabb olajsavtartalommal rendelkezik, és toleranciát mutat a glifozáttartalmú gyomirtó szerekkel szemben;</w:t>
      </w:r>
    </w:p>
    <w:p w:rsidR="008A39C0" w:rsidRPr="00B02C04" w:rsidP="00A80126" w14:paraId="12E8D240" w14:textId="77777777">
      <w:pPr>
        <w:pStyle w:val="NormalHanging12a"/>
        <w:widowControl/>
      </w:pPr>
      <w:r w:rsidRPr="00B02C04">
        <w:t>E.</w:t>
      </w:r>
      <w:r w:rsidRPr="00B02C04">
        <w:tab/>
        <w:t>mivel az EFSA által végzett kockázatértékelések nem terjedtek ki hosszú távú toxikológiai vizsgálatokra vagy a kumulatív és kombinált hatások részletes elemzésére, beleértve a szójababtermesztésben általánosan használt növényvédőszer-maradékokkal való lehetséges kölcsönhatásokat is;</w:t>
      </w:r>
    </w:p>
    <w:p w:rsidR="008A39C0" w:rsidRPr="00B02C04" w:rsidP="00A80126" w14:paraId="08D6A151" w14:textId="77777777">
      <w:pPr>
        <w:pStyle w:val="NormalHanging12a"/>
        <w:widowControl/>
      </w:pPr>
      <w:r w:rsidRPr="00B02C04">
        <w:t>F.</w:t>
      </w:r>
      <w:r w:rsidRPr="00B02C04">
        <w:tab/>
        <w:t>mivel a géntechnológiával módosított növények túlnyomó többségét – ideértve a géntechnológiával módosított szójababot is – azért módosították géntechnológiával, hogy ellenállóak legyenek egy vagy több „kiegészítő” gyomirtó szerrel szemben, amelyeket a géntechnológiával módosított növény termesztése során végig lehet használni anélkül, hogy a növény elpusztulna, ami a gyomirtó szernek nem ellenálló növények esetében viszont megtörténne; mivel számos tanulmány kimutatta, hogy a gyomirtó szernek ellenálló, géntechnológiával módosított növények alkalmazása következtében nagyobb arányban használnak kiegészítő gyomirtó szereket, nagyrészt a gyomirtó szernek ellenálló gyomok megjelenése miatt;</w:t>
      </w:r>
    </w:p>
    <w:p w:rsidR="008A39C0" w:rsidRPr="00B02C04" w:rsidP="00A80126" w14:paraId="2CF75F84" w14:textId="77777777">
      <w:pPr>
        <w:pStyle w:val="NormalHanging12a"/>
        <w:widowControl/>
      </w:pPr>
      <w:r w:rsidRPr="00B02C04">
        <w:t>G.</w:t>
      </w:r>
      <w:r w:rsidRPr="00B02C04">
        <w:tab/>
        <w:t>mivel a gyomirtó szernek ellenálló, géntechnológiával módosított növények a mezőgazdasági termelőket a gyomirtó szerektől nagymértékben vagy teljes mértékben függő gyomirtási rendszerbe kényszerítik, és ennek kapcsán felárat számítanak fel a géntechnológiával módosított vetőmagok után, ezzel függőség jön létre a kiegészítő gyomirtó szereknek a termelési rendszer szerves részeként történő használatától; mivel a kiegészítő gyomirtó szerekre való fokozott támaszkodás a géntechnológiával módosított szójababot termesztő gazdaságokban fel fogja gyorsítani az ilyen gyomirtó szereknek ellenálló gyomok megjelenését és terjedését, és ezáltal a gyomirtó szerek még nagyobb mértékű használatát teszi szükségessé, ami a „gyomirtó szerek mókuskereke” néven ismert ördögi kör; mivel ennek következtében a gyomirtó szerektől való túlzott függésből eredő káros hatások rontják a talaj egészségét, a vízminőséget, valamint a talaj feletti és alatti biológiai sokféleséget, valamint az emberek és állatok fokozott kitettségéhez vezetnek, potenciálisan az élelmiszerekben és takarmányokban található gyomirtószer-maradékok növekedése révén is;</w:t>
      </w:r>
    </w:p>
    <w:p w:rsidR="008A39C0" w:rsidRPr="00B02C04" w:rsidP="00A80126" w14:paraId="2918228C" w14:textId="77777777">
      <w:pPr>
        <w:pStyle w:val="NormalHanging12a"/>
        <w:widowControl/>
      </w:pPr>
      <w:r w:rsidRPr="00B02C04">
        <w:t>H.</w:t>
      </w:r>
      <w:r w:rsidRPr="00B02C04">
        <w:tab/>
        <w:t>mivel számos tanulmány kimutatta, hogy a gyomirtó szernek ellenálló, géntechnológiával módosított növények alkalmazása következtében nagyobb arányban használnak kiegészítő gyomirtó szereket, nagyrészt a gyomirtó szernek ellenálló gyomok megjelenése miatt</w:t>
      </w:r>
      <w:r>
        <w:rPr>
          <w:vertAlign w:val="superscript"/>
        </w:rPr>
        <w:footnoteReference w:id="11"/>
      </w:r>
      <w:r w:rsidRPr="00B02C04">
        <w:t xml:space="preserve">; mivel következésképpen a géntechnológiával módosított szójabab várhatóan nagyobb mértékben és ismétlődően lesz kitéve glifozátnak, és emiatt </w:t>
      </w:r>
      <w:r w:rsidRPr="00B02C04">
        <w:t>a termésben nagyobb mennyiségű maradékanyag és bomlástermék (metabolit) lehet jelen;</w:t>
      </w:r>
    </w:p>
    <w:p w:rsidR="008A39C0" w:rsidRPr="00B02C04" w:rsidP="00A80126" w14:paraId="1DF2154D" w14:textId="77777777">
      <w:pPr>
        <w:pStyle w:val="NormalHanging12a"/>
        <w:widowControl/>
      </w:pPr>
      <w:r w:rsidRPr="00B02C04">
        <w:t>I.</w:t>
      </w:r>
      <w:r w:rsidRPr="00B02C04">
        <w:tab/>
        <w:t>mivel továbbra is jelentős tudományos bizonytalanságok állnak fenn a glifozát emberi egészségre és környezetre való biztonságosságával kapcsolatban; mivel az EFSA 2015 novemberében arra a következtetésre jutott, hogy nem valószínű, hogy a glifozát rákkeltő hatású, az Európai Vegyianyag-ügynökség 2017 márciusában pedig azt a következtetést vonta le, hogy semmilyen besorolás nem indokolt; mivel ezzel szemben a Nemzetközi Rákkutatási Ügynökség – az Egészségügyi Világszervezet rákbetegségekre szakosodott ügynöksége – 2015-ben a glifozátot az emberre valószínűleg rákkeltő hatást gyakorló anyagként sorolta be; mivel több közelmúltbeli, szakértők által felülvizsgált tudományos tanulmány megerősíti a glifozát rákkeltő potenciálját</w:t>
      </w:r>
      <w:r>
        <w:rPr>
          <w:vertAlign w:val="superscript"/>
        </w:rPr>
        <w:footnoteReference w:id="12"/>
      </w:r>
      <w:r w:rsidRPr="00B02C04">
        <w:t xml:space="preserve">; </w:t>
      </w:r>
      <w:bookmarkStart w:id="12" w:name="_Hlk218688545"/>
      <w:r w:rsidRPr="00B02C04">
        <w:t xml:space="preserve">mivel a „Regulatory Toxicology and Pharmacology” című folyóirat hivatalosan visszavonta a 2000-ben közzétett, </w:t>
      </w:r>
      <w:r w:rsidRPr="00B02C04">
        <w:rPr>
          <w:shd w:val="clear" w:color="auto" w:fill="FFFFFF"/>
        </w:rPr>
        <w:t>„</w:t>
      </w:r>
      <w:r w:rsidRPr="00B02C04">
        <w:t>Safety Evaluation and Risk Assessment of the Herbicide Roundup and its Active Ingredient, Glyphosate for Humans</w:t>
      </w:r>
      <w:r w:rsidRPr="00B02C04">
        <w:rPr>
          <w:shd w:val="clear" w:color="auto" w:fill="FFFFFF"/>
        </w:rPr>
        <w:t>”</w:t>
      </w:r>
      <w:r w:rsidRPr="00B02C04">
        <w:t xml:space="preserve"> [A RoundUp gyomirtószer és aktív összetevője, a glifozát humán biztonsági értékelése és kockázatértékelése] című tudományos tanulmányt, amelyet számos kockázatértékelésben a glifozát biztonságosságának védelmére használtak fel, mivel </w:t>
      </w:r>
      <w:r w:rsidRPr="00B02C04">
        <w:rPr>
          <w:shd w:val="clear" w:color="auto" w:fill="FFFFFF"/>
        </w:rPr>
        <w:t>„</w:t>
      </w:r>
      <w:r w:rsidRPr="00B02C04">
        <w:t>aggályok merültek fel a tanulmány szerzőjének kilétével, a szerzők és a tanulmány szponzora által nyújtott hozzájárulások hamis bemutatásával összefüggésben a kutatási eredmények érvényességével, valamint a szerzők esetleges összeférhetetlenségével kapcsolatban”</w:t>
      </w:r>
      <w:r>
        <w:rPr>
          <w:rStyle w:val="FootnoteReference"/>
        </w:rPr>
        <w:footnoteReference w:id="13"/>
      </w:r>
      <w:r w:rsidRPr="00B02C04">
        <w:t>;</w:t>
      </w:r>
      <w:bookmarkEnd w:id="12"/>
    </w:p>
    <w:p w:rsidR="008A39C0" w:rsidRPr="00B02C04" w:rsidP="00A80126" w14:paraId="6B27E68A" w14:textId="77777777">
      <w:pPr>
        <w:pStyle w:val="NormalHanging12a"/>
        <w:widowControl/>
      </w:pPr>
      <w:r w:rsidRPr="00B02C04">
        <w:t>J.</w:t>
      </w:r>
      <w:r w:rsidRPr="00B02C04">
        <w:tab/>
        <w:t>mivel a géntechnológiával módosított növényeken talált gyomirtószer-maradványok és bomlástermékeik (metabolitok) értékelése kívül esik az EFSA géntechnológiával módosított szervezetekkel foglalkozó tudományos testületének hatáskörén, ezért a GMO-kra vonatkozó engedélyezési eljárás részeként ilyen értékelésre nem kerül sor; mivel mindez problémákat vet fel, tekintettel arra, hogy a kiegészítő gyomirtó szerek érintett, géntechnológiával módosított növény általi lebontásának módját és a bomlástermékek összetételét és ily módon toxicitását maga a genetikai módosítás befolyásolhatja</w:t>
      </w:r>
      <w:r>
        <w:rPr>
          <w:vertAlign w:val="superscript"/>
        </w:rPr>
        <w:footnoteReference w:id="14"/>
      </w:r>
      <w:r w:rsidRPr="00B02C04">
        <w:t>;</w:t>
      </w:r>
    </w:p>
    <w:p w:rsidR="008A39C0" w:rsidRPr="00B02C04" w:rsidP="00A80126" w14:paraId="74C4257B" w14:textId="77777777">
      <w:pPr>
        <w:pStyle w:val="NormalHanging12a"/>
        <w:widowControl/>
      </w:pPr>
      <w:r w:rsidRPr="00B02C04">
        <w:t>K.</w:t>
      </w:r>
      <w:r w:rsidRPr="00B02C04">
        <w:tab/>
        <w:t xml:space="preserve">mivel az összetétel-elemzés azt mutatta, hogy a géntechnológiával módosított szójabab zsírsavprofilja jelentősen megváltozott a hagyományos megfelelőjéhez képest, az olajsav növekedése és ezzel együtt a linolsav és a palmitinsav csökkenése mellett; mivel a tudományos aggályok annak a hosszú távú táplálkozási következményeire összpontosítanak, hogy a lakosság szélesebb körben ki van téve e megváltozott profilnak, különösen a szójababolajra nagymértékben támaszkodó fogyasztók esetében; mivel az EFSA figyelembe vette az étrendi bevitelre vonatkozó becsléseket a változások táplálkozási relevanciájának értékelése érdekében, a fogyasztási és helyettesítési forgatókönyvekre vonatkozó különböző feltételezések felhasználásával; mivel az EFSA e feltételezések alapján csak egy forgalomba hozatal utáni felügyeleti tervet javasolt, </w:t>
      </w:r>
      <w:r w:rsidRPr="00B02C04">
        <w:t>amely az Unióba irányuló behozatalra vonatkozó adatok gyűjtésére és egy aktualizált táplálkozási értékelés elvégzésére összpontosít, amennyiben a fogyasztási mintákról rendelkezésre álló információk eltérnek az eredeti kockázatértékelés során használt információktól;</w:t>
      </w:r>
    </w:p>
    <w:p w:rsidR="008A39C0" w:rsidRPr="00B02C04" w:rsidP="00A80126" w14:paraId="23DEC883" w14:textId="77777777">
      <w:pPr>
        <w:pStyle w:val="NormalHanging12a"/>
        <w:widowControl/>
      </w:pPr>
      <w:r w:rsidRPr="00B02C04">
        <w:t>L.</w:t>
      </w:r>
      <w:r w:rsidRPr="00B02C04">
        <w:tab/>
        <w:t>mivel az 1829/2003/EK rendelet egyfelől előírja, hogy a géntechnológiával módosított élelmiszerek vagy takarmányok nem gyakorolhatnak kedvezőtlen hatást az emberi egészségre, az állati egészségre vagy a környezetre, másfelől pedig előírja a Bizottság számára, hogy határozatainak megszövegezése során vegye figyelembe az uniós jog minden vonatkozó rendelkezését és a vizsgált üggyel kapcsolatos egyéb jogszerű tényezőket; mivel az Egyesült Nemzetek Szervezetének (ENSZ) fenntartható fejlődési céljai, a Párizsi Megállapodás</w:t>
      </w:r>
      <w:r>
        <w:rPr>
          <w:rStyle w:val="FootnoteReference"/>
        </w:rPr>
        <w:footnoteReference w:id="15"/>
      </w:r>
      <w:r w:rsidRPr="00B02C04">
        <w:t xml:space="preserve"> és a biológiai sokféleségről szóló ENSZ-egyezmény</w:t>
      </w:r>
      <w:r>
        <w:rPr>
          <w:rStyle w:val="FootnoteReference"/>
        </w:rPr>
        <w:footnoteReference w:id="16"/>
      </w:r>
      <w:r w:rsidRPr="00B02C04">
        <w:t xml:space="preserve"> értelmében az Unióra háruló kötelezettségeknek e jogszerű tényezők körébe kell tartozniuk;</w:t>
      </w:r>
    </w:p>
    <w:p w:rsidR="008A39C0" w:rsidRPr="00B02C04" w:rsidP="00A80126" w14:paraId="34BF0190" w14:textId="77777777">
      <w:pPr>
        <w:pStyle w:val="NormalHanging12a"/>
        <w:widowControl/>
      </w:pPr>
      <w:r w:rsidRPr="00B02C04">
        <w:t>M.</w:t>
      </w:r>
      <w:r w:rsidRPr="00B02C04">
        <w:tab/>
        <w:t>mivel a biológiai sokféleségre, a talaj egészségére, a beporzókra és a nem célzott szervezetekre gyakorolt lehetséges káros hatások független nyomon követése és felügyelete továbbra sem kellően biztosított;</w:t>
      </w:r>
    </w:p>
    <w:p w:rsidR="008A39C0" w:rsidRPr="00B02C04" w:rsidP="00A80126" w14:paraId="1EABBF17" w14:textId="77777777">
      <w:pPr>
        <w:pStyle w:val="NormalHanging12a"/>
        <w:widowControl/>
      </w:pPr>
      <w:r w:rsidRPr="00B02C04">
        <w:t>N.</w:t>
      </w:r>
      <w:r w:rsidRPr="00B02C04">
        <w:tab/>
        <w:t>mivel tudományos bizonytalanság esetén az Európai Unió működéséről szóló szerződés 191. cikkében foglalt elővigyázatosság elvét kell alkalmazni;</w:t>
      </w:r>
    </w:p>
    <w:p w:rsidR="008A39C0" w:rsidRPr="00B02C04" w:rsidP="00A80126" w14:paraId="3DCE9DA9" w14:textId="77777777">
      <w:pPr>
        <w:pStyle w:val="NormalHanging12a"/>
        <w:widowControl/>
      </w:pPr>
      <w:r w:rsidRPr="00B02C04">
        <w:t>O.</w:t>
      </w:r>
      <w:r w:rsidRPr="00B02C04">
        <w:tab/>
        <w:t>mivel az Unió az ENSZ biológiai sokféleségről szóló egyezményének részes feleként és annak 3. cikkével összhangban felelős annak biztosításáért, hogy a joghatósága vagy ellenőrzése alá tartozó tevékenységek ne okozzanak kárt más országok környezetében;</w:t>
      </w:r>
    </w:p>
    <w:p w:rsidR="008A39C0" w:rsidRPr="00B02C04" w:rsidP="00A80126" w14:paraId="3A834119" w14:textId="77777777">
      <w:pPr>
        <w:pStyle w:val="NormalHanging12a"/>
        <w:widowControl/>
      </w:pPr>
      <w:r w:rsidRPr="00B02C04">
        <w:t>P.</w:t>
      </w:r>
      <w:r w:rsidRPr="00B02C04">
        <w:tab/>
        <w:t>mivel a géntechnológiával módosított szójabab engedélyezésének megújítása az Unióban nem lenne összhangban a peszticidek csökkentésére vonatkozó nemzetközi kötelezettségvállalásokkal</w:t>
      </w:r>
      <w:r>
        <w:rPr>
          <w:vertAlign w:val="superscript"/>
        </w:rPr>
        <w:footnoteReference w:id="17"/>
      </w:r>
      <w:r w:rsidRPr="00B02C04">
        <w:t>, figyelembe véve a glifozátnak való fokozott emberi, állati és környezeti kitettséget azokban az országokban, amelyek ezt a gyomirtó szernek ellenálló, géntechnológiával módosított növényt termesztik, valamint a potenciálisan súlyos egészségügyi következményeket;</w:t>
      </w:r>
    </w:p>
    <w:p w:rsidR="008A39C0" w:rsidRPr="00B02C04" w:rsidP="00A80126" w14:paraId="58653AB7" w14:textId="77777777">
      <w:pPr>
        <w:pStyle w:val="NormalHanging12a"/>
        <w:widowControl/>
      </w:pPr>
      <w:r w:rsidRPr="00B02C04">
        <w:t>Q.</w:t>
      </w:r>
      <w:r w:rsidRPr="00B02C04">
        <w:tab/>
        <w:t>mivel a GM szójabab termesztése az Unióban nem engedélyezett;</w:t>
      </w:r>
    </w:p>
    <w:p w:rsidR="008A39C0" w:rsidRPr="00B02C04" w:rsidP="00A80126" w14:paraId="3E8A6821" w14:textId="2DE4054E">
      <w:pPr>
        <w:pStyle w:val="NormalHanging12a"/>
        <w:widowControl/>
      </w:pPr>
      <w:r w:rsidRPr="00B02C04">
        <w:t>R.</w:t>
      </w:r>
      <w:r w:rsidRPr="00B02C04">
        <w:tab/>
        <w:t>mivel a</w:t>
      </w:r>
      <w:r w:rsidRPr="00B02C04" w:rsidR="00B33C38">
        <w:t>z (EU) 2026/1419</w:t>
      </w:r>
      <w:r w:rsidRPr="00B02C04">
        <w:t xml:space="preserve"> bizottsági végrehajtási határozat lehetővé tenné az Unióba irányuló olyan behozatalt, amely nem felel meg az uniós mezőgazdasági termelők által betartott előírásoknak, és ezáltal versenyhátrányba hozná őket;</w:t>
      </w:r>
    </w:p>
    <w:p w:rsidR="008A39C0" w:rsidRPr="00B02C04" w:rsidP="00A80126" w14:paraId="5EC9982C" w14:textId="77777777">
      <w:pPr>
        <w:pStyle w:val="NormalHanging12a"/>
        <w:widowControl/>
      </w:pPr>
      <w:r w:rsidRPr="00B02C04">
        <w:t>S.</w:t>
      </w:r>
      <w:r w:rsidRPr="00B02C04">
        <w:tab/>
        <w:t>mivel az uniós mezőgazdaság jövőjéről folytatott stratégiai párbeszéd</w:t>
      </w:r>
      <w:r>
        <w:rPr>
          <w:vertAlign w:val="superscript"/>
        </w:rPr>
        <w:footnoteReference w:id="18"/>
      </w:r>
      <w:r w:rsidRPr="00B02C04">
        <w:t xml:space="preserve"> következtetései felhívják a Bizottságot, hogy értékelje újra az agrár-élelmiszeripari import és export piacra jutásával kapcsolatos megközelítését, tekintettel az Unió és kereskedelmi </w:t>
      </w:r>
      <w:r w:rsidRPr="00B02C04">
        <w:t>partnerei eltérő normái jelentette kihívásra; mivel a 2023-as, 2024-es és 2025-ös demonstrációk során a mezőgazdasági termelők egyik fő követelése az egészséges környezetre vonatkozó célokkal összhangban lévő, globális szinten tisztességesebb kereskedelmi kapcsolatok kialakítása volt;</w:t>
      </w:r>
    </w:p>
    <w:p w:rsidR="008A39C0" w:rsidRPr="00B02C04" w:rsidP="00A80126" w14:paraId="76DFB62F" w14:textId="77777777">
      <w:pPr>
        <w:pStyle w:val="NormalHanging12a"/>
        <w:widowControl/>
      </w:pPr>
      <w:r w:rsidRPr="00B02C04">
        <w:t>T.</w:t>
      </w:r>
      <w:r w:rsidRPr="00B02C04">
        <w:tab/>
        <w:t>mivel a Parlament többször hangsúlyozta, hogy a Bizottságnak nem szabad engedélyeznie a GMO-kat azokban az esetekben, amikor a tagállamok nem érnek el minősített többséget a Növények, Állatok, Élelmiszerek és Takarmányok Állandó Bizottságában vagy a Fellebbviteli Bizottságban, a tartós demokratikus deficit kezelése érdekében;</w:t>
      </w:r>
    </w:p>
    <w:p w:rsidR="008A39C0" w:rsidRPr="00B02C04" w:rsidP="00A80126" w14:paraId="7F5D1FFB" w14:textId="77777777">
      <w:pPr>
        <w:pStyle w:val="NormalHanging12a"/>
        <w:widowControl/>
      </w:pPr>
      <w:r w:rsidRPr="00B02C04">
        <w:t>U.</w:t>
      </w:r>
      <w:r w:rsidRPr="00B02C04">
        <w:tab/>
        <w:t>mivel a Bizottság – annak ellenére, hogy maga is elismeri a demokratikus hiányosságokat, a tagállamok támogatásának hiányát és a Parlament kifogásait – továbbra is folytatja a GMO-k engedélyezését;</w:t>
      </w:r>
    </w:p>
    <w:p w:rsidR="008A39C0" w:rsidRPr="00B02C04" w:rsidP="00A80126" w14:paraId="32A0EA94" w14:textId="77777777">
      <w:pPr>
        <w:pStyle w:val="NormalHanging12a"/>
        <w:widowControl/>
      </w:pPr>
      <w:r w:rsidRPr="00B02C04">
        <w:t>V.</w:t>
      </w:r>
      <w:r w:rsidRPr="00B02C04">
        <w:tab/>
        <w:t>mivel az „egy egészség” megközelítés megköveteli, hogy a GMO-k hosszú távú fenntarthatóságának és biztonságának értékelése során figyelembe vegyék az emberek, az állatok, a növények és a környezet egészsége közötti kölcsönös függőséget;</w:t>
      </w:r>
    </w:p>
    <w:p w:rsidR="008A39C0" w:rsidRPr="00B02C04" w:rsidP="00A80126" w14:paraId="6253F61F" w14:textId="390DFF78">
      <w:pPr>
        <w:pStyle w:val="NormalHanging12a"/>
        <w:widowControl/>
      </w:pPr>
      <w:r w:rsidRPr="00B02C04">
        <w:t>1.</w:t>
      </w:r>
      <w:r w:rsidRPr="00B02C04">
        <w:tab/>
        <w:t>úgy véli, hogy a</w:t>
      </w:r>
      <w:r w:rsidRPr="00B02C04" w:rsidR="00B33C38">
        <w:t>z (EU) 2026/1419</w:t>
      </w:r>
      <w:r w:rsidRPr="00B02C04">
        <w:t xml:space="preserve"> bizottsági végrehajtási határozat túllépi az 1829/2003/EK rendeletben meghatározott végrehajtási hatásköröket;</w:t>
      </w:r>
    </w:p>
    <w:p w:rsidR="008A39C0" w:rsidRPr="00B02C04" w:rsidP="00A80126" w14:paraId="4A15F29B" w14:textId="690E81B9">
      <w:pPr>
        <w:pStyle w:val="NormalHanging12a"/>
        <w:widowControl/>
      </w:pPr>
      <w:r w:rsidRPr="00B02C04">
        <w:t>2.</w:t>
      </w:r>
      <w:r w:rsidRPr="00B02C04">
        <w:tab/>
        <w:t>úgy véli, hogy a</w:t>
      </w:r>
      <w:r w:rsidRPr="00B02C04" w:rsidR="00B33C38">
        <w:t>z (EU) 2026/1419</w:t>
      </w:r>
      <w:r w:rsidRPr="00B02C04">
        <w:t xml:space="preserve"> bizottsági végrehajtási határozat nem felel meg az uniós jognak, mivel nem egyeztethető össze az 1829/2003/EK rendelet célkitűzésével, azaz a 178/2002/EK európai parlamenti és tanácsi rendeletben</w:t>
      </w:r>
      <w:r>
        <w:rPr>
          <w:vertAlign w:val="superscript"/>
        </w:rPr>
        <w:footnoteReference w:id="19"/>
      </w:r>
      <w:r w:rsidRPr="00B02C04">
        <w:t xml:space="preserve"> meghatározott általános alapelvekkel összhangban azzal, hogy a belső piac hatékony működésének biztosítása mellett alapul szolgáljon az emberi élet és egészség, az állatok egészsége és az állatjólét, a környezet és a géntechnológiával módosított élelmiszerekre és takarmányokra vonatkozó fogyasztói érdekek magas szintű védelméhez;</w:t>
      </w:r>
    </w:p>
    <w:p w:rsidR="008A39C0" w:rsidRPr="00B02C04" w:rsidP="00A80126" w14:paraId="4708FB00" w14:textId="420026FC">
      <w:pPr>
        <w:pStyle w:val="NormalHanging12a"/>
        <w:widowControl/>
      </w:pPr>
      <w:r w:rsidRPr="00B02C04">
        <w:t>3.</w:t>
      </w:r>
      <w:r w:rsidRPr="00B02C04">
        <w:tab/>
        <w:t xml:space="preserve">felkéri a Bizottságot, hogy </w:t>
      </w:r>
      <w:r w:rsidRPr="00B02C04" w:rsidR="00B33C38">
        <w:t xml:space="preserve">helyezze hatályon kívül az (EU) 2026/1419 bizottsági </w:t>
      </w:r>
      <w:r w:rsidRPr="00B02C04">
        <w:t>végrehajtási határozat</w:t>
      </w:r>
      <w:r w:rsidRPr="00B02C04" w:rsidR="00B33C38">
        <w:t>o</w:t>
      </w:r>
      <w:r w:rsidRPr="00B02C04">
        <w:t>t;</w:t>
      </w:r>
    </w:p>
    <w:p w:rsidR="008A39C0" w:rsidRPr="00B02C04" w:rsidP="00A80126" w14:paraId="3E920EE9" w14:textId="77777777">
      <w:pPr>
        <w:pStyle w:val="NormalHanging12a"/>
        <w:widowControl/>
      </w:pPr>
      <w:r w:rsidRPr="00B02C04">
        <w:t>4.</w:t>
      </w:r>
      <w:r w:rsidRPr="00B02C04">
        <w:tab/>
        <w:t>felhívja a Bizottságot, hogy ne engedélyezze a gyomirtó szereknek ellenálló, géntechnológiával módosított növények behozatalát, mert ennek következményeként megnő a kiegészítő gyomirtó szerek használata, és ezáltal megnőnek a biológiai sokféleséget, az élelmiszer-biztonságot és a munkavállalók egészségét fenyegető kockázatok is;</w:t>
      </w:r>
    </w:p>
    <w:p w:rsidR="008A39C0" w:rsidRPr="00B02C04" w:rsidP="00A80126" w14:paraId="0452C74E" w14:textId="77777777">
      <w:pPr>
        <w:pStyle w:val="NormalHanging12a"/>
        <w:widowControl/>
      </w:pPr>
      <w:r w:rsidRPr="00B02C04">
        <w:t>5.</w:t>
      </w:r>
      <w:r w:rsidRPr="00B02C04">
        <w:tab/>
        <w:t>üdvözli, hogy a Bizottság a képviselőknek címzett 2020. szeptember 11-i levelében elismerte, hogy a GMO-kra vonatkozó engedélyezési határozatoknál figyelembe kell venni a fenntarthatóságot</w:t>
      </w:r>
      <w:r>
        <w:rPr>
          <w:vertAlign w:val="superscript"/>
        </w:rPr>
        <w:footnoteReference w:id="20"/>
      </w:r>
      <w:r w:rsidRPr="00B02C04">
        <w:t>; ugyanakkor mély csalódottságának ad hangot amiatt, hogy a Bizottság azóta is engedélyezi GMO-k behozatalát, jóllehet a Parlament ezt ellenzi, és a tagállamok többsége is ellene szavaz;</w:t>
      </w:r>
    </w:p>
    <w:p w:rsidR="008A39C0" w:rsidRPr="00B02C04" w:rsidP="00A80126" w14:paraId="76B4B9D3" w14:textId="77777777">
      <w:pPr>
        <w:pStyle w:val="NormalHanging12a"/>
        <w:widowControl/>
      </w:pPr>
      <w:r w:rsidRPr="00B02C04">
        <w:t>6.</w:t>
      </w:r>
      <w:r w:rsidRPr="00B02C04">
        <w:tab/>
        <w:t>ismételten sürgeti a Bizottságot, hogy vegye figyelembe az Unió nemzetközi megállapodások – például a Párizsi Megállapodás, a biológiai sokféleségről szóló ENSZ-egyezmény és az ENSZ fenntartható fejlődési céljai – szerinti kötelezettségeit; ismételten kéri, hogy a végrehajtási jogi aktusok tervezetéhez mellékeljenek indokolást arról, hogy azok hogyan tartják tiszteletben a „ne árts” elvet</w:t>
      </w:r>
      <w:r>
        <w:rPr>
          <w:vertAlign w:val="superscript"/>
        </w:rPr>
        <w:footnoteReference w:id="21"/>
      </w:r>
      <w:r w:rsidRPr="00B02C04">
        <w:t>;</w:t>
      </w:r>
    </w:p>
    <w:p w:rsidR="008A39C0" w:rsidRPr="00B02C04" w:rsidP="00A80126" w14:paraId="0E49C03A" w14:textId="77777777">
      <w:pPr>
        <w:pStyle w:val="NormalHanging12a"/>
        <w:widowControl/>
      </w:pPr>
      <w:r w:rsidRPr="00B02C04">
        <w:t>7.</w:t>
      </w:r>
      <w:r w:rsidRPr="00B02C04">
        <w:tab/>
        <w:t>kiemeli, hogy a 182/2011/EU rendelet módosításáról szóló európai parlamenti és tanácsi rendeletre irányuló javaslattal kapcsolatban az Európai Parlament által 2020. december 17-én elfogadott módosítások</w:t>
      </w:r>
      <w:r>
        <w:rPr>
          <w:vertAlign w:val="superscript"/>
        </w:rPr>
        <w:footnoteReference w:id="22"/>
      </w:r>
      <w:r w:rsidRPr="00B02C04">
        <w:t>, amelyeket a Parlament a Tanáccsal folytatandó tárgyalások alapjaként fogadott el, kimondják, hogy a Bizottság nem engedélyezhet GMO-kat, amennyiben ezt a tagállamok minősített többsége nem támogatja; ragaszkodik ahhoz, hogy a Bizottság tartsa tiszteletben ezt az álláspontot, és felhívja a Tanácsot, hogy folytassa munkáját, és sürgősen fogadjon el általános megközelítést e kérdéssel kapcsolatban;</w:t>
      </w:r>
    </w:p>
    <w:p w:rsidR="0001087E" w:rsidRPr="0001087E" w:rsidP="00A80126" w14:paraId="3E602C30" w14:textId="505AC5AB">
      <w:pPr>
        <w:pStyle w:val="NormalHanging12a"/>
        <w:widowControl/>
      </w:pPr>
      <w:r w:rsidRPr="00B02C04">
        <w:t>8.</w:t>
      </w:r>
      <w:r w:rsidRPr="00B02C04">
        <w:tab/>
        <w:t>utasítja elnökét, hogy továbbítsa ezt az állásfoglalást a Tanácsnak és a Bizottságnak, valamint a tagállamok kormányainak és parlamentjeinek.</w:t>
      </w:r>
    </w:p>
    <w:sectPr w:rsidSect="000108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087E" w14:paraId="63B8D2F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087E" w14:paraId="30C167F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087E" w14:paraId="2F43C23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F5F74" w:rsidRPr="0001087E" w14:paraId="05EDC2D7" w14:textId="77777777">
      <w:r w:rsidRPr="0001087E">
        <w:separator/>
      </w:r>
    </w:p>
  </w:footnote>
  <w:footnote w:type="continuationSeparator" w:id="1">
    <w:p w:rsidR="005F5F74" w:rsidRPr="0001087E" w14:paraId="10B15429" w14:textId="77777777">
      <w:r w:rsidRPr="0001087E">
        <w:continuationSeparator/>
      </w:r>
    </w:p>
  </w:footnote>
  <w:footnote w:id="2">
    <w:p w:rsidR="00B33C38" w:rsidRPr="00B02C04" w:rsidP="00B33C38" w14:paraId="394AE21E" w14:textId="69B6C18D">
      <w:pPr>
        <w:pStyle w:val="FootnoteText"/>
        <w:ind w:left="567" w:hanging="567"/>
        <w:rPr>
          <w:sz w:val="24"/>
          <w:szCs w:val="24"/>
          <w:lang w:val="de-DE"/>
        </w:rPr>
      </w:pPr>
      <w:r w:rsidRPr="00B02C04">
        <w:rPr>
          <w:rStyle w:val="FootnoteReference"/>
          <w:sz w:val="24"/>
          <w:szCs w:val="24"/>
        </w:rPr>
        <w:footnoteRef/>
      </w:r>
      <w:r w:rsidRPr="00B02C04">
        <w:rPr>
          <w:sz w:val="24"/>
          <w:szCs w:val="24"/>
          <w:lang w:val="de-DE"/>
        </w:rPr>
        <w:t xml:space="preserve"> </w:t>
      </w:r>
      <w:r w:rsidRPr="00B02C04">
        <w:rPr>
          <w:sz w:val="24"/>
          <w:szCs w:val="24"/>
          <w:lang w:val="de-DE"/>
        </w:rPr>
        <w:tab/>
      </w:r>
      <w:r w:rsidRPr="00B02C04">
        <w:rPr>
          <w:color w:val="333333"/>
          <w:sz w:val="24"/>
          <w:szCs w:val="24"/>
          <w:shd w:val="clear" w:color="auto" w:fill="FFFFFF"/>
          <w:lang w:val="de-DE" w:eastAsia="en-GB"/>
        </w:rPr>
        <w:t>HL L, 2026/1419, 2026.7.3., ELI: </w:t>
      </w:r>
      <w:hyperlink r:id="rId1" w:tgtFrame="_blank" w:tooltip="Dà accesso al documento attraverso il suo URI dell'ELI." w:history="1">
        <w:r w:rsidRPr="00B02C04">
          <w:rPr>
            <w:color w:val="0E47CB"/>
            <w:sz w:val="24"/>
            <w:szCs w:val="24"/>
            <w:u w:val="single"/>
            <w:lang w:val="de-DE" w:eastAsia="en-GB"/>
          </w:rPr>
          <w:t>http://data.europa.eu/eli/dec_impl/2026/1419/oj</w:t>
        </w:r>
      </w:hyperlink>
      <w:r w:rsidRPr="00B02C04">
        <w:rPr>
          <w:color w:val="333333"/>
          <w:sz w:val="24"/>
          <w:szCs w:val="24"/>
          <w:shd w:val="clear" w:color="auto" w:fill="FFFFFF"/>
          <w:lang w:val="de-DE" w:eastAsia="en-GB"/>
        </w:rPr>
        <w:t>.</w:t>
      </w:r>
    </w:p>
  </w:footnote>
  <w:footnote w:id="3">
    <w:p w:rsidR="008A39C0" w:rsidRPr="0001087E" w:rsidP="0001087E" w14:paraId="3ACECBA5" w14:textId="3FE14758">
      <w:pPr>
        <w:pStyle w:val="FootnoteText"/>
        <w:ind w:left="567" w:hanging="567"/>
        <w:rPr>
          <w:sz w:val="24"/>
          <w:lang w:val="hu-HU"/>
        </w:rPr>
      </w:pPr>
      <w:r w:rsidRPr="0001087E">
        <w:rPr>
          <w:rStyle w:val="Funotenzeichen"/>
          <w:sz w:val="24"/>
          <w:lang w:val="hu-HU"/>
        </w:rPr>
        <w:footnoteRef/>
      </w:r>
      <w:r w:rsidRPr="0001087E" w:rsidR="0001087E">
        <w:rPr>
          <w:sz w:val="24"/>
          <w:lang w:val="hu-HU"/>
        </w:rPr>
        <w:t xml:space="preserve"> </w:t>
      </w:r>
      <w:r w:rsidRPr="0001087E" w:rsidR="0001087E">
        <w:rPr>
          <w:sz w:val="24"/>
          <w:lang w:val="hu-HU"/>
        </w:rPr>
        <w:tab/>
      </w:r>
      <w:r w:rsidRPr="0001087E">
        <w:rPr>
          <w:sz w:val="24"/>
          <w:lang w:val="hu-HU"/>
        </w:rPr>
        <w:t>HL L 268., 2003.10.18., 1. o., ELI: </w:t>
      </w:r>
      <w:hyperlink r:id="rId2" w:tooltip="Az ELI (európai jogszabály-azonosító) URI-hivatkozása révén biztosít hozzáférést a dokumentumhoz." w:history="1">
        <w:r w:rsidRPr="0001087E">
          <w:rPr>
            <w:rStyle w:val="Hyperlink"/>
            <w:sz w:val="24"/>
            <w:lang w:val="hu-HU"/>
          </w:rPr>
          <w:t>http://data.europa.eu/eli/reg/2003/1829/oj</w:t>
        </w:r>
      </w:hyperlink>
      <w:r w:rsidRPr="0001087E">
        <w:rPr>
          <w:sz w:val="24"/>
          <w:lang w:val="hu-HU"/>
        </w:rPr>
        <w:t>.</w:t>
      </w:r>
    </w:p>
  </w:footnote>
  <w:footnote w:id="4">
    <w:p w:rsidR="008A39C0" w:rsidRPr="0001087E" w:rsidP="0001087E" w14:paraId="2A674705" w14:textId="4257257A">
      <w:pPr>
        <w:pStyle w:val="FootnoteText"/>
        <w:ind w:left="567" w:hanging="567"/>
        <w:rPr>
          <w:sz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lang w:val="hu-HU"/>
        </w:rPr>
        <w:t xml:space="preserve"> </w:t>
      </w:r>
      <w:r w:rsidRPr="0001087E" w:rsidR="0001087E">
        <w:rPr>
          <w:sz w:val="24"/>
          <w:lang w:val="hu-HU"/>
        </w:rPr>
        <w:tab/>
      </w:r>
      <w:r w:rsidRPr="0001087E">
        <w:rPr>
          <w:sz w:val="24"/>
          <w:lang w:val="hu-HU"/>
        </w:rPr>
        <w:t xml:space="preserve">HL L 55., 2011.2.28., 13. o., ELI: </w:t>
      </w:r>
      <w:hyperlink r:id="rId3" w:tooltip="http://data.europa.eu/eli/reg/2011/182/oj" w:history="1">
        <w:r w:rsidRPr="0001087E">
          <w:rPr>
            <w:rStyle w:val="Hyperlink"/>
            <w:sz w:val="24"/>
            <w:lang w:val="hu-HU"/>
          </w:rPr>
          <w:t>http://data.europa.eu/eli/reg/2011/182/oj</w:t>
        </w:r>
      </w:hyperlink>
      <w:r w:rsidRPr="0001087E">
        <w:rPr>
          <w:sz w:val="24"/>
          <w:lang w:val="hu-HU"/>
        </w:rPr>
        <w:t>.</w:t>
      </w:r>
    </w:p>
  </w:footnote>
  <w:footnote w:id="5">
    <w:p w:rsidR="008A39C0" w:rsidRPr="00A80126" w:rsidP="0001087E" w14:paraId="571C48A2" w14:textId="29F8C09F">
      <w:pPr>
        <w:pStyle w:val="FootnoteText"/>
        <w:ind w:left="567" w:hanging="567"/>
        <w:rPr>
          <w:sz w:val="24"/>
          <w:lang w:val="hu-HU"/>
        </w:rPr>
      </w:pPr>
      <w:r w:rsidRPr="0001087E">
        <w:rPr>
          <w:rStyle w:val="Funotenzeichen"/>
          <w:sz w:val="24"/>
          <w:lang w:val="hu-HU"/>
        </w:rPr>
        <w:footnoteRef/>
      </w:r>
      <w:r w:rsidRPr="0001087E" w:rsidR="0001087E">
        <w:rPr>
          <w:sz w:val="24"/>
          <w:lang w:val="hu-HU"/>
        </w:rPr>
        <w:t xml:space="preserve"> </w:t>
      </w:r>
      <w:r w:rsidRPr="0001087E" w:rsidR="0001087E">
        <w:rPr>
          <w:sz w:val="24"/>
          <w:lang w:val="hu-HU"/>
        </w:rPr>
        <w:tab/>
      </w:r>
      <w:r w:rsidRPr="0001087E">
        <w:rPr>
          <w:sz w:val="24"/>
          <w:lang w:val="hu-HU"/>
        </w:rPr>
        <w:t xml:space="preserve">Az EFSA géntechnológiával módosított szervezetekkel foglalkozó tudományos testületének tudományos szakvéleménye a </w:t>
      </w:r>
      <w:r w:rsidRPr="00A80126">
        <w:rPr>
          <w:sz w:val="24"/>
          <w:lang w:val="hu-HU"/>
        </w:rPr>
        <w:t>géntechnológiával módosított MON 87705 kukorica értékeléséről (GMFF-2023-21236. sz. kérelem), EFSA Journal 2026</w:t>
      </w:r>
      <w:r w:rsidR="00B33C38">
        <w:rPr>
          <w:sz w:val="24"/>
          <w:lang w:val="hu-HU"/>
        </w:rPr>
        <w:t>,</w:t>
      </w:r>
      <w:r w:rsidRPr="00A80126">
        <w:rPr>
          <w:sz w:val="24"/>
          <w:lang w:val="hu-HU"/>
        </w:rPr>
        <w:t xml:space="preserve"> 24(1</w:t>
      </w:r>
      <w:r w:rsidRPr="00A80126">
        <w:rPr>
          <w:sz w:val="24"/>
          <w:lang w:val="hu-HU"/>
        </w:rPr>
        <w:t>):e</w:t>
      </w:r>
      <w:r w:rsidRPr="00A80126">
        <w:rPr>
          <w:sz w:val="24"/>
          <w:lang w:val="hu-HU"/>
        </w:rPr>
        <w:t xml:space="preserve">9846, </w:t>
      </w:r>
      <w:hyperlink r:id="rId4" w:history="1">
        <w:r w:rsidRPr="00A80126">
          <w:rPr>
            <w:rStyle w:val="Hyperlink"/>
            <w:sz w:val="24"/>
            <w:lang w:val="hu-HU"/>
          </w:rPr>
          <w:t>https://doi.org/10.2903/j.efsa.2026.9846</w:t>
        </w:r>
      </w:hyperlink>
      <w:r w:rsidRPr="00A80126">
        <w:rPr>
          <w:rStyle w:val="Hyperlink"/>
          <w:sz w:val="24"/>
          <w:lang w:val="hu-HU"/>
        </w:rPr>
        <w:t>.</w:t>
      </w:r>
    </w:p>
  </w:footnote>
  <w:footnote w:id="6">
    <w:p w:rsidR="008A39C0" w:rsidRPr="0001087E" w:rsidP="0001087E" w14:paraId="731B4311" w14:textId="464B8E50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01087E">
        <w:rPr>
          <w:rStyle w:val="Funotenzeichen"/>
          <w:sz w:val="24"/>
          <w:lang w:val="hu-HU"/>
        </w:rPr>
        <w:footnoteRef/>
      </w:r>
      <w:r w:rsidRPr="0001087E" w:rsidR="0001087E">
        <w:rPr>
          <w:sz w:val="24"/>
          <w:lang w:val="hu-HU"/>
        </w:rPr>
        <w:t xml:space="preserve"> </w:t>
      </w:r>
      <w:r w:rsidRPr="0001087E" w:rsidR="0001087E">
        <w:rPr>
          <w:sz w:val="24"/>
          <w:lang w:val="hu-HU"/>
        </w:rPr>
        <w:tab/>
      </w:r>
      <w:r w:rsidRPr="0001087E">
        <w:rPr>
          <w:sz w:val="24"/>
          <w:lang w:val="hu-HU"/>
        </w:rPr>
        <w:t>A nyolcadik parlamenti ciklusban a Parlament 36, a kilencedik ciklusban pedig 38 olyan állásfoglalást fogadott el, amelyben kifogást emelt GMO-k engedélyezésével szemben.</w:t>
      </w:r>
      <w:r w:rsidRPr="0001087E">
        <w:rPr>
          <w:color w:val="000000" w:themeColor="text1"/>
          <w:sz w:val="24"/>
          <w:lang w:val="hu-HU"/>
        </w:rPr>
        <w:t xml:space="preserve"> Emellett a tizedik parlamenti ciklus során a következő állásfoglalásokat fogadta el:</w:t>
      </w:r>
    </w:p>
    <w:p w:rsidR="008A39C0" w:rsidRPr="0001087E" w:rsidP="00B33C38" w14:paraId="77E8E9AB" w14:textId="47025600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01087E">
        <w:rPr>
          <w:color w:val="000000" w:themeColor="text1"/>
          <w:sz w:val="24"/>
          <w:lang w:val="hu-HU"/>
        </w:rPr>
        <w:t>–</w:t>
      </w:r>
      <w:r w:rsidRPr="0001087E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89034 × 1507 × NK603 kukoricát tartalmazó, abból álló vagy abból előállított termékek forgalomba hozatalának az 1829/2003/EK európai parlamenti és tanácsi rendelet szerinti engedélyezésének megújításáról szóló (EU) 2024/2628 bizottsági végrehajtási határozatról (HL C, C/2025/1797, 2025.4.4., ELI: </w:t>
      </w:r>
      <w:hyperlink r:id="rId5" w:history="1">
        <w:r w:rsidRPr="0001087E">
          <w:rPr>
            <w:rStyle w:val="Hyperlink"/>
            <w:sz w:val="24"/>
            <w:lang w:val="hu-HU"/>
          </w:rPr>
          <w:t>http://data.europa.eu/eli/C/2025/1797/oj</w:t>
        </w:r>
      </w:hyperlink>
      <w:r w:rsidRPr="0001087E">
        <w:rPr>
          <w:color w:val="000000" w:themeColor="text1"/>
          <w:sz w:val="24"/>
          <w:lang w:val="hu-HU"/>
        </w:rPr>
        <w:t>).</w:t>
      </w:r>
    </w:p>
    <w:p w:rsidR="008A39C0" w:rsidRPr="0001087E" w:rsidP="00B02C04" w14:paraId="3D59471F" w14:textId="3FAA075B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01087E">
        <w:rPr>
          <w:color w:val="000000" w:themeColor="text1"/>
          <w:sz w:val="24"/>
          <w:lang w:val="hu-HU"/>
        </w:rPr>
        <w:t>–</w:t>
      </w:r>
      <w:r w:rsidRPr="0001087E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COT102 gyapotot tartalmazó, abból álló vagy abból előállított termékek forgalomba hozatalának az 1829/2003/EK európai parlamenti és tanácsi rendelet szerinti engedélyezéséről szóló (EU) 2024/2627 bizottsági végrehajtási határozatról (HL C, C/2025/1798, 2025.4.4., ELI: </w:t>
      </w:r>
      <w:hyperlink r:id="rId6" w:history="1">
        <w:r w:rsidRPr="0001087E">
          <w:rPr>
            <w:rStyle w:val="Hyperlink"/>
            <w:sz w:val="24"/>
            <w:lang w:val="hu-HU"/>
          </w:rPr>
          <w:t>http://data.europa.eu/eli/C/2025/1798/oj</w:t>
        </w:r>
      </w:hyperlink>
      <w:r w:rsidRPr="0001087E">
        <w:rPr>
          <w:color w:val="000000" w:themeColor="text1"/>
          <w:sz w:val="24"/>
          <w:lang w:val="hu-HU"/>
        </w:rPr>
        <w:t>).</w:t>
      </w:r>
    </w:p>
    <w:p w:rsidR="008A39C0" w:rsidRPr="0001087E" w:rsidP="00B02C04" w14:paraId="250A4FCC" w14:textId="78E9013A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01087E">
        <w:rPr>
          <w:color w:val="000000" w:themeColor="text1"/>
          <w:sz w:val="24"/>
          <w:lang w:val="hu-HU"/>
        </w:rPr>
        <w:t>–</w:t>
      </w:r>
      <w:r w:rsidRPr="0001087E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89034 × 1507 × MON 88017 × 59122 kukoricát és nyolc alkombinációját tartalmazó, abból álló vagy abból előállított termékek forgalomba hozatalának az 1829/2003/EK európai parlamenti és tanácsi rendelet szerinti engedélyezésének megújításáról szóló (EU) 2024/2629 bizottsági végrehajtási határozatról (HL C, C/2025/1799, 2025.4.4., ELI: </w:t>
      </w:r>
      <w:hyperlink r:id="rId7" w:history="1">
        <w:r w:rsidRPr="0001087E">
          <w:rPr>
            <w:rStyle w:val="Hyperlink"/>
            <w:sz w:val="24"/>
            <w:lang w:val="hu-HU"/>
          </w:rPr>
          <w:t>http://data.europa.eu/eli/C/2025/1799/oj</w:t>
        </w:r>
      </w:hyperlink>
      <w:r w:rsidRPr="0001087E">
        <w:rPr>
          <w:color w:val="000000" w:themeColor="text1"/>
          <w:sz w:val="24"/>
          <w:lang w:val="hu-HU"/>
        </w:rPr>
        <w:t>).</w:t>
      </w:r>
    </w:p>
    <w:p w:rsidR="008A39C0" w:rsidRPr="0001087E" w:rsidP="00B02C04" w14:paraId="17A40F4B" w14:textId="1DE0FFBD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01087E">
        <w:rPr>
          <w:color w:val="000000" w:themeColor="text1"/>
          <w:sz w:val="24"/>
          <w:lang w:val="hu-HU"/>
        </w:rPr>
        <w:t>–</w:t>
      </w:r>
      <w:r w:rsidRPr="0001087E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810 kukoricát tartalmazó, abból álló takarmányok vagy abból előállított takarmány- és élelmiszertermékek forgalomba hozatalára vonatkozó engedély 1829/2003/EK európai parlamenti és tanácsi rendelet szerinti megújításáról, valamint az (EU) 2017/1207 bizottsági végrehajtási határozat hatályon kívül helyezéséről szóló (EU) 2024/1828 bizottsági végrehajtási határozatról (HL C, C/2025/1800, 2025.4.4., ELI: </w:t>
      </w:r>
      <w:hyperlink r:id="rId8" w:history="1">
        <w:r w:rsidRPr="0001087E">
          <w:rPr>
            <w:rStyle w:val="Hyperlink"/>
            <w:sz w:val="24"/>
            <w:lang w:val="hu-HU"/>
          </w:rPr>
          <w:t>http://data.europa.eu/eli/C/2025/1800/oj</w:t>
        </w:r>
      </w:hyperlink>
      <w:r w:rsidRPr="0001087E">
        <w:rPr>
          <w:color w:val="000000" w:themeColor="text1"/>
          <w:sz w:val="24"/>
          <w:lang w:val="hu-HU"/>
        </w:rPr>
        <w:t>).</w:t>
      </w:r>
    </w:p>
    <w:p w:rsidR="008A39C0" w:rsidRPr="0001087E" w:rsidP="00B02C04" w14:paraId="0BEB5CFB" w14:textId="5BBFBE44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01087E">
        <w:rPr>
          <w:color w:val="000000" w:themeColor="text1"/>
          <w:sz w:val="24"/>
          <w:lang w:val="hu-HU"/>
        </w:rPr>
        <w:t>–</w:t>
      </w:r>
      <w:r w:rsidRPr="0001087E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DP915635 kukoricát tartalmazó, abból álló vagy abból előállított termékek forgalomba hozatalának az 1829/2003/EK európai parlamenti és tanácsi rendelet szerinti engedélyezéséről szóló (EU) 2024/1822 bizottsági végrehajtási határozatról (HL C, C/2025/1801, 2025.4.4., ELI: </w:t>
      </w:r>
      <w:hyperlink r:id="rId9" w:history="1">
        <w:r w:rsidRPr="0001087E">
          <w:rPr>
            <w:rStyle w:val="Hyperlink"/>
            <w:sz w:val="24"/>
            <w:lang w:val="hu-HU"/>
          </w:rPr>
          <w:t>http://data.europa.eu/eli/C/2025/1801/oj</w:t>
        </w:r>
      </w:hyperlink>
      <w:r w:rsidRPr="0001087E">
        <w:rPr>
          <w:color w:val="000000" w:themeColor="text1"/>
          <w:sz w:val="24"/>
          <w:lang w:val="hu-HU"/>
        </w:rPr>
        <w:t>).</w:t>
      </w:r>
    </w:p>
    <w:p w:rsidR="008A39C0" w:rsidRPr="0001087E" w:rsidP="00B02C04" w14:paraId="5F5ACD84" w14:textId="65F310EA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01087E">
        <w:rPr>
          <w:color w:val="000000" w:themeColor="text1"/>
          <w:sz w:val="24"/>
          <w:lang w:val="hu-HU"/>
        </w:rPr>
        <w:t>–</w:t>
      </w:r>
      <w:r w:rsidRPr="0001087E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DP23211 kukoricát tartalmazó, abból álló vagy abból előállított termékek forgalomba hozatalának az 1829/2003/EK európai parlamenti és tanácsi rendelet szerinti engedélyezéséről szóló (EU) 2024/1826 bizottsági végrehajtási határozatról (HL C, C/2025/1802, 2025.4.4., ELI: </w:t>
      </w:r>
      <w:hyperlink r:id="rId10" w:history="1">
        <w:r w:rsidRPr="0001087E">
          <w:rPr>
            <w:rStyle w:val="Hyperlink"/>
            <w:sz w:val="24"/>
            <w:lang w:val="hu-HU"/>
          </w:rPr>
          <w:t>http://data.europa.eu/eli/C/2025/1802/oj</w:t>
        </w:r>
      </w:hyperlink>
      <w:r w:rsidRPr="0001087E">
        <w:rPr>
          <w:color w:val="000000" w:themeColor="text1"/>
          <w:sz w:val="24"/>
          <w:lang w:val="hu-HU"/>
        </w:rPr>
        <w:t>).</w:t>
      </w:r>
    </w:p>
    <w:p w:rsidR="008A39C0" w:rsidRPr="0001087E" w:rsidP="00B33C38" w14:paraId="398B33F8" w14:textId="38DCD586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01087E">
        <w:rPr>
          <w:color w:val="000000" w:themeColor="text1"/>
          <w:sz w:val="24"/>
          <w:lang w:val="hu-HU"/>
        </w:rPr>
        <w:t>–</w:t>
      </w:r>
      <w:r w:rsidRPr="0001087E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DP202216 kukoricát tartalmazó, abból álló vagy abból előállított termékek forgalomba hozatalának az 1829/2003/EK európai parlamenti és tanácsi rendelet szerinti engedélyezéséről szóló (EU) 2024/2618 bizottsági végrehajtási határozatról (HL C, C/2025/1803, 2025.4.4., ELI: </w:t>
      </w:r>
      <w:hyperlink r:id="rId11" w:history="1">
        <w:r w:rsidRPr="0001087E">
          <w:rPr>
            <w:rStyle w:val="Hyperlink"/>
            <w:sz w:val="24"/>
            <w:lang w:val="hu-HU"/>
          </w:rPr>
          <w:t>http://data.europa.eu/eli/C/2025/1803/oj</w:t>
        </w:r>
      </w:hyperlink>
      <w:r w:rsidRPr="0001087E">
        <w:rPr>
          <w:color w:val="000000" w:themeColor="text1"/>
          <w:sz w:val="24"/>
          <w:lang w:val="hu-HU"/>
        </w:rPr>
        <w:t>).</w:t>
      </w:r>
    </w:p>
    <w:p w:rsidR="008A39C0" w:rsidRPr="0001087E" w:rsidP="00B33C38" w14:paraId="2C5583F7" w14:textId="0AF83A78">
      <w:pPr>
        <w:pStyle w:val="FootnoteText"/>
        <w:ind w:left="1134" w:hanging="567"/>
        <w:rPr>
          <w:color w:val="000000" w:themeColor="text1"/>
          <w:sz w:val="24"/>
          <w:vertAlign w:val="superscript"/>
          <w:lang w:val="hu-HU"/>
        </w:rPr>
      </w:pPr>
      <w:r w:rsidRPr="0001087E">
        <w:rPr>
          <w:color w:val="000000" w:themeColor="text1"/>
          <w:sz w:val="24"/>
          <w:lang w:val="hu-HU"/>
        </w:rPr>
        <w:t>–</w:t>
      </w:r>
      <w:r w:rsidRPr="0001087E">
        <w:rPr>
          <w:color w:val="000000" w:themeColor="text1"/>
          <w:sz w:val="24"/>
          <w:lang w:val="hu-HU"/>
        </w:rPr>
        <w:tab/>
        <w:t>Az Európai Parlament 2024. november 26-i állásfoglalása a géntechnológiával módosított MON 94804 kukoricát tartalmazó, abból álló vagy abból előállított termékek forgalomba hozatalának az 1829/2003/EK európai parlamenti és tanácsi rendelet szerinti engedélyezéséről szóló bizottsági végrehajtási határozat tervezetéről (HL C, C/2025/1804, 2025.4.4., ELI: </w:t>
      </w:r>
      <w:hyperlink r:id="rId12" w:history="1">
        <w:r w:rsidRPr="0001087E">
          <w:rPr>
            <w:rStyle w:val="Hyperlink"/>
            <w:sz w:val="24"/>
            <w:lang w:val="hu-HU"/>
          </w:rPr>
          <w:t>http://data.europa.eu/eli/C/2025/1804/oj</w:t>
        </w:r>
      </w:hyperlink>
      <w:r w:rsidRPr="0001087E">
        <w:rPr>
          <w:color w:val="000000" w:themeColor="text1"/>
          <w:sz w:val="24"/>
          <w:lang w:val="hu-HU"/>
        </w:rPr>
        <w:t>).</w:t>
      </w:r>
    </w:p>
    <w:p w:rsidR="008A39C0" w:rsidRPr="0001087E" w:rsidP="00B02C04" w14:paraId="67B47085" w14:textId="6FE7B754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color w:val="000000" w:themeColor="text1"/>
          <w:sz w:val="24"/>
          <w:lang w:val="hu-HU"/>
        </w:rPr>
        <w:t>–</w:t>
      </w:r>
      <w:r w:rsidRPr="0001087E">
        <w:rPr>
          <w:color w:val="000000" w:themeColor="text1"/>
          <w:sz w:val="24"/>
          <w:lang w:val="hu-HU"/>
        </w:rPr>
        <w:tab/>
      </w:r>
      <w:r w:rsidRPr="0001087E">
        <w:rPr>
          <w:sz w:val="24"/>
          <w:lang w:val="hu-HU"/>
        </w:rPr>
        <w:t>Az Európai Parlament 2025. február 12-i állásfoglalása a géntechnológiával módosított DP910521 kukoricát tartalmazó, abból álló vagy abból előállított termékek forgalomba hozatalának az 1829/2003/EK európai parlamenti és tanácsi rendelet szerinti engedélyezéséről szóló bizottsági végrehajtási határozat tervezetéről (HL C, C/2025/2246, 2025.4.29., ELI: </w:t>
      </w:r>
      <w:hyperlink r:id="rId13" w:tooltip="Az ELI (európai jogszabály-azonosító) URI-hivatkozása révén biztosít hozzáférést a dokumentumhoz." w:history="1">
        <w:r w:rsidRPr="0001087E">
          <w:rPr>
            <w:rStyle w:val="Hyperlink"/>
            <w:sz w:val="24"/>
            <w:lang w:val="hu-HU"/>
          </w:rPr>
          <w:t>http://data.europa.eu/eli/C/2025/2246/oj</w:t>
        </w:r>
      </w:hyperlink>
      <w:r w:rsidRPr="0001087E">
        <w:rPr>
          <w:sz w:val="24"/>
          <w:lang w:val="hu-HU"/>
        </w:rPr>
        <w:t>).</w:t>
      </w:r>
    </w:p>
    <w:p w:rsidR="008A39C0" w:rsidRPr="0001087E" w:rsidP="00B02C04" w14:paraId="104D9DB3" w14:textId="2770F206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2025. február 12-i állásfoglalása a géntechnológiával módosított MON 95275 kukoricát tartalmazó, abból álló vagy abból előállított termékek forgalomba hozatalának az 1829/2003/EK európai parlamenti és tanácsi rendelet szerinti engedélyezéséről szóló bizottsági végrehajtási határozat tervezetéről (HL C, C/2025/2247, 2025.4.29., ELI: </w:t>
      </w:r>
      <w:hyperlink r:id="rId14" w:tooltip="Az ELI (európai jogszabály-azonosító) URI-hivatkozása révén biztosít hozzáférést a dokumentumhoz." w:history="1">
        <w:r w:rsidRPr="0001087E">
          <w:rPr>
            <w:rStyle w:val="Hyperlink"/>
            <w:sz w:val="24"/>
            <w:lang w:val="hu-HU"/>
          </w:rPr>
          <w:t>http://data.europa.eu/eli/C/2025/2247/oj</w:t>
        </w:r>
      </w:hyperlink>
      <w:r w:rsidRPr="0001087E">
        <w:rPr>
          <w:sz w:val="24"/>
          <w:lang w:val="hu-HU"/>
        </w:rPr>
        <w:t>).</w:t>
      </w:r>
    </w:p>
    <w:p w:rsidR="008A39C0" w:rsidRPr="0001087E" w:rsidP="00B02C04" w14:paraId="0CA7876A" w14:textId="3301A839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2025. május 8-i állásfoglalása a géntechnológiával módosított MON 87705 × MON 87708 × MON 89788 szójababot tartalmazó, abból álló vagy abból előállított termékek forgalomba hozatalának az 1829/2003/EK európai parlamenti és tanácsi rendelet szerinti engedélyezéséről szóló bizottsági végrehajtási határozat tervezetéről (HL C, C/2026/586, 2026.2.24., ELI: </w:t>
      </w:r>
      <w:hyperlink r:id="rId15" w:tooltip="Az ELI (európai jogszabály-azonosító) URI-hivatkozása révén biztosít hozzáférést a dokumentumhoz." w:history="1">
        <w:r w:rsidRPr="0001087E">
          <w:rPr>
            <w:rStyle w:val="Hyperlink"/>
            <w:sz w:val="24"/>
            <w:lang w:val="hu-HU"/>
          </w:rPr>
          <w:t>http://data.europa.eu/eli/C/2026/586/oj</w:t>
        </w:r>
      </w:hyperlink>
      <w:r w:rsidRPr="0001087E">
        <w:rPr>
          <w:sz w:val="24"/>
          <w:lang w:val="hu-HU"/>
        </w:rPr>
        <w:t>).</w:t>
      </w:r>
    </w:p>
    <w:p w:rsidR="008A39C0" w:rsidRPr="0001087E" w:rsidP="00B02C04" w14:paraId="1202A781" w14:textId="619F5697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2025. október 8-i állásfoglalása a géntechnológiával módosított DP51291 kukoricát tartalmazó, abból álló vagy abból előállított termékek forgalomba hozatalának az 1829/2003/EK európai parlamenti és tanácsi rendelet szerinti engedélyezéséről szóló, 2025. szeptember 22-i (EU) 2025/1898 bizottsági végrehajtási határozatról (HL C, C/2026/1523, 2026.4.15., ELI: </w:t>
      </w:r>
      <w:hyperlink r:id="rId16" w:history="1">
        <w:r w:rsidRPr="0001087E">
          <w:rPr>
            <w:rStyle w:val="Hyperlink"/>
            <w:sz w:val="24"/>
            <w:lang w:val="hu-HU"/>
          </w:rPr>
          <w:t>http://data.europa.eu/eli/C/2026/1523/oj</w:t>
        </w:r>
      </w:hyperlink>
      <w:r w:rsidRPr="0001087E">
        <w:rPr>
          <w:sz w:val="24"/>
          <w:lang w:val="hu-HU"/>
        </w:rPr>
        <w:t>).</w:t>
      </w:r>
    </w:p>
    <w:p w:rsidR="008A39C0" w:rsidRPr="0001087E" w:rsidP="00B02C04" w14:paraId="0AE0C9F9" w14:textId="38C9CE6D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2025. november 25-i állásfoglalása a géntechnológiával módosított DAS1131 kukoricát tartalmazó, abból álló vagy abból előállított termékek forgalomba hozatalának az 1829/2003/EK európai parlamenti és tanácsi rendelet szerinti engedélyezéséről szóló bizottsági végrehajtási határozat tervezetéről (HL C, C/2026/1703, 2026.4.24., ELI: </w:t>
      </w:r>
      <w:hyperlink r:id="rId17" w:history="1">
        <w:r w:rsidRPr="0001087E">
          <w:rPr>
            <w:rStyle w:val="Hyperlink"/>
            <w:sz w:val="24"/>
            <w:lang w:val="hu-HU"/>
          </w:rPr>
          <w:t>http://data.europa.eu/eli/C/2026/1703/oj</w:t>
        </w:r>
      </w:hyperlink>
      <w:r w:rsidRPr="0001087E">
        <w:rPr>
          <w:sz w:val="24"/>
          <w:lang w:val="hu-HU"/>
        </w:rPr>
        <w:t>).</w:t>
      </w:r>
    </w:p>
    <w:p w:rsidR="008A39C0" w:rsidRPr="0001087E" w:rsidP="00B02C04" w14:paraId="6CB0FB38" w14:textId="3100F0D5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2025. november 25-i állásfoglalása a géntechnológiával módosított MON 88913 (MON-88913-8) gyapotot tartalmazó, abból álló vagy abból előállított termékek forgalomba hozatalának az 1829/2003/EK európai parlamenti és tanácsi rendelet szerinti engedélyezésének megújításáról szóló bizottsági végrehajtási határozat tervezetéről (HL C, C/2026/1704, 2026.4.24., ELI: </w:t>
      </w:r>
      <w:hyperlink r:id="rId18" w:history="1">
        <w:r w:rsidRPr="0001087E">
          <w:rPr>
            <w:rStyle w:val="Hyperlink"/>
            <w:sz w:val="24"/>
            <w:lang w:val="hu-HU"/>
          </w:rPr>
          <w:t>http://data.europa.eu/eli/C/2026/1704/oj</w:t>
        </w:r>
      </w:hyperlink>
      <w:r w:rsidRPr="0001087E">
        <w:rPr>
          <w:sz w:val="24"/>
          <w:lang w:val="hu-HU"/>
        </w:rPr>
        <w:t>).</w:t>
      </w:r>
    </w:p>
    <w:p w:rsidR="008A39C0" w:rsidRPr="0001087E" w:rsidP="00B02C04" w14:paraId="5CA28229" w14:textId="0C23EEED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2025. november 25-i állásfoglalása a géntechnológiával módosított MON 88302 olajrepcét tartalmazó, abból álló vagy abból előállított termékek forgalomba hozatalának az 1829/2003/EK európai parlamenti és tanácsi rendelet szerinti engedélyezésének megújításáról szóló bizottsági végrehajtási határozat tervezetéről (HL C, C/2026/1705, 2026.4.24., ELI: </w:t>
      </w:r>
      <w:hyperlink r:id="rId19" w:history="1">
        <w:r w:rsidRPr="0001087E">
          <w:rPr>
            <w:rStyle w:val="Hyperlink"/>
            <w:sz w:val="24"/>
            <w:lang w:val="hu-HU"/>
          </w:rPr>
          <w:t>http://data.europa.eu/eli/C/2026/1705/oj</w:t>
        </w:r>
      </w:hyperlink>
      <w:r w:rsidRPr="0001087E">
        <w:rPr>
          <w:sz w:val="24"/>
          <w:lang w:val="hu-HU"/>
        </w:rPr>
        <w:t>).</w:t>
      </w:r>
    </w:p>
    <w:p w:rsidR="008A39C0" w:rsidRPr="0001087E" w:rsidP="00B02C04" w14:paraId="6168519C" w14:textId="5991C1E1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2025. november 25-i állásfoglalása a géntechnológiával módosított MON 87708 szójababot tartalmazó, abból álló vagy abból előállított termékek forgalomba hozatalának az 1829/2003/EK európai parlamenti és tanácsi rendelet szerinti engedélyezésének megújításáról szóló bizottsági végrehajtási határozatról (HL C, C/2026/1706, 2026.4.24., ELI: </w:t>
      </w:r>
      <w:hyperlink r:id="rId20" w:history="1">
        <w:r w:rsidRPr="0001087E">
          <w:rPr>
            <w:rStyle w:val="Hyperlink"/>
            <w:sz w:val="24"/>
            <w:lang w:val="hu-HU"/>
          </w:rPr>
          <w:t>http://data.europa.eu/eli/C/2026/1706/oj</w:t>
        </w:r>
      </w:hyperlink>
      <w:r w:rsidRPr="0001087E">
        <w:rPr>
          <w:sz w:val="24"/>
          <w:lang w:val="hu-HU"/>
        </w:rPr>
        <w:t>).</w:t>
      </w:r>
    </w:p>
    <w:p w:rsidR="008A39C0" w:rsidRPr="0001087E" w:rsidP="00B02C04" w14:paraId="7A0FAB08" w14:textId="47C7AF07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2025. november 25-i állásfoglalása a géntechnológiával módosított MON 87427 kukoricát tartalmazó, abból álló vagy abból előállított termékek forgalomba hozatalának az 1829/2003/EK európai parlamenti és tanácsi rendelet szerinti engedélyezésének megújításáról szóló bizottsági végrehajtási határozat tervezetéről (HL C, C/2026/1707, 2026.4.24., ELI: </w:t>
      </w:r>
      <w:hyperlink r:id="rId21" w:history="1">
        <w:r w:rsidRPr="0001087E">
          <w:rPr>
            <w:rStyle w:val="Hyperlink"/>
            <w:sz w:val="24"/>
            <w:lang w:val="hu-HU"/>
          </w:rPr>
          <w:t>http://data.europa.eu/eli/C/2026/1707/oj</w:t>
        </w:r>
      </w:hyperlink>
      <w:r w:rsidRPr="0001087E">
        <w:rPr>
          <w:sz w:val="24"/>
          <w:lang w:val="hu-HU"/>
        </w:rPr>
        <w:t>).</w:t>
      </w:r>
    </w:p>
    <w:p w:rsidR="008A39C0" w:rsidRPr="0001087E" w:rsidP="00B02C04" w14:paraId="4621382F" w14:textId="529274A9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2025. december 16-i állásfoglalása a géntechnológiával módosított NK603 kukoricát tartalmazó, abból álló vagy abból előállított termékek forgalomba hozatalának az 1829/2003/EK európai parlamenti és tanácsi rendelet szerinti engedélyezésének megújításáról szóló bizottsági végrehajtási határozat tervezetéről (HL C, C/2026/2150, 2026.5.6., ELI: </w:t>
      </w:r>
      <w:hyperlink r:id="rId22" w:history="1">
        <w:r w:rsidRPr="0001087E">
          <w:rPr>
            <w:rStyle w:val="Hyperlink"/>
            <w:sz w:val="24"/>
            <w:lang w:val="hu-HU"/>
          </w:rPr>
          <w:t>http://data.europa.eu/eli/C/2026/2150/oj</w:t>
        </w:r>
      </w:hyperlink>
      <w:r w:rsidRPr="0001087E">
        <w:rPr>
          <w:sz w:val="24"/>
          <w:lang w:val="hu-HU"/>
        </w:rPr>
        <w:t>).</w:t>
      </w:r>
    </w:p>
    <w:p w:rsidR="008A39C0" w:rsidRPr="0001087E" w:rsidP="00B02C04" w14:paraId="03753AAB" w14:textId="57925E6B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2025. december 16-i állásfoglalása a géntechnológiával módosított KWS20-1 cukorrépából előállított élelmiszerek, élelmiszer-összetevők és takarmányok forgalomba hozatalának az 1829/2003/EK európai parlamenti és tanácsi rendelet szerinti engedélyezéséről szóló bizottsági végrehajtási határozat tervezetéről (HL C, C/2026/2151, 2026.5.6., ELI: </w:t>
      </w:r>
      <w:hyperlink r:id="rId23" w:history="1">
        <w:r w:rsidRPr="0001087E">
          <w:rPr>
            <w:rStyle w:val="Hyperlink"/>
            <w:sz w:val="24"/>
            <w:lang w:val="hu-HU"/>
          </w:rPr>
          <w:t>http://data.europa.eu/eli/C/2026/2151/oj</w:t>
        </w:r>
      </w:hyperlink>
      <w:r w:rsidRPr="0001087E">
        <w:rPr>
          <w:sz w:val="24"/>
          <w:lang w:val="hu-HU"/>
        </w:rPr>
        <w:t>).</w:t>
      </w:r>
    </w:p>
    <w:p w:rsidR="008A39C0" w:rsidRPr="0001087E" w:rsidP="00B02C04" w14:paraId="4358728F" w14:textId="253D25B6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állásfoglalása (2026. február 11.) a géntechnológiával módosított DBN-09004-6 szójababot tartalmazó, abból álló vagy abból előállított termékek forgalomba hozatalának az 1829/2003/EK európai parlamenti és tanácsi rendelet szerinti engedélyezéséről szóló bizottsági végrehajtási határozat tervezetéről (Elfogadott szövegek, P10_</w:t>
      </w:r>
      <w:r w:rsidRPr="0001087E">
        <w:rPr>
          <w:sz w:val="24"/>
          <w:lang w:val="hu-HU"/>
        </w:rPr>
        <w:t>TA(</w:t>
      </w:r>
      <w:r w:rsidRPr="0001087E">
        <w:rPr>
          <w:sz w:val="24"/>
          <w:lang w:val="hu-HU"/>
        </w:rPr>
        <w:t>2026)0041).</w:t>
      </w:r>
    </w:p>
    <w:p w:rsidR="008A39C0" w:rsidRPr="0001087E" w:rsidP="00B02C04" w14:paraId="332FB9E2" w14:textId="646AD575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állásfoglalása (2026. február 11.) a géntechnológiával módosított T25 (ACS-ZMØØ3-2) kukoricát tartalmazó, abból álló vagy abból előállított termékek forgalomba hozatalának az 1829/2003/EK európai parlamenti és tanácsi rendelet szerinti engedélyezésének megújításáról szóló bizottsági végrehajtási határozat tervezetéről (Elfogadott szövegek, P10_</w:t>
      </w:r>
      <w:r w:rsidRPr="0001087E">
        <w:rPr>
          <w:sz w:val="24"/>
          <w:lang w:val="hu-HU"/>
        </w:rPr>
        <w:t>TA(</w:t>
      </w:r>
      <w:r w:rsidRPr="0001087E">
        <w:rPr>
          <w:sz w:val="24"/>
          <w:lang w:val="hu-HU"/>
        </w:rPr>
        <w:t>2026)0042),</w:t>
      </w:r>
    </w:p>
    <w:p w:rsidR="008A39C0" w:rsidRPr="0001087E" w:rsidP="00B02C04" w14:paraId="48FAD616" w14:textId="718BD59F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állásfoglalása (2026. február 11.) a géntechnológiával módosított GHB614 × LLCotton25 gyapotot tartalmazó, abból álló vagy abból előállított termékek forgalomba hozatalának az 1829/2003/EK európai parlamenti és tanácsi rendelet szerinti engedélyezésének megújításáról szóló bizottsági végrehajtási határozat tervezetéről (Elfogadott szövegek, P10_</w:t>
      </w:r>
      <w:r w:rsidRPr="0001087E">
        <w:rPr>
          <w:sz w:val="24"/>
          <w:lang w:val="hu-HU"/>
        </w:rPr>
        <w:t>TA(</w:t>
      </w:r>
      <w:r w:rsidRPr="0001087E">
        <w:rPr>
          <w:sz w:val="24"/>
          <w:lang w:val="hu-HU"/>
        </w:rPr>
        <w:t>2026)0043).</w:t>
      </w:r>
    </w:p>
    <w:p w:rsidR="008A39C0" w:rsidRPr="0001087E" w:rsidP="00B02C04" w14:paraId="59F3F2AA" w14:textId="1C8F3916">
      <w:pPr>
        <w:pStyle w:val="FootnoteText"/>
        <w:ind w:left="1134" w:hanging="567"/>
        <w:rPr>
          <w:sz w:val="24"/>
          <w:vertAlign w:val="superscript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állásfoglalása (2026. február 11.) a géntechnológiával módosított T304-40 gyapotot tartalmazó, abból álló vagy abból előállított termékek forgalomba hozatalának az 1829/2003/EK európai parlamenti és tanácsi rendelet szerinti engedélyezésének megújításáról szóló bizottsági végrehajtási határozat tervezetéről (Elfogadott szövegek, P10_</w:t>
      </w:r>
      <w:r w:rsidRPr="0001087E">
        <w:rPr>
          <w:sz w:val="24"/>
          <w:lang w:val="hu-HU"/>
        </w:rPr>
        <w:t>TA(</w:t>
      </w:r>
      <w:r w:rsidRPr="0001087E">
        <w:rPr>
          <w:sz w:val="24"/>
          <w:lang w:val="hu-HU"/>
        </w:rPr>
        <w:t>2026)0044).</w:t>
      </w:r>
    </w:p>
    <w:p w:rsidR="008A39C0" w:rsidRPr="0001087E" w:rsidP="00B02C04" w14:paraId="7EB15A71" w14:textId="489C2ACD">
      <w:pPr>
        <w:pStyle w:val="FootnoteText"/>
        <w:ind w:left="1134" w:hanging="567"/>
        <w:rPr>
          <w:sz w:val="24"/>
          <w:lang w:val="hu-HU"/>
        </w:rPr>
      </w:pPr>
      <w:r w:rsidRPr="0001087E">
        <w:rPr>
          <w:sz w:val="24"/>
          <w:lang w:val="hu-HU"/>
        </w:rPr>
        <w:t>–</w:t>
      </w:r>
      <w:r w:rsidRPr="0001087E">
        <w:rPr>
          <w:sz w:val="24"/>
          <w:lang w:val="hu-HU"/>
        </w:rPr>
        <w:tab/>
        <w:t>Az Európai Parlament állásfoglalása (20</w:t>
      </w:r>
      <w:r w:rsidR="00533242">
        <w:rPr>
          <w:sz w:val="24"/>
          <w:lang w:val="hu-HU"/>
        </w:rPr>
        <w:t>26</w:t>
      </w:r>
      <w:r w:rsidRPr="0001087E">
        <w:rPr>
          <w:sz w:val="24"/>
          <w:lang w:val="hu-HU"/>
        </w:rPr>
        <w:t>. április 29.) a géntechnológiával módosított MON 94637 szójababot tartalmazó, abból álló vagy abból előállított termékek forgalomba hozatalának az 1829/2003/EK európai parlamenti és tanácsi rendelet szerinti engedélyezéséről szóló bizottsági végrehajtási határozat tervezetéről (Elfogadott szövegek, P10_</w:t>
      </w:r>
      <w:r w:rsidRPr="0001087E">
        <w:rPr>
          <w:sz w:val="24"/>
          <w:lang w:val="hu-HU"/>
        </w:rPr>
        <w:t>TA(</w:t>
      </w:r>
      <w:r w:rsidRPr="0001087E">
        <w:rPr>
          <w:sz w:val="24"/>
          <w:lang w:val="hu-HU"/>
        </w:rPr>
        <w:t>2026)0150).</w:t>
      </w:r>
    </w:p>
  </w:footnote>
  <w:footnote w:id="7">
    <w:p w:rsidR="008A39C0" w:rsidRPr="0001087E" w:rsidP="0001087E" w14:paraId="74E79676" w14:textId="3D8D8BB4">
      <w:pPr>
        <w:pStyle w:val="FootnoteText"/>
        <w:ind w:left="567" w:hanging="567"/>
        <w:rPr>
          <w:sz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lang w:val="hu-HU"/>
        </w:rPr>
        <w:t xml:space="preserve"> </w:t>
      </w:r>
      <w:r w:rsidRPr="0001087E" w:rsidR="0001087E">
        <w:rPr>
          <w:sz w:val="24"/>
          <w:lang w:val="hu-HU"/>
        </w:rPr>
        <w:tab/>
      </w:r>
      <w:r w:rsidRPr="0001087E">
        <w:rPr>
          <w:sz w:val="24"/>
          <w:lang w:val="hu-HU"/>
        </w:rPr>
        <w:t>A Bizottság (EU) 2015/696 végrehajtási határozata (2015. április 24.) a géntechnológiával módosított MON87705 (MON-877Ø5-6) szójababot tartalmazó, abból álló vagy abból előállított termékek forgalomba hozatalának az 1829/2003/EK európai parlamenti és tanácsi rendelet szerinti engedélyezéséről (HL L 112., 2015.4.30., 60. o., ELI: </w:t>
      </w:r>
      <w:hyperlink r:id="rId24" w:history="1">
        <w:r w:rsidRPr="0001087E">
          <w:rPr>
            <w:rStyle w:val="Hyperlink"/>
            <w:sz w:val="24"/>
            <w:lang w:val="hu-HU"/>
          </w:rPr>
          <w:t>http://data.europa.eu/eli/dec_impl/2015/696/2021-02-16</w:t>
        </w:r>
      </w:hyperlink>
      <w:r w:rsidRPr="0001087E">
        <w:rPr>
          <w:sz w:val="24"/>
          <w:lang w:val="hu-HU"/>
        </w:rPr>
        <w:t>).</w:t>
      </w:r>
    </w:p>
  </w:footnote>
  <w:footnote w:id="8">
    <w:p w:rsidR="008A39C0" w:rsidRPr="00A80126" w:rsidP="0001087E" w14:paraId="73841EFB" w14:textId="6AC5D16C">
      <w:pPr>
        <w:pStyle w:val="FootnoteText"/>
        <w:ind w:left="567" w:hanging="567"/>
        <w:rPr>
          <w:sz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lang w:val="hu-HU"/>
        </w:rPr>
        <w:t xml:space="preserve"> </w:t>
      </w:r>
      <w:r w:rsidRPr="0001087E" w:rsidR="0001087E">
        <w:rPr>
          <w:sz w:val="24"/>
          <w:lang w:val="hu-HU"/>
        </w:rPr>
        <w:tab/>
      </w:r>
      <w:r w:rsidRPr="0001087E">
        <w:rPr>
          <w:sz w:val="24"/>
          <w:lang w:val="hu-HU"/>
        </w:rPr>
        <w:t xml:space="preserve">Az EFSA géntechnológiával módosított szervezetekkel foglalkozó tudományos testületének tudományos </w:t>
      </w:r>
      <w:r w:rsidRPr="00A80126">
        <w:rPr>
          <w:sz w:val="24"/>
          <w:lang w:val="hu-HU"/>
        </w:rPr>
        <w:t>szakvéleménye a géntechnológiával módosított MON 87705 szójabab engedélyezése megújításának az 1829/2003/EK rendelet szerinti értékeléséről (GMFF-2023-21236 kérelem), EFSA Journal, 2026, 24(1</w:t>
      </w:r>
      <w:r w:rsidRPr="00A80126">
        <w:rPr>
          <w:sz w:val="24"/>
          <w:lang w:val="hu-HU"/>
        </w:rPr>
        <w:t>):e</w:t>
      </w:r>
      <w:r w:rsidRPr="00A80126">
        <w:rPr>
          <w:sz w:val="24"/>
          <w:lang w:val="hu-HU"/>
        </w:rPr>
        <w:t xml:space="preserve">9846, </w:t>
      </w:r>
      <w:hyperlink r:id="rId4" w:history="1">
        <w:r w:rsidRPr="00A80126">
          <w:rPr>
            <w:rStyle w:val="Hyperlink"/>
            <w:sz w:val="24"/>
            <w:lang w:val="hu-HU"/>
          </w:rPr>
          <w:t>https://doi.org/10.2903/j.efsa.2026.9846</w:t>
        </w:r>
      </w:hyperlink>
      <w:r w:rsidRPr="00A80126">
        <w:rPr>
          <w:sz w:val="24"/>
          <w:lang w:val="hu-HU"/>
        </w:rPr>
        <w:t>.</w:t>
      </w:r>
    </w:p>
  </w:footnote>
  <w:footnote w:id="9">
    <w:p w:rsidR="008A39C0" w:rsidRPr="00A80126" w:rsidP="0001087E" w14:paraId="2EA5759A" w14:textId="16F9E156">
      <w:pPr>
        <w:pStyle w:val="FootnoteText"/>
        <w:ind w:left="567" w:hanging="567"/>
        <w:rPr>
          <w:sz w:val="24"/>
          <w:lang w:val="hu-HU"/>
        </w:rPr>
      </w:pPr>
      <w:r w:rsidRPr="00A80126">
        <w:rPr>
          <w:rStyle w:val="FootnoteReference"/>
          <w:sz w:val="24"/>
          <w:lang w:val="hu-HU"/>
        </w:rPr>
        <w:footnoteRef/>
      </w:r>
      <w:r w:rsidRPr="00A80126" w:rsidR="0001087E">
        <w:rPr>
          <w:sz w:val="24"/>
          <w:lang w:val="hu-HU"/>
        </w:rPr>
        <w:t xml:space="preserve"> </w:t>
      </w:r>
      <w:r w:rsidRPr="00A80126" w:rsidR="0001087E">
        <w:rPr>
          <w:sz w:val="24"/>
          <w:lang w:val="hu-HU"/>
        </w:rPr>
        <w:tab/>
      </w:r>
      <w:r w:rsidRPr="00A80126">
        <w:rPr>
          <w:sz w:val="24"/>
          <w:lang w:val="hu-HU"/>
        </w:rPr>
        <w:t xml:space="preserve">Az EFSA géntechnológiával módosított szervezetekkel foglalkozó tudományos testületének tudományos szakvéleménye a Monsanto gyomirtó szernek ellenálló, genetikailag módosított MON 87705 szójabab élelmiszerként és takarmányként való felhasználás céljából történő forgalomba hozatalára, behozatalára és feldolgozására vonatkozó, 1829/2003/EK rendelet szerinti kérelméről (EFSA-GMO-NL-2010-78), EFSA Journal, 2012, 10(10):2909, </w:t>
      </w:r>
      <w:hyperlink r:id="rId25" w:history="1">
        <w:r w:rsidRPr="00A80126">
          <w:rPr>
            <w:rStyle w:val="Hyperlink"/>
            <w:sz w:val="24"/>
            <w:lang w:val="hu-HU"/>
          </w:rPr>
          <w:t>https://doi.org/10.2903/j.efsa.2012.2909</w:t>
        </w:r>
      </w:hyperlink>
      <w:r w:rsidRPr="00A80126">
        <w:rPr>
          <w:sz w:val="24"/>
          <w:lang w:val="hu-HU"/>
        </w:rPr>
        <w:t>.</w:t>
      </w:r>
    </w:p>
  </w:footnote>
  <w:footnote w:id="10">
    <w:p w:rsidR="008A39C0" w:rsidRPr="0001087E" w:rsidP="0001087E" w14:paraId="1C9D5683" w14:textId="26FA8981">
      <w:pPr>
        <w:pStyle w:val="FootnoteText"/>
        <w:ind w:left="567" w:hanging="567"/>
        <w:rPr>
          <w:sz w:val="24"/>
          <w:lang w:val="hu-HU"/>
        </w:rPr>
      </w:pPr>
      <w:r w:rsidRPr="00A80126">
        <w:rPr>
          <w:rStyle w:val="FootnoteReference"/>
          <w:sz w:val="24"/>
          <w:lang w:val="hu-HU"/>
        </w:rPr>
        <w:footnoteRef/>
      </w:r>
      <w:r w:rsidRPr="00A80126" w:rsidR="0001087E">
        <w:rPr>
          <w:sz w:val="24"/>
          <w:lang w:val="hu-HU"/>
        </w:rPr>
        <w:t xml:space="preserve"> </w:t>
      </w:r>
      <w:r w:rsidRPr="00A80126" w:rsidR="0001087E">
        <w:rPr>
          <w:sz w:val="24"/>
          <w:lang w:val="hu-HU"/>
        </w:rPr>
        <w:tab/>
      </w:r>
      <w:r w:rsidRPr="00A80126">
        <w:rPr>
          <w:sz w:val="24"/>
          <w:lang w:val="hu-HU"/>
        </w:rPr>
        <w:t>Az EFSA géntechnológiával módosított szervezetekkel foglalkozó tudományos testülete, Kiegészítő nyilatkozat az EFSA-GMO-NL-2010-78 számú kérelemhez kapcsolódó tudományos szakvéleményhez a MON 87705 szójababból nyert olaj sütési célú kereskedelmi felhasználásának biztonságosságáról, EFSA Journal, 2013</w:t>
      </w:r>
      <w:r w:rsidRPr="0001087E">
        <w:rPr>
          <w:sz w:val="24"/>
          <w:lang w:val="hu-HU"/>
        </w:rPr>
        <w:t xml:space="preserve">, 11(12):3507, </w:t>
      </w:r>
      <w:hyperlink r:id="rId26" w:history="1">
        <w:r w:rsidRPr="0001087E">
          <w:rPr>
            <w:rStyle w:val="Hyperlink"/>
            <w:sz w:val="24"/>
            <w:lang w:val="hu-HU"/>
          </w:rPr>
          <w:t>https://doi.org/10.2903/j.efsa.2013.3507</w:t>
        </w:r>
      </w:hyperlink>
      <w:r w:rsidRPr="0001087E">
        <w:rPr>
          <w:sz w:val="24"/>
          <w:lang w:val="hu-HU"/>
        </w:rPr>
        <w:t>.</w:t>
      </w:r>
    </w:p>
  </w:footnote>
  <w:footnote w:id="11">
    <w:p w:rsidR="008A39C0" w:rsidRPr="0001087E" w:rsidP="0001087E" w14:paraId="5B0C9097" w14:textId="657B6605">
      <w:pPr>
        <w:pStyle w:val="FootnoteText"/>
        <w:ind w:left="567" w:hanging="567"/>
        <w:rPr>
          <w:sz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shd w:val="clear" w:color="auto" w:fill="FFFFFF"/>
          <w:lang w:val="hu-HU"/>
        </w:rPr>
        <w:t xml:space="preserve"> </w:t>
      </w:r>
      <w:r w:rsidRPr="0001087E" w:rsidR="0001087E">
        <w:rPr>
          <w:sz w:val="24"/>
          <w:shd w:val="clear" w:color="auto" w:fill="FFFFFF"/>
          <w:lang w:val="hu-HU"/>
        </w:rPr>
        <w:tab/>
      </w:r>
      <w:r w:rsidRPr="0001087E">
        <w:rPr>
          <w:sz w:val="24"/>
          <w:shd w:val="clear" w:color="auto" w:fill="FFFFFF"/>
          <w:lang w:val="hu-HU"/>
        </w:rPr>
        <w:t xml:space="preserve">Lásd például Bonny, S., </w:t>
      </w:r>
      <w:r w:rsidRPr="00A80126">
        <w:rPr>
          <w:sz w:val="24"/>
          <w:shd w:val="clear" w:color="auto" w:fill="FFFFFF"/>
          <w:lang w:val="hu-HU"/>
        </w:rPr>
        <w:t xml:space="preserve">Genetically Modified Herbicide-Tolerant Crops, Weeds, and Herbicides: Overview and Impact (A géntechnológiával módosított, gyomirtó szernek ellenálló növények, gyomok és a gyomirtó szerek: áttekintés és hatások), Environmental Management, 2016. január, 57(1), 31–48. o., </w:t>
      </w:r>
      <w:bookmarkStart w:id="10" w:name="_Hlk104996594"/>
      <w:hyperlink r:id="rId27" w:history="1">
        <w:r w:rsidRPr="00A80126">
          <w:rPr>
            <w:rStyle w:val="Hyperlink"/>
            <w:sz w:val="24"/>
            <w:shd w:val="clear" w:color="auto" w:fill="FFFFFF"/>
            <w:lang w:val="hu-HU"/>
          </w:rPr>
          <w:t>https://doi.org/10.1007/s00267-015-0589-7</w:t>
        </w:r>
      </w:hyperlink>
      <w:r w:rsidRPr="00A80126">
        <w:rPr>
          <w:sz w:val="24"/>
          <w:shd w:val="clear" w:color="auto" w:fill="FFFFFF"/>
          <w:lang w:val="hu-HU"/>
        </w:rPr>
        <w:t xml:space="preserve"> </w:t>
      </w:r>
      <w:bookmarkEnd w:id="10"/>
      <w:r w:rsidRPr="00A80126">
        <w:rPr>
          <w:sz w:val="24"/>
          <w:shd w:val="clear" w:color="auto" w:fill="FFFFFF"/>
          <w:lang w:val="hu-HU"/>
        </w:rPr>
        <w:t>és Benbrook, C.M., Impacts of genetically engineered crops on pesticide use in the U.S. - the first sixteen years, (A géntechnológiával módosított növények hatása a gyomirtóhasználatra az USA-ban – az első tizenhat év), Environmental Sciences Europe, 2012. szeptember 28., Vol. 24(1),</w:t>
      </w:r>
      <w:r w:rsidRPr="0001087E">
        <w:rPr>
          <w:sz w:val="24"/>
          <w:shd w:val="clear" w:color="auto" w:fill="FFFFFF"/>
          <w:lang w:val="hu-HU"/>
        </w:rPr>
        <w:t xml:space="preserve"> </w:t>
      </w:r>
      <w:hyperlink r:id="rId28" w:history="1">
        <w:r w:rsidRPr="0001087E">
          <w:rPr>
            <w:rStyle w:val="Hyperlink"/>
            <w:sz w:val="24"/>
            <w:lang w:val="hu-HU"/>
          </w:rPr>
          <w:t>https://doi.org/10.1186/2190-4715-24-24</w:t>
        </w:r>
      </w:hyperlink>
      <w:r w:rsidRPr="0001087E">
        <w:rPr>
          <w:sz w:val="24"/>
          <w:shd w:val="clear" w:color="auto" w:fill="FFFFFF"/>
          <w:lang w:val="hu-HU"/>
        </w:rPr>
        <w:t>.</w:t>
      </w:r>
    </w:p>
  </w:footnote>
  <w:footnote w:id="12">
    <w:p w:rsidR="008A39C0" w:rsidRPr="0001087E" w:rsidP="0001087E" w14:paraId="0C13E91E" w14:textId="6EF1E17B">
      <w:pPr>
        <w:pStyle w:val="FootnoteText"/>
        <w:ind w:left="567" w:hanging="567"/>
        <w:rPr>
          <w:sz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shd w:val="clear" w:color="auto" w:fill="FFFFFF"/>
          <w:lang w:val="hu-HU"/>
        </w:rPr>
        <w:t xml:space="preserve"> </w:t>
      </w:r>
      <w:r w:rsidRPr="0001087E" w:rsidR="0001087E">
        <w:rPr>
          <w:sz w:val="24"/>
          <w:shd w:val="clear" w:color="auto" w:fill="FFFFFF"/>
          <w:lang w:val="hu-HU"/>
        </w:rPr>
        <w:tab/>
      </w:r>
      <w:r w:rsidRPr="0001087E">
        <w:rPr>
          <w:sz w:val="24"/>
          <w:shd w:val="clear" w:color="auto" w:fill="FFFFFF"/>
          <w:lang w:val="hu-HU"/>
        </w:rPr>
        <w:t xml:space="preserve">Lásd például: </w:t>
      </w:r>
      <w:bookmarkStart w:id="11" w:name="_Hlk104996780"/>
      <w:hyperlink r:id="rId29" w:history="1">
        <w:r w:rsidRPr="0001087E">
          <w:rPr>
            <w:rStyle w:val="Hyperlink"/>
            <w:sz w:val="24"/>
            <w:lang w:val="hu-HU"/>
          </w:rPr>
          <w:t>https://doi.org/10.1016/j.mrrev.2019.02.001</w:t>
        </w:r>
      </w:hyperlink>
      <w:bookmarkEnd w:id="11"/>
      <w:r w:rsidRPr="0001087E">
        <w:rPr>
          <w:sz w:val="24"/>
          <w:shd w:val="clear" w:color="auto" w:fill="FFFFFF"/>
          <w:lang w:val="hu-HU"/>
        </w:rPr>
        <w:t xml:space="preserve">, </w:t>
      </w:r>
      <w:hyperlink r:id="rId30" w:history="1">
        <w:r w:rsidRPr="0001087E">
          <w:rPr>
            <w:rStyle w:val="Hyperlink"/>
            <w:sz w:val="24"/>
            <w:lang w:val="hu-HU"/>
          </w:rPr>
          <w:t>https://doi.org/10.1093/ije/dyz017</w:t>
        </w:r>
      </w:hyperlink>
      <w:r w:rsidRPr="0001087E">
        <w:rPr>
          <w:sz w:val="24"/>
          <w:shd w:val="clear" w:color="auto" w:fill="FFFFFF"/>
          <w:lang w:val="hu-HU"/>
        </w:rPr>
        <w:t xml:space="preserve">, </w:t>
      </w:r>
      <w:hyperlink r:id="rId31" w:history="1">
        <w:r w:rsidRPr="0001087E">
          <w:rPr>
            <w:rStyle w:val="Hyperlink"/>
            <w:sz w:val="24"/>
            <w:lang w:val="hu-HU"/>
          </w:rPr>
          <w:t>https://doi.org/10.1371/journal.pone.0219610</w:t>
        </w:r>
      </w:hyperlink>
      <w:r w:rsidRPr="0001087E">
        <w:rPr>
          <w:sz w:val="24"/>
          <w:shd w:val="clear" w:color="auto" w:fill="FFFFFF"/>
          <w:lang w:val="hu-HU"/>
        </w:rPr>
        <w:t xml:space="preserve">, és </w:t>
      </w:r>
      <w:hyperlink r:id="rId32" w:history="1">
        <w:r w:rsidRPr="0001087E">
          <w:rPr>
            <w:rStyle w:val="Hyperlink"/>
            <w:sz w:val="24"/>
            <w:lang w:val="hu-HU"/>
          </w:rPr>
          <w:t>https://doi.org/10.1186/s13045-019-0767-9</w:t>
        </w:r>
      </w:hyperlink>
      <w:r w:rsidRPr="0001087E">
        <w:rPr>
          <w:sz w:val="24"/>
          <w:shd w:val="clear" w:color="auto" w:fill="FFFFFF"/>
          <w:lang w:val="hu-HU"/>
        </w:rPr>
        <w:t>.</w:t>
      </w:r>
    </w:p>
  </w:footnote>
  <w:footnote w:id="13">
    <w:p w:rsidR="008A39C0" w:rsidRPr="0001087E" w:rsidP="0001087E" w14:paraId="72E2EBD4" w14:textId="30926811">
      <w:pPr>
        <w:pStyle w:val="FootnoteText"/>
        <w:ind w:left="567" w:hanging="567"/>
        <w:rPr>
          <w:sz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lang w:val="hu-HU"/>
        </w:rPr>
        <w:t xml:space="preserve"> </w:t>
      </w:r>
      <w:r w:rsidRPr="0001087E" w:rsidR="0001087E">
        <w:rPr>
          <w:sz w:val="24"/>
          <w:lang w:val="hu-HU"/>
        </w:rPr>
        <w:tab/>
      </w:r>
      <w:hyperlink r:id="rId33" w:tgtFrame="_blank" w:tooltip="Digitális objektumazonosítót tartalmazó állandó hivatkozás" w:history="1">
        <w:r w:rsidRPr="0001087E">
          <w:rPr>
            <w:rStyle w:val="Hyperlink"/>
            <w:sz w:val="24"/>
            <w:lang w:val="hu-HU"/>
          </w:rPr>
          <w:t>https://doi.org/10.1006/rtph.1999.1371</w:t>
        </w:r>
      </w:hyperlink>
      <w:r w:rsidRPr="0001087E">
        <w:rPr>
          <w:sz w:val="24"/>
          <w:lang w:val="hu-HU"/>
        </w:rPr>
        <w:t>.</w:t>
      </w:r>
    </w:p>
  </w:footnote>
  <w:footnote w:id="14">
    <w:p w:rsidR="008A39C0" w:rsidRPr="0001087E" w:rsidP="0001087E" w14:paraId="067E0C3F" w14:textId="627355AE">
      <w:pPr>
        <w:pStyle w:val="FootnoteText"/>
        <w:ind w:left="567" w:hanging="567"/>
        <w:rPr>
          <w:sz w:val="24"/>
          <w:szCs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shd w:val="clear" w:color="auto" w:fill="FFFFFF"/>
          <w:lang w:val="hu-HU"/>
        </w:rPr>
        <w:t xml:space="preserve"> </w:t>
      </w:r>
      <w:r w:rsidRPr="0001087E" w:rsidR="0001087E">
        <w:rPr>
          <w:sz w:val="24"/>
          <w:shd w:val="clear" w:color="auto" w:fill="FFFFFF"/>
          <w:lang w:val="hu-HU"/>
        </w:rPr>
        <w:tab/>
      </w:r>
      <w:r w:rsidRPr="0001087E">
        <w:rPr>
          <w:sz w:val="24"/>
          <w:shd w:val="clear" w:color="auto" w:fill="FFFFFF"/>
          <w:lang w:val="hu-HU"/>
        </w:rPr>
        <w:t>A glifozát esetében csakugyan ez a helyzet áll fenn, ahogyan arra az EFSA „A glifozátra vonatkozó hatályos maradékanyag-határértékek a 396/2005/EK rendelet 12. cikke szerinti felülvizsgálata” című</w:t>
      </w:r>
      <w:r w:rsidR="00B33C38">
        <w:rPr>
          <w:sz w:val="24"/>
          <w:shd w:val="clear" w:color="auto" w:fill="FFFFFF"/>
          <w:lang w:val="hu-HU"/>
        </w:rPr>
        <w:t>,</w:t>
      </w:r>
      <w:r w:rsidRPr="0001087E">
        <w:rPr>
          <w:sz w:val="24"/>
          <w:shd w:val="clear" w:color="auto" w:fill="FFFFFF"/>
          <w:lang w:val="hu-HU"/>
        </w:rPr>
        <w:t xml:space="preserve"> indokolt véleménye is </w:t>
      </w:r>
      <w:r w:rsidRPr="00A80126">
        <w:rPr>
          <w:sz w:val="24"/>
          <w:shd w:val="clear" w:color="auto" w:fill="FFFFFF"/>
          <w:lang w:val="hu-HU"/>
        </w:rPr>
        <w:t>rámutat, EFSA Journal</w:t>
      </w:r>
      <w:r w:rsidRPr="0001087E">
        <w:rPr>
          <w:sz w:val="24"/>
          <w:shd w:val="clear" w:color="auto" w:fill="FFFFFF"/>
          <w:lang w:val="hu-HU"/>
        </w:rPr>
        <w:t xml:space="preserve"> 2018,16;16(5</w:t>
      </w:r>
      <w:r w:rsidRPr="0001087E">
        <w:rPr>
          <w:sz w:val="24"/>
          <w:shd w:val="clear" w:color="auto" w:fill="FFFFFF"/>
          <w:lang w:val="hu-HU"/>
        </w:rPr>
        <w:t>):e</w:t>
      </w:r>
      <w:r w:rsidRPr="0001087E">
        <w:rPr>
          <w:sz w:val="24"/>
          <w:shd w:val="clear" w:color="auto" w:fill="FFFFFF"/>
          <w:lang w:val="hu-HU"/>
        </w:rPr>
        <w:t xml:space="preserve">5263, 12. o., </w:t>
      </w:r>
      <w:hyperlink r:id="rId34" w:history="1">
        <w:r w:rsidRPr="0001087E">
          <w:rPr>
            <w:rStyle w:val="Hyperlink"/>
            <w:color w:val="123D80"/>
            <w:sz w:val="24"/>
            <w:shd w:val="clear" w:color="auto" w:fill="FFFFFF"/>
            <w:lang w:val="hu-HU"/>
          </w:rPr>
          <w:t>https://doi.org/10.2903/j.efsa.2018.5263</w:t>
        </w:r>
      </w:hyperlink>
      <w:r w:rsidRPr="0001087E">
        <w:rPr>
          <w:sz w:val="24"/>
          <w:shd w:val="clear" w:color="auto" w:fill="FFFFFF"/>
          <w:lang w:val="hu-HU"/>
        </w:rPr>
        <w:t>.</w:t>
      </w:r>
    </w:p>
  </w:footnote>
  <w:footnote w:id="15">
    <w:p w:rsidR="008A39C0" w:rsidRPr="0001087E" w:rsidP="0001087E" w14:paraId="2CA8737A" w14:textId="1446AC54">
      <w:pPr>
        <w:pStyle w:val="FootnoteText"/>
        <w:ind w:left="567" w:hanging="567"/>
        <w:rPr>
          <w:sz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lang w:val="hu-HU"/>
        </w:rPr>
        <w:t xml:space="preserve"> </w:t>
      </w:r>
      <w:r w:rsidRPr="0001087E" w:rsidR="0001087E">
        <w:rPr>
          <w:sz w:val="24"/>
          <w:lang w:val="hu-HU"/>
        </w:rPr>
        <w:tab/>
      </w:r>
      <w:r w:rsidRPr="0001087E">
        <w:rPr>
          <w:sz w:val="24"/>
          <w:lang w:val="hu-HU"/>
        </w:rPr>
        <w:t>HL L 282., 2016.10.19., 4. o.</w:t>
      </w:r>
    </w:p>
  </w:footnote>
  <w:footnote w:id="16">
    <w:p w:rsidR="008A39C0" w:rsidRPr="0001087E" w:rsidP="0001087E" w14:paraId="5562D7B3" w14:textId="232136E2">
      <w:pPr>
        <w:pStyle w:val="FootnoteText"/>
        <w:ind w:left="567" w:hanging="567"/>
        <w:rPr>
          <w:sz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lang w:val="hu-HU"/>
        </w:rPr>
        <w:t xml:space="preserve"> </w:t>
      </w:r>
      <w:r w:rsidRPr="0001087E" w:rsidR="0001087E">
        <w:rPr>
          <w:sz w:val="24"/>
          <w:lang w:val="hu-HU"/>
        </w:rPr>
        <w:tab/>
      </w:r>
      <w:r w:rsidRPr="0001087E">
        <w:rPr>
          <w:sz w:val="24"/>
          <w:lang w:val="hu-HU"/>
        </w:rPr>
        <w:t>HL L 309., 1993.12.13., 3. o., ELI: </w:t>
      </w:r>
      <w:hyperlink r:id="rId35" w:tooltip="Az ELI (európai jogszabály-azonosító) URI-hivatkozása révén biztosít hozzáférést a dokumentumhoz." w:history="1">
        <w:r w:rsidRPr="0001087E">
          <w:rPr>
            <w:rStyle w:val="Hyperlink"/>
            <w:sz w:val="24"/>
            <w:lang w:val="hu-HU"/>
          </w:rPr>
          <w:t>http://data.europa.eu/eli/convention/1993/626/oj</w:t>
        </w:r>
      </w:hyperlink>
      <w:r w:rsidRPr="0001087E">
        <w:rPr>
          <w:sz w:val="24"/>
          <w:lang w:val="hu-HU"/>
        </w:rPr>
        <w:t>.</w:t>
      </w:r>
    </w:p>
  </w:footnote>
  <w:footnote w:id="17">
    <w:p w:rsidR="008A39C0" w:rsidRPr="0001087E" w:rsidP="0001087E" w14:paraId="4BF9D9B3" w14:textId="1BD91E08">
      <w:pPr>
        <w:pStyle w:val="FootnoteText"/>
        <w:ind w:left="567" w:hanging="567"/>
        <w:rPr>
          <w:sz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lang w:val="hu-HU"/>
        </w:rPr>
        <w:t xml:space="preserve"> </w:t>
      </w:r>
      <w:r w:rsidRPr="0001087E" w:rsidR="0001087E">
        <w:rPr>
          <w:sz w:val="24"/>
          <w:lang w:val="hu-HU"/>
        </w:rPr>
        <w:tab/>
      </w:r>
      <w:r w:rsidRPr="0001087E">
        <w:rPr>
          <w:sz w:val="24"/>
          <w:lang w:val="hu-HU"/>
        </w:rPr>
        <w:t>2022 decemberében a biológiai sokféleségről szóló ENSZ-egyezmény részes feleinek 15. konferenciáján globális keretet fogadtak el a biológiai sokféleségről, amely magában foglalja azt a globális célt, hogy 2030-ig legalább 50 %-kal csökkentsék a peszticidek kockázatát (lásd:</w:t>
      </w:r>
      <w:r w:rsidRPr="0001087E">
        <w:rPr>
          <w:color w:val="000000" w:themeColor="text1"/>
          <w:sz w:val="24"/>
          <w:lang w:val="hu-HU"/>
        </w:rPr>
        <w:t xml:space="preserve"> </w:t>
      </w:r>
      <w:hyperlink r:id="rId36" w:history="1">
        <w:r w:rsidRPr="0001087E">
          <w:rPr>
            <w:rStyle w:val="Hyperlink"/>
            <w:sz w:val="24"/>
            <w:lang w:val="hu-HU"/>
          </w:rPr>
          <w:t>https://ec.europa.eu/commission/presscorner/detail/hu/ip_22_7834</w:t>
        </w:r>
      </w:hyperlink>
      <w:r w:rsidRPr="0001087E">
        <w:rPr>
          <w:sz w:val="24"/>
          <w:lang w:val="hu-HU"/>
        </w:rPr>
        <w:t>).</w:t>
      </w:r>
    </w:p>
  </w:footnote>
  <w:footnote w:id="18">
    <w:p w:rsidR="008A39C0" w:rsidRPr="0001087E" w:rsidP="0001087E" w14:paraId="4B21828A" w14:textId="0A7776F1">
      <w:pPr>
        <w:pStyle w:val="FootnoteText"/>
        <w:ind w:left="567" w:hanging="567"/>
        <w:rPr>
          <w:sz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lang w:val="hu-HU"/>
        </w:rPr>
        <w:t xml:space="preserve"> </w:t>
      </w:r>
      <w:r w:rsidRPr="0001087E" w:rsidR="0001087E">
        <w:rPr>
          <w:sz w:val="24"/>
          <w:lang w:val="hu-HU"/>
        </w:rPr>
        <w:tab/>
      </w:r>
      <w:hyperlink r:id="rId37" w:history="1">
        <w:r w:rsidRPr="0001087E">
          <w:rPr>
            <w:rStyle w:val="Hyperlink"/>
            <w:sz w:val="24"/>
            <w:lang w:val="hu-HU"/>
          </w:rPr>
          <w:t>https://commission.europa.eu/strategy-and-policy/priorities-2019-2024/european-green-deal/agriculture-and-green-deal/strategic-dialogue-future-eu-agriculture_hu</w:t>
        </w:r>
      </w:hyperlink>
      <w:r w:rsidRPr="0001087E">
        <w:rPr>
          <w:rStyle w:val="Hyperlink"/>
          <w:sz w:val="24"/>
          <w:lang w:val="hu-HU"/>
        </w:rPr>
        <w:t>.</w:t>
      </w:r>
    </w:p>
  </w:footnote>
  <w:footnote w:id="19">
    <w:p w:rsidR="008A39C0" w:rsidRPr="0001087E" w:rsidP="0001087E" w14:paraId="5F99D228" w14:textId="2D270352">
      <w:pPr>
        <w:pStyle w:val="FootnoteText"/>
        <w:ind w:left="567" w:hanging="567"/>
        <w:rPr>
          <w:sz w:val="24"/>
          <w:szCs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lang w:val="hu-HU"/>
        </w:rPr>
        <w:t xml:space="preserve"> </w:t>
      </w:r>
      <w:r w:rsidRPr="0001087E" w:rsidR="0001087E">
        <w:rPr>
          <w:sz w:val="24"/>
          <w:lang w:val="hu-HU"/>
        </w:rPr>
        <w:tab/>
      </w:r>
      <w:r w:rsidRPr="0001087E">
        <w:rPr>
          <w:sz w:val="24"/>
          <w:lang w:val="hu-HU"/>
        </w:rPr>
        <w:t>Az Európai Parlament és a Tanács 178/2002/EK rendelete (2002. január 28.) az élelmiszerjog általános elveiről és követelményeiről, az Európai Élelmiszerbiztonsági Hatóság létrehozásáról és az élelmiszerbiztonságra vonatkozó eljárások megállapításáról (HL L 31., 2002.2.1., 1. o., ELI: </w:t>
      </w:r>
      <w:hyperlink r:id="rId38" w:tgtFrame="Gives access to this document through its ELI URI." w:history="1">
        <w:r w:rsidRPr="0001087E">
          <w:rPr>
            <w:rStyle w:val="Hyperlink"/>
            <w:color w:val="0070C0"/>
            <w:sz w:val="24"/>
            <w:lang w:val="hu-HU"/>
          </w:rPr>
          <w:t>http://data.europa.eu/eli/reg/2002/178/oj</w:t>
        </w:r>
      </w:hyperlink>
      <w:r w:rsidRPr="0001087E">
        <w:rPr>
          <w:sz w:val="24"/>
          <w:lang w:val="hu-HU"/>
        </w:rPr>
        <w:t>).</w:t>
      </w:r>
    </w:p>
  </w:footnote>
  <w:footnote w:id="20">
    <w:p w:rsidR="008A39C0" w:rsidRPr="0001087E" w:rsidP="0001087E" w14:paraId="2B202332" w14:textId="42F33CC1">
      <w:pPr>
        <w:pStyle w:val="FootnoteText"/>
        <w:ind w:left="567" w:hanging="567"/>
        <w:rPr>
          <w:sz w:val="24"/>
          <w:szCs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lang w:val="hu-HU"/>
        </w:rPr>
        <w:t xml:space="preserve"> </w:t>
      </w:r>
      <w:r w:rsidRPr="0001087E" w:rsidR="0001087E">
        <w:rPr>
          <w:sz w:val="24"/>
          <w:lang w:val="hu-HU"/>
        </w:rPr>
        <w:tab/>
      </w:r>
      <w:hyperlink r:id="rId39" w:history="1">
        <w:r w:rsidRPr="0001087E">
          <w:rPr>
            <w:rStyle w:val="Hyperlink"/>
            <w:sz w:val="24"/>
            <w:shd w:val="clear" w:color="auto" w:fill="FFFFFF"/>
            <w:lang w:val="hu-HU"/>
          </w:rPr>
          <w:t>https://tillymetz.lu/wp-content/uploads/2020/09/Co-signed-letter-MEP-Metz.pdf</w:t>
        </w:r>
      </w:hyperlink>
      <w:r w:rsidRPr="0001087E">
        <w:rPr>
          <w:sz w:val="24"/>
          <w:shd w:val="clear" w:color="auto" w:fill="FFFFFF"/>
          <w:lang w:val="hu-HU"/>
        </w:rPr>
        <w:t>.</w:t>
      </w:r>
    </w:p>
  </w:footnote>
  <w:footnote w:id="21">
    <w:p w:rsidR="008A39C0" w:rsidRPr="0001087E" w:rsidP="0001087E" w14:paraId="0AF306C4" w14:textId="221120BF">
      <w:pPr>
        <w:pStyle w:val="FootnoteText"/>
        <w:ind w:left="567" w:hanging="567"/>
        <w:rPr>
          <w:sz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shd w:val="clear" w:color="auto" w:fill="FFFFFF"/>
          <w:lang w:val="hu-HU"/>
        </w:rPr>
        <w:t xml:space="preserve"> </w:t>
      </w:r>
      <w:r w:rsidRPr="0001087E" w:rsidR="0001087E">
        <w:rPr>
          <w:sz w:val="24"/>
          <w:shd w:val="clear" w:color="auto" w:fill="FFFFFF"/>
          <w:lang w:val="hu-HU"/>
        </w:rPr>
        <w:tab/>
      </w:r>
      <w:r w:rsidRPr="0001087E">
        <w:rPr>
          <w:sz w:val="24"/>
          <w:shd w:val="clear" w:color="auto" w:fill="FFFFFF"/>
          <w:lang w:val="hu-HU"/>
        </w:rPr>
        <w:t>Az Európai Parlament állásfoglalása (2020. január 15.) az európai zöld megállapodásról (HL C 270., 2021.7.7., 2. o.), 102. bekezdés.</w:t>
      </w:r>
    </w:p>
  </w:footnote>
  <w:footnote w:id="22">
    <w:p w:rsidR="008A39C0" w:rsidRPr="0001087E" w:rsidP="0001087E" w14:paraId="28573943" w14:textId="7CCC0CD8">
      <w:pPr>
        <w:pStyle w:val="FootnoteText"/>
        <w:ind w:left="567" w:hanging="567"/>
        <w:rPr>
          <w:sz w:val="24"/>
          <w:szCs w:val="24"/>
          <w:lang w:val="hu-HU"/>
        </w:rPr>
      </w:pPr>
      <w:r w:rsidRPr="0001087E">
        <w:rPr>
          <w:rStyle w:val="FootnoteReference"/>
          <w:sz w:val="24"/>
          <w:lang w:val="hu-HU"/>
        </w:rPr>
        <w:footnoteRef/>
      </w:r>
      <w:r w:rsidRPr="0001087E" w:rsidR="0001087E">
        <w:rPr>
          <w:sz w:val="24"/>
          <w:shd w:val="clear" w:color="auto" w:fill="FFFFFF"/>
          <w:lang w:val="hu-HU"/>
        </w:rPr>
        <w:t xml:space="preserve"> </w:t>
      </w:r>
      <w:r w:rsidRPr="0001087E" w:rsidR="0001087E">
        <w:rPr>
          <w:sz w:val="24"/>
          <w:shd w:val="clear" w:color="auto" w:fill="FFFFFF"/>
          <w:lang w:val="hu-HU"/>
        </w:rPr>
        <w:tab/>
      </w:r>
      <w:r w:rsidRPr="0001087E">
        <w:rPr>
          <w:sz w:val="24"/>
          <w:shd w:val="clear" w:color="auto" w:fill="FFFFFF"/>
          <w:lang w:val="hu-HU"/>
        </w:rPr>
        <w:t>HL C 445., 2021.10.29., 257.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087E" w14:paraId="43B5E22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087E" w14:paraId="6BE030C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087E" w14:paraId="3AFE898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2873863">
    <w:abstractNumId w:val="9"/>
  </w:num>
  <w:num w:numId="2" w16cid:durableId="1537503392">
    <w:abstractNumId w:val="9"/>
  </w:num>
  <w:num w:numId="3" w16cid:durableId="1348017595">
    <w:abstractNumId w:val="7"/>
  </w:num>
  <w:num w:numId="4" w16cid:durableId="141047722">
    <w:abstractNumId w:val="7"/>
  </w:num>
  <w:num w:numId="5" w16cid:durableId="443572720">
    <w:abstractNumId w:val="6"/>
  </w:num>
  <w:num w:numId="6" w16cid:durableId="1444615324">
    <w:abstractNumId w:val="6"/>
  </w:num>
  <w:num w:numId="7" w16cid:durableId="886642358">
    <w:abstractNumId w:val="5"/>
  </w:num>
  <w:num w:numId="8" w16cid:durableId="1775829666">
    <w:abstractNumId w:val="5"/>
  </w:num>
  <w:num w:numId="9" w16cid:durableId="1576668271">
    <w:abstractNumId w:val="4"/>
  </w:num>
  <w:num w:numId="10" w16cid:durableId="311181533">
    <w:abstractNumId w:val="4"/>
  </w:num>
  <w:num w:numId="11" w16cid:durableId="84235108">
    <w:abstractNumId w:val="8"/>
  </w:num>
  <w:num w:numId="12" w16cid:durableId="1209412781">
    <w:abstractNumId w:val="8"/>
  </w:num>
  <w:num w:numId="13" w16cid:durableId="868878166">
    <w:abstractNumId w:val="3"/>
  </w:num>
  <w:num w:numId="14" w16cid:durableId="1869949149">
    <w:abstractNumId w:val="3"/>
  </w:num>
  <w:num w:numId="15" w16cid:durableId="1057360035">
    <w:abstractNumId w:val="2"/>
  </w:num>
  <w:num w:numId="16" w16cid:durableId="638461797">
    <w:abstractNumId w:val="2"/>
  </w:num>
  <w:num w:numId="17" w16cid:durableId="1478716993">
    <w:abstractNumId w:val="1"/>
  </w:num>
  <w:num w:numId="18" w16cid:durableId="1032658326">
    <w:abstractNumId w:val="1"/>
  </w:num>
  <w:num w:numId="19" w16cid:durableId="1887914945">
    <w:abstractNumId w:val="0"/>
  </w:num>
  <w:num w:numId="20" w16cid:durableId="1070540624">
    <w:abstractNumId w:val="0"/>
  </w:num>
  <w:num w:numId="21" w16cid:durableId="84806789">
    <w:abstractNumId w:val="9"/>
  </w:num>
  <w:num w:numId="22" w16cid:durableId="1054306285">
    <w:abstractNumId w:val="7"/>
  </w:num>
  <w:num w:numId="23" w16cid:durableId="162136693">
    <w:abstractNumId w:val="6"/>
  </w:num>
  <w:num w:numId="24" w16cid:durableId="2103184487">
    <w:abstractNumId w:val="5"/>
  </w:num>
  <w:num w:numId="25" w16cid:durableId="750586276">
    <w:abstractNumId w:val="4"/>
  </w:num>
  <w:num w:numId="26" w16cid:durableId="1987511129">
    <w:abstractNumId w:val="8"/>
  </w:num>
  <w:num w:numId="27" w16cid:durableId="1413892470">
    <w:abstractNumId w:val="3"/>
  </w:num>
  <w:num w:numId="28" w16cid:durableId="280766483">
    <w:abstractNumId w:val="2"/>
  </w:num>
  <w:num w:numId="29" w16cid:durableId="83379954">
    <w:abstractNumId w:val="1"/>
  </w:num>
  <w:num w:numId="30" w16cid:durableId="2028020895">
    <w:abstractNumId w:val="0"/>
  </w:num>
  <w:num w:numId="31" w16cid:durableId="1897621411">
    <w:abstractNumId w:val="9"/>
  </w:num>
  <w:num w:numId="32" w16cid:durableId="797141994">
    <w:abstractNumId w:val="7"/>
  </w:num>
  <w:num w:numId="33" w16cid:durableId="716204936">
    <w:abstractNumId w:val="6"/>
  </w:num>
  <w:num w:numId="34" w16cid:durableId="1694989961">
    <w:abstractNumId w:val="5"/>
  </w:num>
  <w:num w:numId="35" w16cid:durableId="1554344410">
    <w:abstractNumId w:val="4"/>
  </w:num>
  <w:num w:numId="36" w16cid:durableId="447745120">
    <w:abstractNumId w:val="8"/>
  </w:num>
  <w:num w:numId="37" w16cid:durableId="698555757">
    <w:abstractNumId w:val="3"/>
  </w:num>
  <w:num w:numId="38" w16cid:durableId="1881431338">
    <w:abstractNumId w:val="2"/>
  </w:num>
  <w:num w:numId="39" w16cid:durableId="884297811">
    <w:abstractNumId w:val="1"/>
  </w:num>
  <w:num w:numId="40" w16cid:durableId="293486010">
    <w:abstractNumId w:val="0"/>
  </w:num>
  <w:num w:numId="41" w16cid:durableId="210503032">
    <w:abstractNumId w:val="10"/>
  </w:num>
  <w:num w:numId="42" w16cid:durableId="892815316">
    <w:abstractNumId w:val="10"/>
  </w:num>
  <w:num w:numId="43" w16cid:durableId="747312804">
    <w:abstractNumId w:val="10"/>
  </w:num>
  <w:num w:numId="44" w16cid:durableId="14174847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F74"/>
    <w:rsid w:val="00002272"/>
    <w:rsid w:val="0001087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1E8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242"/>
    <w:rsid w:val="00545827"/>
    <w:rsid w:val="00560270"/>
    <w:rsid w:val="005C2568"/>
    <w:rsid w:val="005E6140"/>
    <w:rsid w:val="005F1B17"/>
    <w:rsid w:val="005F5F7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878"/>
    <w:rsid w:val="007D1690"/>
    <w:rsid w:val="007E22AD"/>
    <w:rsid w:val="00817416"/>
    <w:rsid w:val="00842779"/>
    <w:rsid w:val="00865F67"/>
    <w:rsid w:val="00881A7B"/>
    <w:rsid w:val="008840E5"/>
    <w:rsid w:val="00887B3E"/>
    <w:rsid w:val="008A39C0"/>
    <w:rsid w:val="008C2AC6"/>
    <w:rsid w:val="00930C23"/>
    <w:rsid w:val="0093193B"/>
    <w:rsid w:val="009509D8"/>
    <w:rsid w:val="00950B64"/>
    <w:rsid w:val="00981893"/>
    <w:rsid w:val="00A1687D"/>
    <w:rsid w:val="00A41C5E"/>
    <w:rsid w:val="00A43E52"/>
    <w:rsid w:val="00A4678D"/>
    <w:rsid w:val="00A51C82"/>
    <w:rsid w:val="00A778C7"/>
    <w:rsid w:val="00A80126"/>
    <w:rsid w:val="00AB441E"/>
    <w:rsid w:val="00AB6293"/>
    <w:rsid w:val="00AE0928"/>
    <w:rsid w:val="00AF3B82"/>
    <w:rsid w:val="00B02C04"/>
    <w:rsid w:val="00B12E95"/>
    <w:rsid w:val="00B22876"/>
    <w:rsid w:val="00B33C3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6D70"/>
    <w:rsid w:val="00F5134D"/>
    <w:rsid w:val="00F74202"/>
    <w:rsid w:val="00F87713"/>
    <w:rsid w:val="00FB4360"/>
    <w:rsid w:val="00FD0C70"/>
  </w:rsids>
  <w:docVars>
    <w:docVar w:name="dvdocse" w:val="B10-0334/2026"/>
    <w:docVar w:name="dvlangue" w:val="HU"/>
    <w:docVar w:name="dvnumam" w:val="0"/>
    <w:docVar w:name="dvpe" w:val="789.024"/>
    <w:docVar w:name="dvtitre" w:val="Az Európai Parlament 2026.  ...-i állásfoglalása a géntechnológiával módosított MON 87705 szójababot tartalmazó, abból álló vagy abból előállított termékek forgalomba hozatalának az 1829/2003/EK európai parlamenti és tanácsi rendelet szerinti engedélyezésének megújításáról szóló bizottsági végrehajtásihatározat-tervezetről (D114998/03 – 2026/274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5744183"/>
  <w15:chartTrackingRefBased/>
  <w15:docId w15:val="{ED9FD8DC-011B-4EB0-B881-CF4FBB7D9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A39C0"/>
    <w:pPr>
      <w:spacing w:before="480" w:after="240"/>
    </w:pPr>
  </w:style>
  <w:style w:type="paragraph" w:customStyle="1" w:styleId="NormalHanging12a">
    <w:name w:val="NormalHanging12a"/>
    <w:basedOn w:val="Normal"/>
    <w:qFormat/>
    <w:rsid w:val="008A39C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8A39C0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uiPriority w:val="99"/>
    <w:qFormat/>
    <w:rsid w:val="008A39C0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A80126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ec_impl/2026/1419/oj" TargetMode="External" /><Relationship Id="rId10" Type="http://schemas.openxmlformats.org/officeDocument/2006/relationships/hyperlink" Target="http://data.europa.eu/eli/C/2025/1802/oj" TargetMode="External" /><Relationship Id="rId11" Type="http://schemas.openxmlformats.org/officeDocument/2006/relationships/hyperlink" Target="http://data.europa.eu/eli/C/2025/1803/oj" TargetMode="External" /><Relationship Id="rId12" Type="http://schemas.openxmlformats.org/officeDocument/2006/relationships/hyperlink" Target="http://data.europa.eu/eli/C/2025/1804/oj" TargetMode="External" /><Relationship Id="rId13" Type="http://schemas.openxmlformats.org/officeDocument/2006/relationships/hyperlink" Target="http://data.europa.eu/eli/C/2025/2246/oj" TargetMode="External" /><Relationship Id="rId14" Type="http://schemas.openxmlformats.org/officeDocument/2006/relationships/hyperlink" Target="http://data.europa.eu/eli/C/2025/2247/oj" TargetMode="External" /><Relationship Id="rId15" Type="http://schemas.openxmlformats.org/officeDocument/2006/relationships/hyperlink" Target="http://data.europa.eu/eli/C/2026/586/oj" TargetMode="External" /><Relationship Id="rId16" Type="http://schemas.openxmlformats.org/officeDocument/2006/relationships/hyperlink" Target="http://data.europa.eu/eli/C/2026/1523/oj" TargetMode="External" /><Relationship Id="rId17" Type="http://schemas.openxmlformats.org/officeDocument/2006/relationships/hyperlink" Target="http://data.europa.eu/eli/C/2026/1703/oj" TargetMode="External" /><Relationship Id="rId18" Type="http://schemas.openxmlformats.org/officeDocument/2006/relationships/hyperlink" Target="http://data.europa.eu/eli/C/2026/1704/oj" TargetMode="External" /><Relationship Id="rId19" Type="http://schemas.openxmlformats.org/officeDocument/2006/relationships/hyperlink" Target="http://data.europa.eu/eli/C/2026/1705/oj" TargetMode="External" /><Relationship Id="rId2" Type="http://schemas.openxmlformats.org/officeDocument/2006/relationships/hyperlink" Target="http://data.europa.eu/eli/reg/2003/1829/oj" TargetMode="External" /><Relationship Id="rId20" Type="http://schemas.openxmlformats.org/officeDocument/2006/relationships/hyperlink" Target="http://data.europa.eu/eli/C/2026/1706/oj" TargetMode="External" /><Relationship Id="rId21" Type="http://schemas.openxmlformats.org/officeDocument/2006/relationships/hyperlink" Target="http://data.europa.eu/eli/C/2026/1707/oj" TargetMode="External" /><Relationship Id="rId22" Type="http://schemas.openxmlformats.org/officeDocument/2006/relationships/hyperlink" Target="http://data.europa.eu/eli/C/2026/2150/oj" TargetMode="External" /><Relationship Id="rId23" Type="http://schemas.openxmlformats.org/officeDocument/2006/relationships/hyperlink" Target="http://data.europa.eu/eli/C/2026/2151/oj" TargetMode="External" /><Relationship Id="rId24" Type="http://schemas.openxmlformats.org/officeDocument/2006/relationships/hyperlink" Target="http://data.europa.eu/eli/dec_impl/2015/696/2021-02-16" TargetMode="External" /><Relationship Id="rId25" Type="http://schemas.openxmlformats.org/officeDocument/2006/relationships/hyperlink" Target="https://doi.org/10.2903/j.efsa.2012.2909" TargetMode="External" /><Relationship Id="rId26" Type="http://schemas.openxmlformats.org/officeDocument/2006/relationships/hyperlink" Target="https://doi.org/10.2903/j.efsa.2013.3507" TargetMode="External" /><Relationship Id="rId27" Type="http://schemas.openxmlformats.org/officeDocument/2006/relationships/hyperlink" Target="https://doi.org/10.1007/s00267-015-0589-7" TargetMode="External" /><Relationship Id="rId28" Type="http://schemas.openxmlformats.org/officeDocument/2006/relationships/hyperlink" Target="https://doi.org/10.1186/2190-4715-24-24" TargetMode="External" /><Relationship Id="rId29" Type="http://schemas.openxmlformats.org/officeDocument/2006/relationships/hyperlink" Target="https://doi.org/10.1016/j.mrrev.2019.02.001" TargetMode="External" /><Relationship Id="rId3" Type="http://schemas.openxmlformats.org/officeDocument/2006/relationships/hyperlink" Target="http://data.europa.eu/eli/reg/2011/182/oj" TargetMode="External" /><Relationship Id="rId30" Type="http://schemas.openxmlformats.org/officeDocument/2006/relationships/hyperlink" Target="https://doi.org/10.1093/ije/dyz017" TargetMode="External" /><Relationship Id="rId31" Type="http://schemas.openxmlformats.org/officeDocument/2006/relationships/hyperlink" Target="https://doi.org/10.1371/journal.pone.0219610" TargetMode="External" /><Relationship Id="rId32" Type="http://schemas.openxmlformats.org/officeDocument/2006/relationships/hyperlink" Target="https://doi.org/10.1186/s13045-019-0767-9" TargetMode="External" /><Relationship Id="rId33" Type="http://schemas.openxmlformats.org/officeDocument/2006/relationships/hyperlink" Target="https://doi.org/10.1006/rtph.1999.1371" TargetMode="External" /><Relationship Id="rId34" Type="http://schemas.openxmlformats.org/officeDocument/2006/relationships/hyperlink" Target="https://doi.org/10.2903/j.efsa.2018.5263" TargetMode="External" /><Relationship Id="rId35" Type="http://schemas.openxmlformats.org/officeDocument/2006/relationships/hyperlink" Target="http://data.europa.eu/eli/convention/1993/626/oj" TargetMode="External" /><Relationship Id="rId36" Type="http://schemas.openxmlformats.org/officeDocument/2006/relationships/hyperlink" Target="https://ec.europa.eu/commission/presscorner/detail/hu/ip_22_7834" TargetMode="External" /><Relationship Id="rId37" Type="http://schemas.openxmlformats.org/officeDocument/2006/relationships/hyperlink" Target="https://commission.europa.eu/strategy-and-policy/priorities-2019-2024/european-green-deal/agriculture-and-green-deal/strategic-dialogue-future-eu-agriculture_hu" TargetMode="External" /><Relationship Id="rId38" Type="http://schemas.openxmlformats.org/officeDocument/2006/relationships/hyperlink" Target="http://data.europa.eu/eli/reg/2002/178/oj" TargetMode="External" /><Relationship Id="rId39" Type="http://schemas.openxmlformats.org/officeDocument/2006/relationships/hyperlink" Target="https://tillymetz.lu/wp-content/uploads/2020/09/Co-signed-letter-MEP-Metz.pdf" TargetMode="External" /><Relationship Id="rId4" Type="http://schemas.openxmlformats.org/officeDocument/2006/relationships/hyperlink" Target="https://doi.org/10.2903/j.efsa.2026.9846" TargetMode="External" /><Relationship Id="rId5" Type="http://schemas.openxmlformats.org/officeDocument/2006/relationships/hyperlink" Target="http://data.europa.eu/eli/C/2025/1797/oj" TargetMode="External" /><Relationship Id="rId6" Type="http://schemas.openxmlformats.org/officeDocument/2006/relationships/hyperlink" Target="http://data.europa.eu/eli/C/2025/1798/oj" TargetMode="External" /><Relationship Id="rId7" Type="http://schemas.openxmlformats.org/officeDocument/2006/relationships/hyperlink" Target="http://data.europa.eu/eli/C/2025/1799/oj" TargetMode="External" /><Relationship Id="rId8" Type="http://schemas.openxmlformats.org/officeDocument/2006/relationships/hyperlink" Target="http://data.europa.eu/eli/C/2025/1800/oj" TargetMode="External" /><Relationship Id="rId9" Type="http://schemas.openxmlformats.org/officeDocument/2006/relationships/hyperlink" Target="http://data.europa.eu/eli/C/2025/180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1877</Words>
  <Characters>13801</Characters>
  <Application>Microsoft Office Word</Application>
  <DocSecurity>0</DocSecurity>
  <Lines>115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2026-08-10T13:10:00Z</dcterms:created>
  <dcterms:modified xsi:type="dcterms:W3CDTF">2026-08-10T13:10:00Z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B10-0334/2026</vt:lpwstr>
  </property>
  <property fmtid="{D5CDD505-2E9C-101B-9397-08002B2CF9AE}" pid="4" name="&lt;Type&gt;">
    <vt:lpwstr>RR</vt:lpwstr>
  </property>
</Properties>
</file>