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F0D4C7" w14:textId="77777777" w:rsidTr="0010095E">
        <w:tblPrEx>
          <w:tblW w:w="9072" w:type="dxa"/>
          <w:tblLook w:val="01E0"/>
        </w:tblPrEx>
        <w:trPr>
          <w:trHeight w:hRule="exact" w:val="1418"/>
        </w:trPr>
        <w:tc>
          <w:tcPr>
            <w:tcW w:w="6804" w:type="dxa"/>
            <w:shd w:val="clear" w:color="auto" w:fill="auto"/>
            <w:vAlign w:val="center"/>
          </w:tcPr>
          <w:p w:rsidR="00751A4A" w:rsidRPr="00DF5CDC" w:rsidP="0010095E" w14:paraId="270DA093" w14:textId="77777777">
            <w:pPr>
              <w:pStyle w:val="EPName"/>
            </w:pPr>
            <w:r w:rsidRPr="00DF5CDC">
              <w:t>Parlamento europeo</w:t>
            </w:r>
          </w:p>
          <w:p w:rsidR="00751A4A" w:rsidRPr="00DF5CDC" w:rsidP="005F1B17" w14:paraId="50D5E9CA" w14:textId="77777777">
            <w:pPr>
              <w:pStyle w:val="EPTerm"/>
              <w:rPr>
                <w:rStyle w:val="HideTWBExt"/>
                <w:noProof w:val="0"/>
                <w:vanish w:val="0"/>
                <w:color w:val="auto"/>
              </w:rPr>
            </w:pPr>
            <w:r w:rsidRPr="00DF5CDC">
              <w:t>2024</w:t>
            </w:r>
            <w:r w:rsidRPr="00DF5CDC" w:rsidR="00817416">
              <w:t>-202</w:t>
            </w:r>
            <w:r w:rsidRPr="00DF5CDC">
              <w:t>9</w:t>
            </w:r>
          </w:p>
        </w:tc>
        <w:tc>
          <w:tcPr>
            <w:tcW w:w="2268" w:type="dxa"/>
            <w:shd w:val="clear" w:color="auto" w:fill="auto"/>
          </w:tcPr>
          <w:p w:rsidR="00751A4A" w:rsidRPr="00DF5CDC" w:rsidP="0010095E" w14:paraId="3976C1AD" w14:textId="77777777">
            <w:pPr>
              <w:pStyle w:val="EPLogo"/>
            </w:pPr>
            <w:r w:rsidRPr="00DF5CD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5CDC" w:rsidP="004C5D52" w14:paraId="011FA259" w14:textId="77777777">
      <w:pPr>
        <w:pStyle w:val="LineTop"/>
      </w:pPr>
    </w:p>
    <w:p w:rsidR="00680577" w:rsidRPr="00DF5CDC" w:rsidP="00680577" w14:paraId="35A3F1D2" w14:textId="77777777">
      <w:pPr>
        <w:pStyle w:val="EPBodyTA1"/>
      </w:pPr>
      <w:r w:rsidRPr="00DF5CDC">
        <w:t>TESTI APPROVATI</w:t>
      </w:r>
    </w:p>
    <w:p w:rsidR="00D058B8" w:rsidRPr="00DF5CDC" w:rsidP="00D058B8" w14:paraId="6D80D5B0" w14:textId="77777777">
      <w:pPr>
        <w:pStyle w:val="LineBottom"/>
      </w:pPr>
    </w:p>
    <w:p w:rsidR="001A0ED7" w:rsidRPr="00DF5CDC" w:rsidP="001A0ED7" w14:paraId="0292A26C" w14:textId="6C9C9CD9">
      <w:pPr>
        <w:pStyle w:val="ATHeading1"/>
      </w:pPr>
      <w:bookmarkStart w:id="0" w:name="TANumber"/>
      <w:r w:rsidRPr="00DF5CDC">
        <w:t>P10_</w:t>
      </w:r>
      <w:r w:rsidRPr="00DF5CDC">
        <w:t>TA(</w:t>
      </w:r>
      <w:r w:rsidRPr="00DF5CDC">
        <w:t>2026)0</w:t>
      </w:r>
      <w:r w:rsidRPr="00DF5CDC" w:rsidR="00230DCE">
        <w:t>264</w:t>
      </w:r>
      <w:bookmarkEnd w:id="0"/>
    </w:p>
    <w:p w:rsidR="001A0ED7" w:rsidRPr="00DF5CDC" w:rsidP="001A0ED7" w14:paraId="4E6DC8D9" w14:textId="41C9E7F6">
      <w:pPr>
        <w:pStyle w:val="ATHeading2"/>
      </w:pPr>
      <w:bookmarkStart w:id="1" w:name="title"/>
      <w:r w:rsidRPr="00DF5CDC">
        <w:t>S</w:t>
      </w:r>
      <w:r w:rsidRPr="00DF5CDC">
        <w:t>oia geneticamente modificata MON 87705</w:t>
      </w:r>
      <w:bookmarkEnd w:id="1"/>
    </w:p>
    <w:p w:rsidR="001A0ED7" w:rsidRPr="00DF5CDC" w:rsidP="001A0ED7" w14:paraId="64BF0ED7" w14:textId="77777777">
      <w:pPr>
        <w:rPr>
          <w:i/>
          <w:vanish/>
        </w:rPr>
      </w:pPr>
      <w:r>
        <w:rPr>
          <w:i/>
        </w:rPr>
        <w:fldChar w:fldCharType="begin"/>
      </w:r>
      <w:r w:rsidRPr="00DF5CDC">
        <w:rPr>
          <w:i/>
        </w:rPr>
        <w:instrText xml:space="preserve"> TC"(</w:instrText>
      </w:r>
      <w:bookmarkStart w:id="2" w:name="DocNumber"/>
      <w:r w:rsidRPr="00DF5CDC">
        <w:rPr>
          <w:i/>
        </w:rPr>
        <w:instrText>B10-0334/2026</w:instrText>
      </w:r>
      <w:bookmarkEnd w:id="2"/>
      <w:r w:rsidRPr="00DF5CDC">
        <w:rPr>
          <w:i/>
        </w:rPr>
        <w:instrText xml:space="preserve">)"\l3 \n&gt; \* MERGEFORMAT </w:instrText>
      </w:r>
      <w:r>
        <w:rPr>
          <w:i/>
        </w:rPr>
        <w:fldChar w:fldCharType="end"/>
      </w:r>
    </w:p>
    <w:p w:rsidR="001A0ED7" w:rsidRPr="00DF5CDC" w:rsidP="001A0ED7" w14:paraId="10A92F11" w14:textId="77777777">
      <w:pPr>
        <w:rPr>
          <w:vanish/>
        </w:rPr>
      </w:pPr>
      <w:bookmarkStart w:id="3" w:name="PE"/>
      <w:r w:rsidRPr="00DF5CDC">
        <w:rPr>
          <w:vanish/>
        </w:rPr>
        <w:t>PE789.024</w:t>
      </w:r>
      <w:bookmarkEnd w:id="3"/>
    </w:p>
    <w:p w:rsidR="001A0ED7" w:rsidRPr="00DF5CDC" w:rsidP="001A0ED7" w14:paraId="457F544D" w14:textId="71D5E7DD">
      <w:pPr>
        <w:pStyle w:val="ATHeading3"/>
      </w:pPr>
      <w:bookmarkStart w:id="4" w:name="Sujet"/>
      <w:r w:rsidRPr="00DF5CDC">
        <w:t>Risoluzione del Parlamento europeo dell'8 luglio 2026 sul</w:t>
      </w:r>
      <w:r w:rsidRPr="00DF5CDC" w:rsidR="0070531D">
        <w:t>la</w:t>
      </w:r>
      <w:r w:rsidRPr="00DF5CDC">
        <w:t xml:space="preserve"> decisione di esecuzione </w:t>
      </w:r>
      <w:r w:rsidRPr="00DF5CDC" w:rsidR="003721B9">
        <w:t xml:space="preserve">(UE) 2026/1419 </w:t>
      </w:r>
      <w:r w:rsidRPr="00DF5CDC">
        <w:t>della Commissione</w:t>
      </w:r>
      <w:r w:rsidRPr="00DF5CDC" w:rsidR="0070531D">
        <w:t xml:space="preserve">, del 29 giugno 2026, </w:t>
      </w:r>
      <w:r w:rsidRPr="00DF5CDC">
        <w:t xml:space="preserve">che rinnova l'autorizzazione all'immissione in commercio di prodotti contenenti, costituiti o derivati da soia geneticamente modificata MON 87705 a </w:t>
      </w:r>
      <w:r w:rsidRPr="00DF5CDC" w:rsidR="005A7F0A">
        <w:t>conformemente a</w:t>
      </w:r>
      <w:r w:rsidRPr="00DF5CDC">
        <w:t xml:space="preserve">l regolamento (CE) n. 1829/2003 del Parlamento europeo e del Consiglio </w:t>
      </w:r>
      <w:bookmarkStart w:id="5" w:name="References"/>
      <w:bookmarkEnd w:id="4"/>
      <w:r w:rsidRPr="00DF5CDC">
        <w:t>(2026/2747(RSP))</w:t>
      </w:r>
      <w:bookmarkEnd w:id="5"/>
    </w:p>
    <w:p w:rsidR="00FF0F94" w:rsidRPr="00DF5CDC" w:rsidP="00FF0F94" w14:paraId="4E77D697" w14:textId="77777777">
      <w:pPr>
        <w:pStyle w:val="EPComma"/>
      </w:pPr>
      <w:bookmarkStart w:id="6" w:name="TextBodyBegin"/>
      <w:bookmarkEnd w:id="6"/>
      <w:r w:rsidRPr="00DF5CDC">
        <w:rPr>
          <w:i/>
          <w:iCs/>
        </w:rPr>
        <w:t>Il Parlamento europeo,</w:t>
      </w:r>
    </w:p>
    <w:p w:rsidR="00FF0F94" w:rsidRPr="00DF5CDC" w:rsidP="00FF0F94" w14:paraId="66703552" w14:textId="7ECEAD43">
      <w:pPr>
        <w:pStyle w:val="NormalHanging12a"/>
      </w:pPr>
      <w:r w:rsidRPr="00DF5CDC">
        <w:t>–</w:t>
      </w:r>
      <w:r w:rsidRPr="00DF5CDC">
        <w:tab/>
        <w:t>vist</w:t>
      </w:r>
      <w:r w:rsidRPr="00DF5CDC" w:rsidR="0070531D">
        <w:t>a la</w:t>
      </w:r>
      <w:r w:rsidRPr="00DF5CDC">
        <w:t xml:space="preserve"> decisione di esecuzione</w:t>
      </w:r>
      <w:r w:rsidRPr="00DF5CDC" w:rsidR="003721B9">
        <w:t xml:space="preserve"> (UE) 2026/1419</w:t>
      </w:r>
      <w:r w:rsidRPr="00DF5CDC">
        <w:t xml:space="preserve"> della Commissione</w:t>
      </w:r>
      <w:r w:rsidRPr="00DF5CDC" w:rsidR="0070531D">
        <w:t xml:space="preserve">, del 29 giugno 2026, </w:t>
      </w:r>
      <w:r w:rsidRPr="00DF5CDC">
        <w:t xml:space="preserve">che rinnova l'autorizzazione all'immissione in commercio di prodotti contenenti, costituiti o derivati da soia geneticamente modificata MON 87705 </w:t>
      </w:r>
      <w:r w:rsidRPr="00DF5CDC" w:rsidR="005A7F0A">
        <w:t>conformemente</w:t>
      </w:r>
      <w:r w:rsidRPr="00DF5CDC">
        <w:t xml:space="preserve"> </w:t>
      </w:r>
      <w:r w:rsidRPr="00DF5CDC" w:rsidR="005A7F0A">
        <w:t>a</w:t>
      </w:r>
      <w:r w:rsidRPr="00DF5CDC">
        <w:t>l regolamento (CE) n. 1829/2003 del Parlamento europeo e del Consiglio</w:t>
      </w:r>
      <w:r>
        <w:rPr>
          <w:rStyle w:val="FootnoteReference"/>
        </w:rPr>
        <w:footnoteReference w:id="2"/>
      </w:r>
      <w:r w:rsidRPr="00DF5CDC">
        <w:t>,</w:t>
      </w:r>
    </w:p>
    <w:p w:rsidR="00FF0F94" w:rsidRPr="00DF5CDC" w:rsidP="00FF0F94" w14:paraId="79BA7C27" w14:textId="77777777">
      <w:pPr>
        <w:pStyle w:val="NormalHanging12a"/>
      </w:pPr>
      <w:r w:rsidRPr="00DF5CDC">
        <w:t>–</w:t>
      </w:r>
      <w:r w:rsidRPr="00DF5CDC">
        <w:tab/>
        <w:t>visto il regolamento (CE) n. 1829/2003 del Parlamento europeo e del Consiglio, del 22 settembre 2003, relativo agli alimenti e ai mangimi geneticamente modificati</w:t>
      </w:r>
      <w:r>
        <w:rPr>
          <w:rStyle w:val="FootnoteReference"/>
        </w:rPr>
        <w:footnoteReference w:id="3"/>
      </w:r>
      <w:r w:rsidRPr="00DF5CDC">
        <w:t>, in particolare l'articolo 11, paragrafo 3, e l'articolo 23, paragrafo 3,</w:t>
      </w:r>
    </w:p>
    <w:p w:rsidR="00FF0F94" w:rsidRPr="00DF5CDC" w:rsidP="00FF0F94" w14:paraId="0239DD8E" w14:textId="77777777">
      <w:pPr>
        <w:pStyle w:val="NormalHanging12a"/>
      </w:pPr>
      <w:r w:rsidRPr="00DF5CDC">
        <w:t>–</w:t>
      </w:r>
      <w:r w:rsidRPr="00DF5CDC">
        <w:tab/>
        <w:t>viste la votazione tenutasi il 27 aprile 2026 in seno al comitato permanente per le piante, gli animali, gli alimenti e i mangimi di cui all'articolo 35 del regolamento (CE) n. 1829/2003, durante la quale non sono stati espressi pareri, e la votazione tenutasi il 2 giugno 2026, durante la quale, ancora una volta, non sono stati espressi pareri,</w:t>
      </w:r>
    </w:p>
    <w:p w:rsidR="00FF0F94" w:rsidRPr="00DF5CDC" w:rsidP="00FF0F94" w14:paraId="00F54DF5" w14:textId="77777777">
      <w:pPr>
        <w:pStyle w:val="NormalHanging12a"/>
      </w:pPr>
      <w:r w:rsidRPr="00DF5CDC">
        <w:t>–</w:t>
      </w:r>
      <w:r w:rsidRPr="00DF5CDC">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Pr>
          <w:rStyle w:val="FootnoteReference"/>
        </w:rPr>
        <w:footnoteReference w:id="4"/>
      </w:r>
      <w:r w:rsidRPr="00DF5CDC">
        <w:t>,</w:t>
      </w:r>
    </w:p>
    <w:p w:rsidR="00FF0F94" w:rsidRPr="00DF5CDC" w:rsidP="00FF0F94" w14:paraId="5DBC5A6A" w14:textId="77777777">
      <w:pPr>
        <w:pStyle w:val="NormalHanging12a"/>
      </w:pPr>
      <w:r w:rsidRPr="00DF5CDC">
        <w:t>–</w:t>
      </w:r>
      <w:r w:rsidRPr="00DF5CDC">
        <w:tab/>
        <w:t xml:space="preserve">visto il parere adottato dall'Autorità europea per la sicurezza alimentare (EFSA) il 10 </w:t>
      </w:r>
      <w:r w:rsidRPr="00DF5CDC">
        <w:t>dicembre 2025 e pubblicato il 12 gennaio 2026</w:t>
      </w:r>
      <w:r>
        <w:rPr>
          <w:rStyle w:val="FootnoteReference"/>
        </w:rPr>
        <w:footnoteReference w:id="5"/>
      </w:r>
      <w:r w:rsidRPr="00DF5CDC">
        <w:t>,</w:t>
      </w:r>
    </w:p>
    <w:p w:rsidR="00FF0F94" w:rsidRPr="00DF5CDC" w:rsidP="00FF0F94" w14:paraId="1DE57E01" w14:textId="77777777">
      <w:pPr>
        <w:pStyle w:val="NormalHanging12a"/>
      </w:pPr>
      <w:r w:rsidRPr="00DF5CDC">
        <w:t>–</w:t>
      </w:r>
      <w:r w:rsidRPr="00DF5CDC">
        <w:tab/>
        <w:t>viste le sue precedenti risoluzioni che sollevano obiezioni all'autorizzazione di organismi geneticamente modificati ("OGM")</w:t>
      </w:r>
      <w:r>
        <w:rPr>
          <w:rStyle w:val="FootnoteReference"/>
        </w:rPr>
        <w:footnoteReference w:id="6"/>
      </w:r>
      <w:r w:rsidRPr="00DF5CDC">
        <w:t>,</w:t>
      </w:r>
    </w:p>
    <w:p w:rsidR="00FF0F94" w:rsidRPr="00DF5CDC" w:rsidP="00FF0F94" w14:paraId="081FA982" w14:textId="77777777">
      <w:pPr>
        <w:pStyle w:val="NormalHanging12a"/>
      </w:pPr>
      <w:r w:rsidRPr="00DF5CDC">
        <w:t>–</w:t>
      </w:r>
      <w:r w:rsidRPr="00DF5CDC">
        <w:tab/>
        <w:t>visto l'articolo 115, paragrafi 2 e 3, del suo regolamento,</w:t>
      </w:r>
    </w:p>
    <w:p w:rsidR="00FF0F94" w:rsidRPr="00DF5CDC" w:rsidP="00FF0F94" w14:paraId="41B69C18" w14:textId="77777777">
      <w:pPr>
        <w:pStyle w:val="NormalHanging12a"/>
      </w:pPr>
      <w:r w:rsidRPr="00DF5CDC">
        <w:t>–</w:t>
      </w:r>
      <w:r w:rsidRPr="00DF5CDC">
        <w:tab/>
        <w:t>vista la proposta di risoluzione della commissione per l'ambiente, il clima e la sicurezza alimentare,</w:t>
      </w:r>
    </w:p>
    <w:p w:rsidR="00FF0F94" w:rsidRPr="00DF5CDC" w:rsidP="00FF0F94" w14:paraId="158F2395" w14:textId="59D9F107">
      <w:pPr>
        <w:spacing w:after="240"/>
        <w:ind w:left="567" w:hanging="567"/>
      </w:pPr>
      <w:r w:rsidRPr="00DF5CDC">
        <w:t>A.</w:t>
      </w:r>
      <w:r w:rsidRPr="00DF5CDC">
        <w:tab/>
        <w:t>considerando che la decisione di esecuzione (UE) 2015/696</w:t>
      </w:r>
      <w:r>
        <w:rPr>
          <w:rStyle w:val="FootnoteReference"/>
        </w:rPr>
        <w:footnoteReference w:id="7"/>
      </w:r>
      <w:r w:rsidRPr="00DF5CDC">
        <w:t xml:space="preserve"> della Commissione ha autorizzato l'immissione in commercio di alimenti e mangimi contenenti, costituiti od ottenuti da soia geneticamente modificata MON 87705 ("soia geneticamente modificata"); che il campo di applicazione di tale autorizzazione riguardava anche l'immissione in commercio di prodotti, diversi da alimenti e mangimi, contenenti soia geneticamente modificata o da essa costituiti per gli stessi usi di tutti gli altri tipi di soia, ad eccezione della coltivazione;</w:t>
      </w:r>
    </w:p>
    <w:p w:rsidR="00FF0F94" w:rsidRPr="00DF5CDC" w:rsidP="00FF0F94" w14:paraId="2F54BCF5" w14:textId="77777777">
      <w:pPr>
        <w:spacing w:after="240"/>
        <w:ind w:left="567" w:hanging="567"/>
      </w:pPr>
      <w:r w:rsidRPr="00DF5CDC">
        <w:t>B.</w:t>
      </w:r>
      <w:r w:rsidRPr="00DF5CDC">
        <w:tab/>
        <w:t xml:space="preserve">considerando che l'8 marzo 2024 Bayer </w:t>
      </w:r>
      <w:r w:rsidRPr="00DF5CDC">
        <w:t>Agriculture</w:t>
      </w:r>
      <w:r w:rsidRPr="00DF5CDC">
        <w:t xml:space="preserve"> BV, con sede in Belgio, ha presentato alla Commissione, per conto di Bayer </w:t>
      </w:r>
      <w:r w:rsidRPr="00DF5CDC">
        <w:t>CropScience</w:t>
      </w:r>
      <w:r w:rsidRPr="00DF5CDC">
        <w:t xml:space="preserve"> LP, con sede negli Stati Uniti, una domanda di rinnovo di tale autorizzazione;</w:t>
      </w:r>
    </w:p>
    <w:p w:rsidR="00FF0F94" w:rsidRPr="00DF5CDC" w:rsidP="008F023A" w14:paraId="60E1D4D3" w14:textId="78DF861C">
      <w:pPr>
        <w:spacing w:after="240"/>
        <w:ind w:left="567" w:hanging="567"/>
      </w:pPr>
      <w:r w:rsidRPr="00DF5CDC">
        <w:t>C.</w:t>
      </w:r>
      <w:r w:rsidRPr="00DF5CDC">
        <w:tab/>
        <w:t>considerando che il 12 gennaio 2026 l'EFSA ha pubblicato un parere scientifico favorevole sulla soia geneticamente modificata</w:t>
      </w:r>
      <w:r>
        <w:rPr>
          <w:rStyle w:val="FootnoteReference"/>
        </w:rPr>
        <w:footnoteReference w:id="8"/>
      </w:r>
      <w:r w:rsidRPr="00DF5CDC">
        <w:t>, conformemente agli articoli 6 e 18 del regolamento (CE) n. 1829/2003; che essa ha concluso che la domanda di rinnovo non conteneva prove di nuovi pericoli, modifiche dell'esposizione o incertezze scientifiche tali da modificare le conclusioni della valutazione del rischio iniziale relativa alla soia</w:t>
      </w:r>
      <w:r w:rsidRPr="00DF5CDC" w:rsidR="008F023A">
        <w:t xml:space="preserve"> </w:t>
      </w:r>
      <w:r w:rsidRPr="00DF5CDC">
        <w:t>geneticamente modificata, adottata dall'EFSA nel 2012</w:t>
      </w:r>
      <w:r>
        <w:rPr>
          <w:rStyle w:val="FootnoteReference"/>
        </w:rPr>
        <w:footnoteReference w:id="9"/>
      </w:r>
      <w:r w:rsidRPr="00DF5CDC">
        <w:t xml:space="preserve"> e 2013</w:t>
      </w:r>
      <w:r>
        <w:rPr>
          <w:rStyle w:val="FootnoteReference"/>
        </w:rPr>
        <w:footnoteReference w:id="10"/>
      </w:r>
      <w:r w:rsidRPr="00DF5CDC">
        <w:t>; che tali pareri non hanno preso in considerazione diversi effetti ambientali, socioeconomici e cumulativi più ampi che l'EFSA ritiene esulino dalle sue competenze;</w:t>
      </w:r>
    </w:p>
    <w:p w:rsidR="00FF0F94" w:rsidRPr="00DF5CDC" w:rsidP="00FF0F94" w14:paraId="52AE89FA" w14:textId="77777777">
      <w:pPr>
        <w:pStyle w:val="NormalHanging12a"/>
      </w:pPr>
      <w:r w:rsidRPr="00DF5CDC">
        <w:t>D.</w:t>
      </w:r>
      <w:r w:rsidRPr="00DF5CDC">
        <w:tab/>
        <w:t>considerando che la soia geneticamente modificata ha un maggiore tenore di acido oleico e mostra tolleranza agli erbicidi contenenti glifosato;</w:t>
      </w:r>
    </w:p>
    <w:p w:rsidR="00FF0F94" w:rsidRPr="00DF5CDC" w:rsidP="00FF0F94" w14:paraId="0CF0282C" w14:textId="77777777">
      <w:pPr>
        <w:pStyle w:val="NormalHanging12a"/>
      </w:pPr>
      <w:r w:rsidRPr="00DF5CDC">
        <w:t>E.</w:t>
      </w:r>
      <w:r w:rsidRPr="00DF5CDC">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della soia;</w:t>
      </w:r>
    </w:p>
    <w:p w:rsidR="00FF0F94" w:rsidRPr="00DF5CDC" w:rsidP="00FF0F94" w14:paraId="7441C61F" w14:textId="77777777">
      <w:pPr>
        <w:pStyle w:val="NormalHanging12a"/>
      </w:pPr>
      <w:r w:rsidRPr="00DF5CDC">
        <w:t>F.</w:t>
      </w:r>
      <w:r w:rsidRPr="00DF5CDC">
        <w:tab/>
        <w:t>considerando che la maggior parte delle colture geneticamente modificate, compresa la soia geneticamente modificata,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che una serie di studi dimostra che le colture geneticamente modificate resistenti agli erbicidi determinano un maggiore ricorso agli erbicidi complementari, dovuto principalmente alla comparsa di piante infestanti resistenti agli erbicidi;</w:t>
      </w:r>
    </w:p>
    <w:p w:rsidR="00FF0F94" w:rsidRPr="00DF5CDC" w:rsidP="00FF0F94" w14:paraId="1A5A7E90" w14:textId="77777777">
      <w:pPr>
        <w:pStyle w:val="NormalHanging12a"/>
      </w:pPr>
      <w:r w:rsidRPr="00DF5CDC">
        <w:t>G.</w:t>
      </w:r>
      <w:r w:rsidRPr="00DF5CDC">
        <w:tab/>
        <w:t>considerando che le colture geneticamente modificate tolleranti agli erbicidi vincolano gli agricoltori a un sistema di gestione delle piante infestanti che dipende in gran parte o del tutto dagli erbicidi, e questo mediante l'imposizione di un prezzo maggiorato per le sementi geneticamente modificate, creando nel contempo una dipendenza dall'uso degli erbicidi complementari quale parte integrante del sistema di produzione; che la sempre maggiore dipendenza dagli erbicidi complementari da parte delle aziende agricole che coltivano soia geneticamente modificata accelererà la comparsa e la diffusione di piante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p>
    <w:p w:rsidR="00FF0F94" w:rsidRPr="00DF5CDC" w:rsidP="00FF0F94" w14:paraId="1CB611FD" w14:textId="77777777">
      <w:pPr>
        <w:pStyle w:val="NormalHanging12a"/>
      </w:pPr>
      <w:r w:rsidRPr="00DF5CDC">
        <w:t>H.</w:t>
      </w:r>
      <w:r w:rsidRPr="00DF5CDC">
        <w:tab/>
        <w:t>considerando che una serie di studi dimostra che le colture geneticamente modificate resistenti agli erbicidi determinano un maggiore ricorso agli erbicidi complementari, dovuto principalmente alla comparsa di piante infestanti resistenti agli erbicidi</w:t>
      </w:r>
      <w:r>
        <w:rPr>
          <w:vertAlign w:val="superscript"/>
        </w:rPr>
        <w:footnoteReference w:id="11"/>
      </w:r>
      <w:r w:rsidRPr="00DF5CDC">
        <w:t>; che, di conseguenza, si prevede che la soia geneticamente modificata sarà esposta a dosi più elevate e ripetute di glifosato e che, pertanto, i raccolti potrebbero presentare una maggiore quantità di residui e di relativi prodotti di degradazione (metaboliti);</w:t>
      </w:r>
    </w:p>
    <w:p w:rsidR="00FF0F94" w:rsidRPr="00DF5CDC" w:rsidP="00FF0F94" w14:paraId="0FDCC8D1" w14:textId="77777777">
      <w:pPr>
        <w:pStyle w:val="NormalHanging12a"/>
      </w:pPr>
      <w:r w:rsidRPr="00DF5CDC">
        <w:t>I.</w:t>
      </w:r>
      <w:r w:rsidRPr="00DF5CDC">
        <w:tab/>
        <w:t xml:space="preserve">considerando che persistono notevoli incertezze scientifiche in merito alla sicurezza del glifosato per la salute umana e l'ambiente; che nel novembre 2015 l'EFSA ha concluso che è improbabile che il glifosato sia cancerogeno e che nel marzo 2017 l'Agenzia </w:t>
      </w:r>
      <w:r w:rsidRPr="00DF5CDC">
        <w:t xml:space="preserve">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altri recenti studi scientifici oggetto di valutazione inter </w:t>
      </w:r>
      <w:r w:rsidRPr="00DF5CDC">
        <w:t>pares</w:t>
      </w:r>
      <w:r w:rsidRPr="00DF5CDC">
        <w:t xml:space="preserve"> confermano il potenziale cancerogeno del glifosato</w:t>
      </w:r>
      <w:r>
        <w:rPr>
          <w:vertAlign w:val="superscript"/>
        </w:rPr>
        <w:footnoteReference w:id="12"/>
      </w:r>
      <w:r w:rsidRPr="00DF5CDC">
        <w:t xml:space="preserve">; </w:t>
      </w:r>
      <w:bookmarkStart w:id="9" w:name="_Hlk218688545"/>
      <w:r w:rsidRPr="00DF5CDC">
        <w:t xml:space="preserve">che la rivista </w:t>
      </w:r>
      <w:r w:rsidRPr="00DF5CDC">
        <w:rPr>
          <w:i/>
          <w:iCs/>
        </w:rPr>
        <w:t>Regulatory</w:t>
      </w:r>
      <w:r w:rsidRPr="00DF5CDC">
        <w:rPr>
          <w:i/>
          <w:iCs/>
        </w:rPr>
        <w:t xml:space="preserve"> </w:t>
      </w:r>
      <w:r w:rsidRPr="00DF5CDC">
        <w:rPr>
          <w:i/>
          <w:iCs/>
        </w:rPr>
        <w:t>Toxicology</w:t>
      </w:r>
      <w:r w:rsidRPr="00DF5CDC">
        <w:rPr>
          <w:i/>
          <w:iCs/>
        </w:rPr>
        <w:t xml:space="preserve"> and </w:t>
      </w:r>
      <w:r w:rsidRPr="00DF5CDC">
        <w:rPr>
          <w:i/>
          <w:iCs/>
        </w:rPr>
        <w:t>Pharmacology</w:t>
      </w:r>
      <w:r w:rsidRPr="00DF5CDC">
        <w:t xml:space="preserve"> ha ufficialmente ritirato l'articolo scientifico dal titolo "</w:t>
      </w:r>
      <w:r w:rsidRPr="00DF5CDC">
        <w:t>Safety</w:t>
      </w:r>
      <w:r w:rsidRPr="00DF5CDC">
        <w:t xml:space="preserve"> Evaluation and Risk </w:t>
      </w:r>
      <w:r w:rsidRPr="00DF5CDC">
        <w:t>Assessment</w:t>
      </w:r>
      <w:r w:rsidRPr="00DF5CDC">
        <w:t xml:space="preserve"> of the </w:t>
      </w:r>
      <w:r w:rsidRPr="00DF5CDC">
        <w:t>Herbicide</w:t>
      </w:r>
      <w:r w:rsidRPr="00DF5CDC">
        <w:t xml:space="preserve"> Roundup and </w:t>
      </w:r>
      <w:r w:rsidRPr="00DF5CDC">
        <w:t>Its</w:t>
      </w:r>
      <w:r w:rsidRPr="00DF5CDC">
        <w:t xml:space="preserve"> Active </w:t>
      </w:r>
      <w:r w:rsidRPr="00DF5CDC">
        <w:t>Ingredient</w:t>
      </w:r>
      <w:r w:rsidRPr="00DF5CDC">
        <w:t xml:space="preserve">, </w:t>
      </w:r>
      <w:r w:rsidRPr="00DF5CDC">
        <w:t>Glyphosate</w:t>
      </w:r>
      <w:r w:rsidRPr="00DF5CDC">
        <w:t xml:space="preserve">, for </w:t>
      </w:r>
      <w:r w:rsidRPr="00DF5CDC">
        <w:t>Humans</w:t>
      </w:r>
      <w:r w:rsidRPr="00DF5CDC">
        <w:t xml:space="preserve">" (Valutazione della sicurezza e dei rischi per l'uomo dell'erbicida Roundup e del suo ingrediente attivo, il glifosato), pubblicato nel 2000, che è stato utilizzato per sostenere la sicurezza del glifosato in molte </w:t>
      </w:r>
      <w:r w:rsidRPr="00DF5CDC">
        <w:t>valutazioni</w:t>
      </w:r>
      <w:r w:rsidRPr="00DF5CDC">
        <w:t xml:space="preserve"> dei rischi, in quanto "sono state sollevate preoccupazioni in merito agli autori, alla validità dei risultati della ricerca nel contesto della distorsione dei contributi da parte degli autori e dello sponsor dello studio e ai potenziali conflitti di interessi degli autori"</w:t>
      </w:r>
      <w:r>
        <w:rPr>
          <w:rStyle w:val="FootnoteReference"/>
        </w:rPr>
        <w:footnoteReference w:id="13"/>
      </w:r>
      <w:r w:rsidRPr="00DF5CDC">
        <w:t>;</w:t>
      </w:r>
      <w:bookmarkEnd w:id="9"/>
    </w:p>
    <w:p w:rsidR="00FF0F94" w:rsidRPr="00DF5CDC" w:rsidP="00FF0F94" w14:paraId="2410AC5B" w14:textId="190085F8">
      <w:pPr>
        <w:pStyle w:val="NormalHanging12a"/>
      </w:pPr>
      <w:r w:rsidRPr="00DF5CDC">
        <w:t>J.</w:t>
      </w:r>
      <w:r w:rsidRPr="00DF5CDC">
        <w:tab/>
        <w:t xml:space="preserve">considerando che </w:t>
      </w:r>
      <w:r w:rsidRPr="00DF5CDC" w:rsidR="006471C9">
        <w:t xml:space="preserve">si ritiene che </w:t>
      </w:r>
      <w:r w:rsidRPr="00DF5CDC">
        <w:t xml:space="preserve">la valutazione dei residui di erbicidi e dei metaboliti riscontrati sulle piante geneticamente modificate </w:t>
      </w:r>
      <w:r w:rsidRPr="00DF5CDC" w:rsidR="006471C9">
        <w:t>esuli</w:t>
      </w:r>
      <w:r w:rsidRPr="00DF5CDC">
        <w:t xml:space="preserve"> dall'ambito di competenza del gruppo di esperti scientifici dell'EFSA sugli organismi geneticamente modificati e quindi non viene eseguita nell'ambito del processo di autorizzazione per gli OGM; che tale aspetto è problematico poiché nelle piante geneticamente modificate potrebbe essere la modificazione genetica stessa a influenzare il modo in cui gli erbicidi complementari sono decomposti dalla pianta nonché la composizione e quindi la tossicità dei metaboliti</w:t>
      </w:r>
      <w:r>
        <w:rPr>
          <w:vertAlign w:val="superscript"/>
        </w:rPr>
        <w:footnoteReference w:id="14"/>
      </w:r>
      <w:r w:rsidRPr="00DF5CDC">
        <w:t>;</w:t>
      </w:r>
    </w:p>
    <w:p w:rsidR="00FF0F94" w:rsidRPr="00DF5CDC" w:rsidP="00FF0F94" w14:paraId="2EB0DBE7" w14:textId="77777777">
      <w:pPr>
        <w:pStyle w:val="NormalHanging12a"/>
      </w:pPr>
      <w:r w:rsidRPr="00DF5CDC">
        <w:t>K.</w:t>
      </w:r>
      <w:r w:rsidRPr="00DF5CDC">
        <w:tab/>
        <w:t>considerando che dall'analisi della sua composizione è emerso che la soia geneticamente modificata presenta un profilo di acidi grassi significativamente alterato rispetto alla sua controparte convenzionale, con un aumento dell'acido oleico e conseguenti diminuzioni dell'acido linoleico e dell'acido palmitico; che le preoccupazioni scientifiche si concentrano sulle implicazioni nutrizionali a lungo termine di una più ampia esposizione della popolazione a questo profilo alterato, in particolare per i consumatori che dipendono fortemente dall'olio di soia; che l'EFSA ha preso in considerazione stime dell'assunzione alimentare per valutare la rilevanza nutrizionale di tali alterazioni, utilizzando diverse ipotesi di consumo e scenari sostitutivi; che l'EFSA ha raccomandato, sulla base di tali ipotesi, solo un piano di monitoraggio successivo all'immissione in commercio incentrato sulla raccolta di dati sulle importazioni nell'Unione e sullo svolgimento di una valutazione nutrizionale aggiornata in caso di divergenza tra le informazioni disponibili sui modelli di consumo e quelle utilizzate durante la valutazione del rischio iniziale;</w:t>
      </w:r>
    </w:p>
    <w:p w:rsidR="00FF0F94" w:rsidRPr="00DF5CDC" w:rsidP="00FF0F94" w14:paraId="51F0F346" w14:textId="77777777">
      <w:pPr>
        <w:pStyle w:val="NormalHanging12a"/>
      </w:pPr>
      <w:r w:rsidRPr="00DF5CDC">
        <w:t>L.</w:t>
      </w:r>
      <w:r w:rsidRPr="00DF5CDC">
        <w:tab/>
        <w:t xml:space="preserve">considerando che il regolamento (CE) n. 1829/2003 dispone che gli alimenti o i mangimi geneticamente modificati non devono avere effetti nocivi sulla salute umana, la salute degli animali o l'ambiente, e impone alla Commissione di tenere conto, al </w:t>
      </w:r>
      <w:r w:rsidRPr="00DF5CDC">
        <w:t>momento di elaborare la sua decisione, della pertinente normativa dell'Unione e di altri fattori legittimi pertinenti alla questione in esame; che tali fattori legittimi dovrebbero includere gli obblighi dell'Unione derivanti dagli obiettivi di sviluppo sostenibile (OSS) delle Nazioni Unite, dall'accordo di Parigi sul clima</w:t>
      </w:r>
      <w:r>
        <w:rPr>
          <w:rStyle w:val="FootnoteReference"/>
        </w:rPr>
        <w:footnoteReference w:id="15"/>
      </w:r>
      <w:r w:rsidRPr="00DF5CDC">
        <w:t xml:space="preserve"> e dalla Convenzione delle Nazioni Unite sulla diversità biologica</w:t>
      </w:r>
      <w:r>
        <w:rPr>
          <w:rStyle w:val="FootnoteReference"/>
        </w:rPr>
        <w:footnoteReference w:id="16"/>
      </w:r>
      <w:r w:rsidRPr="00DF5CDC">
        <w:t>;</w:t>
      </w:r>
    </w:p>
    <w:p w:rsidR="00FF0F94" w:rsidRPr="00DF5CDC" w:rsidP="00FF0F94" w14:paraId="23B1B3C6" w14:textId="77777777">
      <w:pPr>
        <w:pStyle w:val="NormalHanging12a"/>
      </w:pPr>
      <w:r w:rsidRPr="00DF5CDC">
        <w:t>M.</w:t>
      </w:r>
      <w:r w:rsidRPr="00DF5CDC">
        <w:tab/>
        <w:t>considerando che il monitoraggio e la sorveglianza indipendenti dei potenziali effetti negativi sulla biodiversità, sulla salute del suolo, sugli impollinatori e sugli organismi non bersaglio continuano a non essere sufficientemente garantiti;</w:t>
      </w:r>
    </w:p>
    <w:p w:rsidR="00FF0F94" w:rsidRPr="00DF5CDC" w:rsidP="00FF0F94" w14:paraId="734A899E" w14:textId="77777777">
      <w:pPr>
        <w:pStyle w:val="NormalHanging12a"/>
      </w:pPr>
      <w:r w:rsidRPr="00DF5CDC">
        <w:t>N.</w:t>
      </w:r>
      <w:r w:rsidRPr="00DF5CDC">
        <w:tab/>
        <w:t>considerando che nei casi di incertezza scientifica dovrebbe applicarsi il principio di precauzione, sancito dall'articolo 191 del trattato sul funzionamento dell'Unione europea;</w:t>
      </w:r>
    </w:p>
    <w:p w:rsidR="00FF0F94" w:rsidRPr="00DF5CDC" w:rsidP="00FF0F94" w14:paraId="0D8E78AC" w14:textId="77777777">
      <w:pPr>
        <w:pStyle w:val="NormalHanging12a"/>
      </w:pPr>
      <w:r w:rsidRPr="00DF5CDC">
        <w:t>O.</w:t>
      </w:r>
      <w:r w:rsidRPr="00DF5CDC">
        <w:tab/>
        <w:t>considerando che l'Unione, in quanto parte contraente della Convenzione delle Nazioni Unite sulla diversità biologica e conformemente al suo articolo 3, ha la responsabilità di garantire che le attività svolte all'interno della sua giurisdizione o sotto il suo controllo non danneggino l'ambiente di altri Stati;</w:t>
      </w:r>
    </w:p>
    <w:p w:rsidR="00FF0F94" w:rsidRPr="00DF5CDC" w:rsidP="00FF0F94" w14:paraId="2DB82525" w14:textId="77777777">
      <w:pPr>
        <w:pStyle w:val="NormalHanging12a"/>
      </w:pPr>
      <w:r w:rsidRPr="00DF5CDC">
        <w:t>P.</w:t>
      </w:r>
      <w:r w:rsidRPr="00DF5CDC">
        <w:tab/>
        <w:t>considerando che il rinnovo dell'autorizzazione da parte dell'Unione della soia geneticamente modificata non sarebbe coerente con gli impegni internazionali in materia di riduzione dei pesticidi</w:t>
      </w:r>
      <w:r>
        <w:rPr>
          <w:vertAlign w:val="superscript"/>
        </w:rPr>
        <w:footnoteReference w:id="17"/>
      </w:r>
      <w:r w:rsidRPr="00DF5CDC">
        <w:t>, alla luce della maggiore esposizione umana, animale e ambientale al glifosato nei paesi che coltivano tale coltura geneticamente modificata resistente agli erbicidi, nonché dei potenziali effetti gravi associati sulla salute;</w:t>
      </w:r>
    </w:p>
    <w:p w:rsidR="00FF0F94" w:rsidRPr="00DF5CDC" w:rsidP="00FF0F94" w14:paraId="0C75BAEF" w14:textId="77777777">
      <w:pPr>
        <w:pStyle w:val="NormalHanging12a"/>
      </w:pPr>
      <w:r w:rsidRPr="00DF5CDC">
        <w:t>Q.</w:t>
      </w:r>
      <w:r w:rsidRPr="00DF5CDC">
        <w:tab/>
        <w:t>considerando che la coltivazione della soia geneticamente modificata non è consentita nell'Unione;</w:t>
      </w:r>
    </w:p>
    <w:p w:rsidR="00FF0F94" w:rsidRPr="00DF5CDC" w:rsidP="00FF0F94" w14:paraId="1B912909" w14:textId="44202833">
      <w:pPr>
        <w:pStyle w:val="NormalHanging12a"/>
      </w:pPr>
      <w:r w:rsidRPr="00DF5CDC">
        <w:t>R.</w:t>
      </w:r>
      <w:r w:rsidRPr="00DF5CDC">
        <w:tab/>
        <w:t xml:space="preserve">considerando che </w:t>
      </w:r>
      <w:r w:rsidRPr="00DF5CDC" w:rsidR="006471C9">
        <w:t>la</w:t>
      </w:r>
      <w:r w:rsidRPr="00DF5CDC">
        <w:t xml:space="preserve"> decisione di esecuzione della Commissione </w:t>
      </w:r>
      <w:r w:rsidRPr="00DF5CDC" w:rsidR="006471C9">
        <w:t xml:space="preserve">(UE) 2026/1419 </w:t>
      </w:r>
      <w:r w:rsidRPr="00DF5CDC">
        <w:t>consentirebbe importazioni nell'Unione di prodotti non conformi alle norme osservate dagli agricoltori dell'Unione, il che determinerebbe una situazione di svantaggio competitivo per quest'ultimi;</w:t>
      </w:r>
    </w:p>
    <w:p w:rsidR="00FF0F94" w:rsidRPr="00DF5CDC" w:rsidP="00FF0F94" w14:paraId="2ADFF951" w14:textId="77777777">
      <w:pPr>
        <w:pStyle w:val="NormalHanging12a"/>
      </w:pPr>
      <w:r w:rsidRPr="00DF5CDC">
        <w:t>S.</w:t>
      </w:r>
      <w:r w:rsidRPr="00DF5CDC">
        <w:tab/>
        <w:t>considerando che le conclusioni del dialogo strategico sul futuro dell'agricoltura dell'UE</w:t>
      </w:r>
      <w:r>
        <w:rPr>
          <w:vertAlign w:val="superscript"/>
        </w:rPr>
        <w:footnoteReference w:id="18"/>
      </w:r>
      <w:r w:rsidRPr="00DF5CDC">
        <w:t xml:space="preserve"> invitano la Commissione a riesaminare il suo approccio all'accesso al mercato per le importazioni e le esportazioni agroalimentari, alla luce delle difficoltà dovute alla divergenza tra le norme dell'Unione e quelle dei suoi partner commerciali; che una delle principali richieste avanzate dagli agricoltori durante le manifestazioni del 2023, del 2024 e del 2025 riguardava l'instaurazione, a livello mondiale, di relazioni commerciali più eque e coerenti con gli obiettivi relativi a un ambiente sano;</w:t>
      </w:r>
    </w:p>
    <w:p w:rsidR="00FF0F94" w:rsidRPr="00DF5CDC" w:rsidP="00FF0F94" w14:paraId="6D6C50FF" w14:textId="77777777">
      <w:pPr>
        <w:pStyle w:val="NormalHanging12a"/>
      </w:pPr>
      <w:r w:rsidRPr="00DF5CDC">
        <w:t>T.</w:t>
      </w:r>
      <w:r w:rsidRPr="00DF5CDC">
        <w:tab/>
        <w:t xml:space="preserve">considerando che il Parlamento ha ripetutamente sottolineato che la Commissione non </w:t>
      </w:r>
      <w:r w:rsidRPr="00DF5CDC">
        <w:t>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rsidR="00FF0F94" w:rsidRPr="00DF5CDC" w:rsidP="00FF0F94" w14:paraId="6F6C25CB" w14:textId="77777777">
      <w:pPr>
        <w:pStyle w:val="NormalHanging12a"/>
      </w:pPr>
      <w:r w:rsidRPr="00DF5CDC">
        <w:t>U.</w:t>
      </w:r>
      <w:r w:rsidRPr="00DF5CDC">
        <w:tab/>
        <w:t>considerando che, nonostante abbia riconosciuto l'esistenza di carenze democratiche, la mancanza di sostegno da parte degli Stati membri e le obiezioni sollevate dal Parlamento, la Commissione continua ad autorizzare OGM;</w:t>
      </w:r>
    </w:p>
    <w:p w:rsidR="00FF0F94" w:rsidRPr="00DF5CDC" w:rsidP="00FF0F94" w14:paraId="22F2D0F6" w14:textId="77777777">
      <w:pPr>
        <w:pStyle w:val="NormalHanging12a"/>
      </w:pPr>
      <w:r w:rsidRPr="00DF5CDC">
        <w:t>V.</w:t>
      </w:r>
      <w:r w:rsidRPr="00DF5CDC">
        <w:tab/>
        <w:t>considerando che l'approccio "One Health" richiede di tenere conto dell'interdipendenza tra salute umana, animale, vegetale e ambientale nel valutare la sostenibilità e la sicurezza a lungo termine degli OGM;</w:t>
      </w:r>
    </w:p>
    <w:p w:rsidR="00FF0F94" w:rsidRPr="00DF5CDC" w:rsidP="00FF0F94" w14:paraId="58473CB7" w14:textId="20B313B5">
      <w:pPr>
        <w:pStyle w:val="NormalHanging12a"/>
      </w:pPr>
      <w:r w:rsidRPr="00DF5CDC">
        <w:t>1.</w:t>
      </w:r>
      <w:r w:rsidRPr="00DF5CDC">
        <w:tab/>
        <w:t xml:space="preserve">ritiene che </w:t>
      </w:r>
      <w:r w:rsidRPr="00DF5CDC" w:rsidR="003721B9">
        <w:t>la</w:t>
      </w:r>
      <w:r w:rsidRPr="00DF5CDC">
        <w:t xml:space="preserve"> decisione di esecuzione </w:t>
      </w:r>
      <w:r w:rsidRPr="00DF5CDC" w:rsidR="003721B9">
        <w:t xml:space="preserve">(UE) 2026/1419 </w:t>
      </w:r>
      <w:r w:rsidRPr="00DF5CDC">
        <w:t>della Commissione ecceda le competenze di esecuzione previste dal regolamento (CE) n. 1829/2003;</w:t>
      </w:r>
    </w:p>
    <w:p w:rsidR="00FF0F94" w:rsidRPr="00DF5CDC" w:rsidP="00FF0F94" w14:paraId="3FF12008" w14:textId="492F8F87">
      <w:pPr>
        <w:pStyle w:val="NormalHanging12a"/>
      </w:pPr>
      <w:r w:rsidRPr="00DF5CDC">
        <w:t>2.</w:t>
      </w:r>
      <w:r w:rsidRPr="00DF5CDC">
        <w:tab/>
        <w:t>ritiene che</w:t>
      </w:r>
      <w:r w:rsidRPr="00DF5CDC" w:rsidR="003721B9">
        <w:t xml:space="preserve"> la</w:t>
      </w:r>
      <w:r w:rsidRPr="00DF5CDC">
        <w:t xml:space="preserve"> decisione di esecuzione</w:t>
      </w:r>
      <w:r w:rsidRPr="00DF5CDC" w:rsidR="003721B9">
        <w:t xml:space="preserve"> (UE) 2026/1419</w:t>
      </w:r>
      <w:r w:rsidRPr="00DF5CDC">
        <w:t xml:space="preserve"> della Commissione non sia </w:t>
      </w:r>
      <w:r w:rsidRPr="00DF5CDC" w:rsidR="003721B9">
        <w:t>conforme</w:t>
      </w:r>
      <w:r w:rsidRPr="00DF5CDC">
        <w:t xml:space="preserve"> </w:t>
      </w:r>
      <w:r w:rsidRPr="00DF5CDC" w:rsidR="003721B9">
        <w:t>a</w:t>
      </w:r>
      <w:r w:rsidRPr="00DF5CDC">
        <w:t>l diritto dell'Unione, in quanto non è compatibile con l'obiettivo del regolamento (CE) n. 1829/2003, che consiste, in conformità dei principi generali sanciti dal regolamento (CE) n. 178/2002 del Parlamento europeo e del Consiglio</w:t>
      </w:r>
      <w:r>
        <w:rPr>
          <w:vertAlign w:val="superscript"/>
        </w:rPr>
        <w:footnoteReference w:id="19"/>
      </w:r>
      <w:r w:rsidRPr="00DF5CDC">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FF0F94" w:rsidRPr="00DF5CDC" w:rsidP="00FF0F94" w14:paraId="2066ADCC" w14:textId="40A21345">
      <w:pPr>
        <w:pStyle w:val="NormalHanging12a"/>
      </w:pPr>
      <w:r w:rsidRPr="00DF5CDC">
        <w:t>3.</w:t>
      </w:r>
      <w:r w:rsidRPr="00DF5CDC">
        <w:tab/>
        <w:t xml:space="preserve">chiede alla Commissione di </w:t>
      </w:r>
      <w:r w:rsidRPr="00DF5CDC" w:rsidR="003721B9">
        <w:t>abrogare</w:t>
      </w:r>
      <w:r w:rsidRPr="00DF5CDC">
        <w:t xml:space="preserve"> </w:t>
      </w:r>
      <w:r w:rsidRPr="00DF5CDC" w:rsidR="003721B9">
        <w:t xml:space="preserve">la </w:t>
      </w:r>
      <w:r w:rsidRPr="00DF5CDC">
        <w:t>decisione di esecuzione</w:t>
      </w:r>
      <w:r w:rsidRPr="00DF5CDC" w:rsidR="003721B9">
        <w:t xml:space="preserve"> (UE) 2026/1419</w:t>
      </w:r>
      <w:r w:rsidRPr="00DF5CDC">
        <w:t>;</w:t>
      </w:r>
    </w:p>
    <w:p w:rsidR="00FF0F94" w:rsidRPr="00DF5CDC" w:rsidP="00FF0F94" w14:paraId="1E262B40" w14:textId="77777777">
      <w:pPr>
        <w:pStyle w:val="NormalHanging12a"/>
      </w:pPr>
      <w:r w:rsidRPr="00DF5CDC">
        <w:t>4.</w:t>
      </w:r>
      <w:r w:rsidRPr="00DF5CDC">
        <w:tab/>
        <w:t>invita la Commissione a non autorizzare l'importazione di colture geneticamente modificate resistenti agli erbicidi, a causa del conseguente aumento dell'uso di erbicidi complementari e, pertanto, dei maggiori rischi per la biodiversità, la sicurezza alimentare e la salute dei lavoratori;</w:t>
      </w:r>
    </w:p>
    <w:p w:rsidR="00FF0F94" w:rsidRPr="00DF5CDC" w:rsidP="00FF0F94" w14:paraId="3955FC4F" w14:textId="77777777">
      <w:pPr>
        <w:pStyle w:val="NormalHanging12a"/>
      </w:pPr>
      <w:r w:rsidRPr="00DF5CDC">
        <w:t>5.</w:t>
      </w:r>
      <w:r w:rsidRPr="00DF5CDC">
        <w:tab/>
        <w:t xml:space="preserve">plaude al fatto che, in una lettera ai deputati dell'11 settembre 2020, la Commissione </w:t>
      </w:r>
      <w:r w:rsidRPr="00DF5CDC">
        <w:t>abbia</w:t>
      </w:r>
      <w:r w:rsidRPr="00DF5CDC">
        <w:t xml:space="preserve"> riconosciuto la necessità di prendere in considerazione la sostenibilità nelle decisioni di autorizzazione relative agli OGM</w:t>
      </w:r>
      <w:r>
        <w:rPr>
          <w:vertAlign w:val="superscript"/>
        </w:rPr>
        <w:footnoteReference w:id="20"/>
      </w:r>
      <w:r w:rsidRPr="00DF5CDC">
        <w:t>; esprime tuttavia profondo rammarico per il fatto che, da allora, la Commissione abbia continuato ad autorizzare l'importazione di OGM nell'Unione, nonostante le continue obiezioni sollevate dal Parlamento e il voto contrario da parte della maggioranza degli Stati membri;</w:t>
      </w:r>
    </w:p>
    <w:p w:rsidR="00FF0F94" w:rsidRPr="00DF5CDC" w:rsidP="00FF0F94" w14:paraId="32BD362C" w14:textId="77777777">
      <w:pPr>
        <w:pStyle w:val="NormalHanging12a"/>
      </w:pPr>
      <w:r w:rsidRPr="00DF5CDC">
        <w:t>6.</w:t>
      </w:r>
      <w:r w:rsidRPr="00DF5CDC">
        <w:tab/>
        <w:t xml:space="preserve">esorta nuovamente la Commissione a tenere conto degli obblighi dell'Unione derivanti dagli accordi internazionali, quali l'accordo di Parigi sui cambiamenti climatici, la Convenzione delle Nazioni Unite sulla diversità biologica e gli OSS delle Nazioni Unite; ribadisce la sua richiesta affinché i progetti di atti di esecuzione siano corredati di </w:t>
      </w:r>
      <w:r w:rsidRPr="00DF5CDC">
        <w:t>una sezione che spieghi in che modo essi rispettano il principio del "non nuocere"</w:t>
      </w:r>
      <w:r>
        <w:rPr>
          <w:vertAlign w:val="superscript"/>
        </w:rPr>
        <w:footnoteReference w:id="21"/>
      </w:r>
      <w:r w:rsidRPr="00DF5CDC">
        <w:t>;</w:t>
      </w:r>
    </w:p>
    <w:p w:rsidR="00FF0F94" w:rsidRPr="00DF5CDC" w:rsidP="00FF0F94" w14:paraId="1FD3F6CD" w14:textId="77777777">
      <w:pPr>
        <w:pStyle w:val="NormalHanging12a"/>
      </w:pPr>
      <w:r w:rsidRPr="00DF5CDC">
        <w:t>7.</w:t>
      </w:r>
      <w:r w:rsidRPr="00DF5CDC">
        <w:tab/>
        <w:t>sottolinea che gli emendamenti alla proposta di regolamento del Parlamento europeo e del Consiglio recante modifica del regolamento (UE) n. 182/2011</w:t>
      </w:r>
      <w:r>
        <w:rPr>
          <w:vertAlign w:val="superscript"/>
        </w:rPr>
        <w:footnoteReference w:id="22"/>
      </w:r>
      <w:r w:rsidRPr="00DF5CDC">
        <w:t>, approvati dal Parlamento il 17 dicembre 2020 come base per i negoziati con il Consiglio, affermano che la Commissione non può autorizzare OGM quando non vi è una maggioranza qualificata di Stati membri favorevoli; insiste affinché la Commissione rispetti tale posizione e invita il Consiglio a proseguire i suoi lavori e ad adottare con urgenza un orientamento generale in merito a tale fascicolo;</w:t>
      </w:r>
    </w:p>
    <w:p w:rsidR="001505A5" w:rsidRPr="00DF5CDC" w:rsidP="001505A5" w14:paraId="21AFCE85" w14:textId="77777777">
      <w:pPr>
        <w:pStyle w:val="NormalHanging12a"/>
      </w:pPr>
      <w:r w:rsidRPr="00DF5CDC">
        <w:t>8.</w:t>
      </w:r>
      <w:r w:rsidRPr="00DF5CDC">
        <w:tab/>
        <w:t>incarica la sua Presidente di trasmettere la presente risoluzione al Consiglio e alla Commissione nonché ai governi e ai parlamenti degli Stati membri.</w:t>
      </w:r>
    </w:p>
    <w:p w:rsidR="00E365E1" w:rsidRPr="00DF5CDC" w:rsidP="001A0ED7" w14:paraId="7092990F" w14:textId="77777777"/>
    <w:sectPr w:rsidSect="001505A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6D35ED7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4819BED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4E3E03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0ED7" w:rsidRPr="001505A5" w14:paraId="4D2005D8" w14:textId="77777777">
      <w:r w:rsidRPr="001505A5">
        <w:separator/>
      </w:r>
    </w:p>
  </w:footnote>
  <w:footnote w:type="continuationSeparator" w:id="1">
    <w:p w:rsidR="001A0ED7" w:rsidRPr="001505A5" w14:paraId="1C018084" w14:textId="77777777">
      <w:r w:rsidRPr="001505A5">
        <w:continuationSeparator/>
      </w:r>
    </w:p>
  </w:footnote>
  <w:footnote w:id="2">
    <w:p w:rsidR="0070531D" w:rsidRPr="00DF5CDC" w:rsidP="00C00A9F" w14:paraId="2A4D6C05" w14:textId="423C6557">
      <w:pPr>
        <w:pStyle w:val="FootnoteText"/>
        <w:ind w:left="567" w:hanging="567"/>
        <w:rPr>
          <w:sz w:val="24"/>
          <w:szCs w:val="24"/>
          <w:lang w:val="pl-PL"/>
        </w:rPr>
      </w:pPr>
      <w:r w:rsidRPr="00DF5CDC">
        <w:rPr>
          <w:rStyle w:val="FootnoteReference"/>
          <w:sz w:val="24"/>
          <w:szCs w:val="24"/>
        </w:rPr>
        <w:footnoteRef/>
      </w:r>
      <w:r w:rsidRPr="00DF5CDC">
        <w:rPr>
          <w:sz w:val="24"/>
          <w:szCs w:val="24"/>
          <w:lang w:val="pl-PL"/>
        </w:rPr>
        <w:t xml:space="preserve"> </w:t>
      </w:r>
      <w:r w:rsidRPr="00DF5CDC">
        <w:rPr>
          <w:sz w:val="24"/>
          <w:szCs w:val="24"/>
          <w:lang w:val="pl-PL"/>
        </w:rPr>
        <w:tab/>
        <w:t xml:space="preserve">GU L, 2026/1419, </w:t>
      </w:r>
      <w:r w:rsidRPr="00DF5CDC">
        <w:rPr>
          <w:sz w:val="24"/>
          <w:szCs w:val="24"/>
          <w:lang w:val="pl-PL"/>
        </w:rPr>
        <w:t>3.7.2026</w:t>
      </w:r>
      <w:r w:rsidRPr="00DF5CDC">
        <w:rPr>
          <w:sz w:val="24"/>
          <w:szCs w:val="24"/>
          <w:lang w:val="pl-PL"/>
        </w:rPr>
        <w:t>, ELI</w:t>
      </w:r>
      <w:r w:rsidRPr="00DF5CDC" w:rsidR="00DF5CDC">
        <w:rPr>
          <w:sz w:val="24"/>
          <w:szCs w:val="24"/>
          <w:lang w:val="pl-PL"/>
        </w:rPr>
        <w:t>; </w:t>
      </w:r>
      <w:hyperlink r:id="rId1" w:tooltip="Dà accesso al documento attraverso il suo URI dell'ELI." w:history="1">
        <w:r w:rsidRPr="00DF5CDC" w:rsidR="00DF5CDC">
          <w:rPr>
            <w:color w:val="0E47CB"/>
            <w:sz w:val="24"/>
            <w:szCs w:val="24"/>
            <w:u w:val="single"/>
            <w:shd w:val="clear" w:color="auto" w:fill="FFFFFF"/>
            <w:lang w:val="pl-PL" w:eastAsia="en-GB"/>
          </w:rPr>
          <w:t>http://data.europa.eu/eli/dec_impl/2026/1419/oj</w:t>
        </w:r>
      </w:hyperlink>
      <w:r w:rsidRPr="00DF5CDC">
        <w:rPr>
          <w:sz w:val="24"/>
          <w:szCs w:val="24"/>
          <w:shd w:val="clear" w:color="auto" w:fill="FFFFFF"/>
          <w:lang w:val="pl-PL" w:eastAsia="en-GB"/>
        </w:rPr>
        <w:t>.</w:t>
      </w:r>
    </w:p>
  </w:footnote>
  <w:footnote w:id="3">
    <w:p w:rsidR="00FF0F94" w:rsidRPr="00DF5CDC" w:rsidP="001505A5" w14:paraId="576669F3" w14:textId="77777777">
      <w:pPr>
        <w:pStyle w:val="FootnoteText"/>
        <w:ind w:left="567" w:hanging="567"/>
        <w:rPr>
          <w:sz w:val="24"/>
          <w:szCs w:val="24"/>
          <w:lang w:val="pl-PL"/>
        </w:rPr>
      </w:pPr>
      <w:r w:rsidRPr="00DF5CDC">
        <w:rPr>
          <w:rStyle w:val="Funotenzeichen"/>
          <w:sz w:val="24"/>
          <w:szCs w:val="24"/>
          <w:lang w:val="it-IT"/>
        </w:rPr>
        <w:footnoteRef/>
      </w:r>
      <w:r w:rsidRPr="00DF5CDC" w:rsidR="001505A5">
        <w:rPr>
          <w:sz w:val="24"/>
          <w:szCs w:val="24"/>
          <w:lang w:val="pl-PL"/>
        </w:rPr>
        <w:t xml:space="preserve"> </w:t>
      </w:r>
      <w:r w:rsidRPr="00DF5CDC" w:rsidR="001505A5">
        <w:rPr>
          <w:sz w:val="24"/>
          <w:szCs w:val="24"/>
          <w:lang w:val="pl-PL"/>
        </w:rPr>
        <w:tab/>
      </w:r>
      <w:r w:rsidRPr="00DF5CDC">
        <w:rPr>
          <w:sz w:val="24"/>
          <w:szCs w:val="24"/>
          <w:lang w:val="pl-PL"/>
        </w:rPr>
        <w:t>GU L 268 del 18.10.2003, pag. 1, ELI: </w:t>
      </w:r>
      <w:hyperlink r:id="rId2" w:tooltip="Accesso al documento tramite l'URI dell'ELI." w:history="1">
        <w:r w:rsidRPr="00DF5CDC">
          <w:rPr>
            <w:rStyle w:val="Hyperlink"/>
            <w:sz w:val="24"/>
            <w:szCs w:val="24"/>
            <w:lang w:val="pl-PL"/>
          </w:rPr>
          <w:t>http://data.europa.eu/eli/reg/2003/1829/oj</w:t>
        </w:r>
      </w:hyperlink>
      <w:r w:rsidRPr="00DF5CDC">
        <w:rPr>
          <w:sz w:val="24"/>
          <w:szCs w:val="24"/>
          <w:lang w:val="pl-PL"/>
        </w:rPr>
        <w:t>.</w:t>
      </w:r>
    </w:p>
  </w:footnote>
  <w:footnote w:id="4">
    <w:p w:rsidR="00FF0F94" w:rsidRPr="00C00A9F" w:rsidP="001505A5" w14:paraId="0EFB86A4" w14:textId="77777777">
      <w:pPr>
        <w:pStyle w:val="FootnoteText"/>
        <w:ind w:left="567" w:hanging="567"/>
        <w:rPr>
          <w:sz w:val="24"/>
          <w:lang w:val="pl-PL"/>
        </w:rPr>
      </w:pPr>
      <w:r w:rsidRPr="00DF5CDC">
        <w:rPr>
          <w:rStyle w:val="FootnoteReference"/>
          <w:sz w:val="24"/>
          <w:szCs w:val="24"/>
          <w:lang w:val="it-IT"/>
        </w:rPr>
        <w:footnoteRef/>
      </w:r>
      <w:r w:rsidRPr="00DF5CDC" w:rsidR="001505A5">
        <w:rPr>
          <w:sz w:val="24"/>
          <w:szCs w:val="24"/>
          <w:lang w:val="pl-PL"/>
        </w:rPr>
        <w:t xml:space="preserve"> </w:t>
      </w:r>
      <w:r w:rsidRPr="00DF5CDC" w:rsidR="001505A5">
        <w:rPr>
          <w:sz w:val="24"/>
          <w:szCs w:val="24"/>
          <w:lang w:val="pl-PL"/>
        </w:rPr>
        <w:tab/>
      </w:r>
      <w:r w:rsidRPr="00DF5CDC">
        <w:rPr>
          <w:sz w:val="24"/>
          <w:szCs w:val="24"/>
          <w:lang w:val="pl-PL"/>
        </w:rPr>
        <w:t xml:space="preserve">GU L 55 del </w:t>
      </w:r>
      <w:r w:rsidRPr="00DF5CDC">
        <w:rPr>
          <w:sz w:val="24"/>
          <w:szCs w:val="24"/>
          <w:lang w:val="pl-PL"/>
        </w:rPr>
        <w:t>28.2.2011</w:t>
      </w:r>
      <w:r w:rsidRPr="00DF5CDC">
        <w:rPr>
          <w:sz w:val="24"/>
          <w:szCs w:val="24"/>
          <w:lang w:val="pl-PL"/>
        </w:rPr>
        <w:t xml:space="preserve">, pag. 13, ELI: </w:t>
      </w:r>
      <w:hyperlink r:id="rId3" w:tooltip="http://data.europa.eu/eli/reg/2011/182/oj" w:history="1">
        <w:r w:rsidRPr="00DF5CDC">
          <w:rPr>
            <w:rStyle w:val="Hyperlink"/>
            <w:sz w:val="24"/>
            <w:szCs w:val="24"/>
            <w:lang w:val="pl-PL"/>
          </w:rPr>
          <w:t>http://data.europa.eu/eli/reg/2011/182/oj</w:t>
        </w:r>
      </w:hyperlink>
      <w:r w:rsidRPr="00DF5CDC">
        <w:rPr>
          <w:sz w:val="24"/>
          <w:szCs w:val="24"/>
          <w:lang w:val="pl-PL"/>
        </w:rPr>
        <w:t>.</w:t>
      </w:r>
    </w:p>
  </w:footnote>
  <w:footnote w:id="5">
    <w:p w:rsidR="00FF0F94" w:rsidRPr="001505A5" w:rsidP="001505A5" w14:paraId="6269029D" w14:textId="24CA271E">
      <w:pPr>
        <w:pStyle w:val="FootnoteText"/>
        <w:ind w:left="567" w:hanging="567"/>
        <w:rPr>
          <w:sz w:val="24"/>
          <w:lang w:val="it-IT"/>
        </w:rPr>
      </w:pPr>
      <w:r w:rsidRPr="001505A5">
        <w:rPr>
          <w:rStyle w:val="Funotenzeichen"/>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 xml:space="preserve">Parere del gruppo di esperti scientifici dell'EFSA sugli organismi geneticamente modificati relativo alla valutazione della soia geneticamente modificata MON 87705 (domanda GMFF-2023-21236), </w:t>
      </w:r>
      <w:r w:rsidRPr="001505A5">
        <w:rPr>
          <w:i/>
          <w:iCs/>
          <w:sz w:val="24"/>
          <w:lang w:val="it-IT"/>
        </w:rPr>
        <w:t>EFSA Journal</w:t>
      </w:r>
      <w:r w:rsidRPr="001505A5">
        <w:rPr>
          <w:sz w:val="24"/>
          <w:lang w:val="it-IT"/>
        </w:rPr>
        <w:t>, 2026</w:t>
      </w:r>
      <w:r w:rsidR="0070531D">
        <w:rPr>
          <w:sz w:val="24"/>
          <w:lang w:val="it-IT"/>
        </w:rPr>
        <w:t>,</w:t>
      </w:r>
      <w:r w:rsidRPr="001505A5">
        <w:rPr>
          <w:sz w:val="24"/>
          <w:lang w:val="it-IT"/>
        </w:rPr>
        <w:t xml:space="preserve"> 24(1</w:t>
      </w:r>
      <w:r w:rsidRPr="001505A5">
        <w:rPr>
          <w:sz w:val="24"/>
          <w:lang w:val="it-IT"/>
        </w:rPr>
        <w:t>):e</w:t>
      </w:r>
      <w:r w:rsidRPr="001505A5">
        <w:rPr>
          <w:sz w:val="24"/>
          <w:lang w:val="it-IT"/>
        </w:rPr>
        <w:t xml:space="preserve">9846 , </w:t>
      </w:r>
      <w:hyperlink r:id="rId4" w:history="1">
        <w:r w:rsidRPr="001505A5">
          <w:rPr>
            <w:rStyle w:val="Hyperlink"/>
            <w:sz w:val="24"/>
            <w:lang w:val="it-IT"/>
          </w:rPr>
          <w:t>https://doi.org/10.2903/j.efsa.2026.9846</w:t>
        </w:r>
      </w:hyperlink>
      <w:r w:rsidRPr="001505A5">
        <w:rPr>
          <w:rStyle w:val="Hyperlink"/>
          <w:sz w:val="24"/>
          <w:lang w:val="it-IT"/>
        </w:rPr>
        <w:t>.</w:t>
      </w:r>
    </w:p>
  </w:footnote>
  <w:footnote w:id="6">
    <w:p w:rsidR="00FF0F94" w:rsidRPr="001505A5" w:rsidP="001505A5" w14:paraId="71963459" w14:textId="77777777">
      <w:pPr>
        <w:pStyle w:val="FootnoteText"/>
        <w:ind w:left="567" w:hanging="567"/>
        <w:rPr>
          <w:color w:val="000000" w:themeColor="text1"/>
          <w:sz w:val="24"/>
          <w:vertAlign w:val="superscript"/>
          <w:lang w:val="it-IT"/>
        </w:rPr>
      </w:pPr>
      <w:r w:rsidRPr="001505A5">
        <w:rPr>
          <w:rStyle w:val="Funotenzeichen"/>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Nel corso dell'ottava e della nona legislatura il Parlamento ha approvato rispettivamente 36 e 38 risoluzioni che sollevano obiezioni all'autorizzazione di organismi geneticamente modificati.</w:t>
      </w:r>
      <w:r w:rsidRPr="001505A5">
        <w:rPr>
          <w:color w:val="000000" w:themeColor="text1"/>
          <w:sz w:val="24"/>
          <w:lang w:val="it-IT"/>
        </w:rPr>
        <w:t xml:space="preserve"> </w:t>
      </w:r>
      <w:r w:rsidRPr="001505A5">
        <w:rPr>
          <w:color w:val="000000" w:themeColor="text1"/>
          <w:sz w:val="24"/>
          <w:lang w:val="it-IT"/>
        </w:rPr>
        <w:t>Inoltre</w:t>
      </w:r>
      <w:r w:rsidRPr="001505A5">
        <w:rPr>
          <w:color w:val="000000" w:themeColor="text1"/>
          <w:sz w:val="24"/>
          <w:lang w:val="it-IT"/>
        </w:rPr>
        <w:t xml:space="preserve"> nel corso della decima legislatura il Parlamento ha approvato le risoluzioni seguenti:</w:t>
      </w:r>
    </w:p>
    <w:p w:rsidR="00FF0F94" w:rsidRPr="001505A5" w:rsidP="00C00A9F" w14:paraId="2A632914" w14:textId="7A4B76B2">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5" w:history="1">
        <w:r w:rsidRPr="001505A5">
          <w:rPr>
            <w:rStyle w:val="Hyperlink"/>
            <w:sz w:val="24"/>
            <w:lang w:val="it-IT"/>
          </w:rPr>
          <w:t>http://data.europa.eu/eli/C/2025/1797/</w:t>
        </w:r>
        <w:r w:rsidRPr="001505A5">
          <w:rPr>
            <w:rStyle w:val="Hyperlink"/>
            <w:sz w:val="24"/>
            <w:lang w:val="it-IT"/>
          </w:rPr>
          <w:t>oj</w:t>
        </w:r>
      </w:hyperlink>
      <w:r w:rsidRPr="001505A5">
        <w:rPr>
          <w:color w:val="000000" w:themeColor="text1"/>
          <w:sz w:val="24"/>
          <w:lang w:val="it-IT"/>
        </w:rPr>
        <w:t>),</w:t>
      </w:r>
    </w:p>
    <w:p w:rsidR="00FF0F94" w:rsidRPr="001505A5" w:rsidP="00C00A9F" w14:paraId="392BA9BA" w14:textId="3C1591D6">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6" w:history="1">
        <w:r w:rsidRPr="001505A5">
          <w:rPr>
            <w:rStyle w:val="Hyperlink"/>
            <w:sz w:val="24"/>
            <w:lang w:val="it-IT"/>
          </w:rPr>
          <w:t>http://data.europa.eu/eli/C/2025/1798/</w:t>
        </w:r>
        <w:r w:rsidRPr="001505A5">
          <w:rPr>
            <w:rStyle w:val="Hyperlink"/>
            <w:sz w:val="24"/>
            <w:lang w:val="it-IT"/>
          </w:rPr>
          <w:t>oj</w:t>
        </w:r>
      </w:hyperlink>
      <w:r w:rsidRPr="001505A5">
        <w:rPr>
          <w:color w:val="000000" w:themeColor="text1"/>
          <w:sz w:val="24"/>
          <w:lang w:val="it-IT"/>
        </w:rPr>
        <w:t>),</w:t>
      </w:r>
    </w:p>
    <w:p w:rsidR="00FF0F94" w:rsidRPr="001505A5" w:rsidP="00C00A9F" w14:paraId="5B1B06A8" w14:textId="22888C4C">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r w:rsidRPr="001505A5">
        <w:rPr>
          <w:color w:val="000000" w:themeColor="text1"/>
          <w:sz w:val="24"/>
          <w:lang w:val="it-IT"/>
        </w:rPr>
        <w:t>sottocombinazioni</w:t>
      </w:r>
      <w:r w:rsidRPr="001505A5">
        <w:rPr>
          <w:color w:val="000000" w:themeColor="text1"/>
          <w:sz w:val="24"/>
          <w:lang w:val="it-IT"/>
        </w:rPr>
        <w:t xml:space="preserve"> in conformità al regolamento (CE) n. 1829/2003 del Parlamento europeo e del Consiglio (GU C, C/2025/1799, 4.4.2025, ELI: </w:t>
      </w:r>
      <w:hyperlink r:id="rId7" w:history="1">
        <w:r w:rsidRPr="001505A5">
          <w:rPr>
            <w:rStyle w:val="Hyperlink"/>
            <w:sz w:val="24"/>
            <w:lang w:val="it-IT"/>
          </w:rPr>
          <w:t>http://data.europa.eu/eli/C/2025/1799/</w:t>
        </w:r>
        <w:r w:rsidRPr="001505A5">
          <w:rPr>
            <w:rStyle w:val="Hyperlink"/>
            <w:sz w:val="24"/>
            <w:lang w:val="it-IT"/>
          </w:rPr>
          <w:t>oj</w:t>
        </w:r>
      </w:hyperlink>
      <w:r w:rsidRPr="001505A5">
        <w:rPr>
          <w:color w:val="000000" w:themeColor="text1"/>
          <w:sz w:val="24"/>
          <w:lang w:val="it-IT"/>
        </w:rPr>
        <w:t>),</w:t>
      </w:r>
    </w:p>
    <w:p w:rsidR="00FF0F94" w:rsidRPr="001505A5" w:rsidP="00C00A9F" w14:paraId="36DB3CD0" w14:textId="6B7AF302">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8" w:history="1">
        <w:r w:rsidRPr="001505A5">
          <w:rPr>
            <w:rStyle w:val="Hyperlink"/>
            <w:sz w:val="24"/>
            <w:lang w:val="it-IT"/>
          </w:rPr>
          <w:t>http://data.europa.eu/eli/C/2025/1800/</w:t>
        </w:r>
        <w:r w:rsidRPr="001505A5">
          <w:rPr>
            <w:rStyle w:val="Hyperlink"/>
            <w:sz w:val="24"/>
            <w:lang w:val="it-IT"/>
          </w:rPr>
          <w:t>oj</w:t>
        </w:r>
      </w:hyperlink>
      <w:r w:rsidRPr="001505A5">
        <w:rPr>
          <w:color w:val="000000" w:themeColor="text1"/>
          <w:sz w:val="24"/>
          <w:lang w:val="it-IT"/>
        </w:rPr>
        <w:t>),</w:t>
      </w:r>
    </w:p>
    <w:p w:rsidR="00FF0F94" w:rsidRPr="001505A5" w:rsidP="00C00A9F" w14:paraId="13B8D2FA" w14:textId="66C984CB">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9" w:history="1">
        <w:r w:rsidRPr="001505A5">
          <w:rPr>
            <w:rStyle w:val="Hyperlink"/>
            <w:sz w:val="24"/>
            <w:lang w:val="it-IT"/>
          </w:rPr>
          <w:t>http://data.europa.eu/eli/C/2025/1801/</w:t>
        </w:r>
        <w:r w:rsidRPr="001505A5">
          <w:rPr>
            <w:rStyle w:val="Hyperlink"/>
            <w:sz w:val="24"/>
            <w:lang w:val="it-IT"/>
          </w:rPr>
          <w:t>oj</w:t>
        </w:r>
      </w:hyperlink>
      <w:r w:rsidRPr="001505A5">
        <w:rPr>
          <w:color w:val="000000" w:themeColor="text1"/>
          <w:sz w:val="24"/>
          <w:lang w:val="it-IT"/>
        </w:rPr>
        <w:t>),</w:t>
      </w:r>
    </w:p>
    <w:p w:rsidR="00FF0F94" w:rsidRPr="001505A5" w:rsidP="00C00A9F" w14:paraId="34828B60" w14:textId="5BF83D55">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10" w:history="1">
        <w:r w:rsidRPr="001505A5">
          <w:rPr>
            <w:rStyle w:val="Hyperlink"/>
            <w:sz w:val="24"/>
            <w:lang w:val="it-IT"/>
          </w:rPr>
          <w:t>http://data.europa.eu/eli/C/2025/1802/</w:t>
        </w:r>
        <w:r w:rsidRPr="001505A5">
          <w:rPr>
            <w:rStyle w:val="Hyperlink"/>
            <w:sz w:val="24"/>
            <w:lang w:val="it-IT"/>
          </w:rPr>
          <w:t>oj</w:t>
        </w:r>
      </w:hyperlink>
      <w:r w:rsidRPr="001505A5">
        <w:rPr>
          <w:color w:val="000000" w:themeColor="text1"/>
          <w:sz w:val="24"/>
          <w:lang w:val="it-IT"/>
        </w:rPr>
        <w:t>),</w:t>
      </w:r>
    </w:p>
    <w:p w:rsidR="00FF0F94" w:rsidRPr="001505A5" w:rsidP="00C00A9F" w14:paraId="0F29B174" w14:textId="5D55BAB2">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1" w:history="1">
        <w:r w:rsidRPr="001505A5">
          <w:rPr>
            <w:rStyle w:val="Hyperlink"/>
            <w:sz w:val="24"/>
            <w:lang w:val="it-IT"/>
          </w:rPr>
          <w:t>http://data.europa.eu/eli/C/2025/1803/</w:t>
        </w:r>
        <w:r w:rsidRPr="001505A5">
          <w:rPr>
            <w:rStyle w:val="Hyperlink"/>
            <w:sz w:val="24"/>
            <w:lang w:val="it-IT"/>
          </w:rPr>
          <w:t>oj</w:t>
        </w:r>
      </w:hyperlink>
      <w:r w:rsidRPr="001505A5">
        <w:rPr>
          <w:color w:val="000000" w:themeColor="text1"/>
          <w:sz w:val="24"/>
          <w:lang w:val="it-IT"/>
        </w:rPr>
        <w:t>),</w:t>
      </w:r>
    </w:p>
    <w:p w:rsidR="00FF0F94" w:rsidRPr="001505A5" w:rsidP="00C00A9F" w14:paraId="4D895EDF" w14:textId="3CE8302E">
      <w:pPr>
        <w:pStyle w:val="FootnoteText"/>
        <w:ind w:left="1134" w:hanging="567"/>
        <w:rPr>
          <w:color w:val="000000" w:themeColor="text1"/>
          <w:sz w:val="24"/>
          <w:vertAlign w:val="superscript"/>
          <w:lang w:val="it-IT"/>
        </w:rPr>
      </w:pPr>
      <w:r w:rsidRPr="001505A5">
        <w:rPr>
          <w:color w:val="000000" w:themeColor="text1"/>
          <w:sz w:val="24"/>
          <w:lang w:val="it-IT"/>
        </w:rPr>
        <w:t>–</w:t>
      </w:r>
      <w:r w:rsidRPr="001505A5">
        <w:rPr>
          <w:color w:val="000000" w:themeColor="text1"/>
          <w:sz w:val="24"/>
          <w:lang w:val="it-IT"/>
        </w:rPr>
        <w:tab/>
        <w:t>risoluzione del Parlamento europeo del 26 novembre 2024 sul progetto di decisione di esecuzione della Commissione che autorizza l'immissione in commercio di prodotti contenenti, costituiti od ottenuti da granturco geneticamente modificato MON 94804, a norma del regolamento (CE) n. 1829/2003 del Parlamento europeo e del Consiglio (GU C, C/2025/1804, 4.4.2025, ELI: </w:t>
      </w:r>
      <w:hyperlink r:id="rId12" w:history="1">
        <w:r w:rsidRPr="001505A5">
          <w:rPr>
            <w:rStyle w:val="Hyperlink"/>
            <w:sz w:val="24"/>
            <w:lang w:val="it-IT"/>
          </w:rPr>
          <w:t>http://data.europa.eu/eli/C/2025/1804/</w:t>
        </w:r>
        <w:r w:rsidRPr="001505A5">
          <w:rPr>
            <w:rStyle w:val="Hyperlink"/>
            <w:sz w:val="24"/>
            <w:lang w:val="it-IT"/>
          </w:rPr>
          <w:t>oj</w:t>
        </w:r>
      </w:hyperlink>
      <w:r w:rsidRPr="001505A5">
        <w:rPr>
          <w:color w:val="000000" w:themeColor="text1"/>
          <w:sz w:val="24"/>
          <w:lang w:val="it-IT"/>
        </w:rPr>
        <w:t>),</w:t>
      </w:r>
    </w:p>
    <w:p w:rsidR="00FF0F94" w:rsidRPr="001505A5" w:rsidP="00C00A9F" w14:paraId="2A095F8A" w14:textId="77777777">
      <w:pPr>
        <w:pStyle w:val="FootnoteText"/>
        <w:ind w:left="1134" w:hanging="567"/>
        <w:rPr>
          <w:sz w:val="24"/>
          <w:vertAlign w:val="superscript"/>
          <w:lang w:val="it-IT"/>
        </w:rPr>
      </w:pPr>
      <w:r w:rsidRPr="001505A5">
        <w:rPr>
          <w:color w:val="000000" w:themeColor="text1"/>
          <w:sz w:val="24"/>
          <w:lang w:val="it-IT"/>
        </w:rPr>
        <w:t xml:space="preserve"> </w:t>
      </w:r>
      <w:r w:rsidRPr="001505A5">
        <w:rPr>
          <w:color w:val="000000" w:themeColor="text1"/>
          <w:sz w:val="24"/>
          <w:lang w:val="it-IT"/>
        </w:rPr>
        <w:tab/>
      </w:r>
      <w:r w:rsidRPr="001505A5">
        <w:rPr>
          <w:color w:val="000000" w:themeColor="text1"/>
          <w:sz w:val="24"/>
          <w:lang w:val="it-IT"/>
        </w:rPr>
        <w:t>–</w:t>
      </w:r>
      <w:r w:rsidRPr="001505A5">
        <w:rPr>
          <w:color w:val="000000" w:themeColor="text1"/>
          <w:sz w:val="24"/>
          <w:lang w:val="it-IT"/>
        </w:rPr>
        <w:tab/>
      </w:r>
      <w:r w:rsidRPr="001505A5">
        <w:rPr>
          <w:sz w:val="24"/>
          <w:lang w:val="it-IT"/>
        </w:rPr>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3" w:tooltip="Accesso al documento tramite l'URI dell'ELI." w:history="1">
        <w:r w:rsidRPr="001505A5">
          <w:rPr>
            <w:rStyle w:val="Hyperlink"/>
            <w:sz w:val="24"/>
            <w:lang w:val="it-IT"/>
          </w:rPr>
          <w:t>http://data.europa.eu/eli/C/2025/2246/</w:t>
        </w:r>
        <w:r w:rsidRPr="001505A5">
          <w:rPr>
            <w:rStyle w:val="Hyperlink"/>
            <w:sz w:val="24"/>
            <w:lang w:val="it-IT"/>
          </w:rPr>
          <w:t>oj</w:t>
        </w:r>
      </w:hyperlink>
      <w:r w:rsidRPr="001505A5">
        <w:rPr>
          <w:sz w:val="24"/>
          <w:lang w:val="it-IT"/>
        </w:rPr>
        <w:t>),</w:t>
      </w:r>
    </w:p>
    <w:p w:rsidR="00FF0F94" w:rsidRPr="001505A5" w:rsidP="00C00A9F" w14:paraId="44A2F265" w14:textId="328D35AB">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4" w:tooltip="Accesso al documento tramite l'URI dell'ELI." w:history="1">
        <w:r w:rsidRPr="001505A5">
          <w:rPr>
            <w:rStyle w:val="Hyperlink"/>
            <w:sz w:val="24"/>
            <w:lang w:val="it-IT"/>
          </w:rPr>
          <w:t>http://data.europa.eu/eli/C/2025/2247/</w:t>
        </w:r>
        <w:r w:rsidRPr="001505A5">
          <w:rPr>
            <w:rStyle w:val="Hyperlink"/>
            <w:sz w:val="24"/>
            <w:lang w:val="it-IT"/>
          </w:rPr>
          <w:t>oj</w:t>
        </w:r>
      </w:hyperlink>
      <w:r w:rsidRPr="001505A5">
        <w:rPr>
          <w:sz w:val="24"/>
          <w:lang w:val="it-IT"/>
        </w:rPr>
        <w:t>),</w:t>
      </w:r>
    </w:p>
    <w:p w:rsidR="00FF0F94" w:rsidRPr="001505A5" w:rsidP="00C00A9F" w14:paraId="3A39EE8C" w14:textId="6E50BC9B">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(GU C, C/2026/586, 24.2.2026, ELI: </w:t>
      </w:r>
      <w:hyperlink r:id="rId15" w:tooltip="Accesso al documento tramite l'URI dell'ELI." w:history="1">
        <w:r w:rsidRPr="001505A5">
          <w:rPr>
            <w:rStyle w:val="Hyperlink"/>
            <w:sz w:val="24"/>
            <w:lang w:val="it-IT"/>
          </w:rPr>
          <w:t>http://data.europa.eu/eli/C/2026/586/</w:t>
        </w:r>
        <w:r w:rsidRPr="001505A5">
          <w:rPr>
            <w:rStyle w:val="Hyperlink"/>
            <w:sz w:val="24"/>
            <w:lang w:val="it-IT"/>
          </w:rPr>
          <w:t>oj</w:t>
        </w:r>
      </w:hyperlink>
      <w:r w:rsidRPr="001505A5">
        <w:rPr>
          <w:sz w:val="24"/>
          <w:lang w:val="it-IT"/>
        </w:rPr>
        <w:t>),</w:t>
      </w:r>
    </w:p>
    <w:p w:rsidR="00FF0F94" w:rsidRPr="001505A5" w:rsidP="00C00A9F" w14:paraId="5B81533D" w14:textId="2A607E32">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(GU C, C/2026/1523, 15.4.2026, ELI: </w:t>
      </w:r>
      <w:hyperlink r:id="rId16" w:history="1">
        <w:r w:rsidRPr="001505A5">
          <w:rPr>
            <w:rStyle w:val="Hyperlink"/>
            <w:sz w:val="24"/>
            <w:lang w:val="it-IT"/>
          </w:rPr>
          <w:t>http://data.europa.eu/eli/C/2026/1523/</w:t>
        </w:r>
        <w:r w:rsidRPr="001505A5">
          <w:rPr>
            <w:rStyle w:val="Hyperlink"/>
            <w:sz w:val="24"/>
            <w:lang w:val="it-IT"/>
          </w:rPr>
          <w:t>oj</w:t>
        </w:r>
      </w:hyperlink>
      <w:r w:rsidRPr="001505A5">
        <w:rPr>
          <w:sz w:val="24"/>
          <w:lang w:val="it-IT"/>
        </w:rPr>
        <w:t>),</w:t>
      </w:r>
    </w:p>
    <w:p w:rsidR="00FF0F94" w:rsidRPr="001505A5" w:rsidP="00C00A9F" w14:paraId="0B6337F6" w14:textId="52D60F9E">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(GU C, C/2026/1703, 24.4.2026, ELI: </w:t>
      </w:r>
      <w:hyperlink r:id="rId17" w:history="1">
        <w:r w:rsidRPr="001505A5">
          <w:rPr>
            <w:rStyle w:val="Hyperlink"/>
            <w:sz w:val="24"/>
            <w:lang w:val="it-IT"/>
          </w:rPr>
          <w:t>http://data.europa.eu/eli/C/2026/1703/</w:t>
        </w:r>
        <w:r w:rsidRPr="001505A5">
          <w:rPr>
            <w:rStyle w:val="Hyperlink"/>
            <w:sz w:val="24"/>
            <w:lang w:val="it-IT"/>
          </w:rPr>
          <w:t>oj</w:t>
        </w:r>
      </w:hyperlink>
      <w:r w:rsidRPr="001505A5">
        <w:rPr>
          <w:sz w:val="24"/>
          <w:lang w:val="it-IT"/>
        </w:rPr>
        <w:t>),</w:t>
      </w:r>
    </w:p>
    <w:p w:rsidR="00FF0F94" w:rsidRPr="001505A5" w:rsidP="00C00A9F" w14:paraId="786681F3" w14:textId="7921F6DD">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(GU C, C/2026/1704, 24.4.2026, ELI: </w:t>
      </w:r>
      <w:hyperlink r:id="rId18" w:history="1">
        <w:r w:rsidRPr="001505A5">
          <w:rPr>
            <w:rStyle w:val="Hyperlink"/>
            <w:sz w:val="24"/>
            <w:lang w:val="it-IT"/>
          </w:rPr>
          <w:t>http://data.europa.eu/eli/C/2026/1704/</w:t>
        </w:r>
        <w:r w:rsidRPr="001505A5">
          <w:rPr>
            <w:rStyle w:val="Hyperlink"/>
            <w:sz w:val="24"/>
            <w:lang w:val="it-IT"/>
          </w:rPr>
          <w:t>oj</w:t>
        </w:r>
      </w:hyperlink>
      <w:r w:rsidRPr="001505A5">
        <w:rPr>
          <w:sz w:val="24"/>
          <w:lang w:val="it-IT"/>
        </w:rPr>
        <w:t>),</w:t>
      </w:r>
    </w:p>
    <w:p w:rsidR="00FF0F94" w:rsidRPr="001505A5" w:rsidP="00C00A9F" w14:paraId="0F944037" w14:textId="27086DA7">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(GU C, C/2026/1705, 24.4.2026, ELI: </w:t>
      </w:r>
      <w:hyperlink r:id="rId19" w:history="1">
        <w:r w:rsidRPr="001505A5">
          <w:rPr>
            <w:rStyle w:val="Hyperlink"/>
            <w:sz w:val="24"/>
            <w:lang w:val="it-IT"/>
          </w:rPr>
          <w:t>http://data.europa.eu/eli/C/2026/1705/</w:t>
        </w:r>
        <w:r w:rsidRPr="001505A5">
          <w:rPr>
            <w:rStyle w:val="Hyperlink"/>
            <w:sz w:val="24"/>
            <w:lang w:val="it-IT"/>
          </w:rPr>
          <w:t>oj</w:t>
        </w:r>
      </w:hyperlink>
      <w:r w:rsidRPr="001505A5">
        <w:rPr>
          <w:sz w:val="24"/>
          <w:lang w:val="it-IT"/>
        </w:rPr>
        <w:t>),</w:t>
      </w:r>
    </w:p>
    <w:p w:rsidR="00FF0F94" w:rsidRPr="001505A5" w:rsidP="00C00A9F" w14:paraId="4570380D" w14:textId="096372C4">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(GU C, C/2026/1706, 24.4.2026, ELI: </w:t>
      </w:r>
      <w:hyperlink r:id="rId20" w:history="1">
        <w:r w:rsidRPr="001505A5">
          <w:rPr>
            <w:rStyle w:val="Hyperlink"/>
            <w:sz w:val="24"/>
            <w:lang w:val="it-IT"/>
          </w:rPr>
          <w:t>http://data.europa.eu/eli/C/2026/1706/</w:t>
        </w:r>
        <w:r w:rsidRPr="001505A5">
          <w:rPr>
            <w:rStyle w:val="Hyperlink"/>
            <w:sz w:val="24"/>
            <w:lang w:val="it-IT"/>
          </w:rPr>
          <w:t>oj</w:t>
        </w:r>
      </w:hyperlink>
      <w:r w:rsidRPr="001505A5">
        <w:rPr>
          <w:sz w:val="24"/>
          <w:lang w:val="it-IT"/>
        </w:rPr>
        <w:t>),</w:t>
      </w:r>
    </w:p>
    <w:p w:rsidR="00FF0F94" w:rsidRPr="001505A5" w:rsidP="00C00A9F" w14:paraId="7D231BCB" w14:textId="47368D8A">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25 novembre 2025 sul progetto di decisione di esecuzione della Commissione che rinnova l'autorizzazione all'immissione in commercio di prodotti contenenti, costituiti o derivati da granturco geneticamente modificato MON 87427 a norma del regolamento (CE) n. 1829/2003 del Parlamento europeo e del Consiglio (GU C, C/2026/1707, 24.4.2026, ELI: </w:t>
      </w:r>
      <w:hyperlink r:id="rId21" w:history="1">
        <w:r w:rsidRPr="001505A5">
          <w:rPr>
            <w:rStyle w:val="Hyperlink"/>
            <w:sz w:val="24"/>
            <w:lang w:val="it-IT"/>
          </w:rPr>
          <w:t>http://data.europa.eu/eli/C/2026/1707/</w:t>
        </w:r>
        <w:r w:rsidRPr="001505A5">
          <w:rPr>
            <w:rStyle w:val="Hyperlink"/>
            <w:sz w:val="24"/>
            <w:lang w:val="it-IT"/>
          </w:rPr>
          <w:t>oj</w:t>
        </w:r>
      </w:hyperlink>
      <w:r w:rsidRPr="001505A5">
        <w:rPr>
          <w:sz w:val="24"/>
          <w:lang w:val="it-IT"/>
        </w:rPr>
        <w:t>),</w:t>
      </w:r>
    </w:p>
    <w:p w:rsidR="00FF0F94" w:rsidRPr="001505A5" w:rsidP="00C00A9F" w14:paraId="46EE291E" w14:textId="12E0B3CA">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(GU C, C/2026/2150, 6.5.2026, ELI: </w:t>
      </w:r>
      <w:hyperlink r:id="rId22" w:history="1">
        <w:r w:rsidRPr="001505A5">
          <w:rPr>
            <w:rStyle w:val="Hyperlink"/>
            <w:sz w:val="24"/>
            <w:lang w:val="it-IT"/>
          </w:rPr>
          <w:t>http://data.europa.eu/eli/C/2026/2150/</w:t>
        </w:r>
        <w:r w:rsidRPr="001505A5">
          <w:rPr>
            <w:rStyle w:val="Hyperlink"/>
            <w:sz w:val="24"/>
            <w:lang w:val="it-IT"/>
          </w:rPr>
          <w:t>oj</w:t>
        </w:r>
      </w:hyperlink>
      <w:r w:rsidRPr="001505A5">
        <w:rPr>
          <w:sz w:val="24"/>
          <w:lang w:val="it-IT"/>
        </w:rPr>
        <w:t>),</w:t>
      </w:r>
    </w:p>
    <w:p w:rsidR="00FF0F94" w:rsidRPr="001505A5" w:rsidP="00C00A9F" w14:paraId="39AC2CCE" w14:textId="515DF8E4">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(GU C, C/2026/2151, 6.5.2026, ELI: </w:t>
      </w:r>
      <w:hyperlink r:id="rId23" w:history="1">
        <w:r w:rsidRPr="001505A5">
          <w:rPr>
            <w:rStyle w:val="Hyperlink"/>
            <w:sz w:val="24"/>
            <w:lang w:val="it-IT"/>
          </w:rPr>
          <w:t>http://data.europa.eu/eli/C/2026/2151/</w:t>
        </w:r>
        <w:r w:rsidRPr="001505A5">
          <w:rPr>
            <w:rStyle w:val="Hyperlink"/>
            <w:sz w:val="24"/>
            <w:lang w:val="it-IT"/>
          </w:rPr>
          <w:t>oj</w:t>
        </w:r>
      </w:hyperlink>
      <w:r w:rsidRPr="001505A5">
        <w:rPr>
          <w:sz w:val="24"/>
          <w:lang w:val="it-IT"/>
        </w:rPr>
        <w:t>),</w:t>
      </w:r>
    </w:p>
    <w:p w:rsidR="00FF0F94" w:rsidRPr="001505A5" w:rsidP="00C00A9F" w14:paraId="1D3FAA90" w14:textId="1D2218A0">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dell'11 febbraio 2026 sul progetto di decisione di esecuzione della Commissione che autorizza l'immissione in commercio di prodotti contenenti, costituiti o derivati da soia geneticamente modificata DBN-09004-6, a norma del regolamento (CE) n. 1829/2003 del Parlamento europeo e del Consiglio (Testi approvati, P10_</w:t>
      </w:r>
      <w:r w:rsidRPr="001505A5">
        <w:rPr>
          <w:sz w:val="24"/>
          <w:lang w:val="it-IT"/>
        </w:rPr>
        <w:t>TA(</w:t>
      </w:r>
      <w:r w:rsidRPr="001505A5">
        <w:rPr>
          <w:sz w:val="24"/>
          <w:lang w:val="it-IT"/>
        </w:rPr>
        <w:t>2026)0041),</w:t>
      </w:r>
    </w:p>
    <w:p w:rsidR="00FF0F94" w:rsidRPr="001505A5" w:rsidP="00C00A9F" w14:paraId="2E7F13FB" w14:textId="401764C7">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dell'11 febbraio 2026 sul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 (Testi approvati, P10_</w:t>
      </w:r>
      <w:r w:rsidRPr="001505A5">
        <w:rPr>
          <w:sz w:val="24"/>
          <w:lang w:val="it-IT"/>
        </w:rPr>
        <w:t>TA(</w:t>
      </w:r>
      <w:r w:rsidRPr="001505A5">
        <w:rPr>
          <w:sz w:val="24"/>
          <w:lang w:val="it-IT"/>
        </w:rPr>
        <w:t>2026)0042),</w:t>
      </w:r>
    </w:p>
    <w:p w:rsidR="00FF0F94" w:rsidRPr="001505A5" w:rsidP="00C00A9F" w14:paraId="5C2E4A77" w14:textId="5C81F80A">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dell'11 febbraio 2026 sul progetto di decisione di esecuzione della Commissione che rinnova l'autorizzazione all'immissione in commercio di prodotti contenenti, costituiti da o prodotti a partire da cotone geneticamente modificato GHB614 (LLCotton25) a norma del regolamento (CE) n. 1829/2003 del Parlamento europeo e del Consiglio (Testi approvati, P10_</w:t>
      </w:r>
      <w:r w:rsidRPr="001505A5">
        <w:rPr>
          <w:sz w:val="24"/>
          <w:lang w:val="it-IT"/>
        </w:rPr>
        <w:t>TA(</w:t>
      </w:r>
      <w:r w:rsidRPr="001505A5">
        <w:rPr>
          <w:sz w:val="24"/>
          <w:lang w:val="it-IT"/>
        </w:rPr>
        <w:t>2026)0043),</w:t>
      </w:r>
    </w:p>
    <w:p w:rsidR="00FF0F94" w:rsidRPr="001505A5" w:rsidP="00C00A9F" w14:paraId="76EB9F9A" w14:textId="011577FF">
      <w:pPr>
        <w:pStyle w:val="FootnoteText"/>
        <w:ind w:left="1134" w:hanging="567"/>
        <w:rPr>
          <w:sz w:val="24"/>
          <w:vertAlign w:val="superscript"/>
          <w:lang w:val="it-IT"/>
        </w:rPr>
      </w:pPr>
      <w:r w:rsidRPr="001505A5">
        <w:rPr>
          <w:sz w:val="24"/>
          <w:lang w:val="it-IT"/>
        </w:rPr>
        <w:t>–</w:t>
      </w:r>
      <w:r w:rsidRPr="001505A5">
        <w:rPr>
          <w:sz w:val="24"/>
          <w:lang w:val="it-IT"/>
        </w:rPr>
        <w:tab/>
        <w:t>risoluzione del Parlamento europeo dell'11 febbraio 2026 sul progetto di decisione di esecuzione della Commissione che rinnova l'autorizzazione all'immissione in commercio di prodotti contenenti, costituiti da o prodotti a partire da cotone geneticamente modificato T304-40 a norma del regolamento (CE) n. 1829/2003 del Parlamento europeo e del Consiglio (Testi approvati, P10_</w:t>
      </w:r>
      <w:r w:rsidRPr="001505A5">
        <w:rPr>
          <w:sz w:val="24"/>
          <w:lang w:val="it-IT"/>
        </w:rPr>
        <w:t>TA(</w:t>
      </w:r>
      <w:r w:rsidRPr="001505A5">
        <w:rPr>
          <w:sz w:val="24"/>
          <w:lang w:val="it-IT"/>
        </w:rPr>
        <w:t>2026)0044),</w:t>
      </w:r>
    </w:p>
    <w:p w:rsidR="00FF0F94" w:rsidRPr="001505A5" w:rsidP="00C00A9F" w14:paraId="4856D81F" w14:textId="2FA91561">
      <w:pPr>
        <w:pStyle w:val="FootnoteText"/>
        <w:ind w:left="1134" w:hanging="567"/>
        <w:rPr>
          <w:sz w:val="24"/>
          <w:lang w:val="it-IT"/>
        </w:rPr>
      </w:pPr>
      <w:r w:rsidRPr="001505A5">
        <w:rPr>
          <w:sz w:val="24"/>
          <w:lang w:val="it-IT"/>
        </w:rPr>
        <w:t>–</w:t>
      </w:r>
      <w:r w:rsidRPr="001505A5">
        <w:rPr>
          <w:sz w:val="24"/>
          <w:lang w:val="it-IT"/>
        </w:rPr>
        <w:tab/>
        <w:t>risoluzione del Parlamento europeo del 29 aprile 2026 sul progetto di decisione di esecuzione della Commissione che autorizza l'immissione in commercio di prodotti contenenti, costituiti o derivati da soia geneticamente modificata MON94637 a norma del regolamento (CE) n. 1829/2003 del Parlamento europeo e del Consiglio (Testi approvati, P10_</w:t>
      </w:r>
      <w:r w:rsidRPr="001505A5">
        <w:rPr>
          <w:sz w:val="24"/>
          <w:lang w:val="it-IT"/>
        </w:rPr>
        <w:t>TA(</w:t>
      </w:r>
      <w:r w:rsidRPr="001505A5">
        <w:rPr>
          <w:sz w:val="24"/>
          <w:lang w:val="it-IT"/>
        </w:rPr>
        <w:t>2026)0150).</w:t>
      </w:r>
    </w:p>
  </w:footnote>
  <w:footnote w:id="7">
    <w:p w:rsidR="00FF0F94" w:rsidRPr="001505A5" w:rsidP="008F023A" w14:paraId="46ADFCCC"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Decisione di esecuzione (UE) 2015/696 della Commissione, del 24 aprile 2015, che autorizza l'immissione in commercio di prodotti contenenti, costituiti od ottenuti a partire da cotone geneticamente modificato MON 87705 (MON-877Ø5-6) a norma del regolamento (CE) n. 1829/2003 del Parlamento europeo e del Consiglio (GU L 112 del 30.4.2015, pag. 60, ELI: </w:t>
      </w:r>
      <w:hyperlink r:id="rId24" w:history="1">
        <w:r w:rsidRPr="001505A5">
          <w:rPr>
            <w:rStyle w:val="Hyperlink"/>
            <w:sz w:val="24"/>
            <w:lang w:val="it-IT"/>
          </w:rPr>
          <w:t>http://data.europa.eu/eli/</w:t>
        </w:r>
        <w:r w:rsidRPr="001505A5">
          <w:rPr>
            <w:rStyle w:val="Hyperlink"/>
            <w:sz w:val="24"/>
            <w:lang w:val="it-IT"/>
          </w:rPr>
          <w:t>dec_impl</w:t>
        </w:r>
        <w:r w:rsidRPr="001505A5">
          <w:rPr>
            <w:rStyle w:val="Hyperlink"/>
            <w:sz w:val="24"/>
            <w:lang w:val="it-IT"/>
          </w:rPr>
          <w:t>/2015/696/2021-02-16</w:t>
        </w:r>
      </w:hyperlink>
      <w:r w:rsidRPr="001505A5">
        <w:rPr>
          <w:sz w:val="24"/>
          <w:lang w:val="it-IT"/>
        </w:rPr>
        <w:t>).</w:t>
      </w:r>
    </w:p>
  </w:footnote>
  <w:footnote w:id="8">
    <w:p w:rsidR="00FF0F94" w:rsidRPr="001505A5" w:rsidP="001505A5" w14:paraId="1BC7E84A"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 xml:space="preserve">Parere scientifico del gruppo di esperti scientifici dell'EFSA sugli organismi geneticamente modificati relativo alla valutazione della soia geneticamente modificata MON 87705 per il rinnovo dell'autorizzazione a norma del regolamento (CE) n. 1829/2003 (domanda GMFF-2023-21236), </w:t>
      </w:r>
      <w:r w:rsidRPr="001505A5">
        <w:rPr>
          <w:i/>
          <w:iCs/>
          <w:sz w:val="24"/>
          <w:lang w:val="it-IT"/>
        </w:rPr>
        <w:t>EFSA Journal</w:t>
      </w:r>
      <w:r w:rsidRPr="001505A5">
        <w:rPr>
          <w:sz w:val="24"/>
          <w:lang w:val="it-IT"/>
        </w:rPr>
        <w:t>, 2026, 24(1</w:t>
      </w:r>
      <w:r w:rsidRPr="001505A5">
        <w:rPr>
          <w:sz w:val="24"/>
          <w:lang w:val="it-IT"/>
        </w:rPr>
        <w:t>):e</w:t>
      </w:r>
      <w:r w:rsidRPr="001505A5">
        <w:rPr>
          <w:sz w:val="24"/>
          <w:lang w:val="it-IT"/>
        </w:rPr>
        <w:t xml:space="preserve">9846, </w:t>
      </w:r>
      <w:hyperlink r:id="rId4" w:history="1">
        <w:r w:rsidRPr="001505A5">
          <w:rPr>
            <w:rStyle w:val="Hyperlink"/>
            <w:sz w:val="24"/>
            <w:lang w:val="it-IT"/>
          </w:rPr>
          <w:t>https://doi.org/10.2903/j.efsa.2026.9846</w:t>
        </w:r>
      </w:hyperlink>
      <w:r w:rsidRPr="001505A5">
        <w:rPr>
          <w:sz w:val="24"/>
          <w:lang w:val="it-IT"/>
        </w:rPr>
        <w:t>.</w:t>
      </w:r>
    </w:p>
  </w:footnote>
  <w:footnote w:id="9">
    <w:p w:rsidR="00FF0F94" w:rsidRPr="001505A5" w:rsidP="001505A5" w14:paraId="5F2731FA"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 xml:space="preserve">Parere scientifico del gruppo di esperti scientifici dell'EFSA sugli organismi geneticamente modificati relativo a una domanda (EFSA-GMO-NL-2010-78) di immissione in commercio di soia geneticamente modificata MON 87705 resistente agli erbicidi a fini di alimentazione umana e animale, importazione e trasformazione a norma del regolamento (CE) n. 1829/2003 presentata da Monsanto, </w:t>
      </w:r>
      <w:r w:rsidRPr="001505A5">
        <w:rPr>
          <w:i/>
          <w:sz w:val="24"/>
          <w:lang w:val="it-IT"/>
        </w:rPr>
        <w:t>EFSA Journal</w:t>
      </w:r>
      <w:r w:rsidRPr="001505A5">
        <w:rPr>
          <w:sz w:val="24"/>
          <w:lang w:val="it-IT"/>
        </w:rPr>
        <w:t xml:space="preserve">, 2012, 10(10):2909, </w:t>
      </w:r>
      <w:hyperlink r:id="rId25" w:history="1">
        <w:r w:rsidRPr="001505A5">
          <w:rPr>
            <w:rStyle w:val="Hyperlink"/>
            <w:sz w:val="24"/>
            <w:lang w:val="it-IT"/>
          </w:rPr>
          <w:t>https://doi.org/10.2903/j.efsa.2012.2909</w:t>
        </w:r>
      </w:hyperlink>
      <w:r w:rsidRPr="001505A5">
        <w:rPr>
          <w:sz w:val="24"/>
          <w:lang w:val="it-IT"/>
        </w:rPr>
        <w:t>.</w:t>
      </w:r>
    </w:p>
  </w:footnote>
  <w:footnote w:id="10">
    <w:p w:rsidR="00FF0F94" w:rsidRPr="001505A5" w:rsidP="001505A5" w14:paraId="7DB52E84"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 xml:space="preserve">Gruppo di esperti scientifici dell'EFSA sugli organismi geneticamente modificati, dichiarazione integrativa del parere scientifico relativo alla domanda EFSA-GMO-NL-2010-78 sulla sicurezza dell'olio di soia MON 3507 per la frittura commerciale, </w:t>
      </w:r>
      <w:r w:rsidRPr="001505A5">
        <w:rPr>
          <w:i/>
          <w:sz w:val="24"/>
          <w:lang w:val="it-IT"/>
        </w:rPr>
        <w:t>EFSA Journal</w:t>
      </w:r>
      <w:r w:rsidRPr="001505A5">
        <w:rPr>
          <w:sz w:val="24"/>
          <w:lang w:val="it-IT"/>
        </w:rPr>
        <w:t xml:space="preserve">, 2013, 11(12):3507, </w:t>
      </w:r>
      <w:hyperlink r:id="rId26" w:history="1">
        <w:r w:rsidRPr="001505A5">
          <w:rPr>
            <w:rStyle w:val="Hyperlink"/>
            <w:sz w:val="24"/>
            <w:lang w:val="it-IT"/>
          </w:rPr>
          <w:t>https://doi.org/10.2903/j.efsa.2013.3507</w:t>
        </w:r>
      </w:hyperlink>
      <w:r w:rsidRPr="001505A5">
        <w:rPr>
          <w:sz w:val="24"/>
          <w:lang w:val="it-IT"/>
        </w:rPr>
        <w:t>.</w:t>
      </w:r>
    </w:p>
  </w:footnote>
  <w:footnote w:id="11">
    <w:p w:rsidR="00FF0F94" w:rsidRPr="001505A5" w:rsidP="001505A5" w14:paraId="2AC670F8" w14:textId="04A5F65F">
      <w:pPr>
        <w:pStyle w:val="FootnoteText"/>
        <w:ind w:left="567" w:hanging="567"/>
        <w:rPr>
          <w:sz w:val="24"/>
          <w:lang w:val="it-IT"/>
        </w:rPr>
      </w:pPr>
      <w:r w:rsidRPr="001505A5">
        <w:rPr>
          <w:rStyle w:val="FootnoteReference"/>
          <w:sz w:val="24"/>
          <w:lang w:val="it-IT"/>
        </w:rPr>
        <w:footnoteRef/>
      </w:r>
      <w:r w:rsidRPr="001505A5" w:rsidR="001505A5">
        <w:rPr>
          <w:sz w:val="24"/>
          <w:shd w:val="clear" w:color="auto" w:fill="FFFFFF"/>
          <w:lang w:val="it-IT"/>
        </w:rPr>
        <w:t xml:space="preserve"> </w:t>
      </w:r>
      <w:r w:rsidRPr="001505A5" w:rsidR="001505A5">
        <w:rPr>
          <w:sz w:val="24"/>
          <w:shd w:val="clear" w:color="auto" w:fill="FFFFFF"/>
          <w:lang w:val="it-IT"/>
        </w:rPr>
        <w:tab/>
      </w:r>
      <w:r w:rsidRPr="001505A5">
        <w:rPr>
          <w:sz w:val="24"/>
          <w:shd w:val="clear" w:color="auto" w:fill="FFFFFF"/>
          <w:lang w:val="it-IT"/>
        </w:rPr>
        <w:t xml:space="preserve">Cfr., ad esempio, S. Bonny, </w:t>
      </w:r>
      <w:r w:rsidRPr="001505A5">
        <w:rPr>
          <w:sz w:val="24"/>
          <w:shd w:val="clear" w:color="auto" w:fill="FFFFFF"/>
          <w:lang w:val="it-IT"/>
        </w:rPr>
        <w:t>Genetically</w:t>
      </w:r>
      <w:r w:rsidRPr="001505A5">
        <w:rPr>
          <w:sz w:val="24"/>
          <w:shd w:val="clear" w:color="auto" w:fill="FFFFFF"/>
          <w:lang w:val="it-IT"/>
        </w:rPr>
        <w:t xml:space="preserve"> </w:t>
      </w:r>
      <w:r w:rsidRPr="001505A5">
        <w:rPr>
          <w:sz w:val="24"/>
          <w:shd w:val="clear" w:color="auto" w:fill="FFFFFF"/>
          <w:lang w:val="it-IT"/>
        </w:rPr>
        <w:t>Modified</w:t>
      </w:r>
      <w:r w:rsidRPr="001505A5">
        <w:rPr>
          <w:sz w:val="24"/>
          <w:shd w:val="clear" w:color="auto" w:fill="FFFFFF"/>
          <w:lang w:val="it-IT"/>
        </w:rPr>
        <w:t xml:space="preserve"> </w:t>
      </w:r>
      <w:r w:rsidRPr="001505A5">
        <w:rPr>
          <w:sz w:val="24"/>
          <w:shd w:val="clear" w:color="auto" w:fill="FFFFFF"/>
          <w:lang w:val="it-IT"/>
        </w:rPr>
        <w:t>Herbicide-Tolerant</w:t>
      </w:r>
      <w:r w:rsidRPr="001505A5">
        <w:rPr>
          <w:sz w:val="24"/>
          <w:shd w:val="clear" w:color="auto" w:fill="FFFFFF"/>
          <w:lang w:val="it-IT"/>
        </w:rPr>
        <w:t xml:space="preserve"> </w:t>
      </w:r>
      <w:r w:rsidRPr="001505A5">
        <w:rPr>
          <w:sz w:val="24"/>
          <w:shd w:val="clear" w:color="auto" w:fill="FFFFFF"/>
          <w:lang w:val="it-IT"/>
        </w:rPr>
        <w:t>Crops</w:t>
      </w:r>
      <w:r w:rsidRPr="001505A5">
        <w:rPr>
          <w:sz w:val="24"/>
          <w:shd w:val="clear" w:color="auto" w:fill="FFFFFF"/>
          <w:lang w:val="it-IT"/>
        </w:rPr>
        <w:t xml:space="preserve">, </w:t>
      </w:r>
      <w:r w:rsidRPr="001505A5">
        <w:rPr>
          <w:sz w:val="24"/>
          <w:shd w:val="clear" w:color="auto" w:fill="FFFFFF"/>
          <w:lang w:val="it-IT"/>
        </w:rPr>
        <w:t>Weeds</w:t>
      </w:r>
      <w:r w:rsidRPr="001505A5">
        <w:rPr>
          <w:sz w:val="24"/>
          <w:shd w:val="clear" w:color="auto" w:fill="FFFFFF"/>
          <w:lang w:val="it-IT"/>
        </w:rPr>
        <w:t xml:space="preserve">, and </w:t>
      </w:r>
      <w:r w:rsidRPr="001505A5">
        <w:rPr>
          <w:sz w:val="24"/>
          <w:shd w:val="clear" w:color="auto" w:fill="FFFFFF"/>
          <w:lang w:val="it-IT"/>
        </w:rPr>
        <w:t>Herbicides</w:t>
      </w:r>
      <w:r w:rsidRPr="001505A5">
        <w:rPr>
          <w:sz w:val="24"/>
          <w:shd w:val="clear" w:color="auto" w:fill="FFFFFF"/>
          <w:lang w:val="it-IT"/>
        </w:rPr>
        <w:t xml:space="preserve">: </w:t>
      </w:r>
      <w:r w:rsidRPr="001505A5">
        <w:rPr>
          <w:sz w:val="24"/>
          <w:shd w:val="clear" w:color="auto" w:fill="FFFFFF"/>
          <w:lang w:val="it-IT"/>
        </w:rPr>
        <w:t>Overview</w:t>
      </w:r>
      <w:r w:rsidRPr="001505A5">
        <w:rPr>
          <w:sz w:val="24"/>
          <w:shd w:val="clear" w:color="auto" w:fill="FFFFFF"/>
          <w:lang w:val="it-IT"/>
        </w:rPr>
        <w:t xml:space="preserve"> and Impact" (Colture geneticamente modificate resistenti agli erbicidi, piante infestanti ed erbicidi: panoramica e conseguenze), </w:t>
      </w:r>
      <w:r w:rsidRPr="001505A5">
        <w:rPr>
          <w:i/>
          <w:sz w:val="24"/>
          <w:shd w:val="clear" w:color="auto" w:fill="FFFFFF"/>
          <w:lang w:val="it-IT"/>
        </w:rPr>
        <w:t>Environmental</w:t>
      </w:r>
      <w:r w:rsidRPr="001505A5">
        <w:rPr>
          <w:i/>
          <w:sz w:val="24"/>
          <w:shd w:val="clear" w:color="auto" w:fill="FFFFFF"/>
          <w:lang w:val="it-IT"/>
        </w:rPr>
        <w:t xml:space="preserve"> Management</w:t>
      </w:r>
      <w:r w:rsidRPr="001505A5">
        <w:rPr>
          <w:sz w:val="24"/>
          <w:shd w:val="clear" w:color="auto" w:fill="FFFFFF"/>
          <w:lang w:val="it-IT"/>
        </w:rPr>
        <w:t xml:space="preserve">, gennaio 2016, 57(1), pagg. 31-48, </w:t>
      </w:r>
      <w:bookmarkStart w:id="7" w:name="_Hlk104996594"/>
      <w:hyperlink r:id="rId27" w:history="1">
        <w:r w:rsidRPr="001505A5">
          <w:rPr>
            <w:rStyle w:val="Hyperlink"/>
            <w:sz w:val="24"/>
            <w:shd w:val="clear" w:color="auto" w:fill="FFFFFF"/>
            <w:lang w:val="it-IT"/>
          </w:rPr>
          <w:t>https://doi.org/10.1007/s00267-015-0589-7</w:t>
        </w:r>
      </w:hyperlink>
      <w:r w:rsidRPr="001505A5">
        <w:rPr>
          <w:sz w:val="24"/>
          <w:shd w:val="clear" w:color="auto" w:fill="FFFFFF"/>
          <w:lang w:val="it-IT"/>
        </w:rPr>
        <w:t xml:space="preserve"> </w:t>
      </w:r>
      <w:bookmarkEnd w:id="7"/>
      <w:r w:rsidRPr="001505A5">
        <w:rPr>
          <w:sz w:val="24"/>
          <w:shd w:val="clear" w:color="auto" w:fill="FFFFFF"/>
          <w:lang w:val="it-IT"/>
        </w:rPr>
        <w:t xml:space="preserve">e C.M. </w:t>
      </w:r>
      <w:r w:rsidRPr="001505A5">
        <w:rPr>
          <w:sz w:val="24"/>
          <w:shd w:val="clear" w:color="auto" w:fill="FFFFFF"/>
          <w:lang w:val="it-IT"/>
        </w:rPr>
        <w:t>Benbrook</w:t>
      </w:r>
      <w:r w:rsidRPr="001505A5">
        <w:rPr>
          <w:sz w:val="24"/>
          <w:shd w:val="clear" w:color="auto" w:fill="FFFFFF"/>
          <w:lang w:val="it-IT"/>
        </w:rPr>
        <w:t xml:space="preserve">, "Impacts of </w:t>
      </w:r>
      <w:r w:rsidRPr="001505A5">
        <w:rPr>
          <w:sz w:val="24"/>
          <w:shd w:val="clear" w:color="auto" w:fill="FFFFFF"/>
          <w:lang w:val="it-IT"/>
        </w:rPr>
        <w:t>genetically</w:t>
      </w:r>
      <w:r w:rsidRPr="001505A5">
        <w:rPr>
          <w:sz w:val="24"/>
          <w:shd w:val="clear" w:color="auto" w:fill="FFFFFF"/>
          <w:lang w:val="it-IT"/>
        </w:rPr>
        <w:t xml:space="preserve"> </w:t>
      </w:r>
      <w:r w:rsidRPr="001505A5">
        <w:rPr>
          <w:sz w:val="24"/>
          <w:shd w:val="clear" w:color="auto" w:fill="FFFFFF"/>
          <w:lang w:val="it-IT"/>
        </w:rPr>
        <w:t>engineered</w:t>
      </w:r>
      <w:r w:rsidRPr="001505A5">
        <w:rPr>
          <w:sz w:val="24"/>
          <w:shd w:val="clear" w:color="auto" w:fill="FFFFFF"/>
          <w:lang w:val="it-IT"/>
        </w:rPr>
        <w:t xml:space="preserve"> </w:t>
      </w:r>
      <w:r w:rsidRPr="001505A5">
        <w:rPr>
          <w:sz w:val="24"/>
          <w:shd w:val="clear" w:color="auto" w:fill="FFFFFF"/>
          <w:lang w:val="it-IT"/>
        </w:rPr>
        <w:t>crops</w:t>
      </w:r>
      <w:r w:rsidRPr="001505A5">
        <w:rPr>
          <w:sz w:val="24"/>
          <w:shd w:val="clear" w:color="auto" w:fill="FFFFFF"/>
          <w:lang w:val="it-IT"/>
        </w:rPr>
        <w:t xml:space="preserve"> on </w:t>
      </w:r>
      <w:r w:rsidRPr="001505A5">
        <w:rPr>
          <w:sz w:val="24"/>
          <w:shd w:val="clear" w:color="auto" w:fill="FFFFFF"/>
          <w:lang w:val="it-IT"/>
        </w:rPr>
        <w:t>pesticide</w:t>
      </w:r>
      <w:r w:rsidRPr="001505A5">
        <w:rPr>
          <w:sz w:val="24"/>
          <w:shd w:val="clear" w:color="auto" w:fill="FFFFFF"/>
          <w:lang w:val="it-IT"/>
        </w:rPr>
        <w:t xml:space="preserve"> use in the U.S. – the first </w:t>
      </w:r>
      <w:r w:rsidRPr="001505A5">
        <w:rPr>
          <w:sz w:val="24"/>
          <w:shd w:val="clear" w:color="auto" w:fill="FFFFFF"/>
          <w:lang w:val="it-IT"/>
        </w:rPr>
        <w:t>sixteen</w:t>
      </w:r>
      <w:r w:rsidRPr="001505A5">
        <w:rPr>
          <w:sz w:val="24"/>
          <w:shd w:val="clear" w:color="auto" w:fill="FFFFFF"/>
          <w:lang w:val="it-IT"/>
        </w:rPr>
        <w:t xml:space="preserve"> </w:t>
      </w:r>
      <w:r w:rsidRPr="001505A5">
        <w:rPr>
          <w:sz w:val="24"/>
          <w:shd w:val="clear" w:color="auto" w:fill="FFFFFF"/>
          <w:lang w:val="it-IT"/>
        </w:rPr>
        <w:t>years</w:t>
      </w:r>
      <w:r w:rsidRPr="001505A5">
        <w:rPr>
          <w:sz w:val="24"/>
          <w:shd w:val="clear" w:color="auto" w:fill="FFFFFF"/>
          <w:lang w:val="it-IT"/>
        </w:rPr>
        <w:t xml:space="preserve">" (Effetti delle colture geneticamente modificate sui pesticidi negli Stati Uniti – i primi sedici anni), </w:t>
      </w:r>
      <w:r w:rsidRPr="001505A5">
        <w:rPr>
          <w:i/>
          <w:sz w:val="24"/>
          <w:shd w:val="clear" w:color="auto" w:fill="FFFFFF"/>
          <w:lang w:val="it-IT"/>
        </w:rPr>
        <w:t>Environmental</w:t>
      </w:r>
      <w:r w:rsidRPr="001505A5">
        <w:rPr>
          <w:i/>
          <w:sz w:val="24"/>
          <w:shd w:val="clear" w:color="auto" w:fill="FFFFFF"/>
          <w:lang w:val="it-IT"/>
        </w:rPr>
        <w:t xml:space="preserve"> Sciences Europe</w:t>
      </w:r>
      <w:r w:rsidRPr="001505A5">
        <w:rPr>
          <w:sz w:val="24"/>
          <w:shd w:val="clear" w:color="auto" w:fill="FFFFFF"/>
          <w:lang w:val="it-IT"/>
        </w:rPr>
        <w:t xml:space="preserve">, 28 settembre 2012, Vol. 24(1), </w:t>
      </w:r>
      <w:hyperlink r:id="rId28" w:history="1">
        <w:r w:rsidRPr="001505A5">
          <w:rPr>
            <w:rStyle w:val="Hyperlink"/>
            <w:sz w:val="24"/>
            <w:lang w:val="it-IT"/>
          </w:rPr>
          <w:t>https://doi.org/10.1186/2190-4715-24-24</w:t>
        </w:r>
      </w:hyperlink>
      <w:r w:rsidRPr="001505A5">
        <w:rPr>
          <w:sz w:val="24"/>
          <w:shd w:val="clear" w:color="auto" w:fill="FFFFFF"/>
          <w:lang w:val="it-IT"/>
        </w:rPr>
        <w:t>.</w:t>
      </w:r>
    </w:p>
  </w:footnote>
  <w:footnote w:id="12">
    <w:p w:rsidR="00FF0F94" w:rsidRPr="001505A5" w:rsidP="001505A5" w14:paraId="19E8AD0B" w14:textId="77777777">
      <w:pPr>
        <w:pStyle w:val="FootnoteText"/>
        <w:ind w:left="567" w:hanging="567"/>
        <w:rPr>
          <w:sz w:val="24"/>
          <w:lang w:val="it-IT"/>
        </w:rPr>
      </w:pPr>
      <w:r w:rsidRPr="001505A5">
        <w:rPr>
          <w:rStyle w:val="FootnoteReference"/>
          <w:sz w:val="24"/>
          <w:lang w:val="it-IT"/>
        </w:rPr>
        <w:footnoteRef/>
      </w:r>
      <w:r w:rsidRPr="001505A5" w:rsidR="001505A5">
        <w:rPr>
          <w:sz w:val="24"/>
          <w:shd w:val="clear" w:color="auto" w:fill="FFFFFF"/>
          <w:lang w:val="it-IT"/>
        </w:rPr>
        <w:t xml:space="preserve"> </w:t>
      </w:r>
      <w:r w:rsidRPr="001505A5" w:rsidR="001505A5">
        <w:rPr>
          <w:sz w:val="24"/>
          <w:shd w:val="clear" w:color="auto" w:fill="FFFFFF"/>
          <w:lang w:val="it-IT"/>
        </w:rPr>
        <w:tab/>
      </w:r>
      <w:r w:rsidRPr="001505A5">
        <w:rPr>
          <w:sz w:val="24"/>
          <w:shd w:val="clear" w:color="auto" w:fill="FFFFFF"/>
          <w:lang w:val="it-IT"/>
        </w:rPr>
        <w:t xml:space="preserve">Cfr. ad esempio </w:t>
      </w:r>
      <w:bookmarkStart w:id="8" w:name="_Hlk104996780"/>
      <w:hyperlink r:id="rId29" w:history="1">
        <w:r w:rsidRPr="001505A5">
          <w:rPr>
            <w:rStyle w:val="Hyperlink"/>
            <w:sz w:val="24"/>
            <w:lang w:val="it-IT"/>
          </w:rPr>
          <w:t>https://doi.org/10.1016/j.mrrev.2019.02.001</w:t>
        </w:r>
      </w:hyperlink>
      <w:bookmarkEnd w:id="8"/>
      <w:r w:rsidRPr="001505A5">
        <w:rPr>
          <w:sz w:val="24"/>
          <w:shd w:val="clear" w:color="auto" w:fill="FFFFFF"/>
          <w:lang w:val="it-IT"/>
        </w:rPr>
        <w:t xml:space="preserve">, </w:t>
      </w:r>
      <w:hyperlink r:id="rId30" w:history="1">
        <w:r w:rsidRPr="001505A5">
          <w:rPr>
            <w:rStyle w:val="Hyperlink"/>
            <w:sz w:val="24"/>
            <w:lang w:val="it-IT"/>
          </w:rPr>
          <w:t>https://doi.org/10.1093/ije/dyz017</w:t>
        </w:r>
      </w:hyperlink>
      <w:r w:rsidRPr="001505A5">
        <w:rPr>
          <w:sz w:val="24"/>
          <w:shd w:val="clear" w:color="auto" w:fill="FFFFFF"/>
          <w:lang w:val="it-IT"/>
        </w:rPr>
        <w:t xml:space="preserve">, </w:t>
      </w:r>
      <w:hyperlink r:id="rId31" w:history="1">
        <w:r w:rsidRPr="001505A5">
          <w:rPr>
            <w:rStyle w:val="Hyperlink"/>
            <w:sz w:val="24"/>
            <w:lang w:val="it-IT"/>
          </w:rPr>
          <w:t>https://doi.org/10.1371/journal.pone.0219610</w:t>
        </w:r>
      </w:hyperlink>
      <w:r w:rsidRPr="001505A5">
        <w:rPr>
          <w:sz w:val="24"/>
          <w:shd w:val="clear" w:color="auto" w:fill="FFFFFF"/>
          <w:lang w:val="it-IT"/>
        </w:rPr>
        <w:t xml:space="preserve"> </w:t>
      </w:r>
      <w:r w:rsidRPr="001505A5">
        <w:rPr>
          <w:sz w:val="24"/>
          <w:shd w:val="clear" w:color="auto" w:fill="FFFFFF"/>
          <w:lang w:val="it-IT"/>
        </w:rPr>
        <w:t>e</w:t>
      </w:r>
      <w:hyperlink r:id="rId32" w:history="1">
        <w:r w:rsidRPr="001505A5">
          <w:rPr>
            <w:rStyle w:val="Hyperlink"/>
            <w:sz w:val="24"/>
            <w:lang w:val="it-IT"/>
          </w:rPr>
          <w:t>https</w:t>
        </w:r>
        <w:r w:rsidRPr="001505A5">
          <w:rPr>
            <w:rStyle w:val="Hyperlink"/>
            <w:sz w:val="24"/>
            <w:lang w:val="it-IT"/>
          </w:rPr>
          <w:t>://doi.org/10.1186/s13045-019-0767-9</w:t>
        </w:r>
      </w:hyperlink>
      <w:r w:rsidRPr="001505A5">
        <w:rPr>
          <w:sz w:val="24"/>
          <w:shd w:val="clear" w:color="auto" w:fill="FFFFFF"/>
          <w:lang w:val="it-IT"/>
        </w:rPr>
        <w:t>.</w:t>
      </w:r>
    </w:p>
  </w:footnote>
  <w:footnote w:id="13">
    <w:p w:rsidR="00FF0F94" w:rsidRPr="001505A5" w:rsidP="001505A5" w14:paraId="0E433566"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hyperlink r:id="rId33" w:tgtFrame="_blank" w:tooltip="Collegamento permanente mediante identificatore digitale dell'oggetto." w:history="1">
        <w:r w:rsidRPr="001505A5">
          <w:rPr>
            <w:rStyle w:val="Hyperlink"/>
            <w:sz w:val="24"/>
            <w:lang w:val="it-IT"/>
          </w:rPr>
          <w:t>https://doi.org/10.1006/rtph.1999.1371</w:t>
        </w:r>
      </w:hyperlink>
      <w:r w:rsidRPr="001505A5">
        <w:rPr>
          <w:sz w:val="24"/>
          <w:lang w:val="it-IT"/>
        </w:rPr>
        <w:t>.</w:t>
      </w:r>
    </w:p>
  </w:footnote>
  <w:footnote w:id="14">
    <w:p w:rsidR="00FF0F94" w:rsidRPr="001505A5" w:rsidP="001505A5" w14:paraId="43643896" w14:textId="6EDCA53D">
      <w:pPr>
        <w:pStyle w:val="FootnoteText"/>
        <w:ind w:left="567" w:hanging="567"/>
        <w:rPr>
          <w:sz w:val="24"/>
          <w:szCs w:val="24"/>
          <w:lang w:val="it-IT"/>
        </w:rPr>
      </w:pPr>
      <w:r w:rsidRPr="001505A5">
        <w:rPr>
          <w:rStyle w:val="FootnoteReference"/>
          <w:sz w:val="24"/>
          <w:lang w:val="it-IT"/>
        </w:rPr>
        <w:footnoteRef/>
      </w:r>
      <w:r w:rsidRPr="001505A5" w:rsidR="001505A5">
        <w:rPr>
          <w:sz w:val="24"/>
          <w:shd w:val="clear" w:color="auto" w:fill="FFFFFF"/>
          <w:lang w:val="it-IT"/>
        </w:rPr>
        <w:t xml:space="preserve"> </w:t>
      </w:r>
      <w:r w:rsidRPr="001505A5" w:rsidR="001505A5">
        <w:rPr>
          <w:sz w:val="24"/>
          <w:shd w:val="clear" w:color="auto" w:fill="FFFFFF"/>
          <w:lang w:val="it-IT"/>
        </w:rPr>
        <w:tab/>
      </w:r>
      <w:r w:rsidRPr="001505A5">
        <w:rPr>
          <w:sz w:val="24"/>
          <w:shd w:val="clear" w:color="auto" w:fill="FFFFFF"/>
          <w:lang w:val="it-IT"/>
        </w:rPr>
        <w:t xml:space="preserve">Tale è infatti il caso del glifosato, come indicato nella revisione dell'EFSA dei livelli massimi di residui esistenti per il glifosato a norma dell'articolo 12 del regolamento (CE) n. 396/2005, </w:t>
      </w:r>
      <w:r w:rsidRPr="001505A5">
        <w:rPr>
          <w:i/>
          <w:sz w:val="24"/>
          <w:shd w:val="clear" w:color="auto" w:fill="FFFFFF"/>
          <w:lang w:val="it-IT"/>
        </w:rPr>
        <w:t>EFSA Journal</w:t>
      </w:r>
      <w:r w:rsidR="006471C9">
        <w:rPr>
          <w:i/>
          <w:sz w:val="24"/>
          <w:shd w:val="clear" w:color="auto" w:fill="FFFFFF"/>
          <w:lang w:val="it-IT"/>
        </w:rPr>
        <w:t>,</w:t>
      </w:r>
      <w:r w:rsidRPr="001505A5">
        <w:rPr>
          <w:sz w:val="24"/>
          <w:shd w:val="clear" w:color="auto" w:fill="FFFFFF"/>
          <w:lang w:val="it-IT"/>
        </w:rPr>
        <w:t xml:space="preserve"> 2018, 16(5):5263, pag. 12, </w:t>
      </w:r>
      <w:hyperlink r:id="rId34" w:history="1">
        <w:r w:rsidRPr="001505A5">
          <w:rPr>
            <w:rStyle w:val="Hyperlink"/>
            <w:color w:val="123D80"/>
            <w:sz w:val="24"/>
            <w:shd w:val="clear" w:color="auto" w:fill="FFFFFF"/>
            <w:lang w:val="it-IT"/>
          </w:rPr>
          <w:t>https://www.efsa.europa.eu/fr/efsajournal/pub/5263</w:t>
        </w:r>
      </w:hyperlink>
      <w:r w:rsidRPr="001505A5">
        <w:rPr>
          <w:sz w:val="24"/>
          <w:shd w:val="clear" w:color="auto" w:fill="FFFFFF"/>
          <w:lang w:val="it-IT"/>
        </w:rPr>
        <w:t>.</w:t>
      </w:r>
    </w:p>
  </w:footnote>
  <w:footnote w:id="15">
    <w:p w:rsidR="00FF0F94" w:rsidRPr="001505A5" w:rsidP="001505A5" w14:paraId="76DBA49C"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GU L 282 del 19.10.2016, pag. 4.</w:t>
      </w:r>
    </w:p>
  </w:footnote>
  <w:footnote w:id="16">
    <w:p w:rsidR="00FF0F94" w:rsidRPr="001505A5" w:rsidP="001505A5" w14:paraId="6346F7DF"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GU L 309 del 13.12.1993, pag. 3, ELI: </w:t>
      </w:r>
      <w:hyperlink r:id="rId35" w:tooltip="Accesso al documento tramite l'URI dell'ELI." w:history="1">
        <w:r w:rsidRPr="001505A5">
          <w:rPr>
            <w:rStyle w:val="Hyperlink"/>
            <w:sz w:val="24"/>
            <w:lang w:val="it-IT"/>
          </w:rPr>
          <w:t>http://data.europa.eu/eli/convention/1993/626/oj</w:t>
        </w:r>
      </w:hyperlink>
      <w:r w:rsidRPr="001505A5">
        <w:rPr>
          <w:sz w:val="24"/>
          <w:lang w:val="it-IT"/>
        </w:rPr>
        <w:t>.</w:t>
      </w:r>
    </w:p>
  </w:footnote>
  <w:footnote w:id="17">
    <w:p w:rsidR="00FF0F94" w:rsidRPr="001505A5" w:rsidP="001505A5" w14:paraId="34A001F3" w14:textId="30C21924">
      <w:pPr>
        <w:pStyle w:val="FootnoteText"/>
        <w:ind w:left="567" w:hanging="567"/>
        <w:rPr>
          <w:sz w:val="24"/>
          <w:lang w:val="it-IT"/>
        </w:rPr>
      </w:pPr>
      <w:r w:rsidRPr="001505A5">
        <w:rPr>
          <w:rStyle w:val="FootnoteReference"/>
          <w:sz w:val="24"/>
          <w:lang w:val="it-IT"/>
        </w:rPr>
        <w:footnoteRef/>
      </w:r>
      <w:r w:rsidRPr="001505A5" w:rsidR="001505A5">
        <w:rPr>
          <w:color w:val="000000" w:themeColor="text1"/>
          <w:sz w:val="24"/>
          <w:lang w:val="it-IT"/>
        </w:rPr>
        <w:t xml:space="preserve"> </w:t>
      </w:r>
      <w:r w:rsidRPr="001505A5" w:rsidR="001505A5">
        <w:rPr>
          <w:color w:val="000000" w:themeColor="text1"/>
          <w:sz w:val="24"/>
          <w:lang w:val="it-IT"/>
        </w:rPr>
        <w:tab/>
      </w:r>
      <w:r w:rsidRPr="001505A5">
        <w:rPr>
          <w:color w:val="000000" w:themeColor="text1"/>
          <w:sz w:val="24"/>
          <w:lang w:val="it-IT"/>
        </w:rPr>
        <w:t>Nel dicembre 2022, in occasione della COP15 della Convenzione delle Nazioni Unite sulla diversità biologica, è stato concordato un quadro globale sulla biodiversità che comprende un obiettivo globale di riduzione dei rischi derivanti dai pesticidi di almeno il 50</w:t>
      </w:r>
      <w:r w:rsidRPr="001505A5">
        <w:rPr>
          <w:sz w:val="24"/>
          <w:lang w:val="it-IT"/>
        </w:rPr>
        <w:t> </w:t>
      </w:r>
      <w:r w:rsidRPr="001505A5">
        <w:rPr>
          <w:color w:val="000000" w:themeColor="text1"/>
          <w:sz w:val="24"/>
          <w:lang w:val="it-IT"/>
        </w:rPr>
        <w:t>% entro il 2030 (cfr.:</w:t>
      </w:r>
      <w:r w:rsidR="006471C9">
        <w:rPr>
          <w:color w:val="000000" w:themeColor="text1"/>
          <w:sz w:val="24"/>
          <w:lang w:val="it-IT"/>
        </w:rPr>
        <w:t> </w:t>
      </w:r>
      <w:hyperlink r:id="rId36" w:history="1">
        <w:r w:rsidRPr="001505A5">
          <w:rPr>
            <w:rStyle w:val="Hyperlink"/>
            <w:sz w:val="24"/>
            <w:lang w:val="it-IT"/>
          </w:rPr>
          <w:t>https://ec.europa.eu/commission/presscorner/detail/it/ip_22_7834</w:t>
        </w:r>
      </w:hyperlink>
      <w:r w:rsidRPr="001505A5">
        <w:rPr>
          <w:sz w:val="24"/>
          <w:lang w:val="it-IT"/>
        </w:rPr>
        <w:t>).</w:t>
      </w:r>
    </w:p>
  </w:footnote>
  <w:footnote w:id="18">
    <w:p w:rsidR="00FF0F94" w:rsidRPr="001505A5" w:rsidP="001505A5" w14:paraId="79779C3E" w14:textId="77777777">
      <w:pPr>
        <w:pStyle w:val="FootnoteText"/>
        <w:ind w:left="567" w:hanging="567"/>
        <w:rPr>
          <w:sz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hyperlink r:id="rId37" w:history="1">
        <w:r w:rsidRPr="001505A5">
          <w:rPr>
            <w:rStyle w:val="Hyperlink"/>
            <w:sz w:val="24"/>
            <w:lang w:val="it-IT"/>
          </w:rPr>
          <w:t>https://commission.europa.eu/strategy-and-policy/priorities-2019-2024/european-green-deal/agriculture-and-green-deal/strategic-dialogue-future-eu-agriculture_it</w:t>
        </w:r>
      </w:hyperlink>
      <w:r w:rsidRPr="001505A5">
        <w:rPr>
          <w:sz w:val="24"/>
          <w:lang w:val="it-IT"/>
        </w:rPr>
        <w:t>.</w:t>
      </w:r>
    </w:p>
  </w:footnote>
  <w:footnote w:id="19">
    <w:p w:rsidR="00FF0F94" w:rsidRPr="001505A5" w:rsidP="001505A5" w14:paraId="7CB1F5F9" w14:textId="77777777">
      <w:pPr>
        <w:pStyle w:val="FootnoteText"/>
        <w:ind w:left="567" w:hanging="567"/>
        <w:rPr>
          <w:sz w:val="24"/>
          <w:szCs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r w:rsidRPr="001505A5">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38" w:tgtFrame="Gives access to this document through its ELI URI." w:history="1">
        <w:r w:rsidRPr="001505A5">
          <w:rPr>
            <w:rStyle w:val="Hyperlink"/>
            <w:color w:val="0070C0"/>
            <w:sz w:val="24"/>
            <w:lang w:val="it-IT"/>
          </w:rPr>
          <w:t>http://data.europa.eu/eli/reg/2002/178/</w:t>
        </w:r>
        <w:r w:rsidRPr="001505A5">
          <w:rPr>
            <w:rStyle w:val="Hyperlink"/>
            <w:color w:val="0070C0"/>
            <w:sz w:val="24"/>
            <w:lang w:val="it-IT"/>
          </w:rPr>
          <w:t>oj</w:t>
        </w:r>
      </w:hyperlink>
      <w:r w:rsidRPr="001505A5">
        <w:rPr>
          <w:sz w:val="24"/>
          <w:lang w:val="it-IT"/>
        </w:rPr>
        <w:t>).</w:t>
      </w:r>
    </w:p>
  </w:footnote>
  <w:footnote w:id="20">
    <w:p w:rsidR="00FF0F94" w:rsidRPr="001505A5" w:rsidP="001505A5" w14:paraId="5236509C" w14:textId="77777777">
      <w:pPr>
        <w:pStyle w:val="FootnoteText"/>
        <w:ind w:left="567" w:hanging="567"/>
        <w:rPr>
          <w:sz w:val="24"/>
          <w:szCs w:val="24"/>
          <w:lang w:val="it-IT"/>
        </w:rPr>
      </w:pPr>
      <w:r w:rsidRPr="001505A5">
        <w:rPr>
          <w:rStyle w:val="FootnoteReference"/>
          <w:sz w:val="24"/>
          <w:lang w:val="it-IT"/>
        </w:rPr>
        <w:footnoteRef/>
      </w:r>
      <w:r w:rsidRPr="001505A5" w:rsidR="001505A5">
        <w:rPr>
          <w:sz w:val="24"/>
          <w:lang w:val="it-IT"/>
        </w:rPr>
        <w:t xml:space="preserve"> </w:t>
      </w:r>
      <w:r w:rsidRPr="001505A5" w:rsidR="001505A5">
        <w:rPr>
          <w:sz w:val="24"/>
          <w:lang w:val="it-IT"/>
        </w:rPr>
        <w:tab/>
      </w:r>
      <w:hyperlink r:id="rId39" w:history="1">
        <w:r w:rsidRPr="001505A5">
          <w:rPr>
            <w:rStyle w:val="Hyperlink"/>
            <w:sz w:val="24"/>
            <w:shd w:val="clear" w:color="auto" w:fill="FFFFFF"/>
            <w:lang w:val="it-IT"/>
          </w:rPr>
          <w:t>https://tillymetz.lu/wp-content/uploads/2020/09/Co-signed-letter-MEP-Metz.pdf</w:t>
        </w:r>
      </w:hyperlink>
      <w:r w:rsidRPr="001505A5">
        <w:rPr>
          <w:sz w:val="24"/>
          <w:shd w:val="clear" w:color="auto" w:fill="FFFFFF"/>
          <w:lang w:val="it-IT"/>
        </w:rPr>
        <w:t>.</w:t>
      </w:r>
    </w:p>
  </w:footnote>
  <w:footnote w:id="21">
    <w:p w:rsidR="00FF0F94" w:rsidRPr="001505A5" w:rsidP="001505A5" w14:paraId="08BF53F5" w14:textId="77777777">
      <w:pPr>
        <w:pStyle w:val="FootnoteText"/>
        <w:ind w:left="567" w:hanging="567"/>
        <w:rPr>
          <w:sz w:val="24"/>
          <w:lang w:val="it-IT"/>
        </w:rPr>
      </w:pPr>
      <w:r w:rsidRPr="001505A5">
        <w:rPr>
          <w:rStyle w:val="FootnoteReference"/>
          <w:sz w:val="24"/>
          <w:lang w:val="it-IT"/>
        </w:rPr>
        <w:footnoteRef/>
      </w:r>
      <w:r w:rsidRPr="001505A5" w:rsidR="001505A5">
        <w:rPr>
          <w:sz w:val="24"/>
          <w:shd w:val="clear" w:color="auto" w:fill="FFFFFF"/>
          <w:lang w:val="it-IT"/>
        </w:rPr>
        <w:t xml:space="preserve"> </w:t>
      </w:r>
      <w:r w:rsidRPr="001505A5" w:rsidR="001505A5">
        <w:rPr>
          <w:sz w:val="24"/>
          <w:shd w:val="clear" w:color="auto" w:fill="FFFFFF"/>
          <w:lang w:val="it-IT"/>
        </w:rPr>
        <w:tab/>
      </w:r>
      <w:r w:rsidRPr="001505A5">
        <w:rPr>
          <w:sz w:val="24"/>
          <w:shd w:val="clear" w:color="auto" w:fill="FFFFFF"/>
          <w:lang w:val="it-IT"/>
        </w:rPr>
        <w:t>Risoluzione del Parlamento europeo del 15 gennaio 2020 sul Green Deal europeo (GU C 270 del 7.7.2021, pag. 2), paragrafo 102.</w:t>
      </w:r>
    </w:p>
  </w:footnote>
  <w:footnote w:id="22">
    <w:p w:rsidR="00FF0F94" w:rsidRPr="001505A5" w:rsidP="001505A5" w14:paraId="2F0484F8" w14:textId="77777777">
      <w:pPr>
        <w:pStyle w:val="FootnoteText"/>
        <w:ind w:left="567" w:hanging="567"/>
        <w:rPr>
          <w:sz w:val="24"/>
          <w:szCs w:val="24"/>
          <w:lang w:val="it-IT"/>
        </w:rPr>
      </w:pPr>
      <w:r w:rsidRPr="001505A5">
        <w:rPr>
          <w:rStyle w:val="FootnoteReference"/>
          <w:sz w:val="24"/>
          <w:lang w:val="it-IT"/>
        </w:rPr>
        <w:footnoteRef/>
      </w:r>
      <w:r w:rsidRPr="001505A5" w:rsidR="001505A5">
        <w:rPr>
          <w:sz w:val="24"/>
          <w:shd w:val="clear" w:color="auto" w:fill="FFFFFF"/>
          <w:lang w:val="it-IT"/>
        </w:rPr>
        <w:t xml:space="preserve"> </w:t>
      </w:r>
      <w:r w:rsidRPr="001505A5" w:rsidR="001505A5">
        <w:rPr>
          <w:sz w:val="24"/>
          <w:shd w:val="clear" w:color="auto" w:fill="FFFFFF"/>
          <w:lang w:val="it-IT"/>
        </w:rPr>
        <w:tab/>
      </w:r>
      <w:r w:rsidRPr="001505A5">
        <w:rPr>
          <w:sz w:val="24"/>
          <w:shd w:val="clear" w:color="auto" w:fill="FFFFFF"/>
          <w:lang w:val="it-IT"/>
        </w:rPr>
        <w:t>GU C 445 del 29.10.2021, pag.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1CE6A2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4436495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05A5" w14:paraId="299E6B0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2780838">
    <w:abstractNumId w:val="9"/>
  </w:num>
  <w:num w:numId="2" w16cid:durableId="1037007985">
    <w:abstractNumId w:val="9"/>
  </w:num>
  <w:num w:numId="3" w16cid:durableId="1012101142">
    <w:abstractNumId w:val="7"/>
  </w:num>
  <w:num w:numId="4" w16cid:durableId="235895689">
    <w:abstractNumId w:val="7"/>
  </w:num>
  <w:num w:numId="5" w16cid:durableId="307244630">
    <w:abstractNumId w:val="6"/>
  </w:num>
  <w:num w:numId="6" w16cid:durableId="496045519">
    <w:abstractNumId w:val="6"/>
  </w:num>
  <w:num w:numId="7" w16cid:durableId="898440778">
    <w:abstractNumId w:val="5"/>
  </w:num>
  <w:num w:numId="8" w16cid:durableId="688021648">
    <w:abstractNumId w:val="5"/>
  </w:num>
  <w:num w:numId="9" w16cid:durableId="804548700">
    <w:abstractNumId w:val="4"/>
  </w:num>
  <w:num w:numId="10" w16cid:durableId="1582910067">
    <w:abstractNumId w:val="4"/>
  </w:num>
  <w:num w:numId="11" w16cid:durableId="879827561">
    <w:abstractNumId w:val="8"/>
  </w:num>
  <w:num w:numId="12" w16cid:durableId="424765406">
    <w:abstractNumId w:val="8"/>
  </w:num>
  <w:num w:numId="13" w16cid:durableId="1338844253">
    <w:abstractNumId w:val="3"/>
  </w:num>
  <w:num w:numId="14" w16cid:durableId="495733635">
    <w:abstractNumId w:val="3"/>
  </w:num>
  <w:num w:numId="15" w16cid:durableId="1814447158">
    <w:abstractNumId w:val="2"/>
  </w:num>
  <w:num w:numId="16" w16cid:durableId="1036198075">
    <w:abstractNumId w:val="2"/>
  </w:num>
  <w:num w:numId="17" w16cid:durableId="1976837327">
    <w:abstractNumId w:val="1"/>
  </w:num>
  <w:num w:numId="18" w16cid:durableId="1389066848">
    <w:abstractNumId w:val="1"/>
  </w:num>
  <w:num w:numId="19" w16cid:durableId="1332878668">
    <w:abstractNumId w:val="0"/>
  </w:num>
  <w:num w:numId="20" w16cid:durableId="1394423349">
    <w:abstractNumId w:val="0"/>
  </w:num>
  <w:num w:numId="21" w16cid:durableId="682632878">
    <w:abstractNumId w:val="9"/>
  </w:num>
  <w:num w:numId="22" w16cid:durableId="730276779">
    <w:abstractNumId w:val="7"/>
  </w:num>
  <w:num w:numId="23" w16cid:durableId="1493374570">
    <w:abstractNumId w:val="6"/>
  </w:num>
  <w:num w:numId="24" w16cid:durableId="591086048">
    <w:abstractNumId w:val="5"/>
  </w:num>
  <w:num w:numId="25" w16cid:durableId="1987974544">
    <w:abstractNumId w:val="4"/>
  </w:num>
  <w:num w:numId="26" w16cid:durableId="961182186">
    <w:abstractNumId w:val="8"/>
  </w:num>
  <w:num w:numId="27" w16cid:durableId="337774070">
    <w:abstractNumId w:val="3"/>
  </w:num>
  <w:num w:numId="28" w16cid:durableId="1386836065">
    <w:abstractNumId w:val="2"/>
  </w:num>
  <w:num w:numId="29" w16cid:durableId="112749907">
    <w:abstractNumId w:val="1"/>
  </w:num>
  <w:num w:numId="30" w16cid:durableId="890732195">
    <w:abstractNumId w:val="0"/>
  </w:num>
  <w:num w:numId="31" w16cid:durableId="528953570">
    <w:abstractNumId w:val="9"/>
  </w:num>
  <w:num w:numId="32" w16cid:durableId="959803909">
    <w:abstractNumId w:val="7"/>
  </w:num>
  <w:num w:numId="33" w16cid:durableId="1461923957">
    <w:abstractNumId w:val="6"/>
  </w:num>
  <w:num w:numId="34" w16cid:durableId="1296332534">
    <w:abstractNumId w:val="5"/>
  </w:num>
  <w:num w:numId="35" w16cid:durableId="284317931">
    <w:abstractNumId w:val="4"/>
  </w:num>
  <w:num w:numId="36" w16cid:durableId="1370760574">
    <w:abstractNumId w:val="8"/>
  </w:num>
  <w:num w:numId="37" w16cid:durableId="302850705">
    <w:abstractNumId w:val="3"/>
  </w:num>
  <w:num w:numId="38" w16cid:durableId="2121144222">
    <w:abstractNumId w:val="2"/>
  </w:num>
  <w:num w:numId="39" w16cid:durableId="1740596626">
    <w:abstractNumId w:val="1"/>
  </w:num>
  <w:num w:numId="40" w16cid:durableId="1017924607">
    <w:abstractNumId w:val="0"/>
  </w:num>
  <w:num w:numId="41" w16cid:durableId="1157307316">
    <w:abstractNumId w:val="10"/>
  </w:num>
  <w:num w:numId="42" w16cid:durableId="1727296153">
    <w:abstractNumId w:val="10"/>
  </w:num>
  <w:num w:numId="43" w16cid:durableId="964577324">
    <w:abstractNumId w:val="10"/>
  </w:num>
  <w:num w:numId="44" w16cid:durableId="133107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D7"/>
    <w:rsid w:val="00002272"/>
    <w:rsid w:val="00064002"/>
    <w:rsid w:val="000677B9"/>
    <w:rsid w:val="000831BA"/>
    <w:rsid w:val="00090729"/>
    <w:rsid w:val="000A42CC"/>
    <w:rsid w:val="000E7DD9"/>
    <w:rsid w:val="0010095E"/>
    <w:rsid w:val="00125B37"/>
    <w:rsid w:val="001505A5"/>
    <w:rsid w:val="00187494"/>
    <w:rsid w:val="001A0ED7"/>
    <w:rsid w:val="001F32AE"/>
    <w:rsid w:val="00230DCE"/>
    <w:rsid w:val="002767FF"/>
    <w:rsid w:val="002B18FE"/>
    <w:rsid w:val="002B5493"/>
    <w:rsid w:val="00343214"/>
    <w:rsid w:val="00361C00"/>
    <w:rsid w:val="003721B9"/>
    <w:rsid w:val="003949BC"/>
    <w:rsid w:val="00395FA1"/>
    <w:rsid w:val="003E15D4"/>
    <w:rsid w:val="00411CCE"/>
    <w:rsid w:val="0041666E"/>
    <w:rsid w:val="00421060"/>
    <w:rsid w:val="004671F5"/>
    <w:rsid w:val="00471C19"/>
    <w:rsid w:val="004867E3"/>
    <w:rsid w:val="00494A28"/>
    <w:rsid w:val="004C0004"/>
    <w:rsid w:val="004C5D52"/>
    <w:rsid w:val="0050519A"/>
    <w:rsid w:val="005072A1"/>
    <w:rsid w:val="00514517"/>
    <w:rsid w:val="00545827"/>
    <w:rsid w:val="00560270"/>
    <w:rsid w:val="005A7F0A"/>
    <w:rsid w:val="005C2568"/>
    <w:rsid w:val="005F1B17"/>
    <w:rsid w:val="006037C0"/>
    <w:rsid w:val="006471C9"/>
    <w:rsid w:val="00657B01"/>
    <w:rsid w:val="006631B6"/>
    <w:rsid w:val="00680577"/>
    <w:rsid w:val="006B2353"/>
    <w:rsid w:val="006F74FA"/>
    <w:rsid w:val="0070531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23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A9F"/>
    <w:rsid w:val="00C05BFE"/>
    <w:rsid w:val="00C23CD4"/>
    <w:rsid w:val="00C370B0"/>
    <w:rsid w:val="00C61C0C"/>
    <w:rsid w:val="00C66842"/>
    <w:rsid w:val="00C941CB"/>
    <w:rsid w:val="00CC2357"/>
    <w:rsid w:val="00CF071A"/>
    <w:rsid w:val="00D058B8"/>
    <w:rsid w:val="00D56C11"/>
    <w:rsid w:val="00D834A0"/>
    <w:rsid w:val="00D872DF"/>
    <w:rsid w:val="00D91E21"/>
    <w:rsid w:val="00DA7FCD"/>
    <w:rsid w:val="00DF5CD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F94"/>
  </w:rsids>
  <w:docVars>
    <w:docVar w:name="dvdocse" w:val="B10-0334/2026"/>
    <w:docVar w:name="dvlangue" w:val="IT"/>
    <w:docVar w:name="dvnumam" w:val="0"/>
    <w:docVar w:name="dvpe" w:val="789.024"/>
    <w:docVar w:name="dvtitre" w:val="Risoluzione del Parlamento europeo dell'8 luglio 2026 sul progetto di decisione di esecuzione della Commissione che rinnova l'autorizzazione all'immissione in commercio di prodotti contenenti, costituiti o derivati da soia geneticamente modificata MON 87705 a norma del regolamento (CE) n. 1829/2003 del Parlamento europeo e del Consiglio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813F07"/>
  <w15:chartTrackingRefBased/>
  <w15:docId w15:val="{F134CFBF-9FCE-4B00-BDF2-4DA74D12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0F94"/>
    <w:pPr>
      <w:spacing w:before="480" w:after="240"/>
    </w:pPr>
  </w:style>
  <w:style w:type="paragraph" w:customStyle="1" w:styleId="NormalHanging12a">
    <w:name w:val="NormalHanging12a"/>
    <w:basedOn w:val="Normal"/>
    <w:qFormat/>
    <w:rsid w:val="00FF0F94"/>
    <w:pPr>
      <w:spacing w:after="240"/>
      <w:ind w:left="567" w:hanging="567"/>
    </w:pPr>
  </w:style>
  <w:style w:type="character" w:styleId="Hyperlink">
    <w:name w:val="Hyperlink"/>
    <w:basedOn w:val="DefaultParagraphFont"/>
    <w:uiPriority w:val="99"/>
    <w:rsid w:val="00FF0F94"/>
    <w:rPr>
      <w:color w:val="0563C1" w:themeColor="hyperlink"/>
      <w:u w:val="single"/>
    </w:rPr>
  </w:style>
  <w:style w:type="character" w:customStyle="1" w:styleId="Funotenzeichen">
    <w:name w:val="Fußnotenzeichen"/>
    <w:basedOn w:val="DefaultParagraphFont"/>
    <w:uiPriority w:val="99"/>
    <w:qFormat/>
    <w:rsid w:val="00FF0F94"/>
    <w:rPr>
      <w:rFonts w:cs="Times New Roman"/>
      <w:vertAlign w:val="superscript"/>
    </w:rPr>
  </w:style>
  <w:style w:type="paragraph" w:styleId="Revision">
    <w:name w:val="Revision"/>
    <w:hidden/>
    <w:uiPriority w:val="99"/>
    <w:semiHidden/>
    <w:rsid w:val="0070531D"/>
    <w:rPr>
      <w:sz w:val="24"/>
      <w:lang w:val="it-IT"/>
    </w:rPr>
  </w:style>
  <w:style w:type="character" w:styleId="CommentReference">
    <w:name w:val="annotation reference"/>
    <w:basedOn w:val="DefaultParagraphFont"/>
    <w:rsid w:val="004671F5"/>
    <w:rPr>
      <w:sz w:val="16"/>
      <w:szCs w:val="16"/>
    </w:rPr>
  </w:style>
  <w:style w:type="paragraph" w:styleId="CommentText">
    <w:name w:val="annotation text"/>
    <w:basedOn w:val="Normal"/>
    <w:link w:val="CommentTextChar"/>
    <w:rsid w:val="004671F5"/>
    <w:rPr>
      <w:sz w:val="20"/>
    </w:rPr>
  </w:style>
  <w:style w:type="character" w:customStyle="1" w:styleId="CommentTextChar">
    <w:name w:val="Comment Text Char"/>
    <w:basedOn w:val="DefaultParagraphFont"/>
    <w:link w:val="CommentText"/>
    <w:rsid w:val="004671F5"/>
    <w:rPr>
      <w:lang w:val="it-IT"/>
    </w:rPr>
  </w:style>
  <w:style w:type="paragraph" w:styleId="CommentSubject">
    <w:name w:val="annotation subject"/>
    <w:basedOn w:val="CommentText"/>
    <w:next w:val="CommentText"/>
    <w:link w:val="CommentSubjectChar"/>
    <w:rsid w:val="004671F5"/>
    <w:rPr>
      <w:b/>
      <w:bCs/>
    </w:rPr>
  </w:style>
  <w:style w:type="character" w:customStyle="1" w:styleId="CommentSubjectChar">
    <w:name w:val="Comment Subject Char"/>
    <w:basedOn w:val="CommentTextChar"/>
    <w:link w:val="CommentSubject"/>
    <w:rsid w:val="004671F5"/>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it/ip_22_7834" TargetMode="External" /><Relationship Id="rId37" Type="http://schemas.openxmlformats.org/officeDocument/2006/relationships/hyperlink" Target="https://commission.europa.eu/strategy-and-policy/priorities-2019-2024/european-green-deal/agriculture-and-green-deal/strategic-dialogue-future-eu-agriculture_i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2264</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2026-07-08T12:18:00Z</dcterms:created>
  <dcterms:modified xsi:type="dcterms:W3CDTF">2026-07-08T12:18:00Z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B10-0334/2026</vt:lpwstr>
  </property>
  <property fmtid="{D5CDD505-2E9C-101B-9397-08002B2CF9AE}" pid="4" name="&lt;Type&gt;">
    <vt:lpwstr>RR</vt:lpwstr>
  </property>
</Properties>
</file>