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51091B" w14:textId="77777777" w:rsidTr="0010095E">
        <w:tblPrEx>
          <w:tblW w:w="9072" w:type="dxa"/>
          <w:tblLook w:val="01E0"/>
        </w:tblPrEx>
        <w:trPr>
          <w:trHeight w:hRule="exact" w:val="1418"/>
        </w:trPr>
        <w:tc>
          <w:tcPr>
            <w:tcW w:w="6804" w:type="dxa"/>
            <w:shd w:val="clear" w:color="auto" w:fill="auto"/>
            <w:vAlign w:val="center"/>
          </w:tcPr>
          <w:p w:rsidR="00751A4A" w:rsidRPr="007F3847" w:rsidP="0010095E" w14:paraId="56C738CB" w14:textId="77777777">
            <w:pPr>
              <w:pStyle w:val="EPName"/>
            </w:pPr>
            <w:r w:rsidRPr="007F3847">
              <w:t>Eiropas Parlaments</w:t>
            </w:r>
          </w:p>
          <w:p w:rsidR="00751A4A" w:rsidRPr="007F3847" w:rsidP="005F1B17" w14:paraId="33DAA78D" w14:textId="77777777">
            <w:pPr>
              <w:pStyle w:val="EPTerm"/>
              <w:rPr>
                <w:rStyle w:val="HideTWBExt"/>
                <w:noProof w:val="0"/>
                <w:vanish w:val="0"/>
                <w:color w:val="auto"/>
              </w:rPr>
            </w:pPr>
            <w:r w:rsidRPr="007F3847">
              <w:t>2024</w:t>
            </w:r>
            <w:r w:rsidRPr="007F3847" w:rsidR="00817416">
              <w:t>-202</w:t>
            </w:r>
            <w:r w:rsidRPr="007F3847">
              <w:t>9</w:t>
            </w:r>
          </w:p>
        </w:tc>
        <w:tc>
          <w:tcPr>
            <w:tcW w:w="2268" w:type="dxa"/>
            <w:shd w:val="clear" w:color="auto" w:fill="auto"/>
          </w:tcPr>
          <w:p w:rsidR="00751A4A" w:rsidRPr="007F3847" w:rsidP="0010095E" w14:paraId="665AA3F6" w14:textId="77777777">
            <w:pPr>
              <w:pStyle w:val="EPLogo"/>
            </w:pPr>
            <w:r w:rsidRPr="007F384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F3847" w:rsidP="004C5D52" w14:paraId="45D72A7F" w14:textId="77777777">
      <w:pPr>
        <w:pStyle w:val="LineTop"/>
      </w:pPr>
    </w:p>
    <w:p w:rsidR="00680577" w:rsidRPr="007F3847" w:rsidP="00680577" w14:paraId="6A86343C" w14:textId="77777777">
      <w:pPr>
        <w:pStyle w:val="EPBodyTA1"/>
      </w:pPr>
      <w:r w:rsidRPr="007F3847">
        <w:t>PIEŅEMTIE TEKSTI</w:t>
      </w:r>
    </w:p>
    <w:p w:rsidR="00D058B8" w:rsidRPr="007F3847" w:rsidP="00D058B8" w14:paraId="398EC36E" w14:textId="77777777">
      <w:pPr>
        <w:pStyle w:val="LineBottom"/>
      </w:pPr>
    </w:p>
    <w:p w:rsidR="0083311E" w:rsidRPr="007F3847" w:rsidP="0083311E" w14:paraId="34EC2070" w14:textId="32713C54">
      <w:pPr>
        <w:pStyle w:val="ATHeading1"/>
      </w:pPr>
      <w:bookmarkStart w:id="0" w:name="TANumber"/>
      <w:r w:rsidRPr="007F3847">
        <w:t>P10_TA(2026)0</w:t>
      </w:r>
      <w:r w:rsidRPr="007F3847" w:rsidR="005F2B8B">
        <w:t>264</w:t>
      </w:r>
      <w:bookmarkEnd w:id="0"/>
    </w:p>
    <w:p w:rsidR="0083311E" w:rsidRPr="007F3847" w:rsidP="0083311E" w14:paraId="61A53B7B" w14:textId="41373306">
      <w:pPr>
        <w:pStyle w:val="ATHeading2"/>
      </w:pPr>
      <w:bookmarkStart w:id="1" w:name="title"/>
      <w:bookmarkStart w:id="2" w:name="_Hlk234410408"/>
      <w:r w:rsidRPr="007F3847">
        <w:t>Ģenētiski modificētas sojas pupas MON 87705</w:t>
      </w:r>
      <w:bookmarkEnd w:id="1"/>
    </w:p>
    <w:bookmarkEnd w:id="2"/>
    <w:p w:rsidR="0083311E" w:rsidRPr="007F3847" w:rsidP="0083311E" w14:paraId="1AE7D2E0" w14:textId="77777777">
      <w:pPr>
        <w:rPr>
          <w:i/>
          <w:vanish/>
        </w:rPr>
      </w:pPr>
      <w:r>
        <w:rPr>
          <w:i/>
        </w:rPr>
        <w:fldChar w:fldCharType="begin"/>
      </w:r>
      <w:r w:rsidRPr="007F3847">
        <w:rPr>
          <w:i/>
        </w:rPr>
        <w:instrText xml:space="preserve"> TC"(</w:instrText>
      </w:r>
      <w:bookmarkStart w:id="3" w:name="DocNumber"/>
      <w:r w:rsidRPr="007F3847">
        <w:rPr>
          <w:i/>
        </w:rPr>
        <w:instrText>B10-0334/2026</w:instrText>
      </w:r>
      <w:bookmarkEnd w:id="3"/>
      <w:r w:rsidRPr="007F3847">
        <w:rPr>
          <w:i/>
        </w:rPr>
        <w:instrText xml:space="preserve">)"\l3 \n&gt; \* MERGEFORMAT </w:instrText>
      </w:r>
      <w:r>
        <w:rPr>
          <w:i/>
        </w:rPr>
        <w:fldChar w:fldCharType="end"/>
      </w:r>
    </w:p>
    <w:p w:rsidR="0083311E" w:rsidRPr="007F3847" w:rsidP="0083311E" w14:paraId="4A919226" w14:textId="77777777">
      <w:pPr>
        <w:rPr>
          <w:vanish/>
        </w:rPr>
      </w:pPr>
      <w:bookmarkStart w:id="4" w:name="PE"/>
      <w:r w:rsidRPr="007F3847">
        <w:rPr>
          <w:vanish/>
        </w:rPr>
        <w:t>PE789.024</w:t>
      </w:r>
      <w:bookmarkEnd w:id="4"/>
    </w:p>
    <w:p w:rsidR="0083311E" w:rsidRPr="007F3847" w:rsidP="0083311E" w14:paraId="4DA08D2D" w14:textId="33CE88D9">
      <w:pPr>
        <w:pStyle w:val="ATHeading3"/>
      </w:pPr>
      <w:bookmarkStart w:id="5" w:name="Sujet"/>
      <w:r w:rsidRPr="007F3847">
        <w:t xml:space="preserve">Eiropas Parlamenta 2026. gada </w:t>
      </w:r>
      <w:r w:rsidRPr="007F3847" w:rsidR="00A226EA">
        <w:t>8. jūlija</w:t>
      </w:r>
      <w:r w:rsidRPr="007F3847">
        <w:t xml:space="preserve"> rezolūcija par Komisijas </w:t>
      </w:r>
      <w:r w:rsidRPr="007F3847" w:rsidR="00A226EA">
        <w:t>2026. gada 29. jūnija Ī</w:t>
      </w:r>
      <w:r w:rsidRPr="007F3847">
        <w:t xml:space="preserve">stenošanas </w:t>
      </w:r>
      <w:r w:rsidRPr="007F3847" w:rsidR="00A226EA">
        <w:t>lēmumu (ES) 2026/1419</w:t>
      </w:r>
      <w:r w:rsidRPr="007F3847">
        <w:t xml:space="preserve">, ar kuru atbilstoši Eiropas Parlamenta un Padomes Regulai (EK) Nr. 1829/2003 atjauno atļauju laist tirgū produktus, kas satur ģenētiski modificētas sojas pupas MON 87705, sastāv vai ir ražoti no tām </w:t>
      </w:r>
      <w:bookmarkEnd w:id="5"/>
      <w:r w:rsidRPr="007F3847">
        <w:t xml:space="preserve"> </w:t>
      </w:r>
      <w:bookmarkStart w:id="6" w:name="References"/>
      <w:r w:rsidRPr="007F3847">
        <w:t>(D114998/03 – 2026/2747(RSP))</w:t>
      </w:r>
      <w:bookmarkEnd w:id="6"/>
    </w:p>
    <w:p w:rsidR="000C5B6E" w:rsidRPr="007F3847" w:rsidP="000C5B6E" w14:paraId="0A11736A" w14:textId="77777777">
      <w:pPr>
        <w:pStyle w:val="EPComma"/>
      </w:pPr>
      <w:bookmarkStart w:id="7" w:name="TextBodyBegin"/>
      <w:bookmarkEnd w:id="7"/>
      <w:r w:rsidRPr="007F3847">
        <w:rPr>
          <w:i/>
        </w:rPr>
        <w:t>Eiropas Parlaments</w:t>
      </w:r>
      <w:r w:rsidRPr="007F3847">
        <w:t>,</w:t>
      </w:r>
    </w:p>
    <w:p w:rsidR="000C5B6E" w:rsidRPr="007F3847" w:rsidP="000C5B6E" w14:paraId="5A855C9C" w14:textId="039101F7">
      <w:pPr>
        <w:pStyle w:val="NormalHanging12a"/>
      </w:pPr>
      <w:r w:rsidRPr="007F3847">
        <w:t>–</w:t>
      </w:r>
      <w:r w:rsidRPr="007F3847">
        <w:tab/>
        <w:t xml:space="preserve">ņemot vērā Komisijas </w:t>
      </w:r>
      <w:r w:rsidRPr="007F3847" w:rsidR="00A226EA">
        <w:t>2026. gada 29. jūnija Īstenošanas lēmumu (ES) 2026/1419</w:t>
      </w:r>
      <w:r w:rsidRPr="007F3847">
        <w:t>, ar kuru atbilstoši Eiropas Parlamenta un Padomes Regulai (EK) Nr. 1829/2003</w:t>
      </w:r>
      <w:r>
        <w:rPr>
          <w:rStyle w:val="FootnoteReference"/>
        </w:rPr>
        <w:footnoteReference w:id="2"/>
      </w:r>
      <w:r w:rsidRPr="007F3847">
        <w:t xml:space="preserve"> atjauno atļauju laist tirgū produktus, kas satur ģenētiski modificētas sojas pupas MON 87705, sastāv vai ir ražoti no tām,</w:t>
      </w:r>
    </w:p>
    <w:p w:rsidR="000C5B6E" w:rsidRPr="007F3847" w:rsidP="000C5B6E" w14:paraId="493EA1DD" w14:textId="77777777">
      <w:pPr>
        <w:pStyle w:val="NormalHanging12a"/>
      </w:pPr>
      <w:r w:rsidRPr="007F3847">
        <w:t>–</w:t>
      </w:r>
      <w:r w:rsidRPr="007F3847">
        <w:tab/>
        <w:t>ņemot vērā Eiropas Parlamenta un Padomes 2003. gada 22. septembra Regulu (EK) Nr. 1829/2003 par ģenētiski modificētu pārtiku un barību</w:t>
      </w:r>
      <w:r>
        <w:rPr>
          <w:rStyle w:val="FootnoteReference"/>
        </w:rPr>
        <w:footnoteReference w:id="3"/>
      </w:r>
      <w:r w:rsidRPr="007F3847">
        <w:t xml:space="preserve"> un jo īpaši tās 11. panta 3. punktu un 23. panta 3. punktu,</w:t>
      </w:r>
    </w:p>
    <w:p w:rsidR="000C5B6E" w:rsidRPr="007F3847" w:rsidP="000C5B6E" w14:paraId="02D48949" w14:textId="77777777">
      <w:pPr>
        <w:pStyle w:val="NormalHanging12a"/>
      </w:pPr>
      <w:r w:rsidRPr="007F3847">
        <w:t>–</w:t>
      </w:r>
      <w:r w:rsidRPr="007F3847">
        <w:tab/>
        <w:t>ņemot vērā Regulas (EK) Nr. 1829/2003 35. pantā minētās Augu, dzīvnieku, pārtikas aprites un dzīvnieku barības pastāvīgās komitejas 2026. gada 27. aprīļa balsojumu, kura dēļ atzinums netika sniegts, un pārsūdzības komitejas 2026. gada 2. jūnija balsojumu, atkal nesniedzot atzinumu,</w:t>
      </w:r>
    </w:p>
    <w:p w:rsidR="000C5B6E" w:rsidRPr="007F3847" w:rsidP="000C5B6E" w14:paraId="2EA35B82" w14:textId="77777777">
      <w:pPr>
        <w:pStyle w:val="NormalHanging12a"/>
      </w:pPr>
      <w:r w:rsidRPr="007F3847">
        <w:t>–</w:t>
      </w:r>
      <w:r w:rsidRPr="007F3847">
        <w:tab/>
        <w:t>ņemot vērā 11. pantu Eiropas Parlamenta un Padomes 2011. gada 16. februāra Regulā (ES) Nr. 182/2011, ar ko nosaka normas un vispārīgus principus par dalībvalstu kontroles mehānismiem, kuri attiecas uz Komisijas īstenošanas pilnvaru izmantošanu</w:t>
      </w:r>
      <w:r>
        <w:rPr>
          <w:rStyle w:val="FootnoteReference"/>
        </w:rPr>
        <w:footnoteReference w:id="4"/>
      </w:r>
      <w:r w:rsidRPr="007F3847">
        <w:t>,</w:t>
      </w:r>
    </w:p>
    <w:p w:rsidR="000C5B6E" w:rsidRPr="007F3847" w:rsidP="000C5B6E" w14:paraId="4BFA6797" w14:textId="77777777">
      <w:pPr>
        <w:pStyle w:val="NormalHanging12a"/>
      </w:pPr>
      <w:r w:rsidRPr="007F3847">
        <w:t>–</w:t>
      </w:r>
      <w:r w:rsidRPr="007F3847">
        <w:tab/>
        <w:t>ņemot vērā Eiropas Pārtikas nekaitīguma iestādes (</w:t>
      </w:r>
      <w:r w:rsidRPr="007F3847">
        <w:rPr>
          <w:i/>
          <w:iCs/>
        </w:rPr>
        <w:t>EFSA</w:t>
      </w:r>
      <w:r w:rsidRPr="007F3847">
        <w:t xml:space="preserve">) 2025. gada 10. decembrī </w:t>
      </w:r>
      <w:r w:rsidRPr="007F3847">
        <w:t>pieņemto atzinumu, kas publicēts 2026. gada 12. janvārī</w:t>
      </w:r>
      <w:r>
        <w:rPr>
          <w:rStyle w:val="FootnoteReference"/>
        </w:rPr>
        <w:footnoteReference w:id="5"/>
      </w:r>
      <w:r w:rsidRPr="007F3847">
        <w:t>,</w:t>
      </w:r>
    </w:p>
    <w:p w:rsidR="000C5B6E" w:rsidRPr="007F3847" w:rsidP="000C5B6E" w14:paraId="6064E2C5" w14:textId="77777777">
      <w:pPr>
        <w:pStyle w:val="NormalHanging12a"/>
      </w:pPr>
      <w:r w:rsidRPr="007F3847">
        <w:t>–</w:t>
      </w:r>
      <w:r w:rsidRPr="007F3847">
        <w:tab/>
        <w:t>ņemot vērā Parlamenta iepriekšējās rezolūcijas, kurās iebilsts pret atļauju izmantot ģenētiski modificētus organismus (ĢMO)</w:t>
      </w:r>
      <w:r>
        <w:rPr>
          <w:rStyle w:val="FootnoteReference"/>
        </w:rPr>
        <w:footnoteReference w:id="6"/>
      </w:r>
      <w:r w:rsidRPr="007F3847">
        <w:t>,</w:t>
      </w:r>
    </w:p>
    <w:p w:rsidR="002034CC" w:rsidRPr="007F3847" w:rsidP="002034CC" w14:paraId="14EBAA28" w14:textId="77777777">
      <w:pPr>
        <w:pStyle w:val="NormalHanging12a"/>
      </w:pPr>
      <w:r w:rsidRPr="007F3847">
        <w:t>–</w:t>
      </w:r>
      <w:r w:rsidRPr="007F3847">
        <w:tab/>
        <w:t>ņemot vērā Reglamenta 115. panta 2. un 3. punktu,</w:t>
      </w:r>
    </w:p>
    <w:p w:rsidR="002034CC" w:rsidRPr="007F3847" w:rsidP="002034CC" w14:paraId="2FEB8EE8" w14:textId="77777777">
      <w:pPr>
        <w:pStyle w:val="NormalHanging12a"/>
      </w:pPr>
      <w:r w:rsidRPr="007F3847">
        <w:t>–</w:t>
      </w:r>
      <w:r w:rsidRPr="007F3847">
        <w:tab/>
        <w:t>ņemot vērā Vides, klimata un pārtikas nekaitīguma komitejas rezolūcijas priekšlikumu,</w:t>
      </w:r>
    </w:p>
    <w:p w:rsidR="002034CC" w:rsidRPr="007F3847" w:rsidP="002034CC" w14:paraId="7AD633F8" w14:textId="77777777">
      <w:pPr>
        <w:spacing w:after="240"/>
        <w:ind w:left="567" w:hanging="567"/>
      </w:pPr>
      <w:r w:rsidRPr="007F3847">
        <w:t>A.</w:t>
      </w:r>
      <w:r w:rsidRPr="007F3847">
        <w:tab/>
        <w:t>tā kā ar Komisijas Īstenošanas lēmumu (ES) 2015/696</w:t>
      </w:r>
      <w:r>
        <w:rPr>
          <w:rStyle w:val="FootnoteReference"/>
        </w:rPr>
        <w:footnoteReference w:id="7"/>
      </w:r>
      <w:r w:rsidRPr="007F3847">
        <w:t xml:space="preserve"> atļāva laist tirgū pārtiku un barību, kas satur ģenētiski modificētas sojas pupas MON 87705 (ĢM sojas pupas), sastāv vai ir ražota no tām; tā kā minētās atļaujas darbības joma attiecās arī uz tādu produktu laišanu tirgū, kas nav pārtika un barība un kas satur ĢM sojas pupas vai sastāv no tām, un kas paredzēti tādam pašam izmantošanas veidam kā jebkuras citas sojas pupas, izņemot audzēšanu;</w:t>
      </w:r>
    </w:p>
    <w:p w:rsidR="000C5B6E" w:rsidRPr="007F3847" w:rsidP="000C5B6E" w14:paraId="27DDA3A1" w14:textId="77777777">
      <w:pPr>
        <w:spacing w:after="240"/>
        <w:ind w:left="567" w:hanging="567"/>
      </w:pPr>
      <w:r w:rsidRPr="007F3847">
        <w:t>B.</w:t>
      </w:r>
      <w:r w:rsidRPr="007F3847">
        <w:tab/>
        <w:t xml:space="preserve">tā kā 2024. gada 8. martā Beļģijā bāzētais uzņēmums </w:t>
      </w:r>
      <w:r w:rsidRPr="007F3847">
        <w:rPr>
          <w:i/>
          <w:iCs/>
        </w:rPr>
        <w:t>Bayer Agriculture BV</w:t>
      </w:r>
      <w:r w:rsidRPr="007F3847">
        <w:t xml:space="preserve"> Amerikas </w:t>
      </w:r>
      <w:r w:rsidRPr="007F3847">
        <w:t xml:space="preserve">Savienotajās Valstīs bāzētā uzņēmuma </w:t>
      </w:r>
      <w:r w:rsidRPr="007F3847">
        <w:rPr>
          <w:i/>
          <w:iCs/>
        </w:rPr>
        <w:t>Bayer CropScience LP</w:t>
      </w:r>
      <w:r w:rsidRPr="007F3847">
        <w:t xml:space="preserve"> vārdā iesniedza Komisijai pieteikumu par minētās atļaujas atjaunošanu;</w:t>
      </w:r>
    </w:p>
    <w:p w:rsidR="000C5B6E" w:rsidRPr="007F3847" w:rsidP="000C5B6E" w14:paraId="7CDB2170" w14:textId="77777777">
      <w:pPr>
        <w:spacing w:after="240"/>
        <w:ind w:left="567" w:hanging="567"/>
      </w:pPr>
      <w:r w:rsidRPr="007F3847">
        <w:t>C.</w:t>
      </w:r>
      <w:r w:rsidRPr="007F3847">
        <w:tab/>
        <w:t xml:space="preserve">tā kā 2026. gada 12. janvārī </w:t>
      </w:r>
      <w:r w:rsidRPr="007F3847">
        <w:rPr>
          <w:i/>
          <w:iCs/>
        </w:rPr>
        <w:t>EFSA</w:t>
      </w:r>
      <w:r w:rsidRPr="007F3847">
        <w:t xml:space="preserve"> sniedza labvēlīgu zinātnisko atzinumu par ĢM sojas pupām</w:t>
      </w:r>
      <w:r>
        <w:rPr>
          <w:rStyle w:val="FootnoteReference"/>
        </w:rPr>
        <w:footnoteReference w:id="8"/>
      </w:r>
      <w:r w:rsidRPr="007F3847">
        <w:t xml:space="preserve"> saskaņā ar Regulas (EK) Nr. 1829/2003 6. un 18. pantu; tā kā </w:t>
      </w:r>
      <w:r w:rsidRPr="007F3847">
        <w:rPr>
          <w:i/>
          <w:iCs/>
        </w:rPr>
        <w:t>EFSA</w:t>
      </w:r>
      <w:r w:rsidRPr="007F3847">
        <w:t xml:space="preserve"> secināja, ka atļaujas atjaunošanas pieteikumā nav ietverti pierādījumi par jauniem apdraudējumiem, izmaiņām iedarbībā vai zinātnisku nenoteiktību, kas liktu mainīt secinājumus, kas izdarīti sākotnējā ģenētiski modificēto sojas riska novērtējumā, ko </w:t>
      </w:r>
      <w:r w:rsidRPr="007F3847">
        <w:rPr>
          <w:i/>
          <w:iCs/>
        </w:rPr>
        <w:t>EFSA</w:t>
      </w:r>
      <w:r w:rsidRPr="007F3847">
        <w:t xml:space="preserve"> pieņēma 2012.</w:t>
      </w:r>
      <w:r>
        <w:rPr>
          <w:rStyle w:val="FootnoteReference"/>
        </w:rPr>
        <w:footnoteReference w:id="9"/>
      </w:r>
      <w:r w:rsidRPr="007F3847">
        <w:t xml:space="preserve"> un 2013. gadā</w:t>
      </w:r>
      <w:r>
        <w:rPr>
          <w:rStyle w:val="FootnoteReference"/>
        </w:rPr>
        <w:footnoteReference w:id="10"/>
      </w:r>
      <w:r w:rsidRPr="007F3847">
        <w:t xml:space="preserve">; tā kā minētajos atzinumos nav aplūkotas vairākas plašākas vidiskās, sociālekonomiskās un kumulatīvās ietekmes, kuras </w:t>
      </w:r>
      <w:r w:rsidRPr="007F3847">
        <w:rPr>
          <w:i/>
          <w:iCs/>
        </w:rPr>
        <w:t>EFSA</w:t>
      </w:r>
      <w:r w:rsidRPr="007F3847">
        <w:t xml:space="preserve"> ieskatā neietilpst tās kompetencē;</w:t>
      </w:r>
    </w:p>
    <w:p w:rsidR="000C5B6E" w:rsidRPr="007F3847" w:rsidP="000C5B6E" w14:paraId="7D9ED09A" w14:textId="77777777">
      <w:pPr>
        <w:pStyle w:val="NormalHanging12a"/>
      </w:pPr>
      <w:r w:rsidRPr="007F3847">
        <w:t>D.</w:t>
      </w:r>
      <w:r w:rsidRPr="007F3847">
        <w:tab/>
        <w:t>tā kā ĢM sojas pupās ir paaugstināts oleīnskābes saturs un tās ir izturīgas pret glifozātu saturošiem herbicīdiem;</w:t>
      </w:r>
    </w:p>
    <w:p w:rsidR="000C5B6E" w:rsidRPr="007F3847" w:rsidP="000C5B6E" w14:paraId="50B59B28" w14:textId="77777777">
      <w:pPr>
        <w:pStyle w:val="NormalHanging12a"/>
      </w:pPr>
      <w:r w:rsidRPr="007F3847">
        <w:t>E.</w:t>
      </w:r>
      <w:r w:rsidRPr="007F3847">
        <w:tab/>
        <w:t xml:space="preserve">tā kā </w:t>
      </w:r>
      <w:r w:rsidRPr="007F3847">
        <w:rPr>
          <w:i/>
          <w:iCs/>
        </w:rPr>
        <w:t>EFSA</w:t>
      </w:r>
      <w:r w:rsidRPr="007F3847">
        <w:t xml:space="preserve"> veiktajos riska novērtējumos netika iekļauti ne ilgtermiņa toksikoloģiskie pētījumi, ne detalizēta kumulatīvās un kombinētās ietekmes analīze, tostarp attiecībā uz potenciālo mijiedarbību ar sojas pupu audzēšanā parasti izmantoto pesticīdu atliekām;</w:t>
      </w:r>
    </w:p>
    <w:p w:rsidR="000C5B6E" w:rsidRPr="007F3847" w:rsidP="000C5B6E" w14:paraId="620E2712" w14:textId="77777777">
      <w:pPr>
        <w:pStyle w:val="NormalHanging12a"/>
      </w:pPr>
      <w:r w:rsidRPr="007F3847">
        <w:t>F.</w:t>
      </w:r>
      <w:r w:rsidRPr="007F3847">
        <w:tab/>
        <w:t>tā kā lielākā daļa ĢM kultūraugu, arī ĢM sojas pupas, ir ģenētiski modificēta, lai būtu izturīga pret vienu vai vairākiem komplementāriem herbicīdiem, kurus var izmantot visā ĢM kultūraugu audzēšanas laikā, attiecīgajam kultūraugam neiznīkstot, kā tas būtu gadījumā, ja izmantotu pret herbicīdiem neizturīgu kultūru; tā kā vairākos pētījumos konstatēts, ka herbicīdizturīgu ĢM kultūraugu audzēšanā vairāk izmanto komplementārus herbicīdus, un tas lielā mērā notiek tādēļ, ka ir parādījušās herbicīdizturīgas nezāles;</w:t>
      </w:r>
    </w:p>
    <w:p w:rsidR="000C5B6E" w:rsidRPr="007F3847" w:rsidP="000C5B6E" w14:paraId="53FDB9B3" w14:textId="77777777">
      <w:pPr>
        <w:pStyle w:val="NormalHanging12a"/>
      </w:pPr>
      <w:r w:rsidRPr="007F3847">
        <w:t>G.</w:t>
      </w:r>
      <w:r w:rsidRPr="007F3847">
        <w:tab/>
        <w:t xml:space="preserve">tā kā herbicīdizturīgu ĢM kultūraugu izmantošanas dēļ lauksaimnieki ir piesaistīti nezāļu pārvaldības sistēmai, kas lielā mērā vai pilnībā ir atkarīga no herbicīdu lietošanas, nosakot augstāku cenu par ģenētiski modificētām sēklām un vienlaikus radot atkarību no komplementāru herbicīdu izmantošanas kā neatņemamas ražošanas sistēmas sastāvdaļas; tā kā lielāka atkarība no komplementāriem herbicīdiem saimniecībās, kurās audzē ĢM sojas pupas,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biodaudzveidību virs un zem zemes virskārtas, kā arī palielina iedarbību uz cilvēkiem un dzīvniekiem, iespējams, arī tādēļ, ka lielāks daudzums herbicīdu atlieku </w:t>
      </w:r>
      <w:r w:rsidRPr="007F3847">
        <w:t>nonāk pārtikā un dzīvnieku barībā;</w:t>
      </w:r>
    </w:p>
    <w:p w:rsidR="000C5B6E" w:rsidRPr="007F3847" w:rsidP="000C5B6E" w14:paraId="47C9F1E7" w14:textId="77777777">
      <w:pPr>
        <w:pStyle w:val="NormalHanging12a"/>
      </w:pPr>
      <w:r w:rsidRPr="007F3847">
        <w:t>H.</w:t>
      </w:r>
      <w:r w:rsidRPr="007F3847">
        <w:tab/>
        <w:t>tā kā vairākos pētījumos konstatēts, ka herbicīdizturīgu ĢM kultūraugu audzēšanā vairāk izmanto komplementārus herbicīdus, un tas lielā mērā notiek tāpēc, ka ir parādījušās herbicīdizturīgas nezāles</w:t>
      </w:r>
      <w:r>
        <w:rPr>
          <w:vertAlign w:val="superscript"/>
        </w:rPr>
        <w:footnoteReference w:id="11"/>
      </w:r>
      <w:r w:rsidRPr="007F3847">
        <w:t>; tā kā tādējādi sagaidāms, ka ĢM sojas pupas tiks pakļautas gan lielākām, gan biežākām glifozāta devām, kādēļ var palielināties atlieku un to noārdīšanās produktu (“metabolītu”) līmenis ražā;</w:t>
      </w:r>
    </w:p>
    <w:p w:rsidR="000C5B6E" w:rsidRPr="007F3847" w:rsidP="000C5B6E" w14:paraId="2951F7A5" w14:textId="77777777">
      <w:pPr>
        <w:pStyle w:val="NormalHanging12a"/>
      </w:pPr>
      <w:r w:rsidRPr="007F3847">
        <w:t>I.</w:t>
      </w:r>
      <w:r w:rsidRPr="007F3847">
        <w:tab/>
        <w:t xml:space="preserve">tā kā joprojām pastāv būtiska zinātniska nenoteiktība par glifozāta drošumu cilvēka veselībai un videi; tā kā </w:t>
      </w:r>
      <w:r w:rsidRPr="007F3847">
        <w:rPr>
          <w:i/>
          <w:iCs/>
        </w:rPr>
        <w:t>EFSA</w:t>
      </w:r>
      <w:r w:rsidRPr="007F3847">
        <w:t xml:space="preserve"> 2015. gada novembrī secināja, ka glifozāts, visticamāk, nav kancerogēns, un Eiropas Ķimikāliju aģentūra 2017. gada martā secināja, ka nav pamata to šādi klasificēt; tā kā pretēji tam 2015. gadā Starptautiskā Vēža izpētes aģentūra, kas ir specializētā Pasaules Veselības organizācijas vēža pētniecības aģentūra, glifozātu klasificēja kā iespējami kancerogēnu cilvēkam; tā kā vairāki neseni zinātniski recenzēti pētījumi apstiprina to, ka glifozāts varētu būt kancerogēns</w:t>
      </w:r>
      <w:r>
        <w:rPr>
          <w:vertAlign w:val="superscript"/>
        </w:rPr>
        <w:footnoteReference w:id="12"/>
      </w:r>
      <w:r w:rsidRPr="007F3847">
        <w:t xml:space="preserve">; </w:t>
      </w:r>
      <w:bookmarkStart w:id="10" w:name="_Hlk218688545"/>
      <w:r w:rsidRPr="007F3847">
        <w:t>tā kā žurnāls “</w:t>
      </w:r>
      <w:r w:rsidRPr="007F3847">
        <w:rPr>
          <w:i/>
          <w:iCs/>
        </w:rPr>
        <w:t>Regulatory Toxicology and Pharmacology</w:t>
      </w:r>
      <w:r w:rsidRPr="007F3847">
        <w:t>” ir oficiāli atsaucis 2000. gadā publicēto zinātnisko rakstu “</w:t>
      </w:r>
      <w:r w:rsidRPr="007F3847">
        <w:rPr>
          <w:i/>
          <w:iCs/>
        </w:rPr>
        <w:t>Safety Evaluation and Risk Assessment of the Herbicide Roundup and Its Active Ingredient, Glyphosate, for Humans</w:t>
      </w:r>
      <w:r w:rsidRPr="007F3847">
        <w:t>”, kas daudzos riska novērtējumos tika izmantots, lai aizstāvētu glifozāta drošību, jo “radās bažas par tā autorību, pētījuma rezultātu ticamību autoru un pētījuma sponsora sniegtā ieguldījuma sagrozīšanas kontekstā un autoru iespējamiem interešu konfliktiem”</w:t>
      </w:r>
      <w:r>
        <w:rPr>
          <w:rStyle w:val="FootnoteReference"/>
        </w:rPr>
        <w:footnoteReference w:id="13"/>
      </w:r>
      <w:r w:rsidRPr="007F3847">
        <w:t>;</w:t>
      </w:r>
      <w:bookmarkEnd w:id="10"/>
    </w:p>
    <w:p w:rsidR="000C5B6E" w:rsidRPr="007F3847" w:rsidP="000C5B6E" w14:paraId="48964EC8" w14:textId="77777777">
      <w:pPr>
        <w:pStyle w:val="NormalHanging12a"/>
      </w:pPr>
      <w:r w:rsidRPr="007F3847">
        <w:t>J.</w:t>
      </w:r>
      <w:r w:rsidRPr="007F3847">
        <w:tab/>
        <w:t xml:space="preserve">tā kā ĢM augos atrasto herbicīdu atlieku un metabolītu izvērtēšana neietilpst </w:t>
      </w:r>
      <w:r w:rsidRPr="007F3847">
        <w:rPr>
          <w:i/>
          <w:iCs/>
        </w:rPr>
        <w:t>EFSA</w:t>
      </w:r>
      <w:r w:rsidRPr="007F3847">
        <w:t xml:space="preserve"> Ģenētiski modificēto organismu komisijas kompetencē, un līdz ar to šāds novērtējums nav daļa no ĢMO apstiprināšanas procesa; tā kā šāda situācija rada problēmu, jo ģenētiska modifikācija pati par sevi var ietekmēt veidu, kā attiecīgajā ĢM augā noārdās papildu herbicīdi, kā arī var izmainīt metabolītu sastāvu un attiecīgi izraisīt toksiskumu</w:t>
      </w:r>
      <w:r>
        <w:rPr>
          <w:vertAlign w:val="superscript"/>
        </w:rPr>
        <w:footnoteReference w:id="14"/>
      </w:r>
      <w:r w:rsidRPr="007F3847">
        <w:t>;</w:t>
      </w:r>
    </w:p>
    <w:p w:rsidR="000C5B6E" w:rsidRPr="007F3847" w:rsidP="000C5B6E" w14:paraId="49592054" w14:textId="77777777">
      <w:pPr>
        <w:pStyle w:val="NormalHanging12a"/>
      </w:pPr>
      <w:r w:rsidRPr="007F3847">
        <w:t>K.</w:t>
      </w:r>
      <w:r w:rsidRPr="007F3847">
        <w:tab/>
        <w:t xml:space="preserve">tā kā sastāva analīze parādīja, ka ĢM sojas pupām ir būtiski mainīts taukskābju profils salīdzinājumā ar tradicionālajām sojas pupām, palielināts oleīnskābes daudzums un attiecīgi samazināts linolskābes un palmitīnskābes daudzums; tā kā zinātniskās bažas galvenokārt ir saistītas ar ilgtermiņa uzturvērtības ietekmi, ko var radīt plašāka iedzīvotāju saskare ar šo mainīto taukskābju sastāvu, jo īpaši patērētājiem, kuru uzturā nozīmīgu vietu ieņem sojas eļļa; tā kā </w:t>
      </w:r>
      <w:r w:rsidRPr="007F3847">
        <w:rPr>
          <w:i/>
          <w:iCs/>
        </w:rPr>
        <w:t>EFSA</w:t>
      </w:r>
      <w:r w:rsidRPr="007F3847">
        <w:t xml:space="preserve"> ņēma vērā ar uzturu uzņemtās devas aplēses, lai novērtētu izmaiņu uzturvērtības nozīmi, izmantojot dažādus pieņēmumus </w:t>
      </w:r>
      <w:r w:rsidRPr="007F3847">
        <w:t xml:space="preserve">par patēriņu un aizstāšanas scenārijus; tā kā </w:t>
      </w:r>
      <w:r w:rsidRPr="007F3847">
        <w:rPr>
          <w:i/>
          <w:iCs/>
        </w:rPr>
        <w:t>EFSA</w:t>
      </w:r>
      <w:r w:rsidRPr="007F3847">
        <w:t>, pamatojoties uz minētajiem pieņēmumiem, ieteica vienīgi pēctirgus uzraudzības plānu, kas paredz vākt datus par importu Savienībā un veikt atjauninātu uzturvērtības novērtējumu gadījumā, ja pieejamā informācija par patēriņa paradumiem atšķirtos no tās, kas tika izmantota sākotnējā riska novērtējumā;</w:t>
      </w:r>
    </w:p>
    <w:p w:rsidR="000C5B6E" w:rsidRPr="007F3847" w:rsidP="000C5B6E" w14:paraId="7B3A0FE7" w14:textId="77777777">
      <w:pPr>
        <w:pStyle w:val="NormalHanging12a"/>
      </w:pPr>
      <w:r w:rsidRPr="007F3847">
        <w:t>L.</w:t>
      </w:r>
      <w:r w:rsidRPr="007F3847">
        <w:tab/>
        <w:t>tā kā Regulā (EK) Nr. 1829/2003 ir noteikts, ka ĢM pārtika vai dzīvnieku barība nedrīkst nelabvēlīgi ietekmēt cilvēku veselību, dzīvnieku veselību vai vidi un ka Komisijai savu lēmumu izstrādē ir jāņem vērā visi attiecīgie Savienības tiesību aktu noteikumi un citi pamatoti faktori, kas attiecas uz izskatāmo jautājumu; tā kā šādiem pamatotiem faktoriem būtu jāietver Savienības saistības saskaņā ar ANO ilgtspējīgas attīstības mērķiem (IAM), Parīzes nolīgumu par klimata pārmaiņām</w:t>
      </w:r>
      <w:r>
        <w:rPr>
          <w:rStyle w:val="FootnoteReference"/>
        </w:rPr>
        <w:footnoteReference w:id="15"/>
      </w:r>
      <w:r w:rsidRPr="007F3847">
        <w:t xml:space="preserve"> un ANO Konvenciju par bioloģisko daudzveidību</w:t>
      </w:r>
      <w:r>
        <w:rPr>
          <w:rStyle w:val="FootnoteReference"/>
        </w:rPr>
        <w:footnoteReference w:id="16"/>
      </w:r>
      <w:r w:rsidRPr="007F3847">
        <w:t xml:space="preserve"> (ANO KBD);</w:t>
      </w:r>
    </w:p>
    <w:p w:rsidR="000C5B6E" w:rsidRPr="007F3847" w:rsidP="000C5B6E" w14:paraId="7D810581" w14:textId="77777777">
      <w:pPr>
        <w:pStyle w:val="NormalHanging12a"/>
      </w:pPr>
      <w:r w:rsidRPr="007F3847">
        <w:t>M.</w:t>
      </w:r>
      <w:r w:rsidRPr="007F3847">
        <w:tab/>
        <w:t>tā kā joprojām nav pietiekami nodrošināts neatkarīgs monitorings un novērošana attiecībā uz iespējamo nelabvēlīgo ietekmi uz biodaudzveidību, augsnes veselību, apputeksnētājiem un nemērķa organismiem;</w:t>
      </w:r>
    </w:p>
    <w:p w:rsidR="000C5B6E" w:rsidRPr="007F3847" w:rsidP="000C5B6E" w14:paraId="59BD17FA" w14:textId="77777777">
      <w:pPr>
        <w:pStyle w:val="NormalHanging12a"/>
      </w:pPr>
      <w:r w:rsidRPr="007F3847">
        <w:t>N.</w:t>
      </w:r>
      <w:r w:rsidRPr="007F3847">
        <w:tab/>
        <w:t>tā kā zinātniskās nenoteiktības gadījumos būtu jāpiemēro piesardzības princips, kas ir noteikts Līguma par Eiropas Savienības darbību 191. pantā;</w:t>
      </w:r>
    </w:p>
    <w:p w:rsidR="000C5B6E" w:rsidRPr="007F3847" w:rsidP="000C5B6E" w14:paraId="464DC43C" w14:textId="77777777">
      <w:pPr>
        <w:pStyle w:val="NormalHanging12a"/>
      </w:pPr>
      <w:r w:rsidRPr="007F3847">
        <w:t>O.</w:t>
      </w:r>
      <w:r w:rsidRPr="007F3847">
        <w:tab/>
        <w:t>tā kā Savienība kā ANO Konvencijas par bioloģisko daudzveidību līgumslēdzēja puse un saskaņā ar tās 3. pantu ir atbildīga par to, lai tās jurisdikcijā vai kontrolē esošās darbības neradītu kaitējumu videi citās valstīs;</w:t>
      </w:r>
    </w:p>
    <w:p w:rsidR="000C5B6E" w:rsidRPr="007F3847" w:rsidP="000C5B6E" w14:paraId="306E19A6" w14:textId="77777777">
      <w:pPr>
        <w:pStyle w:val="NormalHanging12a"/>
      </w:pPr>
      <w:r w:rsidRPr="007F3847">
        <w:t>P.</w:t>
      </w:r>
      <w:r w:rsidRPr="007F3847">
        <w:tab/>
        <w:t>tā kā ĢM sojas pupu atļaujas atjaunošana Savienībā būtu pretrunā starptautiskajām saistībām pesticīdu lietošanas samazināšanā</w:t>
      </w:r>
      <w:r>
        <w:rPr>
          <w:vertAlign w:val="superscript"/>
        </w:rPr>
        <w:footnoteReference w:id="17"/>
      </w:r>
      <w:r w:rsidRPr="007F3847">
        <w:t>, jo valstīs, kurās audzē šos herbicīdizturīgos ĢM kultūraugus, palielinātos cilvēku, dzīvnieku un vides eksponētība glifozātam, kā arī varētu rasties nopietnas ar to saistītas sekas veselībai;</w:t>
      </w:r>
    </w:p>
    <w:p w:rsidR="000C5B6E" w:rsidRPr="007F3847" w:rsidP="000C5B6E" w14:paraId="0ADAC5B5" w14:textId="04523CBD">
      <w:pPr>
        <w:pStyle w:val="NormalHanging12a"/>
      </w:pPr>
      <w:r>
        <w:t>Q</w:t>
      </w:r>
      <w:r w:rsidRPr="007F3847">
        <w:t>.</w:t>
      </w:r>
      <w:r w:rsidRPr="007F3847">
        <w:tab/>
        <w:t>tā kā Savienībā nav atļauta ĢM sojas pupu audzēšana;</w:t>
      </w:r>
    </w:p>
    <w:p w:rsidR="000C5B6E" w:rsidRPr="007F3847" w:rsidP="000C5B6E" w14:paraId="05DF606A" w14:textId="7912ADD5">
      <w:pPr>
        <w:pStyle w:val="NormalHanging12a"/>
      </w:pPr>
      <w:r w:rsidRPr="007F3847">
        <w:t>R.</w:t>
      </w:r>
      <w:r w:rsidRPr="007F3847">
        <w:tab/>
        <w:t xml:space="preserve">tā kā ar Komisijas </w:t>
      </w:r>
      <w:r w:rsidRPr="007F3847" w:rsidR="00D70E65">
        <w:t>Ī</w:t>
      </w:r>
      <w:r w:rsidRPr="007F3847">
        <w:t>stenošanas lēmum</w:t>
      </w:r>
      <w:r w:rsidRPr="007F3847" w:rsidR="00D70E65">
        <w:t>u (ES) 2026/1419</w:t>
      </w:r>
      <w:r w:rsidRPr="007F3847">
        <w:t xml:space="preserve"> tiktu atļauts Savienībā importēt produktus, kas neatbilst Savienības lauksaimnieku ievērotajiem standartiem, un tādējādi viņiem tiktu radīti neizdevīgi konkurences apstākļi;</w:t>
      </w:r>
    </w:p>
    <w:p w:rsidR="000C5B6E" w:rsidRPr="007F3847" w:rsidP="000C5B6E" w14:paraId="658263B3" w14:textId="77777777">
      <w:pPr>
        <w:pStyle w:val="NormalHanging12a"/>
      </w:pPr>
      <w:r w:rsidRPr="007F3847">
        <w:t>S.</w:t>
      </w:r>
      <w:r w:rsidRPr="007F3847">
        <w:tab/>
        <w:t>tā kā stratēģiskā dialoga par lauksaimniecības nākotni Eiropas Savienībā secinājumos</w:t>
      </w:r>
      <w:r>
        <w:rPr>
          <w:vertAlign w:val="superscript"/>
        </w:rPr>
        <w:footnoteReference w:id="18"/>
      </w:r>
      <w:r w:rsidRPr="007F3847">
        <w:t xml:space="preserve"> Komisija tiek aicināta atkārtoti izvērtēt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2024. un 2025. gada demonstrāciju laikā;</w:t>
      </w:r>
    </w:p>
    <w:p w:rsidR="000C5B6E" w:rsidRPr="007F3847" w:rsidP="000C5B6E" w14:paraId="5637B5C6" w14:textId="77777777">
      <w:pPr>
        <w:pStyle w:val="NormalHanging12a"/>
      </w:pPr>
      <w:r w:rsidRPr="007F3847">
        <w:t>T.</w:t>
      </w:r>
      <w:r w:rsidRPr="007F3847">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rsidR="000C5B6E" w:rsidRPr="007F3847" w:rsidP="000C5B6E" w14:paraId="32454E6A" w14:textId="77777777">
      <w:pPr>
        <w:pStyle w:val="NormalHanging12a"/>
      </w:pPr>
      <w:r w:rsidRPr="007F3847">
        <w:t>U.</w:t>
      </w:r>
      <w:r w:rsidRPr="007F3847">
        <w:tab/>
        <w:t>tā kā Komisija turpina piešķirt atļaujas ĢMO, neraugoties uz pašas atzītajām nepilnībām demokrātiskā lēmumu pieņemšanas procesā, dalībvalstu atbalsta trūkumu un Parlamenta iebildumiem;</w:t>
      </w:r>
    </w:p>
    <w:p w:rsidR="000C5B6E" w:rsidRPr="007F3847" w:rsidP="000C5B6E" w14:paraId="27DDF80C" w14:textId="77777777">
      <w:pPr>
        <w:pStyle w:val="NormalHanging12a"/>
      </w:pPr>
      <w:r w:rsidRPr="007F3847">
        <w:t>V.</w:t>
      </w:r>
      <w:r w:rsidRPr="007F3847">
        <w:tab/>
        <w:t>tā kā pieeja “Viena veselība” paredz, ka, novērtējot ĢMO ilgtermiņa ilgtspēju un drošumu, ir jāņem vērā cilvēku, dzīvnieku, augu un vides veselības savstarpējā atkarība;</w:t>
      </w:r>
    </w:p>
    <w:p w:rsidR="000C5B6E" w:rsidRPr="007F3847" w:rsidP="000C5B6E" w14:paraId="0981BF67" w14:textId="5CA3CA46">
      <w:pPr>
        <w:pStyle w:val="NormalHanging12a"/>
      </w:pPr>
      <w:r w:rsidRPr="007F3847">
        <w:t>1.</w:t>
      </w:r>
      <w:r w:rsidRPr="007F3847">
        <w:tab/>
        <w:t xml:space="preserve">uzskata, ka </w:t>
      </w:r>
      <w:r w:rsidRPr="007F3847" w:rsidR="00D70E65">
        <w:t xml:space="preserve">Komisijas Īstenošanas lēmums (ES) 2026/1419 </w:t>
      </w:r>
      <w:r w:rsidRPr="007F3847">
        <w:t>pārsniedz Regulā (EK) Nr. 1829/2003 paredzētās īstenošanas pilnvaras;</w:t>
      </w:r>
    </w:p>
    <w:p w:rsidR="000C5B6E" w:rsidRPr="007F3847" w:rsidP="000C5B6E" w14:paraId="51987A21" w14:textId="1293D00D">
      <w:pPr>
        <w:pStyle w:val="NormalHanging12a"/>
      </w:pPr>
      <w:r w:rsidRPr="007F3847">
        <w:t>2.</w:t>
      </w:r>
      <w:r w:rsidRPr="007F3847">
        <w:tab/>
        <w:t xml:space="preserve">uzskata, ka </w:t>
      </w:r>
      <w:r w:rsidRPr="007F3847" w:rsidR="00D70E65">
        <w:t xml:space="preserve">Komisijas Īstenošanas lēmums (ES) 2026/1419 </w:t>
      </w:r>
      <w:r w:rsidRPr="007F3847">
        <w:t>neatbilst Savienības tiesību aktiem, jo nav savienojams ar Regulas (EK) Nr. 1829/2003 mērķi, proti, saskaņā ar Eiropas Parlamenta un Padomes Regulā (EK) Nr. 178/2002</w:t>
      </w:r>
      <w:r>
        <w:rPr>
          <w:vertAlign w:val="superscript"/>
        </w:rPr>
        <w:footnoteReference w:id="19"/>
      </w:r>
      <w:r w:rsidRPr="007F3847">
        <w:t xml:space="preserve"> noteiktajiem vispārējiem principiem sniegt pamatu tam, lai nodrošinātu cilvēka dzīvības un veselības, dzīvnieku veselības un labturības, vides un patērētāju interešu augsta līmeņa aizsardzību saistībā ar ģenētiski modificētu pārtiku un barību, tajā pašā laikā nodrošinot iekšējā tirgus efektīvu darbību;</w:t>
      </w:r>
    </w:p>
    <w:p w:rsidR="000C5B6E" w:rsidRPr="007F3847" w:rsidP="000C5B6E" w14:paraId="6192282A" w14:textId="4BA1366C">
      <w:pPr>
        <w:pStyle w:val="NormalHanging12a"/>
      </w:pPr>
      <w:r w:rsidRPr="007F3847">
        <w:t>3.</w:t>
      </w:r>
      <w:r w:rsidRPr="007F3847">
        <w:tab/>
        <w:t xml:space="preserve">prasa Komisijai atsaukt </w:t>
      </w:r>
      <w:r w:rsidRPr="007F3847" w:rsidR="00D70E65">
        <w:t xml:space="preserve">Komisijas Īstenošanas lēmumu (ES) 2026/1419 </w:t>
      </w:r>
      <w:r w:rsidRPr="007F3847">
        <w:t>;</w:t>
      </w:r>
    </w:p>
    <w:p w:rsidR="000C5B6E" w:rsidRPr="007F3847" w:rsidP="000C5B6E" w14:paraId="3F1BCDD7" w14:textId="77777777">
      <w:pPr>
        <w:pStyle w:val="NormalHanging12a"/>
      </w:pPr>
      <w:r w:rsidRPr="007F3847">
        <w:t>4.</w:t>
      </w:r>
      <w:r w:rsidRPr="007F3847">
        <w:tab/>
        <w:t>aicina Komisiju neatļaut herbicīdizturīgu ĢM kultūraugu importu, ņemot vērā ar to saistīto komplementāro herbicīdu plašāku izmantošanu un tādējādi lielāku risku bioloģiskajai daudzveidībai, pārtikas drošībai un darba ņēmēju veselībai;</w:t>
      </w:r>
    </w:p>
    <w:p w:rsidR="000C5B6E" w:rsidRPr="007F3847" w:rsidP="000C5B6E" w14:paraId="28B4913D" w14:textId="77777777">
      <w:pPr>
        <w:pStyle w:val="NormalHanging12a"/>
      </w:pPr>
      <w:r w:rsidRPr="007F3847">
        <w:t>5.</w:t>
      </w:r>
      <w:r w:rsidRPr="007F3847">
        <w:tab/>
        <w:t>atzinīgi vērtē to, ka Komisija 2020. gada 11. septembra vēstulē deputātiem beidzot atzina, ka ĢMO atļauju piešķiršanas lēmumos ir jāņem vērā ilgtspēja</w:t>
      </w:r>
      <w:r>
        <w:rPr>
          <w:vertAlign w:val="superscript"/>
        </w:rPr>
        <w:footnoteReference w:id="20"/>
      </w:r>
      <w:r w:rsidRPr="007F3847">
        <w:t>; tomēr pauž dziļu vilšanos, jo kopš tā laika Komisija ir turpinājusi piešķirt atļaujas ĢMO importam Savienībā, lai gan Parlaments turpina pret to iebilst un vairākums dalībvalstu balso pret šādu atļauju piešķiršanu;</w:t>
      </w:r>
    </w:p>
    <w:p w:rsidR="000C5B6E" w:rsidRPr="007F3847" w:rsidP="000C5B6E" w14:paraId="3234ACB9" w14:textId="77777777">
      <w:pPr>
        <w:pStyle w:val="NormalHanging12a"/>
      </w:pPr>
      <w:r w:rsidRPr="007F3847">
        <w:t>6.</w:t>
      </w:r>
      <w:r w:rsidRPr="007F3847">
        <w:tab/>
        <w:t>vēlreiz mudina Komisiju ņemt vērā Savienības saistības saskaņā ar starptautiskiem nolīgumiem, piemēram, Parīzes klimata nolīgumu, ANO Konvenciju par bioloģisko daudzveidību un ANO ilgtspējīgas attīstības mērķiem; atkārtoti prasa īstenošanas aktu projektiem pievienot paskaidrojuma rakstu, kurā būtu paskaidrots, kā minētie akti atbalsta principu “nekaitēt”</w:t>
      </w:r>
      <w:r>
        <w:rPr>
          <w:vertAlign w:val="superscript"/>
        </w:rPr>
        <w:footnoteReference w:id="21"/>
      </w:r>
      <w:r w:rsidRPr="007F3847">
        <w:t>;</w:t>
      </w:r>
    </w:p>
    <w:p w:rsidR="000C5B6E" w:rsidRPr="007F3847" w:rsidP="000C5B6E" w14:paraId="29D30DB3" w14:textId="77777777">
      <w:pPr>
        <w:pStyle w:val="NormalHanging12a"/>
      </w:pPr>
      <w:r w:rsidRPr="007F3847">
        <w:t>7.</w:t>
      </w:r>
      <w:r w:rsidRPr="007F3847">
        <w:tab/>
        <w:t>vērš uzmanību uz to, ka grozījumos, ko attiecībā uz priekšlikumu Eiropas Parlamenta un Padomes regulai, ar kuru groza Regulu (ES) Nr. 182/2011</w:t>
      </w:r>
      <w:r>
        <w:rPr>
          <w:vertAlign w:val="superscript"/>
        </w:rPr>
        <w:footnoteReference w:id="22"/>
      </w:r>
      <w:r w:rsidRPr="007F3847">
        <w:t xml:space="preserve">, Eiropas Parlaments </w:t>
      </w:r>
      <w:r w:rsidRPr="007F3847">
        <w:t>2020. gada 17. decembrī pieņēma kā pamatu sarunām ar Padomi, ir norādīts, ka bez dalībvalstu kvalificēta balsu vairākuma atbalsta Komisija nedrīkst piešķirt atļaujas attiecībā uz ĢMO; uzstāj, ka Komisijai ir jāievēro šī nostāja, un aicina Padomi turpināt darbu un steidzami pieņemt vispārēju pieeju, strādājot pie šī dokumenta;</w:t>
      </w:r>
    </w:p>
    <w:p w:rsidR="00E365E1" w:rsidRPr="007F3847" w:rsidP="007F3847" w14:paraId="6D88A8E8" w14:textId="6408E9D1">
      <w:pPr>
        <w:ind w:left="567" w:hanging="567"/>
      </w:pPr>
      <w:r w:rsidRPr="007F3847">
        <w:t>8.</w:t>
      </w:r>
      <w:r w:rsidRPr="007F3847">
        <w:tab/>
        <w:t>uzdod priekšsēdētājai šo rezolūciju nosūtīt Padomei un Komisijai, kā arī dalībvalstu valdībām un parlamentiem.</w:t>
      </w:r>
    </w:p>
    <w:sectPr w:rsidSect="009126F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26FA" w14:paraId="0A3F521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26FA" w14:paraId="55E23E5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26FA" w14:paraId="5C21961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3311E" w:rsidRPr="009126FA" w14:paraId="574B66F0" w14:textId="77777777">
      <w:r w:rsidRPr="009126FA">
        <w:separator/>
      </w:r>
    </w:p>
  </w:footnote>
  <w:footnote w:type="continuationSeparator" w:id="1">
    <w:p w:rsidR="0083311E" w:rsidRPr="009126FA" w14:paraId="08510CBB" w14:textId="77777777">
      <w:r w:rsidRPr="009126FA">
        <w:continuationSeparator/>
      </w:r>
    </w:p>
  </w:footnote>
  <w:footnote w:id="2">
    <w:p w:rsidR="00A226EA" w:rsidRPr="007F3847" w:rsidP="007F3847" w14:paraId="3C2BA2CF" w14:textId="1BB12D96">
      <w:pPr>
        <w:pStyle w:val="FootnoteText"/>
        <w:ind w:left="567" w:hanging="567"/>
        <w:rPr>
          <w:lang w:val="lv-LV"/>
        </w:rPr>
      </w:pPr>
      <w:r>
        <w:rPr>
          <w:rStyle w:val="FootnoteReference"/>
        </w:rPr>
        <w:footnoteRef/>
      </w:r>
      <w:r w:rsidRPr="007F3847">
        <w:rPr>
          <w:lang w:val="da-DK"/>
        </w:rPr>
        <w:t xml:space="preserve"> </w:t>
      </w:r>
      <w:r>
        <w:rPr>
          <w:lang w:val="lv-LV"/>
        </w:rPr>
        <w:tab/>
      </w:r>
      <w:r w:rsidRPr="007F3847">
        <w:rPr>
          <w:color w:val="333333"/>
          <w:sz w:val="24"/>
          <w:szCs w:val="24"/>
          <w:shd w:val="clear" w:color="auto" w:fill="FFFFFF"/>
          <w:lang w:val="da-DK" w:eastAsia="en-GB"/>
        </w:rPr>
        <w:t>OV L, 2026/1419, 3.7.2026., ELI: </w:t>
      </w:r>
      <w:hyperlink r:id="rId1" w:tgtFrame="_blank" w:tooltip="Dà accesso al documento attraverso il suo URI dell'ELI." w:history="1">
        <w:r w:rsidRPr="007F3847">
          <w:rPr>
            <w:color w:val="0E47CB"/>
            <w:sz w:val="24"/>
            <w:szCs w:val="24"/>
            <w:u w:val="single"/>
            <w:lang w:val="da-DK" w:eastAsia="en-GB"/>
          </w:rPr>
          <w:t>http://data.europa.eu/eli/dec_impl/2026/1419/oj</w:t>
        </w:r>
      </w:hyperlink>
    </w:p>
  </w:footnote>
  <w:footnote w:id="3">
    <w:p w:rsidR="000C5B6E" w:rsidRPr="009126FA" w:rsidP="009126FA" w14:paraId="33A7C744" w14:textId="584C7A2E">
      <w:pPr>
        <w:pStyle w:val="FootnoteText"/>
        <w:ind w:left="567" w:hanging="567"/>
        <w:rPr>
          <w:sz w:val="24"/>
          <w:lang w:val="lv-LV"/>
        </w:rPr>
      </w:pPr>
      <w:r w:rsidRPr="009126FA">
        <w:rPr>
          <w:rStyle w:val="Funotenzeichen"/>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OV L 268, 18.10.2003., 1. lpp, ELI: </w:t>
      </w:r>
      <w:hyperlink r:id="rId2" w:tooltip="Nodrošina piekļuvi šim dokumentam pēc tā ELI URI." w:history="1">
        <w:r w:rsidRPr="009126FA">
          <w:rPr>
            <w:rStyle w:val="Hyperlink"/>
            <w:sz w:val="24"/>
            <w:lang w:val="lv-LV"/>
          </w:rPr>
          <w:t>http://data.europa.eu/eli/reg/2003/1829/oj</w:t>
        </w:r>
      </w:hyperlink>
      <w:r w:rsidRPr="009126FA">
        <w:rPr>
          <w:sz w:val="24"/>
          <w:lang w:val="lv-LV"/>
        </w:rPr>
        <w:t>.</w:t>
      </w:r>
    </w:p>
  </w:footnote>
  <w:footnote w:id="4">
    <w:p w:rsidR="000C5B6E" w:rsidRPr="009126FA" w:rsidP="009126FA" w14:paraId="4694432F" w14:textId="2F15C91A">
      <w:pPr>
        <w:pStyle w:val="FootnoteText"/>
        <w:ind w:left="567" w:hanging="567"/>
        <w:rPr>
          <w:sz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 xml:space="preserve">OV L 55, 28.2.2011., 13. lpp., ELI: </w:t>
      </w:r>
      <w:hyperlink r:id="rId3" w:tooltip="https://eur-lex.europa.eu/eli/reg/2011/182/oj." w:history="1">
        <w:r w:rsidRPr="009126FA">
          <w:rPr>
            <w:rStyle w:val="Hyperlink"/>
            <w:sz w:val="24"/>
            <w:lang w:val="lv-LV"/>
          </w:rPr>
          <w:t>http://data.europa.eu/eli/reg/2011/182/oj</w:t>
        </w:r>
      </w:hyperlink>
      <w:r w:rsidRPr="009126FA">
        <w:rPr>
          <w:sz w:val="24"/>
          <w:lang w:val="lv-LV"/>
        </w:rPr>
        <w:t>.</w:t>
      </w:r>
    </w:p>
  </w:footnote>
  <w:footnote w:id="5">
    <w:p w:rsidR="000C5B6E" w:rsidRPr="009126FA" w:rsidP="009126FA" w14:paraId="40E246DA" w14:textId="137A2B1A">
      <w:pPr>
        <w:pStyle w:val="FootnoteText"/>
        <w:ind w:left="567" w:hanging="567"/>
        <w:rPr>
          <w:sz w:val="24"/>
          <w:lang w:val="lv-LV"/>
        </w:rPr>
      </w:pPr>
      <w:r w:rsidRPr="009126FA">
        <w:rPr>
          <w:rStyle w:val="Funotenzeichen"/>
          <w:sz w:val="24"/>
          <w:lang w:val="lv-LV"/>
        </w:rPr>
        <w:footnoteRef/>
      </w:r>
      <w:r w:rsidRPr="009126FA" w:rsidR="009126FA">
        <w:rPr>
          <w:i/>
          <w:iCs/>
          <w:sz w:val="24"/>
          <w:lang w:val="lv-LV"/>
        </w:rPr>
        <w:t xml:space="preserve"> </w:t>
      </w:r>
      <w:r w:rsidRPr="009126FA" w:rsidR="009126FA">
        <w:rPr>
          <w:i/>
          <w:iCs/>
          <w:sz w:val="24"/>
          <w:lang w:val="lv-LV"/>
        </w:rPr>
        <w:tab/>
      </w:r>
      <w:r w:rsidRPr="009126FA">
        <w:rPr>
          <w:i/>
          <w:iCs/>
          <w:sz w:val="24"/>
          <w:lang w:val="lv-LV"/>
        </w:rPr>
        <w:t>EFSA</w:t>
      </w:r>
      <w:r w:rsidRPr="009126FA">
        <w:rPr>
          <w:sz w:val="24"/>
          <w:lang w:val="lv-LV"/>
        </w:rPr>
        <w:t xml:space="preserve"> Ekspertu grupas ģenētiski modificētu organismu jautājumos zinātniskais atzinums par ģenētiski modificētu sojas pupu MON 87705 novērtēšanu (pieteikums GMFF-2023-21236),</w:t>
      </w:r>
      <w:r w:rsidRPr="009126FA">
        <w:rPr>
          <w:i/>
          <w:iCs/>
          <w:sz w:val="24"/>
          <w:lang w:val="lv-LV"/>
        </w:rPr>
        <w:t xml:space="preserve"> EFSA Journal</w:t>
      </w:r>
      <w:r w:rsidRPr="009126FA">
        <w:rPr>
          <w:sz w:val="24"/>
          <w:lang w:val="lv-LV"/>
        </w:rPr>
        <w:t xml:space="preserve"> 2026; 24(1):e9846 , </w:t>
      </w:r>
      <w:hyperlink r:id="rId4" w:history="1">
        <w:r w:rsidRPr="009126FA">
          <w:rPr>
            <w:rStyle w:val="Hyperlink"/>
            <w:sz w:val="24"/>
            <w:lang w:val="lv-LV"/>
          </w:rPr>
          <w:t>https://doi.org/10.2903/j.efsa.2026.9846</w:t>
        </w:r>
      </w:hyperlink>
      <w:r w:rsidRPr="009126FA">
        <w:rPr>
          <w:rStyle w:val="Hyperlink"/>
          <w:sz w:val="24"/>
          <w:lang w:val="lv-LV"/>
        </w:rPr>
        <w:t>.</w:t>
      </w:r>
    </w:p>
  </w:footnote>
  <w:footnote w:id="6">
    <w:p w:rsidR="000C5B6E" w:rsidRPr="009126FA" w:rsidP="009126FA" w14:paraId="43C4FECC" w14:textId="7ADF0E78">
      <w:pPr>
        <w:pStyle w:val="FootnoteText"/>
        <w:ind w:left="567" w:hanging="567"/>
        <w:rPr>
          <w:color w:val="000000" w:themeColor="text1"/>
          <w:sz w:val="24"/>
          <w:vertAlign w:val="superscript"/>
          <w:lang w:val="lv-LV"/>
        </w:rPr>
      </w:pPr>
      <w:r w:rsidRPr="009126FA">
        <w:rPr>
          <w:rStyle w:val="Funotenzeichen"/>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Parlaments astotajā sasaukumā pieņēma 36 rezolūcijas un devītajā sasaukumā — 38 rezolūcijas, ar ko iebilda pret atļauju izmantot ĢMO.</w:t>
      </w:r>
      <w:r w:rsidRPr="009126FA">
        <w:rPr>
          <w:color w:val="000000" w:themeColor="text1"/>
          <w:sz w:val="24"/>
          <w:lang w:val="lv-LV"/>
        </w:rPr>
        <w:t xml:space="preserve"> Turklāt desmitajā sasaukumā Parlaments ir pieņēmis šādas rezolūcijas:</w:t>
      </w:r>
    </w:p>
    <w:p w:rsidR="000C5B6E" w:rsidRPr="009126FA" w:rsidP="00A226EA" w14:paraId="776FBDA2" w14:textId="02B1B3D1">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5" w:history="1">
        <w:r w:rsidRPr="009126FA">
          <w:rPr>
            <w:rStyle w:val="Hyperlink"/>
            <w:sz w:val="24"/>
            <w:lang w:val="lv-LV"/>
          </w:rPr>
          <w:t>http://data.europa.eu/eli/C/2025/1797/oj</w:t>
        </w:r>
      </w:hyperlink>
      <w:r w:rsidRPr="009126FA">
        <w:rPr>
          <w:color w:val="000000" w:themeColor="text1"/>
          <w:sz w:val="24"/>
          <w:lang w:val="lv-LV"/>
        </w:rPr>
        <w:t>).</w:t>
      </w:r>
    </w:p>
    <w:p w:rsidR="000C5B6E" w:rsidRPr="009126FA" w:rsidP="00D70E65" w14:paraId="14CAF4C7" w14:textId="764BFF96">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6" w:history="1">
        <w:r w:rsidRPr="009126FA">
          <w:rPr>
            <w:rStyle w:val="Hyperlink"/>
            <w:sz w:val="24"/>
            <w:lang w:val="lv-LV"/>
          </w:rPr>
          <w:t>http://data.europa.eu/eli/C/2025/1798/oj</w:t>
        </w:r>
      </w:hyperlink>
      <w:r w:rsidRPr="009126FA">
        <w:rPr>
          <w:color w:val="000000" w:themeColor="text1"/>
          <w:sz w:val="24"/>
          <w:lang w:val="lv-LV"/>
        </w:rPr>
        <w:t>).</w:t>
      </w:r>
    </w:p>
    <w:p w:rsidR="000C5B6E" w:rsidRPr="009126FA" w:rsidP="007F3847" w14:paraId="491D32C3" w14:textId="5C991335">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7" w:history="1">
        <w:r w:rsidRPr="009126FA">
          <w:rPr>
            <w:rStyle w:val="Hyperlink"/>
            <w:sz w:val="24"/>
            <w:lang w:val="lv-LV"/>
          </w:rPr>
          <w:t>http://data.europa.eu/eli/C/2025/1799/oj</w:t>
        </w:r>
      </w:hyperlink>
      <w:r w:rsidRPr="009126FA">
        <w:rPr>
          <w:color w:val="000000" w:themeColor="text1"/>
          <w:sz w:val="24"/>
          <w:lang w:val="lv-LV"/>
        </w:rPr>
        <w:t>).</w:t>
      </w:r>
    </w:p>
    <w:p w:rsidR="000C5B6E" w:rsidRPr="009126FA" w:rsidP="007F3847" w14:paraId="00312CB9" w14:textId="7782B071">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8" w:history="1">
        <w:r w:rsidRPr="009126FA">
          <w:rPr>
            <w:rStyle w:val="Hyperlink"/>
            <w:sz w:val="24"/>
            <w:lang w:val="lv-LV"/>
          </w:rPr>
          <w:t>http://data.europa.eu/eli/C/2025/1800/oj</w:t>
        </w:r>
      </w:hyperlink>
      <w:r w:rsidRPr="009126FA">
        <w:rPr>
          <w:color w:val="000000" w:themeColor="text1"/>
          <w:sz w:val="24"/>
          <w:lang w:val="lv-LV"/>
        </w:rPr>
        <w:t>).</w:t>
      </w:r>
    </w:p>
    <w:p w:rsidR="000C5B6E" w:rsidRPr="009126FA" w:rsidP="007F3847" w14:paraId="798D6C6D" w14:textId="6BB7D73C">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9" w:history="1">
        <w:r w:rsidRPr="009126FA">
          <w:rPr>
            <w:rStyle w:val="Hyperlink"/>
            <w:sz w:val="24"/>
            <w:lang w:val="lv-LV"/>
          </w:rPr>
          <w:t>http://data.europa.eu/eli/C/2025/1801/oj</w:t>
        </w:r>
      </w:hyperlink>
      <w:r w:rsidRPr="009126FA">
        <w:rPr>
          <w:color w:val="000000" w:themeColor="text1"/>
          <w:sz w:val="24"/>
          <w:lang w:val="lv-LV"/>
        </w:rPr>
        <w:t>).</w:t>
      </w:r>
    </w:p>
    <w:p w:rsidR="000C5B6E" w:rsidRPr="009126FA" w:rsidP="007F3847" w14:paraId="41858CC8" w14:textId="06C90020">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10" w:history="1">
        <w:r w:rsidRPr="009126FA">
          <w:rPr>
            <w:rStyle w:val="Hyperlink"/>
            <w:sz w:val="24"/>
            <w:lang w:val="lv-LV"/>
          </w:rPr>
          <w:t>http://data.europa.eu/eli/C/2025/1802/oj</w:t>
        </w:r>
      </w:hyperlink>
      <w:r w:rsidRPr="009126FA">
        <w:rPr>
          <w:color w:val="000000" w:themeColor="text1"/>
          <w:sz w:val="24"/>
          <w:lang w:val="lv-LV"/>
        </w:rPr>
        <w:t>).</w:t>
      </w:r>
    </w:p>
    <w:p w:rsidR="000C5B6E" w:rsidRPr="009126FA" w:rsidP="007F3847" w14:paraId="3B76AE32" w14:textId="681691AE">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1" w:history="1">
        <w:r w:rsidRPr="009126FA">
          <w:rPr>
            <w:rStyle w:val="Hyperlink"/>
            <w:sz w:val="24"/>
            <w:lang w:val="lv-LV"/>
          </w:rPr>
          <w:t>http://data.europa.eu/eli/C/2025/1803/oj</w:t>
        </w:r>
      </w:hyperlink>
      <w:r w:rsidRPr="009126FA">
        <w:rPr>
          <w:color w:val="000000" w:themeColor="text1"/>
          <w:sz w:val="24"/>
          <w:lang w:val="lv-LV"/>
        </w:rPr>
        <w:t>).</w:t>
      </w:r>
    </w:p>
    <w:p w:rsidR="000C5B6E" w:rsidRPr="009126FA" w:rsidP="007F3847" w14:paraId="53059053" w14:textId="44DFBA0B">
      <w:pPr>
        <w:pStyle w:val="FootnoteText"/>
        <w:ind w:left="1134" w:hanging="567"/>
        <w:rPr>
          <w:color w:val="000000" w:themeColor="text1"/>
          <w:sz w:val="24"/>
          <w:vertAlign w:val="superscript"/>
          <w:lang w:val="lv-LV"/>
        </w:rPr>
      </w:pPr>
      <w:r w:rsidRPr="009126FA">
        <w:rPr>
          <w:color w:val="000000" w:themeColor="text1"/>
          <w:sz w:val="24"/>
          <w:lang w:val="lv-LV"/>
        </w:rPr>
        <w:t>–</w:t>
      </w:r>
      <w:r w:rsidRPr="009126FA">
        <w:rPr>
          <w:color w:val="000000" w:themeColor="text1"/>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2" w:history="1">
        <w:r w:rsidRPr="009126FA">
          <w:rPr>
            <w:rStyle w:val="Hyperlink"/>
            <w:sz w:val="24"/>
            <w:lang w:val="lv-LV"/>
          </w:rPr>
          <w:t>http://data.europa.eu/eli/C/2025/1804/oj</w:t>
        </w:r>
      </w:hyperlink>
      <w:r w:rsidRPr="009126FA">
        <w:rPr>
          <w:color w:val="000000" w:themeColor="text1"/>
          <w:sz w:val="24"/>
          <w:lang w:val="lv-LV"/>
        </w:rPr>
        <w:t>).</w:t>
      </w:r>
    </w:p>
    <w:p w:rsidR="000C5B6E" w:rsidRPr="009126FA" w:rsidP="007F3847" w14:paraId="177EAA07" w14:textId="1E45B965">
      <w:pPr>
        <w:pStyle w:val="FootnoteText"/>
        <w:ind w:left="1134" w:hanging="567"/>
        <w:rPr>
          <w:sz w:val="24"/>
          <w:vertAlign w:val="superscript"/>
          <w:lang w:val="lv-LV"/>
        </w:rPr>
      </w:pPr>
      <w:r w:rsidRPr="009126FA">
        <w:rPr>
          <w:color w:val="000000" w:themeColor="text1"/>
          <w:sz w:val="24"/>
          <w:lang w:val="lv-LV"/>
        </w:rPr>
        <w:t>–</w:t>
      </w:r>
      <w:r w:rsidRPr="009126FA">
        <w:rPr>
          <w:color w:val="000000" w:themeColor="text1"/>
          <w:sz w:val="24"/>
          <w:lang w:val="lv-LV"/>
        </w:rPr>
        <w:tab/>
      </w:r>
      <w:r w:rsidRPr="009126FA">
        <w:rPr>
          <w:sz w:val="24"/>
          <w:lang w:val="lv-LV"/>
        </w:rPr>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3" w:tooltip="Nodrošina piekļuvi šim dokumentam pēc tā ELI URI." w:history="1">
        <w:r w:rsidRPr="009126FA">
          <w:rPr>
            <w:rStyle w:val="Hyperlink"/>
            <w:sz w:val="24"/>
            <w:lang w:val="lv-LV"/>
          </w:rPr>
          <w:t>http://data.europa.eu/eli/C/2025/2246/oj</w:t>
        </w:r>
      </w:hyperlink>
      <w:r w:rsidRPr="009126FA">
        <w:rPr>
          <w:sz w:val="24"/>
          <w:lang w:val="lv-LV"/>
        </w:rPr>
        <w:t>).</w:t>
      </w:r>
    </w:p>
    <w:p w:rsidR="000C5B6E" w:rsidRPr="009126FA" w:rsidP="007F3847" w14:paraId="714D9B44" w14:textId="73E62C6F">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4" w:tooltip="Nodrošina piekļuvi šim dokumentam pēc tā ELI URI." w:history="1">
        <w:r w:rsidRPr="009126FA">
          <w:rPr>
            <w:rStyle w:val="Hyperlink"/>
            <w:sz w:val="24"/>
            <w:lang w:val="lv-LV"/>
          </w:rPr>
          <w:t>http://data.europa.eu/eli/C/2025/2247/oj</w:t>
        </w:r>
      </w:hyperlink>
      <w:r w:rsidRPr="009126FA">
        <w:rPr>
          <w:sz w:val="24"/>
          <w:lang w:val="lv-LV"/>
        </w:rPr>
        <w:t>).</w:t>
      </w:r>
    </w:p>
    <w:p w:rsidR="000C5B6E" w:rsidRPr="009126FA" w:rsidP="007F3847" w14:paraId="494A7FE8" w14:textId="604388DF">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89788, sastāv vai ir ražoti no tām (OV C, C/2026/586, 24.2.2026., ELI: </w:t>
      </w:r>
      <w:hyperlink r:id="rId15" w:tooltip="Nodrošina piekļuvi šim dokumentam pēc tā ELI URI." w:history="1">
        <w:r w:rsidRPr="009126FA">
          <w:rPr>
            <w:rStyle w:val="Hyperlink"/>
            <w:sz w:val="24"/>
            <w:lang w:val="lv-LV"/>
          </w:rPr>
          <w:t>http://data.europa.eu/eli/C/2026/586/oj</w:t>
        </w:r>
      </w:hyperlink>
      <w:r w:rsidRPr="009126FA">
        <w:rPr>
          <w:sz w:val="24"/>
          <w:lang w:val="lv-LV"/>
        </w:rPr>
        <w:t>).</w:t>
      </w:r>
    </w:p>
    <w:p w:rsidR="000C5B6E" w:rsidRPr="009126FA" w:rsidP="007F3847" w14:paraId="4A19B907" w14:textId="19E6B83E">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(OV C, C/2026/1523, 15.4.2026. ELI: </w:t>
      </w:r>
      <w:hyperlink r:id="rId16" w:history="1">
        <w:r w:rsidRPr="009126FA">
          <w:rPr>
            <w:rStyle w:val="Hyperlink"/>
            <w:sz w:val="24"/>
            <w:lang w:val="lv-LV"/>
          </w:rPr>
          <w:t>http://data.europa.eu/eli/C/2026/1523/oj</w:t>
        </w:r>
      </w:hyperlink>
      <w:r w:rsidRPr="009126FA">
        <w:rPr>
          <w:sz w:val="24"/>
          <w:lang w:val="lv-LV"/>
        </w:rPr>
        <w:t>).</w:t>
      </w:r>
    </w:p>
    <w:p w:rsidR="000C5B6E" w:rsidRPr="009126FA" w:rsidP="007F3847" w14:paraId="57DC21E6" w14:textId="4336E536">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25. novembra rezolūcija par projektu Komisijas īstenošanas lēmumam, ar ko, ievērojot Eiropas Parlamenta un Padomes Regulu (EK) Nr. 1829/2003, atļauj laist tirgū produktus, kas satur ģenētiski modificētu kukurūzu DAS1131, no tās sastāv vai ir ražoti no tās (OV C, C/2026/1703, 24.4.2026., ELI: </w:t>
      </w:r>
      <w:hyperlink r:id="rId17" w:history="1">
        <w:r w:rsidRPr="009126FA">
          <w:rPr>
            <w:rStyle w:val="Hyperlink"/>
            <w:sz w:val="24"/>
            <w:lang w:val="lv-LV"/>
          </w:rPr>
          <w:t>http://data.europa.eu/eli/C/2026/1703/oj</w:t>
        </w:r>
      </w:hyperlink>
      <w:r w:rsidRPr="009126FA">
        <w:rPr>
          <w:sz w:val="24"/>
          <w:lang w:val="lv-LV"/>
        </w:rPr>
        <w:t>).</w:t>
      </w:r>
    </w:p>
    <w:p w:rsidR="000C5B6E" w:rsidRPr="009126FA" w:rsidP="007F3847" w14:paraId="330D6506" w14:textId="510BFB59">
      <w:pPr>
        <w:pStyle w:val="FootnoteText"/>
        <w:ind w:left="1134" w:hanging="567"/>
        <w:rPr>
          <w:sz w:val="24"/>
          <w:vertAlign w:val="superscript"/>
          <w:lang w:val="lv-LV"/>
        </w:rPr>
      </w:pPr>
      <w:r w:rsidRPr="009126FA">
        <w:rPr>
          <w:sz w:val="24"/>
          <w:lang w:val="lv-LV"/>
        </w:rPr>
        <w:t>–</w:t>
      </w:r>
      <w:r w:rsidRPr="009126FA">
        <w:rPr>
          <w:sz w:val="24"/>
          <w:lang w:val="lv-LV"/>
        </w:rPr>
        <w:tab/>
        <w:t>Eiropas Parlamenta 202</w:t>
      </w:r>
      <w:r w:rsidR="009A2577">
        <w:rPr>
          <w:sz w:val="24"/>
          <w:lang w:val="lv-LV"/>
        </w:rPr>
        <w:t>5</w:t>
      </w:r>
      <w:r w:rsidRPr="009126FA">
        <w:rPr>
          <w:sz w:val="24"/>
          <w:lang w:val="lv-LV"/>
        </w:rPr>
        <w:t>.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(OV C, C/2026/1704, 24.4.2026., ELI: </w:t>
      </w:r>
      <w:hyperlink r:id="rId18" w:history="1">
        <w:r w:rsidRPr="009126FA">
          <w:rPr>
            <w:rStyle w:val="Hyperlink"/>
            <w:sz w:val="24"/>
            <w:lang w:val="lv-LV"/>
          </w:rPr>
          <w:t>http://data.europa.eu/eli/C/2026/1704/oj</w:t>
        </w:r>
      </w:hyperlink>
      <w:r w:rsidRPr="009126FA">
        <w:rPr>
          <w:sz w:val="24"/>
          <w:lang w:val="lv-LV"/>
        </w:rPr>
        <w:t>).</w:t>
      </w:r>
    </w:p>
    <w:p w:rsidR="000C5B6E" w:rsidRPr="009126FA" w:rsidP="007F3847" w14:paraId="23E9634F" w14:textId="33B68AAE">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(OV C, C/2026/1705, 24.4.2026., ELI: </w:t>
      </w:r>
      <w:hyperlink r:id="rId19" w:history="1">
        <w:r w:rsidRPr="009126FA">
          <w:rPr>
            <w:rStyle w:val="Hyperlink"/>
            <w:sz w:val="24"/>
            <w:lang w:val="lv-LV"/>
          </w:rPr>
          <w:t>http://data.europa.eu/eli/C/2026/1705/oj</w:t>
        </w:r>
      </w:hyperlink>
      <w:r w:rsidRPr="009126FA">
        <w:rPr>
          <w:sz w:val="24"/>
          <w:lang w:val="lv-LV"/>
        </w:rPr>
        <w:t>).</w:t>
      </w:r>
    </w:p>
    <w:p w:rsidR="000C5B6E" w:rsidRPr="009126FA" w:rsidP="007F3847" w14:paraId="4B939628" w14:textId="7CF302C2">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(OV C, C/2026/1706, 24.4.2026., ELI: </w:t>
      </w:r>
      <w:hyperlink r:id="rId20" w:history="1">
        <w:r w:rsidRPr="009126FA">
          <w:rPr>
            <w:rStyle w:val="Hyperlink"/>
            <w:sz w:val="24"/>
            <w:lang w:val="lv-LV"/>
          </w:rPr>
          <w:t>http://data.europa.eu/eli/C/2026/1706/oj</w:t>
        </w:r>
      </w:hyperlink>
      <w:r w:rsidRPr="009126FA">
        <w:rPr>
          <w:sz w:val="24"/>
          <w:lang w:val="lv-LV"/>
        </w:rPr>
        <w:t>).</w:t>
      </w:r>
    </w:p>
    <w:p w:rsidR="000C5B6E" w:rsidRPr="009126FA" w:rsidP="007F3847" w14:paraId="77F448CE" w14:textId="11BDCC9B">
      <w:pPr>
        <w:pStyle w:val="FootnoteText"/>
        <w:ind w:left="1134" w:hanging="567"/>
        <w:rPr>
          <w:sz w:val="24"/>
          <w:vertAlign w:val="superscript"/>
          <w:lang w:val="lv-LV"/>
        </w:rPr>
      </w:pPr>
      <w:r w:rsidRPr="009126FA">
        <w:rPr>
          <w:sz w:val="24"/>
          <w:lang w:val="lv-LV"/>
        </w:rPr>
        <w:t>–</w:t>
      </w:r>
      <w:r w:rsidRPr="009126FA">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(OV C, C/2026/1707, 24.4.2026., ELI: </w:t>
      </w:r>
      <w:hyperlink r:id="rId21" w:history="1">
        <w:r w:rsidRPr="009126FA">
          <w:rPr>
            <w:rStyle w:val="Hyperlink"/>
            <w:sz w:val="24"/>
            <w:lang w:val="lv-LV"/>
          </w:rPr>
          <w:t>http://data.europa.eu/eli/C/2026/1707/oj</w:t>
        </w:r>
      </w:hyperlink>
      <w:r w:rsidRPr="009126FA">
        <w:rPr>
          <w:sz w:val="24"/>
          <w:lang w:val="lv-LV"/>
        </w:rPr>
        <w:t>).</w:t>
      </w:r>
    </w:p>
    <w:p w:rsidR="000C5B6E" w:rsidP="007F3847" w14:paraId="719A0397" w14:textId="395F212A">
      <w:pPr>
        <w:pStyle w:val="FootnoteText"/>
        <w:ind w:left="1134" w:hanging="567"/>
        <w:rPr>
          <w:sz w:val="24"/>
          <w:lang w:val="lv-LV"/>
        </w:rPr>
      </w:pPr>
      <w:r w:rsidRPr="009126FA">
        <w:rPr>
          <w:sz w:val="24"/>
          <w:lang w:val="lv-LV"/>
        </w:rPr>
        <w:t>–</w:t>
      </w:r>
      <w:r w:rsidRPr="009126FA">
        <w:rPr>
          <w:sz w:val="24"/>
          <w:lang w:val="lv-LV"/>
        </w:rPr>
        <w:tab/>
        <w:t>Eiropas Parlamenta 2025. gada 16. decembra rezolūcija par projektu Komisijas īstenošanas lēmumam, ar kuru atbilstoši Eiropas Parlamenta un Padomes Regulai (EK) Nr. 1829/2003 atjauno atļauju laist tirgū produktus, kas satur ģenētiski modificētu kukurūzu NK603, no tās sastāv vai ir no tās ražoti (OV C, C/2026/2150, 6.5.2026., ELI: </w:t>
      </w:r>
      <w:hyperlink r:id="rId22" w:history="1">
        <w:r w:rsidRPr="009126FA">
          <w:rPr>
            <w:rStyle w:val="Hyperlink"/>
            <w:sz w:val="24"/>
            <w:lang w:val="lv-LV"/>
          </w:rPr>
          <w:t>http://data.europa.eu/eli/C/2026/2150/oj</w:t>
        </w:r>
      </w:hyperlink>
      <w:r w:rsidRPr="009126FA">
        <w:rPr>
          <w:sz w:val="24"/>
          <w:lang w:val="lv-LV"/>
        </w:rPr>
        <w:t>).</w:t>
      </w:r>
    </w:p>
    <w:p w:rsidR="002034CC" w:rsidRPr="002B7A9A" w:rsidP="002034CC" w14:paraId="32ED59C5" w14:textId="2BEA4B7A">
      <w:pPr>
        <w:pStyle w:val="FootnoteText"/>
        <w:ind w:left="1134" w:hanging="567"/>
        <w:rPr>
          <w:sz w:val="24"/>
          <w:szCs w:val="24"/>
          <w:vertAlign w:val="superscript"/>
          <w:lang w:val="lv-LV"/>
        </w:rPr>
      </w:pPr>
      <w:r w:rsidRPr="002B7A9A">
        <w:rPr>
          <w:sz w:val="24"/>
          <w:szCs w:val="24"/>
          <w:lang w:val="lv-LV"/>
        </w:rPr>
        <w:t>–</w:t>
      </w:r>
      <w:r w:rsidRPr="002B7A9A">
        <w:rPr>
          <w:sz w:val="24"/>
          <w:szCs w:val="24"/>
          <w:lang w:val="lv-LV"/>
        </w:rPr>
        <w:tab/>
      </w:r>
      <w:r w:rsidRPr="002B7A9A" w:rsidR="002B7A9A">
        <w:rPr>
          <w:sz w:val="24"/>
          <w:szCs w:val="24"/>
          <w:lang w:val="lv-LV"/>
        </w:rPr>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w:t>
      </w:r>
      <w:r w:rsidRPr="002B7A9A">
        <w:rPr>
          <w:sz w:val="24"/>
          <w:szCs w:val="24"/>
          <w:lang w:val="lv-LV"/>
        </w:rPr>
        <w:t xml:space="preserve"> (O</w:t>
      </w:r>
      <w:r w:rsidR="002B7A9A">
        <w:rPr>
          <w:sz w:val="24"/>
          <w:szCs w:val="24"/>
          <w:lang w:val="lv-LV"/>
        </w:rPr>
        <w:t>V</w:t>
      </w:r>
      <w:r w:rsidRPr="002B7A9A">
        <w:rPr>
          <w:sz w:val="24"/>
          <w:szCs w:val="24"/>
          <w:lang w:val="lv-LV"/>
        </w:rPr>
        <w:t xml:space="preserve"> C, C/2026/2151, 6.5.2026</w:t>
      </w:r>
      <w:r w:rsidR="002B7A9A">
        <w:rPr>
          <w:sz w:val="24"/>
          <w:szCs w:val="24"/>
          <w:lang w:val="lv-LV"/>
        </w:rPr>
        <w:t>.</w:t>
      </w:r>
      <w:r w:rsidRPr="002B7A9A">
        <w:rPr>
          <w:sz w:val="24"/>
          <w:szCs w:val="24"/>
          <w:lang w:val="lv-LV"/>
        </w:rPr>
        <w:t>, ELI: </w:t>
      </w:r>
      <w:hyperlink r:id="rId23" w:history="1">
        <w:r w:rsidRPr="002B7A9A">
          <w:rPr>
            <w:rStyle w:val="Hyperlink"/>
            <w:sz w:val="24"/>
            <w:szCs w:val="24"/>
            <w:lang w:val="lv-LV"/>
          </w:rPr>
          <w:t>http://data.e</w:t>
        </w:r>
        <w:r w:rsidRPr="002B7A9A">
          <w:rPr>
            <w:rStyle w:val="Hyperlink"/>
            <w:sz w:val="24"/>
            <w:szCs w:val="24"/>
            <w:lang w:val="lv-LV"/>
          </w:rPr>
          <w:t>u</w:t>
        </w:r>
        <w:r w:rsidRPr="002B7A9A">
          <w:rPr>
            <w:rStyle w:val="Hyperlink"/>
            <w:sz w:val="24"/>
            <w:szCs w:val="24"/>
            <w:lang w:val="lv-LV"/>
          </w:rPr>
          <w:t>ropa.eu/eli/C/2026/2151/oj</w:t>
        </w:r>
      </w:hyperlink>
      <w:r w:rsidRPr="002B7A9A">
        <w:rPr>
          <w:sz w:val="24"/>
          <w:szCs w:val="24"/>
          <w:lang w:val="lv-LV"/>
        </w:rPr>
        <w:t>).</w:t>
      </w:r>
    </w:p>
    <w:p w:rsidR="000C5B6E" w:rsidRPr="009126FA" w:rsidP="007F3847" w14:paraId="60C84EB3" w14:textId="11880D58">
      <w:pPr>
        <w:pStyle w:val="FootnoteText"/>
        <w:ind w:left="1134" w:hanging="567"/>
        <w:rPr>
          <w:sz w:val="24"/>
          <w:vertAlign w:val="superscript"/>
          <w:lang w:val="lv-LV"/>
        </w:rPr>
      </w:pPr>
      <w:r w:rsidRPr="009126FA">
        <w:rPr>
          <w:sz w:val="24"/>
          <w:lang w:val="lv-LV"/>
        </w:rPr>
        <w:t>–</w:t>
      </w:r>
      <w:r w:rsidRPr="009126FA">
        <w:rPr>
          <w:sz w:val="24"/>
          <w:lang w:val="lv-LV"/>
        </w:rPr>
        <w:tab/>
        <w:t>Eiropas Parlamenta 2026. gada 11. februāra rezolūcija par projektu Komisijas īstenošanas lēmumam, ar ko atbilstoši Eiropas Parlamenta un Padomes Regulai (EK) Nr. 1829/2003 atļauj laist tirgū produktus, kas satur ģenētiski modificētas sojas pupas DBN-09004-6, sastāv vai ir ražoti no tām (Pieņemtie teksti, P10_TA(2026)0041);</w:t>
      </w:r>
    </w:p>
    <w:p w:rsidR="000C5B6E" w:rsidRPr="009126FA" w:rsidP="007F3847" w14:paraId="7F800F3A" w14:textId="2B74AE94">
      <w:pPr>
        <w:pStyle w:val="FootnoteText"/>
        <w:ind w:left="1134" w:hanging="567"/>
        <w:rPr>
          <w:sz w:val="24"/>
          <w:vertAlign w:val="superscript"/>
          <w:lang w:val="lv-LV"/>
        </w:rPr>
      </w:pPr>
      <w:r w:rsidRPr="009126FA">
        <w:rPr>
          <w:sz w:val="24"/>
          <w:lang w:val="lv-LV"/>
        </w:rPr>
        <w:t>–</w:t>
      </w:r>
      <w:r w:rsidRPr="009126FA">
        <w:rPr>
          <w:sz w:val="24"/>
          <w:lang w:val="lv-LV"/>
        </w:rPr>
        <w:tab/>
        <w:t>Eiropas Parlamenta 2026. gada 11. februāra rezolūcija par projektu Komisijas īstenošanas lēmumam, ar ko atbilstoši Eiropas Parlamenta un Padomes Regulai (EK) Nr. 1829/2003 tiek atjaunota atļauja laist tirgū produktus, kas satur ģenētiski modificētu kukurūzu T25 (ACS-ZMØØ3-2), sastāv vai ir ražoti no tās (Pieņemtie teksti, P10_TA(2026)0042);</w:t>
      </w:r>
    </w:p>
    <w:p w:rsidR="000C5B6E" w:rsidRPr="009126FA" w:rsidP="007F3847" w14:paraId="6ED51AFB" w14:textId="365A33CA">
      <w:pPr>
        <w:pStyle w:val="FootnoteText"/>
        <w:ind w:left="1134" w:hanging="567"/>
        <w:rPr>
          <w:sz w:val="24"/>
          <w:vertAlign w:val="superscript"/>
          <w:lang w:val="lv-LV"/>
        </w:rPr>
      </w:pPr>
      <w:r w:rsidRPr="009126FA">
        <w:rPr>
          <w:sz w:val="24"/>
          <w:lang w:val="lv-LV"/>
        </w:rPr>
        <w:t>–</w:t>
      </w:r>
      <w:r w:rsidRPr="009126FA">
        <w:rPr>
          <w:sz w:val="24"/>
          <w:lang w:val="lv-LV"/>
        </w:rPr>
        <w:tab/>
        <w:t>Eiropas Parlamenta 2026. gada 11. februāra rezolūcija par projektu Komisijas īstenošanas lēmumam, ar ko atbilstoši Eiropas Parlamenta un Padomes Regulai (EK) Nr. 1829/2003 atjauno atļauju laist tirgū produktus, kas satur ģenētiski modificētu kokvilnu GHB614 × LLCotton25, sastāv vai ir ražoti no tās (Pieņemtie teksti, P10_TA(2026)0043);</w:t>
      </w:r>
    </w:p>
    <w:p w:rsidR="000C5B6E" w:rsidRPr="009126FA" w:rsidP="007F3847" w14:paraId="0078F338" w14:textId="3D81A5EC">
      <w:pPr>
        <w:pStyle w:val="FootnoteText"/>
        <w:ind w:left="1134" w:hanging="567"/>
        <w:rPr>
          <w:sz w:val="24"/>
          <w:vertAlign w:val="superscript"/>
          <w:lang w:val="lv-LV"/>
        </w:rPr>
      </w:pPr>
      <w:r w:rsidRPr="009126FA">
        <w:rPr>
          <w:sz w:val="24"/>
          <w:lang w:val="lv-LV"/>
        </w:rPr>
        <w:t>–</w:t>
      </w:r>
      <w:r w:rsidRPr="009126FA">
        <w:rPr>
          <w:sz w:val="24"/>
          <w:lang w:val="lv-LV"/>
        </w:rPr>
        <w:tab/>
        <w:t>Eiropas Parlamenta 2026. gada 11. februāra rezolūcija par projektu Komisijas īstenošanas lēmumam, ar ko atbilstoši Eiropas Parlamenta un Padomes Regulai (EK) Nr. 1829/2003 tiek atjaunota atļauja laist tirgū produktus, kas satur ģenētiski modificētu kokvilnu T304-40, sastāv vai ir ražoti no tās (Pieņemtie teksti, P10_TA(2026)0044);</w:t>
      </w:r>
    </w:p>
    <w:p w:rsidR="000C5B6E" w:rsidRPr="009126FA" w:rsidP="007F3847" w14:paraId="3A94C6B4" w14:textId="791C291B">
      <w:pPr>
        <w:pStyle w:val="FootnoteText"/>
        <w:ind w:left="1134" w:hanging="567"/>
        <w:rPr>
          <w:sz w:val="24"/>
          <w:lang w:val="lv-LV"/>
        </w:rPr>
      </w:pPr>
      <w:r w:rsidRPr="009126FA">
        <w:rPr>
          <w:sz w:val="24"/>
          <w:lang w:val="lv-LV"/>
        </w:rPr>
        <w:t>–</w:t>
      </w:r>
      <w:r w:rsidRPr="009126FA">
        <w:rPr>
          <w:sz w:val="24"/>
          <w:lang w:val="lv-LV"/>
        </w:rPr>
        <w:tab/>
        <w:t>Eiropas Parlamenta 2026. gada 29. aprīļa rezolūcija par projektu Komisijas īstenošanas lēmumam, ar ko atbilstoši Eiropas Parlamenta un Padomes Regulai (EK) Nr. 1829/2003 atļauj laist tirgū produktus, kas satur ģenētiski modificētas sojas pupas MON 94637, sastāv vai ir ražoti no tām (Pieņemtie teksti, P10_TA(2026)0150)</w:t>
      </w:r>
      <w:r w:rsidR="002B7A9A">
        <w:rPr>
          <w:sz w:val="24"/>
          <w:lang w:val="lv-LV"/>
        </w:rPr>
        <w:t>.</w:t>
      </w:r>
    </w:p>
  </w:footnote>
  <w:footnote w:id="7">
    <w:p w:rsidR="002034CC" w:rsidRPr="009126FA" w:rsidP="002034CC" w14:paraId="06949B32" w14:textId="5F0FB32F">
      <w:pPr>
        <w:pStyle w:val="FootnoteText"/>
        <w:ind w:left="567" w:hanging="567"/>
        <w:rPr>
          <w:sz w:val="24"/>
          <w:lang w:val="lv-LV"/>
        </w:rPr>
      </w:pPr>
      <w:r w:rsidRPr="009126FA">
        <w:rPr>
          <w:rStyle w:val="FootnoteReference"/>
          <w:sz w:val="24"/>
          <w:lang w:val="lv-LV"/>
        </w:rPr>
        <w:footnoteRef/>
      </w:r>
      <w:r w:rsidRPr="009126FA">
        <w:rPr>
          <w:sz w:val="24"/>
          <w:lang w:val="lv-LV"/>
        </w:rPr>
        <w:t xml:space="preserve"> </w:t>
      </w:r>
      <w:r w:rsidRPr="009126FA">
        <w:rPr>
          <w:sz w:val="24"/>
          <w:lang w:val="lv-LV"/>
        </w:rPr>
        <w:tab/>
        <w:t>Komisijas Īstenošanas lēmums (ES) 2015/696 (2015. gada 24. aprīlis), ar ko atbilstoši Eiropas Parlamenta un Padomes Regulai (EK) Nr. 1829/2003 atļauj laist tirgū produktus, kas satur ģenētiski modificētas sojas pupas MON87705 (MON-877Ø5-6), sastāv vai ir ražoti no tām (OV </w:t>
      </w:r>
      <w:r w:rsidR="00877A3B">
        <w:rPr>
          <w:sz w:val="24"/>
          <w:lang w:val="lv-LV"/>
        </w:rPr>
        <w:t>L</w:t>
      </w:r>
      <w:r w:rsidRPr="009126FA">
        <w:rPr>
          <w:sz w:val="24"/>
          <w:lang w:val="lv-LV"/>
        </w:rPr>
        <w:t> 112, 30.4.2015., 60. lpp., ELI: </w:t>
      </w:r>
      <w:hyperlink r:id="rId24" w:history="1">
        <w:r w:rsidRPr="009126FA">
          <w:rPr>
            <w:rStyle w:val="Hyperlink"/>
            <w:sz w:val="24"/>
            <w:lang w:val="lv-LV"/>
          </w:rPr>
          <w:t>http://data.europa</w:t>
        </w:r>
        <w:r w:rsidRPr="009126FA">
          <w:rPr>
            <w:rStyle w:val="Hyperlink"/>
            <w:sz w:val="24"/>
            <w:lang w:val="lv-LV"/>
          </w:rPr>
          <w:t>.</w:t>
        </w:r>
        <w:r w:rsidRPr="009126FA">
          <w:rPr>
            <w:rStyle w:val="Hyperlink"/>
            <w:sz w:val="24"/>
            <w:lang w:val="lv-LV"/>
          </w:rPr>
          <w:t>eu/eli/dec_impl/2015/696/2021-02-16</w:t>
        </w:r>
      </w:hyperlink>
      <w:r w:rsidRPr="009126FA">
        <w:rPr>
          <w:sz w:val="24"/>
          <w:lang w:val="lv-LV"/>
        </w:rPr>
        <w:t>).</w:t>
      </w:r>
    </w:p>
  </w:footnote>
  <w:footnote w:id="8">
    <w:p w:rsidR="000C5B6E" w:rsidRPr="009126FA" w:rsidP="009126FA" w14:paraId="555989A6" w14:textId="52B44DD4">
      <w:pPr>
        <w:pStyle w:val="FootnoteText"/>
        <w:ind w:left="567" w:hanging="567"/>
        <w:rPr>
          <w:sz w:val="24"/>
          <w:lang w:val="lv-LV"/>
        </w:rPr>
      </w:pPr>
      <w:r w:rsidRPr="009126FA">
        <w:rPr>
          <w:rStyle w:val="FootnoteReference"/>
          <w:sz w:val="24"/>
          <w:lang w:val="lv-LV"/>
        </w:rPr>
        <w:footnoteRef/>
      </w:r>
      <w:r w:rsidRPr="009126FA" w:rsidR="009126FA">
        <w:rPr>
          <w:i/>
          <w:iCs/>
          <w:sz w:val="24"/>
          <w:lang w:val="lv-LV"/>
        </w:rPr>
        <w:t xml:space="preserve"> </w:t>
      </w:r>
      <w:r w:rsidRPr="009126FA" w:rsidR="009126FA">
        <w:rPr>
          <w:i/>
          <w:iCs/>
          <w:sz w:val="24"/>
          <w:lang w:val="lv-LV"/>
        </w:rPr>
        <w:tab/>
      </w:r>
      <w:r w:rsidRPr="009126FA">
        <w:rPr>
          <w:i/>
          <w:iCs/>
          <w:sz w:val="24"/>
          <w:lang w:val="lv-LV"/>
        </w:rPr>
        <w:t>EFSA</w:t>
      </w:r>
      <w:r w:rsidRPr="009126FA">
        <w:rPr>
          <w:sz w:val="24"/>
          <w:lang w:val="lv-LV"/>
        </w:rPr>
        <w:t xml:space="preserve"> Ģenētiski modificēto organismu ekspertu grupas zinātniskais atzinums par ģenētiski modificētas kukurūzas MON 87705 novērtējumu, lai atjaunotu atļauju saskaņā ar Regulu (EK) Nr. 1829/2003 (pieteikums GMFF-2023-21236), </w:t>
      </w:r>
      <w:r w:rsidRPr="009126FA">
        <w:rPr>
          <w:i/>
          <w:iCs/>
          <w:sz w:val="24"/>
          <w:lang w:val="lv-LV"/>
        </w:rPr>
        <w:t>EFSA Journal</w:t>
      </w:r>
      <w:r w:rsidRPr="009126FA">
        <w:rPr>
          <w:sz w:val="24"/>
          <w:lang w:val="lv-LV"/>
        </w:rPr>
        <w:t xml:space="preserve"> 2026, 24(1):e9846, </w:t>
      </w:r>
      <w:hyperlink r:id="rId4" w:history="1">
        <w:r w:rsidRPr="009126FA">
          <w:rPr>
            <w:rStyle w:val="Hyperlink"/>
            <w:sz w:val="24"/>
            <w:lang w:val="lv-LV"/>
          </w:rPr>
          <w:t>https://doi.org/10.2903/j.efsa.2026.9846</w:t>
        </w:r>
      </w:hyperlink>
      <w:r w:rsidRPr="009126FA">
        <w:rPr>
          <w:sz w:val="24"/>
          <w:lang w:val="lv-LV"/>
        </w:rPr>
        <w:t>.</w:t>
      </w:r>
    </w:p>
  </w:footnote>
  <w:footnote w:id="9">
    <w:p w:rsidR="000C5B6E" w:rsidRPr="009126FA" w:rsidP="009126FA" w14:paraId="67027D32" w14:textId="1857A8B5">
      <w:pPr>
        <w:pStyle w:val="FootnoteText"/>
        <w:ind w:left="567" w:hanging="567"/>
        <w:rPr>
          <w:sz w:val="24"/>
          <w:lang w:val="lv-LV"/>
        </w:rPr>
      </w:pPr>
      <w:r w:rsidRPr="009126FA">
        <w:rPr>
          <w:rStyle w:val="FootnoteReference"/>
          <w:sz w:val="24"/>
          <w:lang w:val="lv-LV"/>
        </w:rPr>
        <w:footnoteRef/>
      </w:r>
      <w:r w:rsidRPr="009126FA" w:rsidR="009126FA">
        <w:rPr>
          <w:i/>
          <w:iCs/>
          <w:sz w:val="24"/>
          <w:lang w:val="lv-LV"/>
        </w:rPr>
        <w:t xml:space="preserve"> </w:t>
      </w:r>
      <w:r w:rsidRPr="009126FA" w:rsidR="009126FA">
        <w:rPr>
          <w:i/>
          <w:iCs/>
          <w:sz w:val="24"/>
          <w:lang w:val="lv-LV"/>
        </w:rPr>
        <w:tab/>
      </w:r>
      <w:r w:rsidRPr="009126FA">
        <w:rPr>
          <w:i/>
          <w:iCs/>
          <w:sz w:val="24"/>
          <w:lang w:val="lv-LV"/>
        </w:rPr>
        <w:t>EFSA</w:t>
      </w:r>
      <w:r w:rsidRPr="009126FA">
        <w:rPr>
          <w:sz w:val="24"/>
          <w:lang w:val="lv-LV"/>
        </w:rPr>
        <w:t xml:space="preserve"> Ekspertu grupas ģenētiski modificētu organismu jautājumos zinātniskais atzinums par </w:t>
      </w:r>
      <w:r w:rsidRPr="009126FA">
        <w:rPr>
          <w:i/>
          <w:iCs/>
          <w:sz w:val="24"/>
          <w:lang w:val="lv-LV"/>
        </w:rPr>
        <w:t>Monsanto</w:t>
      </w:r>
      <w:r w:rsidRPr="009126FA">
        <w:rPr>
          <w:sz w:val="24"/>
          <w:lang w:val="lv-LV"/>
        </w:rPr>
        <w:t xml:space="preserve"> pieteikumu EFSA-GMO-NL-2010–78 laist tirgū, importēt un pārstrādāt herbicīdizturīgas ģenētiski modificētas sojas pupas MON 87705 izmantošanai pārtikā un barībā saskaņā ar Regulu (EK) Nr. 1829/2003, </w:t>
      </w:r>
      <w:r w:rsidRPr="009126FA">
        <w:rPr>
          <w:i/>
          <w:iCs/>
          <w:sz w:val="24"/>
          <w:lang w:val="lv-LV"/>
        </w:rPr>
        <w:t>EFSA Journal</w:t>
      </w:r>
      <w:r w:rsidRPr="009126FA">
        <w:rPr>
          <w:sz w:val="24"/>
          <w:lang w:val="lv-LV"/>
        </w:rPr>
        <w:t xml:space="preserve">, 2012, 10(10):2909, </w:t>
      </w:r>
      <w:hyperlink r:id="rId25" w:history="1">
        <w:r w:rsidRPr="009126FA">
          <w:rPr>
            <w:rStyle w:val="Hyperlink"/>
            <w:sz w:val="24"/>
            <w:lang w:val="lv-LV"/>
          </w:rPr>
          <w:t>https://doi.org/10.2903/j.efsa.2012.2909</w:t>
        </w:r>
      </w:hyperlink>
      <w:r w:rsidRPr="009126FA">
        <w:rPr>
          <w:sz w:val="24"/>
          <w:lang w:val="lv-LV"/>
        </w:rPr>
        <w:t>.</w:t>
      </w:r>
    </w:p>
  </w:footnote>
  <w:footnote w:id="10">
    <w:p w:rsidR="000C5B6E" w:rsidRPr="009126FA" w:rsidP="009126FA" w14:paraId="6589C379" w14:textId="11B0EA75">
      <w:pPr>
        <w:pStyle w:val="FootnoteText"/>
        <w:ind w:left="567" w:hanging="567"/>
        <w:rPr>
          <w:sz w:val="24"/>
          <w:lang w:val="lv-LV"/>
        </w:rPr>
      </w:pPr>
      <w:r w:rsidRPr="009126FA">
        <w:rPr>
          <w:rStyle w:val="FootnoteReference"/>
          <w:sz w:val="24"/>
          <w:lang w:val="lv-LV"/>
        </w:rPr>
        <w:footnoteRef/>
      </w:r>
      <w:r w:rsidRPr="009126FA" w:rsidR="009126FA">
        <w:rPr>
          <w:i/>
          <w:iCs/>
          <w:sz w:val="24"/>
          <w:lang w:val="lv-LV"/>
        </w:rPr>
        <w:t xml:space="preserve"> </w:t>
      </w:r>
      <w:r w:rsidRPr="009126FA" w:rsidR="009126FA">
        <w:rPr>
          <w:i/>
          <w:iCs/>
          <w:sz w:val="24"/>
          <w:lang w:val="lv-LV"/>
        </w:rPr>
        <w:tab/>
      </w:r>
      <w:r w:rsidRPr="009126FA">
        <w:rPr>
          <w:i/>
          <w:iCs/>
          <w:sz w:val="24"/>
          <w:lang w:val="lv-LV"/>
        </w:rPr>
        <w:t>EFSA</w:t>
      </w:r>
      <w:r w:rsidRPr="009126FA">
        <w:rPr>
          <w:sz w:val="24"/>
          <w:lang w:val="lv-LV"/>
        </w:rPr>
        <w:t xml:space="preserve"> Ekspertu grupa ģenētiski modificētu organismu jautājumos, “Paziņojums, ar ko papildina zinātnisko atzinumu par pieteikumu EFSA-GMO-NL-2010-78 attiecībā uz ģenētiski modificētu sojas pupu MON 87705 eļļas drošumu izmantošanai komerciālajā cepšanā”, </w:t>
      </w:r>
      <w:r w:rsidRPr="009126FA">
        <w:rPr>
          <w:i/>
          <w:sz w:val="24"/>
          <w:lang w:val="lv-LV"/>
        </w:rPr>
        <w:t>EFSA Journal</w:t>
      </w:r>
      <w:r w:rsidRPr="009126FA">
        <w:rPr>
          <w:sz w:val="24"/>
          <w:lang w:val="lv-LV"/>
        </w:rPr>
        <w:t xml:space="preserve">, 2013, 11(12):3507, </w:t>
      </w:r>
      <w:hyperlink r:id="rId26" w:history="1">
        <w:r w:rsidRPr="009126FA">
          <w:rPr>
            <w:rStyle w:val="Hyperlink"/>
            <w:sz w:val="24"/>
            <w:lang w:val="lv-LV"/>
          </w:rPr>
          <w:t>https://doi.org/10.2903/j.efsa.2013.3507</w:t>
        </w:r>
      </w:hyperlink>
      <w:r w:rsidRPr="009126FA">
        <w:rPr>
          <w:sz w:val="24"/>
          <w:lang w:val="lv-LV"/>
        </w:rPr>
        <w:t>.</w:t>
      </w:r>
    </w:p>
  </w:footnote>
  <w:footnote w:id="11">
    <w:p w:rsidR="000C5B6E" w:rsidRPr="009126FA" w:rsidP="009126FA" w14:paraId="711CF0C4" w14:textId="094A6A04">
      <w:pPr>
        <w:pStyle w:val="FootnoteText"/>
        <w:ind w:left="567" w:hanging="567"/>
        <w:rPr>
          <w:sz w:val="24"/>
          <w:lang w:val="lv-LV"/>
        </w:rPr>
      </w:pPr>
      <w:r w:rsidRPr="009126FA">
        <w:rPr>
          <w:rStyle w:val="FootnoteReference"/>
          <w:sz w:val="24"/>
          <w:lang w:val="lv-LV"/>
        </w:rPr>
        <w:footnoteRef/>
      </w:r>
      <w:r w:rsidRPr="009126FA" w:rsidR="009126FA">
        <w:rPr>
          <w:sz w:val="24"/>
          <w:shd w:val="clear" w:color="auto" w:fill="FFFFFF"/>
          <w:lang w:val="lv-LV"/>
        </w:rPr>
        <w:t xml:space="preserve"> </w:t>
      </w:r>
      <w:r w:rsidRPr="009126FA" w:rsidR="009126FA">
        <w:rPr>
          <w:sz w:val="24"/>
          <w:shd w:val="clear" w:color="auto" w:fill="FFFFFF"/>
          <w:lang w:val="lv-LV"/>
        </w:rPr>
        <w:tab/>
      </w:r>
      <w:r w:rsidRPr="009126FA">
        <w:rPr>
          <w:sz w:val="24"/>
          <w:shd w:val="clear" w:color="auto" w:fill="FFFFFF"/>
          <w:lang w:val="lv-LV"/>
        </w:rPr>
        <w:t xml:space="preserve">Sk., piemēram, </w:t>
      </w:r>
      <w:r w:rsidRPr="009126FA">
        <w:rPr>
          <w:i/>
          <w:iCs/>
          <w:sz w:val="24"/>
          <w:shd w:val="clear" w:color="auto" w:fill="FFFFFF"/>
          <w:lang w:val="lv-LV"/>
        </w:rPr>
        <w:t>Bonny</w:t>
      </w:r>
      <w:r w:rsidRPr="009126FA">
        <w:rPr>
          <w:sz w:val="24"/>
          <w:shd w:val="clear" w:color="auto" w:fill="FFFFFF"/>
          <w:lang w:val="lv-LV"/>
        </w:rPr>
        <w:t>,</w:t>
      </w:r>
      <w:r w:rsidRPr="009126FA">
        <w:rPr>
          <w:i/>
          <w:iCs/>
          <w:sz w:val="24"/>
          <w:shd w:val="clear" w:color="auto" w:fill="FFFFFF"/>
          <w:lang w:val="lv-LV"/>
        </w:rPr>
        <w:t xml:space="preserve"> S.</w:t>
      </w:r>
      <w:r w:rsidRPr="009126FA">
        <w:rPr>
          <w:sz w:val="24"/>
          <w:shd w:val="clear" w:color="auto" w:fill="FFFFFF"/>
          <w:lang w:val="lv-LV"/>
        </w:rPr>
        <w:t>,</w:t>
      </w:r>
      <w:r w:rsidRPr="009126FA">
        <w:rPr>
          <w:i/>
          <w:iCs/>
          <w:sz w:val="24"/>
          <w:shd w:val="clear" w:color="auto" w:fill="FFFFFF"/>
          <w:lang w:val="lv-LV"/>
        </w:rPr>
        <w:t xml:space="preserve"> </w:t>
      </w:r>
      <w:r w:rsidRPr="009126FA">
        <w:rPr>
          <w:sz w:val="24"/>
          <w:shd w:val="clear" w:color="auto" w:fill="FFFFFF"/>
          <w:lang w:val="lv-LV"/>
        </w:rPr>
        <w:t>“</w:t>
      </w:r>
      <w:r w:rsidRPr="009126FA">
        <w:rPr>
          <w:i/>
          <w:iCs/>
          <w:sz w:val="24"/>
          <w:shd w:val="clear" w:color="auto" w:fill="FFFFFF"/>
          <w:lang w:val="lv-LV"/>
        </w:rPr>
        <w:t>Genetically Modified Herbicide-Tolerant Crops, Weeds, and Herbicides:</w:t>
      </w:r>
      <w:r w:rsidRPr="009126FA">
        <w:rPr>
          <w:sz w:val="24"/>
          <w:shd w:val="clear" w:color="auto" w:fill="FFFFFF"/>
          <w:lang w:val="lv-LV"/>
        </w:rPr>
        <w:t xml:space="preserve"> </w:t>
      </w:r>
      <w:r w:rsidRPr="009126FA">
        <w:rPr>
          <w:i/>
          <w:iCs/>
          <w:sz w:val="24"/>
          <w:shd w:val="clear" w:color="auto" w:fill="FFFFFF"/>
          <w:lang w:val="lv-LV"/>
        </w:rPr>
        <w:t>Overview and Impact</w:t>
      </w:r>
      <w:r w:rsidRPr="009126FA">
        <w:rPr>
          <w:sz w:val="24"/>
          <w:shd w:val="clear" w:color="auto" w:fill="FFFFFF"/>
          <w:lang w:val="lv-LV"/>
        </w:rPr>
        <w:t xml:space="preserve">”, </w:t>
      </w:r>
      <w:r w:rsidRPr="009126FA">
        <w:rPr>
          <w:i/>
          <w:sz w:val="24"/>
          <w:shd w:val="clear" w:color="auto" w:fill="FFFFFF"/>
          <w:lang w:val="lv-LV"/>
        </w:rPr>
        <w:t>Environmental Management</w:t>
      </w:r>
      <w:r w:rsidRPr="009126FA">
        <w:rPr>
          <w:sz w:val="24"/>
          <w:shd w:val="clear" w:color="auto" w:fill="FFFFFF"/>
          <w:lang w:val="lv-LV"/>
        </w:rPr>
        <w:t xml:space="preserve">, 2016. gada janvāris, 57. sējums (1.), 31.–48. lpp., </w:t>
      </w:r>
      <w:bookmarkStart w:id="8" w:name="_Hlk104996594"/>
      <w:hyperlink r:id="rId27" w:history="1">
        <w:r w:rsidRPr="009126FA">
          <w:rPr>
            <w:rStyle w:val="Hyperlink"/>
            <w:sz w:val="24"/>
            <w:shd w:val="clear" w:color="auto" w:fill="FFFFFF"/>
            <w:lang w:val="lv-LV"/>
          </w:rPr>
          <w:t>https://doi.org/10.1007/s00267-015-0589-7</w:t>
        </w:r>
      </w:hyperlink>
      <w:r w:rsidRPr="009126FA">
        <w:rPr>
          <w:sz w:val="24"/>
          <w:shd w:val="clear" w:color="auto" w:fill="FFFFFF"/>
          <w:lang w:val="lv-LV"/>
        </w:rPr>
        <w:t xml:space="preserve"> </w:t>
      </w:r>
      <w:bookmarkEnd w:id="8"/>
      <w:r w:rsidRPr="009126FA">
        <w:rPr>
          <w:sz w:val="24"/>
          <w:shd w:val="clear" w:color="auto" w:fill="FFFFFF"/>
          <w:lang w:val="lv-LV"/>
        </w:rPr>
        <w:t xml:space="preserve">un </w:t>
      </w:r>
      <w:r w:rsidRPr="009126FA">
        <w:rPr>
          <w:i/>
          <w:iCs/>
          <w:sz w:val="24"/>
          <w:shd w:val="clear" w:color="auto" w:fill="FFFFFF"/>
          <w:lang w:val="lv-LV"/>
        </w:rPr>
        <w:t>Benbrook, C. M., “Impacts of genetically engineered crops on pesticide use in the U.S. - the first sixteen years”</w:t>
      </w:r>
      <w:r w:rsidRPr="009126FA">
        <w:rPr>
          <w:i/>
          <w:sz w:val="24"/>
          <w:shd w:val="clear" w:color="auto" w:fill="FFFFFF"/>
          <w:lang w:val="lv-LV"/>
        </w:rPr>
        <w:t>, Environmental Sciences Europe</w:t>
      </w:r>
      <w:r w:rsidRPr="009126FA">
        <w:rPr>
          <w:sz w:val="24"/>
          <w:shd w:val="clear" w:color="auto" w:fill="FFFFFF"/>
          <w:lang w:val="lv-LV"/>
        </w:rPr>
        <w:t xml:space="preserve">, 2012. gada 28. septembris, 24. sējums (1.), </w:t>
      </w:r>
      <w:hyperlink r:id="rId28" w:history="1">
        <w:r w:rsidRPr="009126FA">
          <w:rPr>
            <w:rStyle w:val="Hyperlink"/>
            <w:sz w:val="24"/>
            <w:lang w:val="lv-LV"/>
          </w:rPr>
          <w:t>https://doi.org/10.1186/2190-4715-24-24</w:t>
        </w:r>
      </w:hyperlink>
      <w:r w:rsidRPr="009126FA">
        <w:rPr>
          <w:sz w:val="24"/>
          <w:shd w:val="clear" w:color="auto" w:fill="FFFFFF"/>
          <w:lang w:val="lv-LV"/>
        </w:rPr>
        <w:t>.</w:t>
      </w:r>
    </w:p>
  </w:footnote>
  <w:footnote w:id="12">
    <w:p w:rsidR="000C5B6E" w:rsidRPr="009126FA" w:rsidP="009126FA" w14:paraId="7E4D7A0C" w14:textId="64C81301">
      <w:pPr>
        <w:pStyle w:val="FootnoteText"/>
        <w:ind w:left="567" w:hanging="567"/>
        <w:rPr>
          <w:sz w:val="24"/>
          <w:lang w:val="lv-LV"/>
        </w:rPr>
      </w:pPr>
      <w:r w:rsidRPr="009126FA">
        <w:rPr>
          <w:rStyle w:val="FootnoteReference"/>
          <w:sz w:val="24"/>
          <w:lang w:val="lv-LV"/>
        </w:rPr>
        <w:footnoteRef/>
      </w:r>
      <w:r w:rsidRPr="009126FA" w:rsidR="009126FA">
        <w:rPr>
          <w:sz w:val="24"/>
          <w:shd w:val="clear" w:color="auto" w:fill="FFFFFF"/>
          <w:lang w:val="lv-LV"/>
        </w:rPr>
        <w:t xml:space="preserve"> </w:t>
      </w:r>
      <w:r w:rsidRPr="009126FA" w:rsidR="009126FA">
        <w:rPr>
          <w:sz w:val="24"/>
          <w:shd w:val="clear" w:color="auto" w:fill="FFFFFF"/>
          <w:lang w:val="lv-LV"/>
        </w:rPr>
        <w:tab/>
      </w:r>
      <w:r w:rsidRPr="009126FA">
        <w:rPr>
          <w:sz w:val="24"/>
          <w:shd w:val="clear" w:color="auto" w:fill="FFFFFF"/>
          <w:lang w:val="lv-LV"/>
        </w:rPr>
        <w:t xml:space="preserve">Skatīt, piemēram, </w:t>
      </w:r>
      <w:bookmarkStart w:id="9" w:name="_Hlk104996780"/>
      <w:hyperlink r:id="rId29" w:history="1">
        <w:r w:rsidRPr="009126FA">
          <w:rPr>
            <w:rStyle w:val="Hyperlink"/>
            <w:sz w:val="24"/>
            <w:lang w:val="lv-LV"/>
          </w:rPr>
          <w:t>https://doi.org/10.1016/j.mrrev.2019.02.001</w:t>
        </w:r>
      </w:hyperlink>
      <w:bookmarkEnd w:id="9"/>
      <w:r w:rsidRPr="009126FA">
        <w:rPr>
          <w:sz w:val="24"/>
          <w:shd w:val="clear" w:color="auto" w:fill="FFFFFF"/>
          <w:lang w:val="lv-LV"/>
        </w:rPr>
        <w:t xml:space="preserve">, </w:t>
      </w:r>
      <w:hyperlink r:id="rId30" w:history="1">
        <w:r w:rsidRPr="009126FA">
          <w:rPr>
            <w:rStyle w:val="Hyperlink"/>
            <w:sz w:val="24"/>
            <w:lang w:val="lv-LV"/>
          </w:rPr>
          <w:t>https://doi.org/10.1093/ije/dyz017</w:t>
        </w:r>
      </w:hyperlink>
      <w:r w:rsidRPr="009126FA">
        <w:rPr>
          <w:sz w:val="24"/>
          <w:shd w:val="clear" w:color="auto" w:fill="FFFFFF"/>
          <w:lang w:val="lv-LV"/>
        </w:rPr>
        <w:t xml:space="preserve">, </w:t>
      </w:r>
      <w:hyperlink r:id="rId31" w:history="1">
        <w:r w:rsidRPr="009126FA">
          <w:rPr>
            <w:rStyle w:val="Hyperlink"/>
            <w:sz w:val="24"/>
            <w:lang w:val="lv-LV"/>
          </w:rPr>
          <w:t>https://doi.org/10.1371/journal.pone.0219610</w:t>
        </w:r>
      </w:hyperlink>
      <w:r w:rsidRPr="009126FA">
        <w:rPr>
          <w:sz w:val="24"/>
          <w:shd w:val="clear" w:color="auto" w:fill="FFFFFF"/>
          <w:lang w:val="lv-LV"/>
        </w:rPr>
        <w:t xml:space="preserve"> un </w:t>
      </w:r>
      <w:hyperlink r:id="rId32" w:history="1">
        <w:r w:rsidRPr="009126FA">
          <w:rPr>
            <w:rStyle w:val="Hyperlink"/>
            <w:sz w:val="24"/>
            <w:lang w:val="lv-LV"/>
          </w:rPr>
          <w:t>https://doi.org/10.1186/s13045-019-0767-9</w:t>
        </w:r>
      </w:hyperlink>
      <w:r w:rsidRPr="009126FA">
        <w:rPr>
          <w:sz w:val="24"/>
          <w:shd w:val="clear" w:color="auto" w:fill="FFFFFF"/>
          <w:lang w:val="lv-LV"/>
        </w:rPr>
        <w:t>.</w:t>
      </w:r>
    </w:p>
  </w:footnote>
  <w:footnote w:id="13">
    <w:p w:rsidR="000C5B6E" w:rsidRPr="009126FA" w:rsidP="009126FA" w14:paraId="7D501F75" w14:textId="674FD800">
      <w:pPr>
        <w:pStyle w:val="FootnoteText"/>
        <w:ind w:left="567" w:hanging="567"/>
        <w:rPr>
          <w:sz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hyperlink r:id="rId33" w:tgtFrame="_blank" w:tooltip="Pastāvīga saite, izmantojot digitālo objekta identifikatoru" w:history="1">
        <w:r w:rsidRPr="009126FA">
          <w:rPr>
            <w:rStyle w:val="Hyperlink"/>
            <w:sz w:val="24"/>
            <w:lang w:val="lv-LV"/>
          </w:rPr>
          <w:t>https://doi.org/10.1006/rtph.1999.1371</w:t>
        </w:r>
      </w:hyperlink>
      <w:r w:rsidRPr="009126FA">
        <w:rPr>
          <w:sz w:val="24"/>
          <w:lang w:val="lv-LV"/>
        </w:rPr>
        <w:t>.</w:t>
      </w:r>
    </w:p>
  </w:footnote>
  <w:footnote w:id="14">
    <w:p w:rsidR="000C5B6E" w:rsidRPr="009126FA" w:rsidP="009126FA" w14:paraId="05D3CA83" w14:textId="6267291F">
      <w:pPr>
        <w:pStyle w:val="FootnoteText"/>
        <w:ind w:left="567" w:hanging="567"/>
        <w:rPr>
          <w:sz w:val="24"/>
          <w:szCs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 xml:space="preserve">Tas konkrēti attiecas uz glifozātu, kā norādīts </w:t>
      </w:r>
      <w:r w:rsidRPr="009126FA">
        <w:rPr>
          <w:i/>
          <w:iCs/>
          <w:sz w:val="24"/>
          <w:lang w:val="lv-LV"/>
        </w:rPr>
        <w:t>EFSA</w:t>
      </w:r>
      <w:r w:rsidRPr="009126FA">
        <w:rPr>
          <w:sz w:val="24"/>
          <w:lang w:val="lv-LV"/>
        </w:rPr>
        <w:t xml:space="preserve"> publikācijā “</w:t>
      </w:r>
      <w:r w:rsidRPr="009126FA">
        <w:rPr>
          <w:i/>
          <w:iCs/>
          <w:sz w:val="24"/>
          <w:lang w:val="lv-LV"/>
        </w:rPr>
        <w:t>Review of the existing maximum residue levels for glyphosate according to Article 12 of Regulation (EC) No 396/2005</w:t>
      </w:r>
      <w:r w:rsidRPr="009126FA">
        <w:rPr>
          <w:sz w:val="24"/>
          <w:lang w:val="lv-LV"/>
        </w:rPr>
        <w:t xml:space="preserve">” (Pārskats par pašreizējo glifozāta maksimālo atlieku līmeni saskaņā ar Regulas (EK) Nr. 396/2005 12. pantu), </w:t>
      </w:r>
      <w:r w:rsidRPr="009126FA">
        <w:rPr>
          <w:i/>
          <w:iCs/>
          <w:sz w:val="24"/>
          <w:lang w:val="lv-LV"/>
        </w:rPr>
        <w:t>EFSA Journal</w:t>
      </w:r>
      <w:r w:rsidRPr="009126FA">
        <w:rPr>
          <w:sz w:val="24"/>
          <w:lang w:val="lv-LV"/>
        </w:rPr>
        <w:t xml:space="preserve">, 2018. gads, 16(5):5263, 12. lpp., </w:t>
      </w:r>
      <w:hyperlink r:id="rId34" w:history="1">
        <w:r w:rsidRPr="009126FA">
          <w:rPr>
            <w:rStyle w:val="Hyperlink"/>
            <w:color w:val="123D80"/>
            <w:sz w:val="24"/>
            <w:shd w:val="clear" w:color="auto" w:fill="FFFFFF"/>
            <w:lang w:val="lv-LV"/>
          </w:rPr>
          <w:t>https://doi.org/10.2903/j.efsa.2018.5263</w:t>
        </w:r>
      </w:hyperlink>
      <w:r w:rsidRPr="009126FA">
        <w:rPr>
          <w:sz w:val="24"/>
          <w:shd w:val="clear" w:color="auto" w:fill="FFFFFF"/>
          <w:lang w:val="lv-LV"/>
        </w:rPr>
        <w:t>.</w:t>
      </w:r>
    </w:p>
  </w:footnote>
  <w:footnote w:id="15">
    <w:p w:rsidR="000C5B6E" w:rsidRPr="009126FA" w:rsidP="009126FA" w14:paraId="290CB292" w14:textId="11B72F80">
      <w:pPr>
        <w:pStyle w:val="FootnoteText"/>
        <w:ind w:left="567" w:hanging="567"/>
        <w:rPr>
          <w:sz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OV L 282, 19.10.2016., 4. lpp.</w:t>
      </w:r>
    </w:p>
  </w:footnote>
  <w:footnote w:id="16">
    <w:p w:rsidR="000C5B6E" w:rsidRPr="009126FA" w:rsidP="009126FA" w14:paraId="672B609B" w14:textId="6B62ED95">
      <w:pPr>
        <w:pStyle w:val="FootnoteText"/>
        <w:ind w:left="567" w:hanging="567"/>
        <w:rPr>
          <w:sz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OV L 309, 13.12.1993., 3. lpp., ELI: </w:t>
      </w:r>
      <w:hyperlink r:id="rId35" w:tooltip="Nodrošina piekļuvi šim dokumentam pēc tā ELI URI." w:history="1">
        <w:r w:rsidRPr="009126FA">
          <w:rPr>
            <w:rStyle w:val="Hyperlink"/>
            <w:sz w:val="24"/>
            <w:lang w:val="lv-LV"/>
          </w:rPr>
          <w:t>http://data.europa.eu/eli/convention/1993/626/oj</w:t>
        </w:r>
      </w:hyperlink>
      <w:r w:rsidRPr="009126FA">
        <w:rPr>
          <w:sz w:val="24"/>
          <w:lang w:val="lv-LV"/>
        </w:rPr>
        <w:t>.</w:t>
      </w:r>
    </w:p>
  </w:footnote>
  <w:footnote w:id="17">
    <w:p w:rsidR="000C5B6E" w:rsidRPr="009126FA" w:rsidP="009126FA" w14:paraId="062604C9" w14:textId="54CAF5FD">
      <w:pPr>
        <w:pStyle w:val="FootnoteText"/>
        <w:ind w:left="567" w:hanging="567"/>
        <w:rPr>
          <w:sz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ANO Konvencijas par bioloģisko daudzveidību Pušu konferences 15. sesijā 2022. gada decembrī tika panākta vienošanās par globālu biodaudzveidības satvaru, kas ietver vispārēju mērķi līdz 2030. gadam vismaz par 50 % samazināt pesticīdu radīto apdraudējumu (sk.</w:t>
      </w:r>
      <w:r w:rsidRPr="009126FA">
        <w:rPr>
          <w:color w:val="000000" w:themeColor="text1"/>
          <w:sz w:val="24"/>
          <w:lang w:val="lv-LV"/>
        </w:rPr>
        <w:t xml:space="preserve"> </w:t>
      </w:r>
      <w:hyperlink r:id="rId36" w:history="1">
        <w:r w:rsidRPr="009126FA">
          <w:rPr>
            <w:rStyle w:val="Hyperlink"/>
            <w:sz w:val="24"/>
            <w:lang w:val="lv-LV"/>
          </w:rPr>
          <w:t>https://ec.europa.eu/commission/presscorner/detail/lv/ip_22_7834</w:t>
        </w:r>
      </w:hyperlink>
      <w:r w:rsidRPr="009126FA">
        <w:rPr>
          <w:sz w:val="24"/>
          <w:lang w:val="lv-LV"/>
        </w:rPr>
        <w:t>).</w:t>
      </w:r>
    </w:p>
  </w:footnote>
  <w:footnote w:id="18">
    <w:p w:rsidR="000C5B6E" w:rsidRPr="009126FA" w:rsidP="009126FA" w14:paraId="7B924AC3" w14:textId="3C547993">
      <w:pPr>
        <w:pStyle w:val="FootnoteText"/>
        <w:ind w:left="567" w:hanging="567"/>
        <w:rPr>
          <w:sz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hyperlink r:id="rId37" w:history="1">
        <w:r w:rsidRPr="009126FA">
          <w:rPr>
            <w:rStyle w:val="Hyperlink"/>
            <w:sz w:val="24"/>
            <w:lang w:val="lv-LV"/>
          </w:rPr>
          <w:t>https://commission.europa.eu/topics/agriculture-and-rural-development/strategic-dialogue-future-eu-agriculture_lv</w:t>
        </w:r>
      </w:hyperlink>
      <w:r w:rsidRPr="009126FA">
        <w:rPr>
          <w:rStyle w:val="Hyperlink"/>
          <w:sz w:val="24"/>
          <w:lang w:val="lv-LV"/>
        </w:rPr>
        <w:t>;</w:t>
      </w:r>
    </w:p>
  </w:footnote>
  <w:footnote w:id="19">
    <w:p w:rsidR="000C5B6E" w:rsidRPr="009126FA" w:rsidP="009126FA" w14:paraId="364B2070" w14:textId="27C14F55">
      <w:pPr>
        <w:pStyle w:val="FootnoteText"/>
        <w:ind w:left="567" w:hanging="567"/>
        <w:rPr>
          <w:sz w:val="24"/>
          <w:szCs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r w:rsidRPr="009126FA">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38" w:tgtFrame="Gives access to this document through its ELI URI." w:history="1">
        <w:r w:rsidRPr="009126FA">
          <w:rPr>
            <w:rStyle w:val="Hyperlink"/>
            <w:color w:val="0070C0"/>
            <w:sz w:val="24"/>
            <w:lang w:val="lv-LV"/>
          </w:rPr>
          <w:t>http://data.europa.eu/eli/reg/2002/178/oj</w:t>
        </w:r>
      </w:hyperlink>
      <w:r w:rsidRPr="009126FA">
        <w:rPr>
          <w:sz w:val="24"/>
          <w:lang w:val="lv-LV"/>
        </w:rPr>
        <w:t>).</w:t>
      </w:r>
    </w:p>
  </w:footnote>
  <w:footnote w:id="20">
    <w:p w:rsidR="000C5B6E" w:rsidRPr="009126FA" w:rsidP="009126FA" w14:paraId="7B283D6E" w14:textId="3504D450">
      <w:pPr>
        <w:pStyle w:val="FootnoteText"/>
        <w:ind w:left="567" w:hanging="567"/>
        <w:rPr>
          <w:sz w:val="24"/>
          <w:szCs w:val="24"/>
          <w:lang w:val="lv-LV"/>
        </w:rPr>
      </w:pPr>
      <w:r w:rsidRPr="009126FA">
        <w:rPr>
          <w:rStyle w:val="FootnoteReference"/>
          <w:sz w:val="24"/>
          <w:lang w:val="lv-LV"/>
        </w:rPr>
        <w:footnoteRef/>
      </w:r>
      <w:r w:rsidRPr="009126FA" w:rsidR="009126FA">
        <w:rPr>
          <w:sz w:val="24"/>
          <w:lang w:val="lv-LV"/>
        </w:rPr>
        <w:t xml:space="preserve"> </w:t>
      </w:r>
      <w:r w:rsidRPr="009126FA" w:rsidR="009126FA">
        <w:rPr>
          <w:sz w:val="24"/>
          <w:lang w:val="lv-LV"/>
        </w:rPr>
        <w:tab/>
      </w:r>
      <w:hyperlink r:id="rId39" w:history="1">
        <w:r w:rsidRPr="009126FA">
          <w:rPr>
            <w:rStyle w:val="Hyperlink"/>
            <w:sz w:val="24"/>
            <w:shd w:val="clear" w:color="auto" w:fill="FFFFFF"/>
            <w:lang w:val="lv-LV"/>
          </w:rPr>
          <w:t>https://tillymetz.lu/wp-content/uploads/2020/09/Co-signed-letter-MEP-Metz.pdf</w:t>
        </w:r>
      </w:hyperlink>
      <w:r w:rsidRPr="009126FA">
        <w:rPr>
          <w:sz w:val="24"/>
          <w:shd w:val="clear" w:color="auto" w:fill="FFFFFF"/>
          <w:lang w:val="lv-LV"/>
        </w:rPr>
        <w:t>.</w:t>
      </w:r>
    </w:p>
  </w:footnote>
  <w:footnote w:id="21">
    <w:p w:rsidR="000C5B6E" w:rsidRPr="009126FA" w:rsidP="009126FA" w14:paraId="51C98F82" w14:textId="4DABA008">
      <w:pPr>
        <w:pStyle w:val="FootnoteText"/>
        <w:ind w:left="567" w:hanging="567"/>
        <w:rPr>
          <w:sz w:val="24"/>
          <w:lang w:val="lv-LV"/>
        </w:rPr>
      </w:pPr>
      <w:r w:rsidRPr="009126FA">
        <w:rPr>
          <w:rStyle w:val="FootnoteReference"/>
          <w:sz w:val="24"/>
          <w:lang w:val="lv-LV"/>
        </w:rPr>
        <w:footnoteRef/>
      </w:r>
      <w:r w:rsidRPr="009126FA" w:rsidR="009126FA">
        <w:rPr>
          <w:sz w:val="24"/>
          <w:shd w:val="clear" w:color="auto" w:fill="FFFFFF"/>
          <w:lang w:val="lv-LV"/>
        </w:rPr>
        <w:t xml:space="preserve"> </w:t>
      </w:r>
      <w:r w:rsidRPr="009126FA" w:rsidR="009126FA">
        <w:rPr>
          <w:sz w:val="24"/>
          <w:shd w:val="clear" w:color="auto" w:fill="FFFFFF"/>
          <w:lang w:val="lv-LV"/>
        </w:rPr>
        <w:tab/>
      </w:r>
      <w:r w:rsidRPr="009126FA">
        <w:rPr>
          <w:sz w:val="24"/>
          <w:shd w:val="clear" w:color="auto" w:fill="FFFFFF"/>
          <w:lang w:val="lv-LV"/>
        </w:rPr>
        <w:t>Eiropas Parlamenta 2020. gada 15. janvāra rezolūcija par Eiropas zaļo kursu (OV C 270, 7.7.2021., 2. lpp.), 102. punkts.</w:t>
      </w:r>
    </w:p>
  </w:footnote>
  <w:footnote w:id="22">
    <w:p w:rsidR="000C5B6E" w:rsidRPr="009126FA" w:rsidP="009126FA" w14:paraId="3C935375" w14:textId="5D0938C8">
      <w:pPr>
        <w:pStyle w:val="FootnoteText"/>
        <w:ind w:left="567" w:hanging="567"/>
        <w:rPr>
          <w:sz w:val="24"/>
          <w:szCs w:val="24"/>
          <w:lang w:val="lv-LV"/>
        </w:rPr>
      </w:pPr>
      <w:r w:rsidRPr="009126FA">
        <w:rPr>
          <w:rStyle w:val="FootnoteReference"/>
          <w:sz w:val="24"/>
          <w:lang w:val="lv-LV"/>
        </w:rPr>
        <w:footnoteRef/>
      </w:r>
      <w:r w:rsidRPr="009126FA" w:rsidR="009126FA">
        <w:rPr>
          <w:sz w:val="24"/>
          <w:shd w:val="clear" w:color="auto" w:fill="FFFFFF"/>
          <w:lang w:val="lv-LV"/>
        </w:rPr>
        <w:t xml:space="preserve"> </w:t>
      </w:r>
      <w:r w:rsidRPr="009126FA" w:rsidR="009126FA">
        <w:rPr>
          <w:sz w:val="24"/>
          <w:shd w:val="clear" w:color="auto" w:fill="FFFFFF"/>
          <w:lang w:val="lv-LV"/>
        </w:rPr>
        <w:tab/>
      </w:r>
      <w:r w:rsidRPr="009126FA">
        <w:rPr>
          <w:sz w:val="24"/>
          <w:shd w:val="clear" w:color="auto" w:fill="FFFFFF"/>
          <w:lang w:val="lv-LV"/>
        </w:rPr>
        <w:t>OV C 445, 29.10.2021., 257.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26FA" w14:paraId="5554C40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26FA" w14:paraId="2FCCE1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26FA" w14:paraId="61B152E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0264113">
    <w:abstractNumId w:val="9"/>
  </w:num>
  <w:num w:numId="2" w16cid:durableId="1462918208">
    <w:abstractNumId w:val="9"/>
  </w:num>
  <w:num w:numId="3" w16cid:durableId="1075594522">
    <w:abstractNumId w:val="7"/>
  </w:num>
  <w:num w:numId="4" w16cid:durableId="351803558">
    <w:abstractNumId w:val="7"/>
  </w:num>
  <w:num w:numId="5" w16cid:durableId="189299875">
    <w:abstractNumId w:val="6"/>
  </w:num>
  <w:num w:numId="6" w16cid:durableId="1891989333">
    <w:abstractNumId w:val="6"/>
  </w:num>
  <w:num w:numId="7" w16cid:durableId="1458571785">
    <w:abstractNumId w:val="5"/>
  </w:num>
  <w:num w:numId="8" w16cid:durableId="269437794">
    <w:abstractNumId w:val="5"/>
  </w:num>
  <w:num w:numId="9" w16cid:durableId="293174522">
    <w:abstractNumId w:val="4"/>
  </w:num>
  <w:num w:numId="10" w16cid:durableId="1005328936">
    <w:abstractNumId w:val="4"/>
  </w:num>
  <w:num w:numId="11" w16cid:durableId="75825184">
    <w:abstractNumId w:val="8"/>
  </w:num>
  <w:num w:numId="12" w16cid:durableId="259066113">
    <w:abstractNumId w:val="8"/>
  </w:num>
  <w:num w:numId="13" w16cid:durableId="849293758">
    <w:abstractNumId w:val="3"/>
  </w:num>
  <w:num w:numId="14" w16cid:durableId="577836211">
    <w:abstractNumId w:val="3"/>
  </w:num>
  <w:num w:numId="15" w16cid:durableId="1588808649">
    <w:abstractNumId w:val="2"/>
  </w:num>
  <w:num w:numId="16" w16cid:durableId="1386099254">
    <w:abstractNumId w:val="2"/>
  </w:num>
  <w:num w:numId="17" w16cid:durableId="2125923915">
    <w:abstractNumId w:val="1"/>
  </w:num>
  <w:num w:numId="18" w16cid:durableId="82995254">
    <w:abstractNumId w:val="1"/>
  </w:num>
  <w:num w:numId="19" w16cid:durableId="1025911069">
    <w:abstractNumId w:val="0"/>
  </w:num>
  <w:num w:numId="20" w16cid:durableId="361058754">
    <w:abstractNumId w:val="0"/>
  </w:num>
  <w:num w:numId="21" w16cid:durableId="83963968">
    <w:abstractNumId w:val="9"/>
  </w:num>
  <w:num w:numId="22" w16cid:durableId="1238055657">
    <w:abstractNumId w:val="7"/>
  </w:num>
  <w:num w:numId="23" w16cid:durableId="1814253681">
    <w:abstractNumId w:val="6"/>
  </w:num>
  <w:num w:numId="24" w16cid:durableId="1908222938">
    <w:abstractNumId w:val="5"/>
  </w:num>
  <w:num w:numId="25" w16cid:durableId="1884561084">
    <w:abstractNumId w:val="4"/>
  </w:num>
  <w:num w:numId="26" w16cid:durableId="2060782561">
    <w:abstractNumId w:val="8"/>
  </w:num>
  <w:num w:numId="27" w16cid:durableId="615987329">
    <w:abstractNumId w:val="3"/>
  </w:num>
  <w:num w:numId="28" w16cid:durableId="667486656">
    <w:abstractNumId w:val="2"/>
  </w:num>
  <w:num w:numId="29" w16cid:durableId="1087994737">
    <w:abstractNumId w:val="1"/>
  </w:num>
  <w:num w:numId="30" w16cid:durableId="871842914">
    <w:abstractNumId w:val="0"/>
  </w:num>
  <w:num w:numId="31" w16cid:durableId="1423187227">
    <w:abstractNumId w:val="9"/>
  </w:num>
  <w:num w:numId="32" w16cid:durableId="270864771">
    <w:abstractNumId w:val="7"/>
  </w:num>
  <w:num w:numId="33" w16cid:durableId="1755666656">
    <w:abstractNumId w:val="6"/>
  </w:num>
  <w:num w:numId="34" w16cid:durableId="47346715">
    <w:abstractNumId w:val="5"/>
  </w:num>
  <w:num w:numId="35" w16cid:durableId="1317952259">
    <w:abstractNumId w:val="4"/>
  </w:num>
  <w:num w:numId="36" w16cid:durableId="844827818">
    <w:abstractNumId w:val="8"/>
  </w:num>
  <w:num w:numId="37" w16cid:durableId="1822430561">
    <w:abstractNumId w:val="3"/>
  </w:num>
  <w:num w:numId="38" w16cid:durableId="1882279932">
    <w:abstractNumId w:val="2"/>
  </w:num>
  <w:num w:numId="39" w16cid:durableId="250314110">
    <w:abstractNumId w:val="1"/>
  </w:num>
  <w:num w:numId="40" w16cid:durableId="1146508486">
    <w:abstractNumId w:val="0"/>
  </w:num>
  <w:num w:numId="41" w16cid:durableId="103156860">
    <w:abstractNumId w:val="10"/>
  </w:num>
  <w:num w:numId="42" w16cid:durableId="1976837279">
    <w:abstractNumId w:val="10"/>
  </w:num>
  <w:num w:numId="43" w16cid:durableId="50620992">
    <w:abstractNumId w:val="10"/>
  </w:num>
  <w:num w:numId="44" w16cid:durableId="335042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1E"/>
    <w:rsid w:val="00002272"/>
    <w:rsid w:val="00064002"/>
    <w:rsid w:val="000677B9"/>
    <w:rsid w:val="000831BA"/>
    <w:rsid w:val="000A42CC"/>
    <w:rsid w:val="000C5B6E"/>
    <w:rsid w:val="000E7DD9"/>
    <w:rsid w:val="0010095E"/>
    <w:rsid w:val="00125B37"/>
    <w:rsid w:val="00187494"/>
    <w:rsid w:val="001F32AE"/>
    <w:rsid w:val="002034CC"/>
    <w:rsid w:val="002767FF"/>
    <w:rsid w:val="002B18FE"/>
    <w:rsid w:val="002B5493"/>
    <w:rsid w:val="002B7A9A"/>
    <w:rsid w:val="00343214"/>
    <w:rsid w:val="003461C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B8B"/>
    <w:rsid w:val="006037C0"/>
    <w:rsid w:val="006631B6"/>
    <w:rsid w:val="00680577"/>
    <w:rsid w:val="006F74FA"/>
    <w:rsid w:val="00730DD0"/>
    <w:rsid w:val="00731ADD"/>
    <w:rsid w:val="00734777"/>
    <w:rsid w:val="00747932"/>
    <w:rsid w:val="00751A4A"/>
    <w:rsid w:val="00756632"/>
    <w:rsid w:val="00762C74"/>
    <w:rsid w:val="00786EC0"/>
    <w:rsid w:val="007D1690"/>
    <w:rsid w:val="007E22AD"/>
    <w:rsid w:val="007F3847"/>
    <w:rsid w:val="00817416"/>
    <w:rsid w:val="0083311E"/>
    <w:rsid w:val="00842779"/>
    <w:rsid w:val="00853DEE"/>
    <w:rsid w:val="00865F67"/>
    <w:rsid w:val="00877A3B"/>
    <w:rsid w:val="00881A7B"/>
    <w:rsid w:val="008840E5"/>
    <w:rsid w:val="00887B3E"/>
    <w:rsid w:val="008C2AC6"/>
    <w:rsid w:val="009126FA"/>
    <w:rsid w:val="00930C23"/>
    <w:rsid w:val="0093193B"/>
    <w:rsid w:val="009509D8"/>
    <w:rsid w:val="00950B64"/>
    <w:rsid w:val="00981893"/>
    <w:rsid w:val="009A2577"/>
    <w:rsid w:val="00A1687D"/>
    <w:rsid w:val="00A226E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4B5"/>
    <w:rsid w:val="00D56C11"/>
    <w:rsid w:val="00D70E6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4/2026"/>
    <w:docVar w:name="dvlangue" w:val="LV"/>
    <w:docVar w:name="dvnumam" w:val="0"/>
    <w:docVar w:name="dvpe" w:val="789.024"/>
    <w:docVar w:name="dvtitre" w:val="Eiropas Parlamenta 2026. gada XX. XXX  rezolūcija par projektu Komisijas īstenošanas lēmumam, ar kuru atbilstoši Eiropas Parlamenta un Padomes Regulai (EK) Nr. 1829/2003 atjauno atļauju laist tirgū produktus, kas satur ģenētiski modificētas sojas pupas MON 87705, sastāv vai ir ražoti no tām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4C642D3"/>
  <w15:chartTrackingRefBased/>
  <w15:docId w15:val="{33F9A114-1C9D-4987-AC0E-B6EDAF32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5B6E"/>
    <w:pPr>
      <w:spacing w:before="480" w:after="240"/>
    </w:pPr>
  </w:style>
  <w:style w:type="paragraph" w:customStyle="1" w:styleId="NormalHanging12a">
    <w:name w:val="NormalHanging12a"/>
    <w:basedOn w:val="Normal"/>
    <w:qFormat/>
    <w:rsid w:val="000C5B6E"/>
    <w:pPr>
      <w:spacing w:after="240"/>
      <w:ind w:left="567" w:hanging="567"/>
    </w:pPr>
  </w:style>
  <w:style w:type="paragraph" w:customStyle="1" w:styleId="NormalBold">
    <w:name w:val="NormalBold"/>
    <w:basedOn w:val="Normal"/>
    <w:rsid w:val="000C5B6E"/>
    <w:rPr>
      <w:b/>
    </w:rPr>
  </w:style>
  <w:style w:type="character" w:styleId="Hyperlink">
    <w:name w:val="Hyperlink"/>
    <w:basedOn w:val="DefaultParagraphFont"/>
    <w:uiPriority w:val="99"/>
    <w:rsid w:val="000C5B6E"/>
    <w:rPr>
      <w:color w:val="0563C1" w:themeColor="hyperlink"/>
      <w:u w:val="single"/>
    </w:rPr>
  </w:style>
  <w:style w:type="character" w:customStyle="1" w:styleId="Funotenzeichen">
    <w:name w:val="Fußnotenzeichen"/>
    <w:basedOn w:val="DefaultParagraphFont"/>
    <w:uiPriority w:val="99"/>
    <w:qFormat/>
    <w:rsid w:val="000C5B6E"/>
    <w:rPr>
      <w:rFonts w:cs="Times New Roman"/>
      <w:vertAlign w:val="superscript"/>
    </w:rPr>
  </w:style>
  <w:style w:type="paragraph" w:styleId="Revision">
    <w:name w:val="Revision"/>
    <w:hidden/>
    <w:uiPriority w:val="99"/>
    <w:semiHidden/>
    <w:rsid w:val="00A226EA"/>
    <w:rPr>
      <w:sz w:val="24"/>
      <w:lang w:val="lv-LV"/>
    </w:rPr>
  </w:style>
  <w:style w:type="character" w:styleId="FollowedHyperlink">
    <w:name w:val="FollowedHyperlink"/>
    <w:basedOn w:val="DefaultParagraphFont"/>
    <w:rsid w:val="002B7A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s://eur-lex.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lv/ip_22_7834" TargetMode="External" /><Relationship Id="rId37" Type="http://schemas.openxmlformats.org/officeDocument/2006/relationships/hyperlink" Target="https://commission.europa.eu/topics/agriculture-and-rural-development/strategic-dialogue-future-eu-agriculture_lv"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1783</Words>
  <Characters>11370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2026-09-03T15:53:00Z</dcterms:created>
  <dcterms:modified xsi:type="dcterms:W3CDTF">2026-09-03T15:53:00Z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B10-0334/2026</vt:lpwstr>
  </property>
  <property fmtid="{D5CDD505-2E9C-101B-9397-08002B2CF9AE}" pid="4" name="&lt;Type&gt;">
    <vt:lpwstr>RR</vt:lpwstr>
  </property>
</Properties>
</file>