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EB06E6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10B8" w:rsidP="0010095E" w14:paraId="3D420B6B" w14:textId="77777777">
            <w:pPr>
              <w:pStyle w:val="EPName"/>
            </w:pPr>
            <w:r w:rsidRPr="007810B8">
              <w:t>Parlament Ewropew</w:t>
            </w:r>
          </w:p>
          <w:p w:rsidR="00751A4A" w:rsidRPr="007810B8" w:rsidP="005F1B17" w14:paraId="29BCE8D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10B8">
              <w:t>2024</w:t>
            </w:r>
            <w:r w:rsidRPr="007810B8" w:rsidR="00817416">
              <w:t>-202</w:t>
            </w:r>
            <w:r w:rsidRPr="007810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810B8" w:rsidP="0010095E" w14:paraId="4F3CE881" w14:textId="77777777">
            <w:pPr>
              <w:pStyle w:val="EPLogo"/>
            </w:pPr>
            <w:r w:rsidRPr="007810B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10B8" w:rsidP="004C5D52" w14:paraId="0187976C" w14:textId="77777777">
      <w:pPr>
        <w:pStyle w:val="LineTop"/>
      </w:pPr>
    </w:p>
    <w:p w:rsidR="00680577" w:rsidRPr="007810B8" w:rsidP="00680577" w14:paraId="49C8BA6A" w14:textId="77777777">
      <w:pPr>
        <w:pStyle w:val="EPBodyTA1"/>
      </w:pPr>
      <w:r w:rsidRPr="007810B8">
        <w:t>TESTI ADOTTATI</w:t>
      </w:r>
    </w:p>
    <w:p w:rsidR="00D058B8" w:rsidRPr="007810B8" w:rsidP="00D058B8" w14:paraId="34A4467B" w14:textId="77777777">
      <w:pPr>
        <w:pStyle w:val="LineBottom"/>
      </w:pPr>
    </w:p>
    <w:p w:rsidR="007723AA" w:rsidRPr="007810B8" w:rsidP="007723AA" w14:paraId="1D30B70D" w14:textId="1BE8C645">
      <w:pPr>
        <w:pStyle w:val="ATHeading1"/>
      </w:pPr>
      <w:bookmarkStart w:id="0" w:name="TANumber"/>
      <w:r w:rsidRPr="007810B8">
        <w:t>P10_TA(2026)0</w:t>
      </w:r>
      <w:r w:rsidR="00EA3DAD">
        <w:t>264</w:t>
      </w:r>
      <w:bookmarkEnd w:id="0"/>
    </w:p>
    <w:p w:rsidR="007723AA" w:rsidRPr="007810B8" w:rsidP="007723AA" w14:paraId="70EB2372" w14:textId="77777777">
      <w:pPr>
        <w:pStyle w:val="ATHeading2"/>
      </w:pPr>
      <w:bookmarkStart w:id="1" w:name="title"/>
      <w:r w:rsidRPr="007810B8">
        <w:t xml:space="preserve">Oġġezzjoni skont l-Artikolu 115(2) u (3) tar-Regoli ta’ Proċedura: fażola </w:t>
      </w:r>
      <w:r w:rsidRPr="007810B8">
        <w:t>tas-sojja</w:t>
      </w:r>
      <w:r w:rsidRPr="007810B8">
        <w:t xml:space="preserve"> ġenetikament modifikata MON 87705</w:t>
      </w:r>
      <w:bookmarkEnd w:id="1"/>
    </w:p>
    <w:p w:rsidR="007723AA" w:rsidRPr="007810B8" w:rsidP="007723AA" w14:paraId="07BBAF53" w14:textId="77777777">
      <w:pPr>
        <w:rPr>
          <w:i/>
          <w:vanish/>
        </w:rPr>
      </w:pPr>
      <w:r>
        <w:rPr>
          <w:i/>
        </w:rPr>
        <w:fldChar w:fldCharType="begin"/>
      </w:r>
      <w:r w:rsidRPr="007810B8">
        <w:rPr>
          <w:i/>
        </w:rPr>
        <w:instrText xml:space="preserve"> TC"(</w:instrText>
      </w:r>
      <w:bookmarkStart w:id="2" w:name="DocNumber"/>
      <w:r w:rsidRPr="007810B8">
        <w:rPr>
          <w:i/>
        </w:rPr>
        <w:instrText>B10-0334/2026</w:instrText>
      </w:r>
      <w:bookmarkEnd w:id="2"/>
      <w:r w:rsidRPr="007810B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723AA" w:rsidRPr="007810B8" w:rsidP="007723AA" w14:paraId="4641ADA3" w14:textId="77777777">
      <w:pPr>
        <w:rPr>
          <w:vanish/>
        </w:rPr>
      </w:pPr>
      <w:bookmarkStart w:id="3" w:name="PE"/>
      <w:r w:rsidRPr="007810B8">
        <w:rPr>
          <w:vanish/>
        </w:rPr>
        <w:t>PE789.024</w:t>
      </w:r>
      <w:bookmarkEnd w:id="3"/>
    </w:p>
    <w:p w:rsidR="007723AA" w:rsidRPr="007810B8" w:rsidP="00394DA7" w14:paraId="395F2B68" w14:textId="64CC7EF0">
      <w:pPr>
        <w:pStyle w:val="ATHeading3"/>
      </w:pPr>
      <w:bookmarkStart w:id="4" w:name="Sujet"/>
      <w:r w:rsidRPr="007810B8">
        <w:t xml:space="preserve">Riżoluzzjoni tal-Parlament Ewropew </w:t>
      </w:r>
      <w:r w:rsidR="00394DA7">
        <w:t>tat-8 ta’ Lulju</w:t>
      </w:r>
      <w:r w:rsidRPr="007810B8">
        <w:t xml:space="preserve"> 2026 dwar l-abbozz ta’ Deċiżjoni ta’ Implimentazzjoni tal-Kummissjoni </w:t>
      </w:r>
      <w:r w:rsidR="00394DA7">
        <w:t xml:space="preserve">(UE) 2026/1419 tad-29 ta’ Ġunju 2026 </w:t>
      </w:r>
      <w:r w:rsidRPr="007810B8">
        <w:t xml:space="preserve">li ġġedded l-awtorizzazzjoni għat-tqegħid fis-suq ta’ prodotti li fihom il-fażola </w:t>
      </w:r>
      <w:r w:rsidRPr="007810B8">
        <w:t>tas-sojja</w:t>
      </w:r>
      <w:r w:rsidRPr="007810B8">
        <w:t xml:space="preserve"> ġenetikament modifikata MON 87705, li jikkonsistu minnha jew li huma prodotti minnha, skont ir-Regolament (KE) Nru 1829/2003 tal-Parlament Ewropew u tal-Kunsill </w:t>
      </w:r>
      <w:bookmarkStart w:id="5" w:name="References"/>
      <w:bookmarkEnd w:id="4"/>
      <w:r w:rsidRPr="007810B8">
        <w:t>(2026/2747(RSP))</w:t>
      </w:r>
      <w:bookmarkEnd w:id="5"/>
    </w:p>
    <w:p w:rsidR="001B047C" w:rsidRPr="007810B8" w:rsidP="001B047C" w14:paraId="7FBA0A00" w14:textId="77777777">
      <w:pPr>
        <w:pStyle w:val="EPComma"/>
      </w:pPr>
      <w:bookmarkStart w:id="6" w:name="TextBodyBegin"/>
      <w:bookmarkEnd w:id="6"/>
      <w:r w:rsidRPr="007810B8">
        <w:rPr>
          <w:i/>
          <w:iCs/>
        </w:rPr>
        <w:t>Il-Parlament Ewropew</w:t>
      </w:r>
      <w:r w:rsidRPr="007810B8">
        <w:t>,</w:t>
      </w:r>
    </w:p>
    <w:p w:rsidR="001B047C" w:rsidRPr="007810B8" w:rsidP="001B047C" w14:paraId="1F1EA3A1" w14:textId="259B25C5">
      <w:pPr>
        <w:pStyle w:val="NormalHanging12a"/>
      </w:pPr>
      <w:r w:rsidRPr="007810B8">
        <w:t>–</w:t>
      </w:r>
      <w:r w:rsidRPr="007810B8">
        <w:tab/>
        <w:t xml:space="preserve">wara li kkunsidra </w:t>
      </w:r>
      <w:r w:rsidR="00394DA7">
        <w:t>d-D</w:t>
      </w:r>
      <w:r w:rsidRPr="007810B8">
        <w:t xml:space="preserve">eċiżjoni ta’ </w:t>
      </w:r>
      <w:r w:rsidR="00394DA7">
        <w:t>I</w:t>
      </w:r>
      <w:r w:rsidRPr="007810B8">
        <w:t xml:space="preserve">mplimentazzjoni tal-Kummissjoni </w:t>
      </w:r>
      <w:r w:rsidR="00394DA7">
        <w:t xml:space="preserve">(UE) 2026/1419 tad-29 ta’ Ġunju 2026 </w:t>
      </w:r>
      <w:r w:rsidRPr="007810B8">
        <w:t xml:space="preserve">li ġġedded l-awtorizzazzjoni għall-introduzzjoni fis-suq ta’ prodotti li fihom il-fażola </w:t>
      </w:r>
      <w:r w:rsidRPr="007810B8">
        <w:t>tas-sojja</w:t>
      </w:r>
      <w:r w:rsidRPr="007810B8">
        <w:t xml:space="preserve"> ġenetikament modifikata MON 87705, li jikkonsistu minnha jew li huma prodotti minnha, skont ir-Regolament (KE) Nru 1829/2003 tal-Parlament Ewropew u tal-Kunsill</w:t>
      </w:r>
      <w:r>
        <w:rPr>
          <w:rStyle w:val="FootnoteReference"/>
        </w:rPr>
        <w:footnoteReference w:id="2"/>
      </w:r>
      <w:r w:rsidRPr="007810B8">
        <w:t>,</w:t>
      </w:r>
    </w:p>
    <w:p w:rsidR="001B047C" w:rsidRPr="007810B8" w:rsidP="001B047C" w14:paraId="75781441" w14:textId="77777777">
      <w:pPr>
        <w:pStyle w:val="NormalHanging12a"/>
      </w:pPr>
      <w:r w:rsidRPr="007810B8">
        <w:t>–</w:t>
      </w:r>
      <w:r w:rsidRPr="007810B8">
        <w:tab/>
        <w:t>wara li kkunsidra r-Regolament (KE) Nru 1829/2003 tal-Parlament Ewropew u tal-Kunsill tat-22 ta’ Settembru 2003 dwar ikel u għalf modifikat ġenetikament</w:t>
      </w:r>
      <w:r>
        <w:rPr>
          <w:rStyle w:val="FootnoteReference"/>
        </w:rPr>
        <w:footnoteReference w:id="3"/>
      </w:r>
      <w:r w:rsidRPr="007810B8">
        <w:t>, u b’mod partikolari l-Artikolu 11(3) u l-Artikolu 23(3) tiegħu,</w:t>
      </w:r>
    </w:p>
    <w:p w:rsidR="001B047C" w:rsidRPr="007810B8" w:rsidP="001B047C" w14:paraId="1AADE75E" w14:textId="77777777">
      <w:pPr>
        <w:pStyle w:val="NormalHanging12a"/>
      </w:pPr>
      <w:r w:rsidRPr="007810B8">
        <w:t>–</w:t>
      </w:r>
      <w:r w:rsidRPr="007810B8">
        <w:tab/>
        <w:t xml:space="preserve">wara li kkunsidra l-votazzjoni tal-Kumitat Permanenti dwar il-Pjanti, l-Annimali, l-Ikel u l-Għalf imsemmi fl-Artikolu 35 tar-Regolament (KE) Nru 1829/2003, tas-27 ta’ April 2026, fejn ma ngħatat ebda opinjoni, u l-vot tal-Kumitat ta’ Appell fit-2 ta’ Ġunju 2026, li fih għal </w:t>
      </w:r>
      <w:r w:rsidRPr="007810B8">
        <w:t>darb</w:t>
      </w:r>
      <w:r w:rsidRPr="007810B8">
        <w:t>’oħra ma ngħatat l-ebda opinjoni,</w:t>
      </w:r>
    </w:p>
    <w:p w:rsidR="001B047C" w:rsidRPr="007810B8" w:rsidP="001B047C" w14:paraId="1C91CE67" w14:textId="77777777">
      <w:pPr>
        <w:pStyle w:val="NormalHanging12a"/>
      </w:pPr>
      <w:r w:rsidRPr="007810B8">
        <w:t>–</w:t>
      </w:r>
      <w:r w:rsidRPr="007810B8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>
        <w:rPr>
          <w:rStyle w:val="FootnoteReference"/>
        </w:rPr>
        <w:footnoteReference w:id="4"/>
      </w:r>
      <w:r w:rsidRPr="007810B8">
        <w:t>,</w:t>
      </w:r>
    </w:p>
    <w:p w:rsidR="001B047C" w:rsidRPr="007810B8" w:rsidP="001B047C" w14:paraId="20A80350" w14:textId="77777777">
      <w:pPr>
        <w:pStyle w:val="NormalHanging12a"/>
      </w:pPr>
      <w:r w:rsidRPr="007810B8">
        <w:t>–</w:t>
      </w:r>
      <w:r w:rsidRPr="007810B8">
        <w:tab/>
        <w:t xml:space="preserve">wara li kkunsidra l-opinjoni adottata mill-Awtorità Ewropea dwar is-Sigurtà fl-Ikel </w:t>
      </w:r>
      <w:r w:rsidRPr="007810B8">
        <w:t>(EFSA) fl-10 ta’ Diċembru 2025, u ppubblikata fit-12 ta’ Jannar 2026</w:t>
      </w:r>
      <w:r>
        <w:rPr>
          <w:rStyle w:val="FootnoteReference"/>
        </w:rPr>
        <w:footnoteReference w:id="5"/>
      </w:r>
      <w:r w:rsidRPr="007810B8">
        <w:t>,</w:t>
      </w:r>
    </w:p>
    <w:p w:rsidR="001B047C" w:rsidRPr="007810B8" w:rsidP="001B047C" w14:paraId="6893C8E3" w14:textId="77777777">
      <w:pPr>
        <w:pStyle w:val="NormalHanging12a"/>
      </w:pPr>
      <w:r w:rsidRPr="007810B8">
        <w:t>–</w:t>
      </w:r>
      <w:r w:rsidRPr="007810B8">
        <w:tab/>
        <w:t>wara li kkunsidra r-riżoluzzjonijiet preċedenti tiegħu li joġġezzjonaw għall-awtorizzazzjoni ta’ organiżmi ġenetikament modifikati (“OĠM”)</w:t>
      </w:r>
      <w:r>
        <w:rPr>
          <w:rStyle w:val="FootnoteReference"/>
        </w:rPr>
        <w:footnoteReference w:id="6"/>
      </w:r>
      <w:r w:rsidRPr="007810B8">
        <w:t>,</w:t>
      </w:r>
    </w:p>
    <w:p w:rsidR="001B047C" w:rsidRPr="007810B8" w:rsidP="001B047C" w14:paraId="088E887B" w14:textId="77777777">
      <w:pPr>
        <w:pStyle w:val="NormalHanging12a"/>
      </w:pPr>
      <w:r w:rsidRPr="007810B8">
        <w:t>–</w:t>
      </w:r>
      <w:r w:rsidRPr="007810B8">
        <w:tab/>
        <w:t>wara li kkunsidra l-Artikolu 115(2) u (3) tar-Regoli ta’ Proċedura tiegħu,</w:t>
      </w:r>
    </w:p>
    <w:p w:rsidR="001B047C" w:rsidRPr="007810B8" w:rsidP="001B047C" w14:paraId="5F168C41" w14:textId="77777777">
      <w:pPr>
        <w:pStyle w:val="NormalHanging12a"/>
      </w:pPr>
      <w:r w:rsidRPr="007810B8">
        <w:t>–</w:t>
      </w:r>
      <w:r w:rsidRPr="007810B8">
        <w:tab/>
        <w:t>wara li kkunsidra l-mozzjoni għal riżoluzzjoni tal-Kumitat għall-Ambjent, il-Klima u s-Sikurezza tal-Ikel,</w:t>
      </w:r>
    </w:p>
    <w:p w:rsidR="001B047C" w:rsidRPr="007810B8" w:rsidP="001B047C" w14:paraId="7F0F94F1" w14:textId="77777777">
      <w:pPr>
        <w:spacing w:after="240"/>
        <w:ind w:left="567" w:hanging="567"/>
      </w:pPr>
      <w:r w:rsidRPr="007810B8">
        <w:t>A.</w:t>
      </w:r>
      <w:r w:rsidRPr="007810B8">
        <w:tab/>
        <w:t>billi d-Deċiżjoni ta’ Implimentazzjoni tal-Kummissjoni (UE) 2015/696</w:t>
      </w:r>
      <w:r>
        <w:rPr>
          <w:rStyle w:val="FootnoteReference"/>
        </w:rPr>
        <w:footnoteReference w:id="7"/>
      </w:r>
      <w:r w:rsidRPr="007810B8">
        <w:t xml:space="preserve"> awtorizzat l-introduzzjoni fis-suq ta’ ikel u għalf li fihom il-fażola </w:t>
      </w:r>
      <w:r w:rsidRPr="007810B8">
        <w:t>tas-sojja</w:t>
      </w:r>
      <w:r w:rsidRPr="007810B8">
        <w:t xml:space="preserve"> ġenetikament modifikata MON 87705, li jkunu jikkonsistu minnha, jew li jkunu magħmulin minnha (“il-fażola </w:t>
      </w:r>
      <w:r w:rsidRPr="007810B8">
        <w:t>tas-sojja</w:t>
      </w:r>
      <w:r w:rsidRPr="007810B8">
        <w:t xml:space="preserve"> ĠM”); billi l-ambitu ta’ dik l-awtorizzazzjoni jkopri wkoll l-introduzzjoni fis-suq ta’ prodotti, għajr l-ikel u l-għalf, li fihom </w:t>
      </w:r>
      <w:r w:rsidRPr="007810B8">
        <w:t>is-sojja</w:t>
      </w:r>
      <w:r w:rsidRPr="007810B8">
        <w:t xml:space="preserve"> ĠM jew li jikkonsistu minnha għall-istess użi bħal kull fażola </w:t>
      </w:r>
      <w:r w:rsidRPr="007810B8">
        <w:t>tas-sojja</w:t>
      </w:r>
      <w:r w:rsidRPr="007810B8">
        <w:t xml:space="preserve"> oħra, għajr għall-kultivazzjoni;</w:t>
      </w:r>
    </w:p>
    <w:p w:rsidR="001B047C" w:rsidRPr="007810B8" w:rsidP="001B047C" w14:paraId="13D1E102" w14:textId="77777777">
      <w:pPr>
        <w:spacing w:after="240"/>
        <w:ind w:left="567" w:hanging="567"/>
      </w:pPr>
      <w:r w:rsidRPr="007810B8">
        <w:t>B.</w:t>
      </w:r>
      <w:r w:rsidRPr="007810B8">
        <w:tab/>
        <w:t xml:space="preserve">billi fit-8 ta’ Marzu 2024, Bayer </w:t>
      </w:r>
      <w:r w:rsidRPr="007810B8">
        <w:t>Agriculture</w:t>
      </w:r>
      <w:r w:rsidRPr="007810B8">
        <w:t xml:space="preserve"> BV, ibbażata fil-Belġju, ressqet applikazzjoni lill-Kummissjoni f’isem Bayer </w:t>
      </w:r>
      <w:r w:rsidRPr="007810B8">
        <w:t>CropScience</w:t>
      </w:r>
      <w:r w:rsidRPr="007810B8">
        <w:t xml:space="preserve"> LP, ibbażata fl-Istati Uniti, għat-tiġdid ta’ dik l-awtorizzazzjoni;</w:t>
      </w:r>
    </w:p>
    <w:p w:rsidR="001B047C" w:rsidRPr="007810B8" w:rsidP="001B047C" w14:paraId="75B1BC26" w14:textId="77777777">
      <w:pPr>
        <w:spacing w:after="240"/>
        <w:ind w:left="567" w:hanging="567"/>
      </w:pPr>
      <w:r w:rsidRPr="007810B8">
        <w:t>C.</w:t>
      </w:r>
      <w:r w:rsidRPr="007810B8">
        <w:tab/>
        <w:t xml:space="preserve">billi, fit-12 ta’ Jannar 2026, l-EFSA ħarġet opinjoni favorevoli dwar il-fażola </w:t>
      </w:r>
      <w:r w:rsidRPr="007810B8">
        <w:t>tas-sojja</w:t>
      </w:r>
      <w:r w:rsidRPr="007810B8">
        <w:t xml:space="preserve"> ĠM</w:t>
      </w:r>
      <w:r>
        <w:rPr>
          <w:rStyle w:val="FootnoteReference"/>
        </w:rPr>
        <w:footnoteReference w:id="8"/>
      </w:r>
      <w:r w:rsidRPr="007810B8">
        <w:t xml:space="preserve">, f’konformità mal-Artikoli 6 u 18 tar-Regolament (KE) Nru 1829/2003; billi l-EFSA kkonkludiet li l-applikazzjoni għat-tiġdid ma kien fiha l-ebda evidenza ta’ xi perikli ġodda, esponiment modifikat jew inċertezzi xjentifiċi li jbiddlu l-konklużjonijiet </w:t>
      </w:r>
      <w:r w:rsidRPr="007810B8">
        <w:t>tal-valutazzjoni tar-riskju oriġinali dwar il-qamħirrum ĠM, adottata mill-EFSA fl-2012</w:t>
      </w:r>
      <w:r>
        <w:rPr>
          <w:rStyle w:val="FootnoteReference"/>
        </w:rPr>
        <w:footnoteReference w:id="9"/>
      </w:r>
      <w:r w:rsidRPr="007810B8">
        <w:t xml:space="preserve"> u fl-2013</w:t>
      </w:r>
      <w:r>
        <w:rPr>
          <w:rStyle w:val="FootnoteReference"/>
        </w:rPr>
        <w:footnoteReference w:id="10"/>
      </w:r>
      <w:r w:rsidRPr="007810B8">
        <w:t xml:space="preserve">; billi dawk l-opinjonijiet ma </w:t>
      </w:r>
      <w:r w:rsidRPr="007810B8">
        <w:t>indirizzawx</w:t>
      </w:r>
      <w:r w:rsidRPr="007810B8">
        <w:t xml:space="preserve"> diversi impatti ambjentali, </w:t>
      </w:r>
      <w:r w:rsidRPr="007810B8">
        <w:t>soċjoekonomiċi</w:t>
      </w:r>
      <w:r w:rsidRPr="007810B8">
        <w:t xml:space="preserve"> u </w:t>
      </w:r>
      <w:r w:rsidRPr="007810B8">
        <w:t>kumulattivi</w:t>
      </w:r>
      <w:r w:rsidRPr="007810B8">
        <w:t xml:space="preserve"> </w:t>
      </w:r>
      <w:r w:rsidRPr="007810B8">
        <w:t>usa</w:t>
      </w:r>
      <w:r w:rsidRPr="007810B8">
        <w:t>’ li l-EFSA tqis li jaqgħu barra mill-mandat tagħha;</w:t>
      </w:r>
    </w:p>
    <w:p w:rsidR="001B047C" w:rsidRPr="007810B8" w:rsidP="001B047C" w14:paraId="3E8C0760" w14:textId="77777777">
      <w:pPr>
        <w:pStyle w:val="NormalHanging12a"/>
      </w:pPr>
      <w:r w:rsidRPr="007810B8">
        <w:t>D.</w:t>
      </w:r>
      <w:r w:rsidRPr="007810B8">
        <w:tab/>
        <w:t xml:space="preserve">billi l-fażola </w:t>
      </w:r>
      <w:r w:rsidRPr="007810B8">
        <w:t>tas-sojja</w:t>
      </w:r>
      <w:r w:rsidRPr="007810B8">
        <w:t xml:space="preserve"> ĠM għandha żieda fil-kontenut tal-aċidu </w:t>
      </w:r>
      <w:r w:rsidRPr="007810B8">
        <w:t>olejku</w:t>
      </w:r>
      <w:r w:rsidRPr="007810B8">
        <w:t xml:space="preserve"> u turi tolleranza għall-erbiċidi li fihom il-</w:t>
      </w:r>
      <w:r w:rsidRPr="007810B8">
        <w:t>glifosat</w:t>
      </w:r>
      <w:r w:rsidRPr="007810B8">
        <w:t>;</w:t>
      </w:r>
    </w:p>
    <w:p w:rsidR="001B047C" w:rsidRPr="007810B8" w:rsidP="001B047C" w14:paraId="1D03B43C" w14:textId="77777777">
      <w:pPr>
        <w:pStyle w:val="NormalHanging12a"/>
      </w:pPr>
      <w:r w:rsidRPr="007810B8">
        <w:t>E.</w:t>
      </w:r>
      <w:r w:rsidRPr="007810B8">
        <w:tab/>
        <w:t xml:space="preserve">billi l-valutazzjonijiet tar-riskju mwettqa mill-EFSA ma </w:t>
      </w:r>
      <w:r w:rsidRPr="007810B8">
        <w:t>inkludewx</w:t>
      </w:r>
      <w:r w:rsidRPr="007810B8">
        <w:t xml:space="preserve"> studji tossikoloġiċi fit-tul jew analiżi dettaljata tal-effetti </w:t>
      </w:r>
      <w:r w:rsidRPr="007810B8">
        <w:t>kumulattivi</w:t>
      </w:r>
      <w:r w:rsidRPr="007810B8">
        <w:t xml:space="preserve"> u </w:t>
      </w:r>
      <w:r w:rsidRPr="007810B8">
        <w:t>kombinatorji</w:t>
      </w:r>
      <w:r w:rsidRPr="007810B8">
        <w:t xml:space="preserve">, inklużi interazzjonijiet potenzjali ma’ residwi ta’ pestiċidi użati b’mod komuni fil-kultivazzjoni tal-fażola </w:t>
      </w:r>
      <w:r w:rsidRPr="007810B8">
        <w:t>tas-sojja</w:t>
      </w:r>
      <w:r w:rsidRPr="007810B8">
        <w:t>;</w:t>
      </w:r>
    </w:p>
    <w:p w:rsidR="001B047C" w:rsidRPr="007810B8" w:rsidP="001B047C" w14:paraId="32262AC7" w14:textId="77777777">
      <w:pPr>
        <w:pStyle w:val="NormalHanging12a"/>
      </w:pPr>
      <w:r w:rsidRPr="007810B8">
        <w:t>F.</w:t>
      </w:r>
      <w:r w:rsidRPr="007810B8">
        <w:tab/>
        <w:t xml:space="preserve">billi l-maġġoranza l-kbira tal-għelejjel ĠM, inkluża l-fażola </w:t>
      </w:r>
      <w:r w:rsidRPr="007810B8">
        <w:t>tas-sojja</w:t>
      </w:r>
      <w:r w:rsidRPr="007810B8">
        <w:t xml:space="preserve"> ĠM, ġew ġenetikament modifikati sabiex ikunu </w:t>
      </w:r>
      <w:r w:rsidRPr="007810B8">
        <w:t>tolleranti</w:t>
      </w:r>
      <w:r w:rsidRPr="007810B8">
        <w:t xml:space="preserve"> għal erbiċida “komplementari” waħda jew aktar li jistgħu jintużaw matul il-kultivazzjoni tal-</w:t>
      </w:r>
      <w:r w:rsidRPr="007810B8">
        <w:t>għalla</w:t>
      </w:r>
      <w:r w:rsidRPr="007810B8">
        <w:t xml:space="preserve"> ĠM, mingħajr ma l-</w:t>
      </w:r>
      <w:r w:rsidRPr="007810B8">
        <w:t>għalla</w:t>
      </w:r>
      <w:r w:rsidRPr="007810B8">
        <w:t xml:space="preserve"> tmut, kif ikun il-każ għal </w:t>
      </w:r>
      <w:r w:rsidRPr="007810B8">
        <w:t>għalla</w:t>
      </w:r>
      <w:r w:rsidRPr="007810B8">
        <w:t xml:space="preserve"> mhux </w:t>
      </w:r>
      <w:r w:rsidRPr="007810B8">
        <w:t>tolleranti</w:t>
      </w:r>
      <w:r w:rsidRPr="007810B8">
        <w:t xml:space="preserve"> għall-erbiċidi; billi hemm għadd ta’ studji li juru li l-għelejjel ĠM </w:t>
      </w:r>
      <w:r w:rsidRPr="007810B8">
        <w:t>tolleranti</w:t>
      </w:r>
      <w:r w:rsidRPr="007810B8">
        <w:t xml:space="preserve"> għall-erbiċidi jirriżultaw f’użu akbar ta’ erbiċidi komplementari, fil-biċċa l-kbira minħabba li </w:t>
      </w:r>
      <w:r w:rsidRPr="007810B8">
        <w:t>jfeġġ</w:t>
      </w:r>
      <w:r w:rsidRPr="007810B8">
        <w:t xml:space="preserve"> ħaxix ħażin </w:t>
      </w:r>
      <w:r w:rsidRPr="007810B8">
        <w:t>tolleranti</w:t>
      </w:r>
      <w:r w:rsidRPr="007810B8">
        <w:t xml:space="preserve"> għall-erbiċidi;</w:t>
      </w:r>
    </w:p>
    <w:p w:rsidR="001B047C" w:rsidRPr="007810B8" w:rsidP="001B047C" w14:paraId="7D43EAFB" w14:textId="77777777">
      <w:pPr>
        <w:pStyle w:val="NormalHanging12a"/>
      </w:pPr>
      <w:r w:rsidRPr="007810B8">
        <w:t>G.</w:t>
      </w:r>
      <w:r w:rsidRPr="007810B8">
        <w:tab/>
        <w:t xml:space="preserve">billi l-għelejjel ĠM </w:t>
      </w:r>
      <w:r w:rsidRPr="007810B8">
        <w:t>tolleranti</w:t>
      </w:r>
      <w:r w:rsidRPr="007810B8">
        <w:t xml:space="preserve"> għall-erbiċidi jillimitaw lill-bdiewa f’sistema ta’ ġestjoni tal-ħaxix ħażin li hija fil-biċċa l-kbira jew kompletament dipendenti mill-erbiċidi, u tagħmel dan billi titlob </w:t>
      </w:r>
      <w:r w:rsidRPr="007810B8">
        <w:t>premium</w:t>
      </w:r>
      <w:r w:rsidRPr="007810B8">
        <w:t xml:space="preserve"> għaż-żrieragħ ĠM, filwaqt li toħloq dipendenza mill-użu ta’ erbiċidi komplementari bħala parti integrali mis-sistema ta’ produzzjoni; billi dipendenza akbar minn erbiċidi komplementari fuq azjendi agrikoli li jħawlu l-fażola </w:t>
      </w:r>
      <w:r w:rsidRPr="007810B8">
        <w:t>tas-sojja</w:t>
      </w:r>
      <w:r w:rsidRPr="007810B8">
        <w:t xml:space="preserve"> ĠM se tħaffef il-feġġ u t-tixrid ta’ ħaxix ħażin reżistenti għal dawk l-erbiċidi, u b’hekk tiskatta l-ħtieġa ta’ aktar użu ta’ erbiċidi, ċirku </w:t>
      </w:r>
      <w:r w:rsidRPr="007810B8">
        <w:t>vizzjuż</w:t>
      </w:r>
      <w:r w:rsidRPr="007810B8">
        <w:t xml:space="preserve"> magħruf bħala “l-</w:t>
      </w:r>
      <w:r w:rsidRPr="007810B8">
        <w:t>ispirall</w:t>
      </w:r>
      <w:r w:rsidRPr="007810B8">
        <w:t xml:space="preserve"> tal-erbiċidi”; billi, bħala konsegwenza, l-impatti negattivi li jirriżultaw minn dipendenza eċċessiva mill-erbiċidi se jiggravaw is-saħħa tal-ħamrija, il-kwalità tal-ilma u l-bijodiversità ta’ taħt u ta’ fuq l-art, kif ukoll iwasslu għal żieda fl-esponiment tal-bniedem u tal-annimali, potenzjalment ukoll permezz ta’ żieda fir-residwi ta’ erbiċidi fuq l-ikel u l-għalf;</w:t>
      </w:r>
    </w:p>
    <w:p w:rsidR="001B047C" w:rsidRPr="007810B8" w:rsidP="001B047C" w14:paraId="319AA575" w14:textId="77777777">
      <w:pPr>
        <w:pStyle w:val="NormalHanging12a"/>
      </w:pPr>
      <w:r w:rsidRPr="007810B8">
        <w:t>H.</w:t>
      </w:r>
      <w:r w:rsidRPr="007810B8">
        <w:tab/>
        <w:t xml:space="preserve">billi hemm għadd ta’ studji li juru li l-għelejjel ĠM </w:t>
      </w:r>
      <w:r w:rsidRPr="007810B8">
        <w:t>tolleranti</w:t>
      </w:r>
      <w:r w:rsidRPr="007810B8">
        <w:t xml:space="preserve"> għall-erbiċidi jirriżultaw f’użu akbar ta’ erbiċidi komplementari, fil-biċċa l-kbira minħabba li </w:t>
      </w:r>
      <w:r w:rsidRPr="007810B8">
        <w:t>jfeġġ</w:t>
      </w:r>
      <w:r w:rsidRPr="007810B8">
        <w:t xml:space="preserve"> ħaxix ħażin </w:t>
      </w:r>
      <w:r w:rsidRPr="007810B8">
        <w:t>tolleranti</w:t>
      </w:r>
      <w:r w:rsidRPr="007810B8">
        <w:t xml:space="preserve"> għall-erbiċidi</w:t>
      </w:r>
      <w:r>
        <w:rPr>
          <w:vertAlign w:val="superscript"/>
        </w:rPr>
        <w:footnoteReference w:id="11"/>
      </w:r>
      <w:r w:rsidRPr="007810B8">
        <w:t xml:space="preserve">; billi, b’konsegwenza ta’ dan, huwa mistenni li l-fażola </w:t>
      </w:r>
      <w:r w:rsidRPr="007810B8">
        <w:t>tas-sojja</w:t>
      </w:r>
      <w:r w:rsidRPr="007810B8">
        <w:t xml:space="preserve"> ĠM tkun esposta għal dożi kemm ogħla kif ukoll ripetuti ta’ </w:t>
      </w:r>
      <w:r w:rsidRPr="007810B8">
        <w:t>glifosat</w:t>
      </w:r>
      <w:r w:rsidRPr="007810B8">
        <w:t>, u li għalhekk il-ħsad jista’ jkun fih kwantità ogħla ta’ residwi u tal-prodotti ta’ degradazzjoni tagħhom (“</w:t>
      </w:r>
      <w:r w:rsidRPr="007810B8">
        <w:t>metaboliti</w:t>
      </w:r>
      <w:r w:rsidRPr="007810B8">
        <w:t>”);</w:t>
      </w:r>
    </w:p>
    <w:p w:rsidR="001B047C" w:rsidRPr="007810B8" w:rsidP="001B047C" w14:paraId="14CA402A" w14:textId="77777777">
      <w:pPr>
        <w:pStyle w:val="NormalHanging12a"/>
      </w:pPr>
      <w:r w:rsidRPr="007810B8">
        <w:t>I.</w:t>
      </w:r>
      <w:r w:rsidRPr="007810B8">
        <w:tab/>
        <w:t>billi għad hemm inċertezzi xjentifiċi sinifikanti rigward is-sikurezza tal-</w:t>
      </w:r>
      <w:r w:rsidRPr="007810B8">
        <w:t>glifosat</w:t>
      </w:r>
      <w:r w:rsidRPr="007810B8">
        <w:t xml:space="preserve"> għas-saħħa tal-bniedem u għall-ambjent; billi l-EFSA kkonkludiet f’Novembru 2015 li huwa improbabbli li l-</w:t>
      </w:r>
      <w:r w:rsidRPr="007810B8">
        <w:t>glifosat</w:t>
      </w:r>
      <w:r w:rsidRPr="007810B8">
        <w:t xml:space="preserve"> huwa </w:t>
      </w:r>
      <w:r w:rsidRPr="007810B8">
        <w:t>karċinoġeniku</w:t>
      </w:r>
      <w:r w:rsidRPr="007810B8">
        <w:t xml:space="preserve"> u l-Aġenzija Ewropea għas-Sustanzi Kimiċi kkonkludiet f’Marzu 2017 li l-ebda klassifikazzjoni ma kienet </w:t>
      </w:r>
      <w:r w:rsidRPr="007810B8">
        <w:t>iġġustifikata</w:t>
      </w:r>
      <w:r w:rsidRPr="007810B8">
        <w:t>; billi, għall-kuntrarju, fl-2015, l-Aġenzija Internazzjonali għar-Riċerka dwar il-Kanċer, l-aġenzija speċjalizzata fil-kanċer tal-Organizzazzjoni Dinjija tas-Saħħa, ikklassifikat il-</w:t>
      </w:r>
      <w:r w:rsidRPr="007810B8">
        <w:t>glifosat</w:t>
      </w:r>
      <w:r w:rsidRPr="007810B8">
        <w:t xml:space="preserve"> bħala sustanza probabbilment </w:t>
      </w:r>
      <w:r w:rsidRPr="007810B8">
        <w:t>karċinoġenika</w:t>
      </w:r>
      <w:r w:rsidRPr="007810B8">
        <w:t xml:space="preserve"> għall-bnedmin; billi għadd ta’ studji xjentifiċi reċenti rieżaminati bejn il-pari jikkonfermaw il-potenzjal </w:t>
      </w:r>
      <w:r w:rsidRPr="007810B8">
        <w:t>karċinoġeniku</w:t>
      </w:r>
      <w:r w:rsidRPr="007810B8">
        <w:t xml:space="preserve"> tal-</w:t>
      </w:r>
      <w:r w:rsidRPr="007810B8">
        <w:t>glifosat</w:t>
      </w:r>
      <w:r>
        <w:rPr>
          <w:vertAlign w:val="superscript"/>
        </w:rPr>
        <w:footnoteReference w:id="12"/>
      </w:r>
      <w:r w:rsidRPr="007810B8">
        <w:t xml:space="preserve">; </w:t>
      </w:r>
      <w:bookmarkStart w:id="9" w:name="_Hlk218688545"/>
      <w:r w:rsidRPr="007810B8">
        <w:t>billi l-ġurnal “</w:t>
      </w:r>
      <w:r w:rsidRPr="007810B8">
        <w:t>Regulatory</w:t>
      </w:r>
      <w:r w:rsidRPr="007810B8">
        <w:t xml:space="preserve"> </w:t>
      </w:r>
      <w:r w:rsidRPr="007810B8">
        <w:t>Toxicology</w:t>
      </w:r>
      <w:r w:rsidRPr="007810B8">
        <w:t xml:space="preserve"> </w:t>
      </w:r>
      <w:r w:rsidRPr="007810B8">
        <w:t>and</w:t>
      </w:r>
      <w:r w:rsidRPr="007810B8">
        <w:t xml:space="preserve"> </w:t>
      </w:r>
      <w:r w:rsidRPr="007810B8">
        <w:t>Pharmacology</w:t>
      </w:r>
      <w:r w:rsidRPr="007810B8">
        <w:t xml:space="preserve">” formalment irtira d-dokument xjentifiku </w:t>
      </w:r>
      <w:r w:rsidRPr="007810B8">
        <w:rPr>
          <w:shd w:val="clear" w:color="auto" w:fill="FFFFFF"/>
        </w:rPr>
        <w:t>“</w:t>
      </w:r>
      <w:r w:rsidRPr="007810B8">
        <w:t>Safety</w:t>
      </w:r>
      <w:r w:rsidRPr="007810B8">
        <w:t xml:space="preserve"> </w:t>
      </w:r>
      <w:r w:rsidRPr="007810B8">
        <w:t>Evaluation</w:t>
      </w:r>
      <w:r w:rsidRPr="007810B8">
        <w:t xml:space="preserve"> </w:t>
      </w:r>
      <w:r w:rsidRPr="007810B8">
        <w:t>and</w:t>
      </w:r>
      <w:r w:rsidRPr="007810B8">
        <w:t xml:space="preserve"> Risk Assessment of </w:t>
      </w:r>
      <w:r w:rsidRPr="007810B8">
        <w:t>the</w:t>
      </w:r>
      <w:r w:rsidRPr="007810B8">
        <w:t xml:space="preserve"> </w:t>
      </w:r>
      <w:r w:rsidRPr="007810B8">
        <w:t>Herbicide</w:t>
      </w:r>
      <w:r w:rsidRPr="007810B8">
        <w:t xml:space="preserve"> </w:t>
      </w:r>
      <w:r w:rsidRPr="007810B8">
        <w:t>Roundup</w:t>
      </w:r>
      <w:r w:rsidRPr="007810B8">
        <w:t xml:space="preserve"> </w:t>
      </w:r>
      <w:r w:rsidRPr="007810B8">
        <w:t>and</w:t>
      </w:r>
      <w:r w:rsidRPr="007810B8">
        <w:t xml:space="preserve"> </w:t>
      </w:r>
      <w:r w:rsidRPr="007810B8">
        <w:t>Its</w:t>
      </w:r>
      <w:r w:rsidRPr="007810B8">
        <w:t xml:space="preserve"> </w:t>
      </w:r>
      <w:r w:rsidRPr="007810B8">
        <w:t>Active</w:t>
      </w:r>
      <w:r w:rsidRPr="007810B8">
        <w:t xml:space="preserve"> </w:t>
      </w:r>
      <w:r w:rsidRPr="007810B8">
        <w:t>Ingredient</w:t>
      </w:r>
      <w:r w:rsidRPr="007810B8">
        <w:t xml:space="preserve">, </w:t>
      </w:r>
      <w:r w:rsidRPr="007810B8">
        <w:t>Glyphosate</w:t>
      </w:r>
      <w:r w:rsidRPr="007810B8">
        <w:t xml:space="preserve">, </w:t>
      </w:r>
      <w:r w:rsidRPr="007810B8">
        <w:t>for</w:t>
      </w:r>
      <w:r w:rsidRPr="007810B8">
        <w:t xml:space="preserve"> </w:t>
      </w:r>
      <w:r w:rsidRPr="007810B8">
        <w:t>Humans</w:t>
      </w:r>
      <w:r w:rsidRPr="007810B8">
        <w:rPr>
          <w:shd w:val="clear" w:color="auto" w:fill="FFFFFF"/>
        </w:rPr>
        <w:t>”</w:t>
      </w:r>
      <w:r w:rsidRPr="007810B8">
        <w:t xml:space="preserve"> (Evalwazzjoni tas-Sikurezza u Valutazzjoni tar-Riskju tal-Erbiċida </w:t>
      </w:r>
      <w:r w:rsidRPr="007810B8">
        <w:t>Roundup</w:t>
      </w:r>
      <w:r w:rsidRPr="007810B8">
        <w:t xml:space="preserve"> u l-Ingredjent Attiv tagħha, il-</w:t>
      </w:r>
      <w:r w:rsidRPr="007810B8">
        <w:t>Glifosat</w:t>
      </w:r>
      <w:r w:rsidRPr="007810B8">
        <w:t>, għall-Bnedmin), ippubblikat fis-sena 2000, li ntuża biex tiġi difiża s-sikurezza tal-</w:t>
      </w:r>
      <w:r w:rsidRPr="007810B8">
        <w:t>glifosat</w:t>
      </w:r>
      <w:r w:rsidRPr="007810B8">
        <w:t xml:space="preserve"> f’ħafna valutazzjonijiet tar-riskju, peress li </w:t>
      </w:r>
      <w:r w:rsidRPr="007810B8">
        <w:rPr>
          <w:shd w:val="clear" w:color="auto" w:fill="FFFFFF"/>
        </w:rPr>
        <w:t>“</w:t>
      </w:r>
      <w:r w:rsidRPr="007810B8">
        <w:t>tqajjem tħassib dwar il-kitba tiegħu, il-validità tas-sejbiet tar-riċerka fil-kuntest ta’ rappreżentazzjoni ħażina tal-kontributi mill-awturi u mill-isponsor tal-istudju u kunflitti ta’ interess potenzjali tal-awturi”</w:t>
      </w:r>
      <w:r>
        <w:rPr>
          <w:rStyle w:val="FootnoteReference"/>
        </w:rPr>
        <w:footnoteReference w:id="13"/>
      </w:r>
      <w:r w:rsidRPr="007810B8">
        <w:t>;</w:t>
      </w:r>
      <w:bookmarkEnd w:id="9"/>
    </w:p>
    <w:p w:rsidR="001B047C" w:rsidRPr="007810B8" w:rsidP="001B047C" w14:paraId="2E0C49C0" w14:textId="77777777">
      <w:pPr>
        <w:pStyle w:val="NormalHanging12a"/>
      </w:pPr>
      <w:r w:rsidRPr="007810B8">
        <w:t>J.</w:t>
      </w:r>
      <w:r w:rsidRPr="007810B8">
        <w:tab/>
        <w:t>billi l-valutazzjoni tar-residwi ta’ erbiċidi u l-</w:t>
      </w:r>
      <w:r w:rsidRPr="007810B8">
        <w:t>metaboliti</w:t>
      </w:r>
      <w:r w:rsidRPr="007810B8">
        <w:t xml:space="preserve"> misjuba fi pjanti ĠM hija </w:t>
      </w:r>
      <w:r w:rsidRPr="007810B8">
        <w:t>kkunsidrata</w:t>
      </w:r>
      <w:r w:rsidRPr="007810B8">
        <w:t xml:space="preserve"> li ma taqax taħt il-kompetenza tal-Bord tal-EFSA dwar Organiżmi Ġenetikament Modifikati u għalhekk ma </w:t>
      </w:r>
      <w:r w:rsidRPr="007810B8">
        <w:t>titwettaqx</w:t>
      </w:r>
      <w:r w:rsidRPr="007810B8">
        <w:t xml:space="preserve"> bħala parti mill-proċess ta’ awtorizzazzjoni għall-OĠM; billi dan huwa </w:t>
      </w:r>
      <w:r w:rsidRPr="007810B8">
        <w:t>problematiku</w:t>
      </w:r>
      <w:r w:rsidRPr="007810B8">
        <w:t xml:space="preserve"> minħabba li l-mod kif l-erbiċidi komplementari jiġu </w:t>
      </w:r>
      <w:r w:rsidRPr="007810B8">
        <w:t>dekomposti</w:t>
      </w:r>
      <w:r w:rsidRPr="007810B8">
        <w:t xml:space="preserve"> mill-pjanta ġenetikament modifikata kkonċernata kif ukoll il-kompożizzjoni u għaldaqstant </w:t>
      </w:r>
      <w:r w:rsidRPr="007810B8">
        <w:t>it-tossiċità</w:t>
      </w:r>
      <w:r w:rsidRPr="007810B8">
        <w:t xml:space="preserve"> tal-</w:t>
      </w:r>
      <w:r w:rsidRPr="007810B8">
        <w:t>metaboliti</w:t>
      </w:r>
      <w:r w:rsidRPr="007810B8">
        <w:t>, jistgħu jiġu affettwati mill-modifika ġenetika stess</w:t>
      </w:r>
      <w:r>
        <w:rPr>
          <w:vertAlign w:val="superscript"/>
        </w:rPr>
        <w:footnoteReference w:id="14"/>
      </w:r>
      <w:r w:rsidRPr="007810B8">
        <w:t>;</w:t>
      </w:r>
    </w:p>
    <w:p w:rsidR="001B047C" w:rsidRPr="007810B8" w:rsidP="001B047C" w14:paraId="287610F6" w14:textId="77777777">
      <w:pPr>
        <w:pStyle w:val="NormalHanging12a"/>
      </w:pPr>
      <w:r w:rsidRPr="007810B8">
        <w:t>K.</w:t>
      </w:r>
      <w:r w:rsidRPr="007810B8">
        <w:tab/>
        <w:t xml:space="preserve">billi l-analiżi tal-kompożizzjoni </w:t>
      </w:r>
      <w:r w:rsidRPr="007810B8">
        <w:t>wriet</w:t>
      </w:r>
      <w:r w:rsidRPr="007810B8">
        <w:t xml:space="preserve"> li l-fażola </w:t>
      </w:r>
      <w:r w:rsidRPr="007810B8">
        <w:t>tas-sojja</w:t>
      </w:r>
      <w:r w:rsidRPr="007810B8">
        <w:t xml:space="preserve"> ĠM għandha profil tal-aċidu grass mibdul b’mod sinifikanti meta mqabbla mal-kontroparti konvenzjonali tagħha, </w:t>
      </w:r>
      <w:r w:rsidRPr="007810B8">
        <w:t xml:space="preserve">b’żieda fl-aċidu </w:t>
      </w:r>
      <w:r w:rsidRPr="007810B8">
        <w:t>olejku</w:t>
      </w:r>
      <w:r w:rsidRPr="007810B8">
        <w:t xml:space="preserve"> u tnaqqis li </w:t>
      </w:r>
      <w:r w:rsidRPr="007810B8">
        <w:t>jakkumpanjah</w:t>
      </w:r>
      <w:r w:rsidRPr="007810B8">
        <w:t xml:space="preserve"> fl-aċidu </w:t>
      </w:r>
      <w:r w:rsidRPr="007810B8">
        <w:t>linolejku</w:t>
      </w:r>
      <w:r w:rsidRPr="007810B8">
        <w:t xml:space="preserve"> u l-aċidu </w:t>
      </w:r>
      <w:r w:rsidRPr="007810B8">
        <w:t>palmitiku</w:t>
      </w:r>
      <w:r w:rsidRPr="007810B8">
        <w:t xml:space="preserve">; billi t-tħassib xjentifiku jiffoka fuq l-implikazzjonijiet </w:t>
      </w:r>
      <w:r w:rsidRPr="007810B8">
        <w:t>nutrizzjonali</w:t>
      </w:r>
      <w:r w:rsidRPr="007810B8">
        <w:t xml:space="preserve"> fit-tul tal-</w:t>
      </w:r>
      <w:r w:rsidRPr="007810B8">
        <w:t>esponiment</w:t>
      </w:r>
      <w:r w:rsidRPr="007810B8">
        <w:t xml:space="preserve"> </w:t>
      </w:r>
      <w:r w:rsidRPr="007810B8">
        <w:t>usa</w:t>
      </w:r>
      <w:r w:rsidRPr="007810B8">
        <w:t xml:space="preserve">’ tal-popolazzjoni għal dan il-profil mibdul, b’mod partikolari għall-konsumaturi li jibbażaw ħafna fuq iż-żejt tal-fażola </w:t>
      </w:r>
      <w:r w:rsidRPr="007810B8">
        <w:t>tas-sojja</w:t>
      </w:r>
      <w:r w:rsidRPr="007810B8">
        <w:t xml:space="preserve">; billi l-EFSA qieset l-istimi tal-konsum fid-dieta biex tivvaluta r-rilevanza </w:t>
      </w:r>
      <w:r w:rsidRPr="007810B8">
        <w:t>nutrizzjonali</w:t>
      </w:r>
      <w:r w:rsidRPr="007810B8">
        <w:t xml:space="preserve"> tal-bidliet, bl-użu ta’ </w:t>
      </w:r>
      <w:r w:rsidRPr="007810B8">
        <w:t>suppożizzjonijiet</w:t>
      </w:r>
      <w:r w:rsidRPr="007810B8">
        <w:t xml:space="preserve"> differenti ta’ xenarji ta’ konsum u ta’ sostituzzjoni; billi l-EFSA rrakkomandat biss, abbażi ta’ dawn </w:t>
      </w:r>
      <w:r w:rsidRPr="007810B8">
        <w:t>is-suppożizzjonijiet</w:t>
      </w:r>
      <w:r w:rsidRPr="007810B8">
        <w:t xml:space="preserve">, pjan ta’ monitoraġġ ta’ wara t-tqegħid fis-suq iffukat fuq il-ġbir ta’ data dwar l-importazzjoni lejn l-Unjoni u t-twettiq ta’ valutazzjoni </w:t>
      </w:r>
      <w:r w:rsidRPr="007810B8">
        <w:t>nutrizzjonali</w:t>
      </w:r>
      <w:r w:rsidRPr="007810B8">
        <w:t xml:space="preserve"> aġġornata jekk l-informazzjoni disponibbli dwar ix-xejriet tal-konsum kienet differenti minn dik użata matul il-valutazzjoni tar-riskju oriġinali;</w:t>
      </w:r>
    </w:p>
    <w:p w:rsidR="001B047C" w:rsidRPr="007810B8" w:rsidP="001B047C" w14:paraId="54756869" w14:textId="77777777">
      <w:pPr>
        <w:pStyle w:val="NormalHanging12a"/>
      </w:pPr>
      <w:r w:rsidRPr="007810B8">
        <w:t>L.</w:t>
      </w:r>
      <w:r w:rsidRPr="007810B8">
        <w:tab/>
        <w:t xml:space="preserve">billi r-Regolament (KE) Nru 1829/2003 jiddikjara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</w:t>
      </w:r>
      <w:r w:rsidRPr="007810B8">
        <w:t>tabbozza</w:t>
      </w:r>
      <w:r w:rsidRPr="007810B8">
        <w:t xml:space="preserve"> d-deċiżjoni tagħha; billi dawn il-fatturi leġittimi għandhom jinkludu l-obbligi tal-Unjoni skont l-Għanijiet ta’ Żvilupp Sostenibbli (“</w:t>
      </w:r>
      <w:r w:rsidRPr="007810B8">
        <w:t>SDGs</w:t>
      </w:r>
      <w:r w:rsidRPr="007810B8">
        <w:t>”) tan-Nazzjonijiet Uniti (NU), il-Ftehim ta’ Pariġi dwar il-Klima</w:t>
      </w:r>
      <w:r>
        <w:rPr>
          <w:rStyle w:val="FootnoteReference"/>
        </w:rPr>
        <w:footnoteReference w:id="15"/>
      </w:r>
      <w:r w:rsidRPr="007810B8">
        <w:t xml:space="preserve"> u l-Konvenzjoni tan-NU dwar id-Diversità Bijoloġika</w:t>
      </w:r>
      <w:r>
        <w:rPr>
          <w:rStyle w:val="FootnoteReference"/>
        </w:rPr>
        <w:footnoteReference w:id="16"/>
      </w:r>
      <w:r w:rsidRPr="007810B8">
        <w:t xml:space="preserve"> (“KDB tan-NU”);</w:t>
      </w:r>
    </w:p>
    <w:p w:rsidR="001B047C" w:rsidRPr="007810B8" w:rsidP="001B047C" w14:paraId="37336314" w14:textId="77777777">
      <w:pPr>
        <w:pStyle w:val="NormalHanging12a"/>
      </w:pPr>
      <w:r w:rsidRPr="007810B8">
        <w:t>M.</w:t>
      </w:r>
      <w:r w:rsidRPr="007810B8">
        <w:tab/>
        <w:t>billi l-monitoraġġ u s-sorveljanza indipendenti tal-effetti negattivi potenzjali fuq il-bijodiversità, is-saħħa tal-ħamrija, il-</w:t>
      </w:r>
      <w:r w:rsidRPr="007810B8">
        <w:t>pollinaturi</w:t>
      </w:r>
      <w:r w:rsidRPr="007810B8">
        <w:t xml:space="preserve"> u l-organiżmi mhux fil-mira għadhom mhumiex garantiti biżżejjed;</w:t>
      </w:r>
    </w:p>
    <w:p w:rsidR="001B047C" w:rsidRPr="007810B8" w:rsidP="001B047C" w14:paraId="496CD56D" w14:textId="77777777">
      <w:pPr>
        <w:pStyle w:val="NormalHanging12a"/>
      </w:pPr>
      <w:r w:rsidRPr="007810B8">
        <w:t>N.</w:t>
      </w:r>
      <w:r w:rsidRPr="007810B8">
        <w:tab/>
        <w:t xml:space="preserve">billi l-prinċipju ta’ prekawzjoni, </w:t>
      </w:r>
      <w:r w:rsidRPr="007810B8">
        <w:t>imnaqqax</w:t>
      </w:r>
      <w:r w:rsidRPr="007810B8">
        <w:t xml:space="preserve"> fl-Artikolu 191 tat-Trattat dwar il-Funzjonament tal-Unjoni Ewropea, għandu japplika f’każijiet ta’ inċertezza xjentifika;</w:t>
      </w:r>
    </w:p>
    <w:p w:rsidR="001B047C" w:rsidRPr="007810B8" w:rsidP="001B047C" w14:paraId="6F44844C" w14:textId="77777777">
      <w:pPr>
        <w:pStyle w:val="NormalHanging12a"/>
      </w:pPr>
      <w:r w:rsidRPr="007810B8">
        <w:t>O.</w:t>
      </w:r>
      <w:r w:rsidRPr="007810B8">
        <w:tab/>
        <w:t xml:space="preserve">billi l-Unjoni, bħala Parti Kontraenti għall-KDB tan-NU u f’konformità mal-Artikolu 3 tagħha, għandha r-responsabbiltà li tiżgura li l-attivitajiet li jaqgħu fil-ġuriżdizzjoni u l-kontroll tagħha ma </w:t>
      </w:r>
      <w:r w:rsidRPr="007810B8">
        <w:t>jikkawżawx</w:t>
      </w:r>
      <w:r w:rsidRPr="007810B8">
        <w:t xml:space="preserve"> ħsara lill-ambjent ta’ Stati oħrajn;</w:t>
      </w:r>
    </w:p>
    <w:p w:rsidR="001B047C" w:rsidRPr="007810B8" w:rsidP="001B047C" w14:paraId="32943F50" w14:textId="77777777">
      <w:pPr>
        <w:pStyle w:val="NormalHanging12a"/>
      </w:pPr>
      <w:r w:rsidRPr="007810B8">
        <w:t>P.</w:t>
      </w:r>
      <w:r w:rsidRPr="007810B8">
        <w:tab/>
        <w:t xml:space="preserve">billi t-tiġdid min-naħa tal-Unjoni tal-awtorizzazzjoni tal-fażola </w:t>
      </w:r>
      <w:r w:rsidRPr="007810B8">
        <w:t>tas-sojja</w:t>
      </w:r>
      <w:r w:rsidRPr="007810B8">
        <w:t xml:space="preserve"> ĠM ma jkunx konsistenti mal-impenji internazzjonali dwar it-tnaqqis tal-pestiċidi</w:t>
      </w:r>
      <w:r>
        <w:rPr>
          <w:vertAlign w:val="superscript"/>
        </w:rPr>
        <w:footnoteReference w:id="17"/>
      </w:r>
      <w:r w:rsidRPr="007810B8">
        <w:t xml:space="preserve">, minħabba ż-żieda fl-esponiment tal-bniedem, tal-annimali u tal-ambjent </w:t>
      </w:r>
      <w:r w:rsidRPr="007810B8">
        <w:t>għall-glifosat</w:t>
      </w:r>
      <w:r w:rsidRPr="007810B8">
        <w:t xml:space="preserve"> f’pajjiżi li jkabbru din l-</w:t>
      </w:r>
      <w:r w:rsidRPr="007810B8">
        <w:t>għalla</w:t>
      </w:r>
      <w:r w:rsidRPr="007810B8">
        <w:t xml:space="preserve"> ĠM </w:t>
      </w:r>
      <w:r w:rsidRPr="007810B8">
        <w:t>tolleranti</w:t>
      </w:r>
      <w:r w:rsidRPr="007810B8">
        <w:t xml:space="preserve"> għall-erbiċidi, flimkien mar-riżultati fil-qasam tas-saħħa assoċjati potenzjalment serji;</w:t>
      </w:r>
    </w:p>
    <w:p w:rsidR="001B047C" w:rsidRPr="007810B8" w:rsidP="001B047C" w14:paraId="7C4DA285" w14:textId="77777777">
      <w:pPr>
        <w:pStyle w:val="NormalHanging12a"/>
      </w:pPr>
      <w:r w:rsidRPr="007810B8">
        <w:t>Q.</w:t>
      </w:r>
      <w:r w:rsidRPr="007810B8">
        <w:tab/>
        <w:t xml:space="preserve">billi l-kultivazzjoni tal-fażola </w:t>
      </w:r>
      <w:r w:rsidRPr="007810B8">
        <w:t>tas-sojja</w:t>
      </w:r>
      <w:r w:rsidRPr="007810B8">
        <w:t xml:space="preserve"> ĠM mhijiex permessa fl-Unjoni;</w:t>
      </w:r>
    </w:p>
    <w:p w:rsidR="001B047C" w:rsidRPr="007810B8" w:rsidP="001B047C" w14:paraId="4960CCF0" w14:textId="6C29E094">
      <w:pPr>
        <w:pStyle w:val="NormalHanging12a"/>
      </w:pPr>
      <w:r w:rsidRPr="007810B8">
        <w:t>R.</w:t>
      </w:r>
      <w:r w:rsidRPr="007810B8">
        <w:tab/>
        <w:t>billi d-</w:t>
      </w:r>
      <w:r w:rsidR="00394DA7">
        <w:t>D</w:t>
      </w:r>
      <w:r w:rsidRPr="007810B8">
        <w:t xml:space="preserve">eċiżjoni ta’ </w:t>
      </w:r>
      <w:r w:rsidR="00394DA7">
        <w:t>I</w:t>
      </w:r>
      <w:r w:rsidRPr="007810B8">
        <w:t xml:space="preserve">mplimentazzjoni tal-Kummissjoni </w:t>
      </w:r>
      <w:r w:rsidR="00394DA7">
        <w:t xml:space="preserve">(UE) 2026/1419 </w:t>
      </w:r>
      <w:r w:rsidRPr="007810B8">
        <w:t>tippermetti importazzjonijiet fl-Unjoni li ma jikkonformawx mal-istandards osservati mill-bdiewa tal-Unjoni, u b’hekk dan ipoġġihom fi żvantaġġ kompetittiv;</w:t>
      </w:r>
    </w:p>
    <w:p w:rsidR="001B047C" w:rsidRPr="007810B8" w:rsidP="001B047C" w14:paraId="21A30083" w14:textId="77777777">
      <w:pPr>
        <w:pStyle w:val="NormalHanging12a"/>
      </w:pPr>
      <w:r w:rsidRPr="007810B8">
        <w:t>S.</w:t>
      </w:r>
      <w:r w:rsidRPr="007810B8">
        <w:tab/>
        <w:t>billi l-konklużjonijiet tad-Djalogu Strateġiku dwar il-Futur tal-Agrikoltura fl-UE</w:t>
      </w:r>
      <w:r>
        <w:rPr>
          <w:vertAlign w:val="superscript"/>
        </w:rPr>
        <w:footnoteReference w:id="18"/>
      </w:r>
      <w:r w:rsidRPr="007810B8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:rsidR="001B047C" w:rsidRPr="007810B8" w:rsidP="001B047C" w14:paraId="05575598" w14:textId="77777777">
      <w:pPr>
        <w:pStyle w:val="NormalHanging12a"/>
      </w:pPr>
      <w:r w:rsidRPr="007810B8">
        <w:t>T.</w:t>
      </w:r>
      <w:r w:rsidRPr="007810B8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:rsidR="001B047C" w:rsidRPr="007810B8" w:rsidP="001B047C" w14:paraId="027B5DF2" w14:textId="77777777">
      <w:pPr>
        <w:pStyle w:val="NormalHanging12a"/>
      </w:pPr>
      <w:r w:rsidRPr="007810B8">
        <w:t>U.</w:t>
      </w:r>
      <w:r w:rsidRPr="007810B8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1B047C" w:rsidRPr="007810B8" w:rsidP="001B047C" w14:paraId="51CFC975" w14:textId="77777777">
      <w:pPr>
        <w:pStyle w:val="NormalHanging12a"/>
      </w:pPr>
      <w:r w:rsidRPr="007810B8">
        <w:t>V.</w:t>
      </w:r>
      <w:r w:rsidRPr="007810B8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:rsidR="001B047C" w:rsidRPr="007810B8" w:rsidP="001B047C" w14:paraId="2B705E5B" w14:textId="6553A422">
      <w:pPr>
        <w:pStyle w:val="NormalHanging12a"/>
      </w:pPr>
      <w:r w:rsidRPr="007810B8">
        <w:t>1.</w:t>
      </w:r>
      <w:r w:rsidRPr="007810B8">
        <w:tab/>
        <w:t xml:space="preserve">Iqis li </w:t>
      </w:r>
      <w:r w:rsidR="00394DA7">
        <w:t>d-D</w:t>
      </w:r>
      <w:r w:rsidRPr="007810B8">
        <w:t xml:space="preserve">eċiżjoni ta’ </w:t>
      </w:r>
      <w:r w:rsidR="00394DA7">
        <w:t>I</w:t>
      </w:r>
      <w:r w:rsidRPr="007810B8">
        <w:t xml:space="preserve">mplimentazzjoni tal-Kummissjoni </w:t>
      </w:r>
      <w:r w:rsidR="00394DA7">
        <w:t xml:space="preserve">(UE) 2026/1419 </w:t>
      </w:r>
      <w:r w:rsidRPr="007810B8">
        <w:t>jisboq is-setgħat ta’ implimentazzjoni previsti fir-Regolament (KE) Nru 1829/2003;</w:t>
      </w:r>
    </w:p>
    <w:p w:rsidR="001B047C" w:rsidRPr="007810B8" w:rsidP="001B047C" w14:paraId="10E0932A" w14:textId="37CD67C3">
      <w:pPr>
        <w:pStyle w:val="NormalHanging12a"/>
      </w:pPr>
      <w:r w:rsidRPr="007810B8">
        <w:t>2.</w:t>
      </w:r>
      <w:r w:rsidRPr="007810B8">
        <w:tab/>
        <w:t xml:space="preserve">Iqis li </w:t>
      </w:r>
      <w:r w:rsidR="00394DA7">
        <w:t>d-D</w:t>
      </w:r>
      <w:r w:rsidRPr="007810B8">
        <w:t xml:space="preserve">eċiżjoni ta’ </w:t>
      </w:r>
      <w:r w:rsidR="00394DA7">
        <w:t>I</w:t>
      </w:r>
      <w:r w:rsidRPr="007810B8">
        <w:t xml:space="preserve">mplimentazzjoni tal-Kummissjoni </w:t>
      </w:r>
      <w:r w:rsidR="00394DA7">
        <w:t xml:space="preserve"> (UE) 2026/1419 </w:t>
      </w:r>
      <w:r w:rsidRPr="007810B8">
        <w:t>mhuwiex konsistenti mad-dritt tal-Unjoni, billi mhuwiex kompatibbli mal-għan tar-Regolament (KE) Nru 1829/2003 li, skont il-prinċipji ġenerali stabbiliti fir-Regolament (KE) Nru 178/2002 tal-Parlament Ewropew u tal-Kunsill</w:t>
      </w:r>
      <w:r>
        <w:rPr>
          <w:vertAlign w:val="superscript"/>
        </w:rPr>
        <w:footnoteReference w:id="19"/>
      </w:r>
      <w:r w:rsidRPr="007810B8">
        <w:t>, huwa li jipprovdi l-bażi biex, fir-rigward tal-ikel u l-għalf ĠM, jiżgura livell għoli ta’ protezzjoni għall-ħajja u s-saħħa umana, is-saħħa u l-benesseri tal-annimali, u l-interessi tal-ambjent u tal-konsumaturi, filwaqt li jiżgura l-funzjonament effikaċi tas-suq intern;</w:t>
      </w:r>
    </w:p>
    <w:p w:rsidR="001B047C" w:rsidRPr="007810B8" w:rsidP="001B047C" w14:paraId="127A7E63" w14:textId="4B769A76">
      <w:pPr>
        <w:pStyle w:val="NormalHanging12a"/>
      </w:pPr>
      <w:r w:rsidRPr="007810B8">
        <w:t>3.</w:t>
      </w:r>
      <w:r w:rsidRPr="007810B8">
        <w:tab/>
        <w:t xml:space="preserve">Jistieden lill-Kummissjoni tirtira </w:t>
      </w:r>
      <w:r w:rsidR="00394DA7">
        <w:t>d-D</w:t>
      </w:r>
      <w:r w:rsidRPr="007810B8">
        <w:t xml:space="preserve">eċiżjoni ta’ </w:t>
      </w:r>
      <w:r w:rsidR="00394DA7">
        <w:t>I</w:t>
      </w:r>
      <w:r w:rsidRPr="007810B8">
        <w:t xml:space="preserve">mplimentazzjoni </w:t>
      </w:r>
      <w:r w:rsidR="00394DA7">
        <w:t>(UE) 2026/1419</w:t>
      </w:r>
      <w:r w:rsidRPr="007810B8">
        <w:t>;</w:t>
      </w:r>
    </w:p>
    <w:p w:rsidR="001B047C" w:rsidRPr="007810B8" w:rsidP="001B047C" w14:paraId="004F646D" w14:textId="77777777">
      <w:pPr>
        <w:pStyle w:val="NormalHanging12a"/>
      </w:pPr>
      <w:r w:rsidRPr="007810B8">
        <w:t>4.</w:t>
      </w:r>
      <w:r w:rsidRPr="007810B8">
        <w:tab/>
        <w:t xml:space="preserve">Jistieden lill-Kummissjoni ma </w:t>
      </w:r>
      <w:r w:rsidRPr="007810B8">
        <w:t>tawtorizzax</w:t>
      </w:r>
      <w:r w:rsidRPr="007810B8">
        <w:t xml:space="preserve"> l-importazzjoni ta’ għelejjel ĠM li huma </w:t>
      </w:r>
      <w:r w:rsidRPr="007810B8">
        <w:t>tolleranti</w:t>
      </w:r>
      <w:r w:rsidRPr="007810B8">
        <w:t xml:space="preserve"> għall-erbiċidi, minħabba ż-żieda assoċjata fl-użu ta’ erbiċidi komplementari u għalhekk iż-żieda fir-riskji għall-bijodiversità, is-sikurezza tal-ikel u s-saħħa tal-ħaddiema;</w:t>
      </w:r>
    </w:p>
    <w:p w:rsidR="001B047C" w:rsidRPr="007810B8" w:rsidP="001B047C" w14:paraId="00CC4F84" w14:textId="77777777">
      <w:pPr>
        <w:pStyle w:val="NormalHanging12a"/>
      </w:pPr>
      <w:r w:rsidRPr="007810B8">
        <w:t>5.</w:t>
      </w:r>
      <w:r w:rsidRPr="007810B8">
        <w:tab/>
        <w:t>Jilqa’ l-fatt li l-Kummissjoni fl-aħħar irrikonoxxiet, f’ittra tal-11 ta’ Settembru 2020 lill-Membri, il-ħtieġa li tqis is-sostenibbiltà fir-rigward ta’ deċiżjonijiet ta’ awtorizzazzjoni dwar OĠM</w:t>
      </w:r>
      <w:r>
        <w:rPr>
          <w:vertAlign w:val="superscript"/>
        </w:rPr>
        <w:footnoteReference w:id="20"/>
      </w:r>
      <w:r w:rsidRPr="007810B8">
        <w:t>; jesprimi d-</w:t>
      </w:r>
      <w:r w:rsidRPr="007810B8">
        <w:t>diżappunt</w:t>
      </w:r>
      <w:r w:rsidRPr="007810B8">
        <w:t xml:space="preserve"> kbir tiegħu, madankollu, li, minn dak iż-żmien ’l hawn il-Kummissjoni kompliet tawtorizza OĠM għall-importazzjoni fl-Unjoni, </w:t>
      </w:r>
      <w:r w:rsidRPr="007810B8">
        <w:t>minkejja l-oġġezzjonijiet li qed isiru bħalissa mill-Parlament u mill-maġġoranza tal-Istati Membri li jivvutaw kontra;</w:t>
      </w:r>
    </w:p>
    <w:p w:rsidR="001B047C" w:rsidRPr="007810B8" w:rsidP="001B047C" w14:paraId="39132AFC" w14:textId="77777777">
      <w:pPr>
        <w:pStyle w:val="NormalHanging12a"/>
      </w:pPr>
      <w:r w:rsidRPr="007810B8">
        <w:t>6.</w:t>
      </w:r>
      <w:r w:rsidRPr="007810B8">
        <w:tab/>
        <w:t xml:space="preserve">Iħeġġeġ lill-Kummissjoni biex, għal darba oħra, tqis l-obbligi tal-Unjoni fl-ambitu tal-ftehimiet internazzjonali, bħall-Ftehim ta’ Pariġi dwar il-Klima, il-KDB </w:t>
      </w:r>
      <w:r w:rsidRPr="007810B8">
        <w:t>tan</w:t>
      </w:r>
      <w:r w:rsidRPr="007810B8">
        <w:t>-NU u l-</w:t>
      </w:r>
      <w:r w:rsidRPr="007810B8">
        <w:t>SDGs</w:t>
      </w:r>
      <w:r w:rsidRPr="007810B8">
        <w:t xml:space="preserve"> </w:t>
      </w:r>
      <w:r w:rsidRPr="007810B8">
        <w:t>tan</w:t>
      </w:r>
      <w:r w:rsidRPr="007810B8">
        <w:t>-NU; itenni l-appell tiegħu li l-abbozzi ta’ atti ta’ implimentazzjoni jkunu akkumpanjati minn memorandum ta’ spjegazzjoni li jispjega kif dawn jirrispettaw il-prinċipju ta’ “la tagħmilx ħsara”</w:t>
      </w:r>
      <w:r>
        <w:rPr>
          <w:vertAlign w:val="superscript"/>
        </w:rPr>
        <w:footnoteReference w:id="21"/>
      </w:r>
      <w:r w:rsidRPr="007810B8">
        <w:t>;</w:t>
      </w:r>
    </w:p>
    <w:p w:rsidR="001B047C" w:rsidRPr="007810B8" w:rsidP="001B047C" w14:paraId="2F64D7F5" w14:textId="77777777">
      <w:pPr>
        <w:pStyle w:val="NormalHanging12a"/>
      </w:pPr>
      <w:r w:rsidRPr="007810B8">
        <w:t>7.</w:t>
      </w:r>
      <w:r w:rsidRPr="007810B8">
        <w:tab/>
        <w:t>Jenfasizza li l-emendi adottati mill-Parlament Ewropew fis-17 ta’ Diċembru 2020 dwar il-proposta għal regolament tal-Parlament Ewropew u tal-Kunsill li jemenda r-Regolament (UE) Nru 182/2011</w:t>
      </w:r>
      <w:r>
        <w:rPr>
          <w:vertAlign w:val="superscript"/>
        </w:rPr>
        <w:footnoteReference w:id="22"/>
      </w:r>
      <w:r w:rsidRPr="007810B8">
        <w:t xml:space="preserve">, li ġew adottati fil-Parlament bħala bażi għan-negozjati mal-Kunsill, jiddikjaraw li l-Kummissjoni ma għandhiex tawtorizza </w:t>
      </w:r>
      <w:r w:rsidRPr="007810B8">
        <w:t>OĠMs</w:t>
      </w:r>
      <w:r w:rsidRPr="007810B8">
        <w:t xml:space="preserve"> meta ma jkunx hemm maġġoranza kwalifikata tal-Istati Membri </w:t>
      </w:r>
      <w:r w:rsidRPr="007810B8">
        <w:t>favurihom</w:t>
      </w:r>
      <w:r w:rsidRPr="007810B8">
        <w:t xml:space="preserve">; </w:t>
      </w:r>
      <w:r w:rsidRPr="007810B8">
        <w:t>jinsisti</w:t>
      </w:r>
      <w:r w:rsidRPr="007810B8">
        <w:t xml:space="preserve"> li l-Kummissjoni tirrispetta din il-pożizzjoni u jistieden lill-Kunsill jipproċedi bil-ħidma tiegħu u jadotta approċċ ġenerali dwar dan il-fajl bħala kwistjoni ta’ urġenza;</w:t>
      </w:r>
    </w:p>
    <w:p w:rsidR="00E365E1" w:rsidRPr="007810B8" w:rsidP="00D44699" w14:paraId="0DB03ADD" w14:textId="31899E6C">
      <w:pPr>
        <w:ind w:left="567" w:hanging="567"/>
      </w:pPr>
      <w:r w:rsidRPr="007810B8">
        <w:t>8.</w:t>
      </w:r>
      <w:r w:rsidRPr="007810B8">
        <w:tab/>
        <w:t>Jagħti istruzzjonijiet lill-President tiegħu biex tgħaddi din ir-riżoluzzjoni lill-Kunsill u lill-Kummissjoni, kif ukoll lill-gvernijiet u lill-parlamenti tal-Istati Membri.</w:t>
      </w:r>
    </w:p>
    <w:sectPr w:rsidSect="007810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463F5E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3781D4D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2CC2C05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723AA" w:rsidRPr="007810B8" w14:paraId="75FCD5FD" w14:textId="77777777">
      <w:r w:rsidRPr="007810B8">
        <w:separator/>
      </w:r>
    </w:p>
  </w:footnote>
  <w:footnote w:type="continuationSeparator" w:id="1">
    <w:p w:rsidR="007723AA" w:rsidRPr="007810B8" w14:paraId="4224B3E3" w14:textId="77777777">
      <w:r w:rsidRPr="007810B8">
        <w:continuationSeparator/>
      </w:r>
    </w:p>
  </w:footnote>
  <w:footnote w:id="2">
    <w:p w:rsidR="00394DA7" w:rsidRPr="00D44699" w:rsidP="00D44699" w14:paraId="7C88CE23" w14:textId="344B61A9">
      <w:pPr>
        <w:pStyle w:val="FootnoteText"/>
        <w:ind w:left="709" w:hanging="709"/>
        <w:rPr>
          <w:sz w:val="24"/>
          <w:szCs w:val="24"/>
          <w:lang w:val="mt-MT"/>
        </w:rPr>
      </w:pPr>
      <w:r w:rsidRPr="00D44699">
        <w:rPr>
          <w:rStyle w:val="FootnoteReference"/>
          <w:sz w:val="24"/>
          <w:szCs w:val="24"/>
        </w:rPr>
        <w:footnoteRef/>
      </w:r>
      <w:r w:rsidRPr="00EA3DAD">
        <w:rPr>
          <w:sz w:val="24"/>
          <w:szCs w:val="24"/>
          <w:lang w:val="fi-FI"/>
        </w:rPr>
        <w:t xml:space="preserve"> </w:t>
      </w:r>
      <w:r w:rsidRPr="00D44699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ĠU L, 2026/1419, 3.7.2026, ELI: </w:t>
      </w:r>
      <w:hyperlink r:id="rId1" w:history="1">
        <w:r w:rsidRPr="00394DA7">
          <w:rPr>
            <w:rStyle w:val="Hyperlink"/>
            <w:sz w:val="24"/>
            <w:szCs w:val="24"/>
            <w:lang w:val="mt-MT"/>
          </w:rPr>
          <w:t>http://data.europa.eu/eli/dec_impl/2026/1419/oj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3">
    <w:p w:rsidR="001B047C" w:rsidRPr="00394DA7" w:rsidP="00D44699" w14:paraId="66A1EFBB" w14:textId="65B7FCAA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unotenzeichen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ĠU L 268, 18.10.2003, p. 1, ELI: </w:t>
      </w:r>
      <w:hyperlink r:id="rId2" w:tooltip="Jagħti aċċess għal dan id-dokument permezz tal-URL tal-ELI tiegħu." w:history="1">
        <w:r w:rsidRPr="00394DA7">
          <w:rPr>
            <w:rStyle w:val="Hyperlink"/>
            <w:sz w:val="24"/>
            <w:szCs w:val="24"/>
            <w:lang w:val="mt-MT"/>
          </w:rPr>
          <w:t>http://data.europa.eu/eli/reg/2003/1829/oj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4">
    <w:p w:rsidR="001B047C" w:rsidRPr="00394DA7" w:rsidP="00D44699" w14:paraId="6D76B505" w14:textId="1EA3AE16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ĠU L 55, 28.2.2011, p. 13, ELI: </w:t>
      </w:r>
      <w:hyperlink r:id="rId3" w:tooltip="http://data.europa.eu/eli/reg/2011/182/oj" w:history="1">
        <w:r w:rsidRPr="00394DA7">
          <w:rPr>
            <w:rStyle w:val="Hyperlink"/>
            <w:sz w:val="24"/>
            <w:szCs w:val="24"/>
            <w:lang w:val="mt-MT"/>
          </w:rPr>
          <w:t>http://data.europa.eu/eli/reg/2011/182/oj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5">
    <w:p w:rsidR="001B047C" w:rsidRPr="00394DA7" w:rsidP="00D44699" w14:paraId="7E0B63B8" w14:textId="20108D4B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unotenzeichen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L-opinjoni xjentifika tal-Bord tal-EFSA dwar Organiżmi Ġenetikament Modifikati dwar il-“Valutazzjoni tal-fażola ġenetikament modifikata MON 87705 (applikazzjoni GMFF-2023-21236)”, </w:t>
      </w:r>
      <w:r w:rsidRPr="00394DA7">
        <w:rPr>
          <w:i/>
          <w:iCs/>
          <w:sz w:val="24"/>
          <w:szCs w:val="24"/>
          <w:lang w:val="mt-MT"/>
        </w:rPr>
        <w:t xml:space="preserve">EFSA </w:t>
      </w:r>
      <w:r w:rsidRPr="00394DA7">
        <w:rPr>
          <w:i/>
          <w:iCs/>
          <w:sz w:val="24"/>
          <w:szCs w:val="24"/>
          <w:lang w:val="mt-MT"/>
        </w:rPr>
        <w:t>Journal</w:t>
      </w:r>
      <w:r w:rsidRPr="00394DA7">
        <w:rPr>
          <w:sz w:val="24"/>
          <w:szCs w:val="24"/>
          <w:lang w:val="mt-MT"/>
        </w:rPr>
        <w:t xml:space="preserve"> 2026</w:t>
      </w:r>
      <w:r w:rsidR="00394DA7">
        <w:rPr>
          <w:sz w:val="24"/>
          <w:szCs w:val="24"/>
          <w:lang w:val="mt-MT"/>
        </w:rPr>
        <w:t>,</w:t>
      </w:r>
      <w:r w:rsidRPr="00394DA7">
        <w:rPr>
          <w:sz w:val="24"/>
          <w:szCs w:val="24"/>
          <w:lang w:val="mt-MT"/>
        </w:rPr>
        <w:t xml:space="preserve"> 24(1):e9846 , </w:t>
      </w:r>
      <w:hyperlink r:id="rId4" w:history="1">
        <w:r w:rsidRPr="00394DA7">
          <w:rPr>
            <w:rStyle w:val="Hyperlink"/>
            <w:sz w:val="24"/>
            <w:szCs w:val="24"/>
            <w:lang w:val="mt-MT"/>
          </w:rPr>
          <w:t>https://doi.org/10.2903/j.efsa.2026.9846</w:t>
        </w:r>
      </w:hyperlink>
      <w:r w:rsidRPr="00394DA7">
        <w:rPr>
          <w:rStyle w:val="Hyperlink"/>
          <w:sz w:val="24"/>
          <w:szCs w:val="24"/>
          <w:lang w:val="mt-MT"/>
        </w:rPr>
        <w:t>.</w:t>
      </w:r>
    </w:p>
  </w:footnote>
  <w:footnote w:id="6">
    <w:p w:rsidR="001B047C" w:rsidRPr="00394DA7" w:rsidP="00D44699" w14:paraId="15FD810F" w14:textId="73A9E08C">
      <w:pPr>
        <w:pStyle w:val="FootnoteText"/>
        <w:ind w:left="709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rStyle w:val="Funotenzeichen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  <w:r w:rsidRPr="00394DA7">
        <w:rPr>
          <w:color w:val="000000" w:themeColor="text1"/>
          <w:sz w:val="24"/>
          <w:szCs w:val="24"/>
          <w:lang w:val="mt-MT"/>
        </w:rPr>
        <w:t xml:space="preserve"> Barra minn hekk, fl-għaxar leġiżlatura tiegħu, il-Parlament adotta r-riżoluzzjonijiet li ġejjin:</w:t>
      </w:r>
    </w:p>
    <w:p w:rsidR="001B047C" w:rsidRPr="00394DA7" w:rsidP="00D44699" w14:paraId="394CCFA0" w14:textId="36093A5B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5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http://data.europa.eu/eli/C/2025/1797/oj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52C60949" w14:textId="1B10932C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6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http://data.europa.eu/eli/C/2025/1798/oj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125F1F65" w14:textId="65EAB7DA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r w:rsidRPr="00394DA7">
        <w:rPr>
          <w:color w:val="000000" w:themeColor="text1"/>
          <w:sz w:val="24"/>
          <w:szCs w:val="24"/>
          <w:lang w:val="mt-MT"/>
        </w:rPr>
        <w:t>subkombinazzjonijiet</w:t>
      </w:r>
      <w:r w:rsidRPr="00394DA7">
        <w:rPr>
          <w:color w:val="000000" w:themeColor="text1"/>
          <w:sz w:val="24"/>
          <w:szCs w:val="24"/>
          <w:lang w:val="mt-MT"/>
        </w:rPr>
        <w:t xml:space="preserve"> tiegħu, skont ir-Regolament (KE) Nru 1829/2003 tal-Parlament Ewropew u tal-Kunsill (ĠU C, C/2025/1799, 4.4.2025, ELI: </w:t>
      </w:r>
      <w:hyperlink r:id="rId7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http://data.europa.eu/eli/C/2025/1799/oj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6644326A" w14:textId="789C2139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8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http://data.europa.eu/eli/C/2025/1800/oj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614F0CB5" w14:textId="18B391A7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9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http://data.europa.eu/eli/C/2025/1801/oj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30A773CA" w14:textId="3BE77694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10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http://data.europa.eu/eli/C/2025/1802/oj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2311E5C6" w14:textId="39BCED79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1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http://data.europa.eu/eli/C/2025/1803/oj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00A8AB29" w14:textId="1FEF0F67">
      <w:pPr>
        <w:pStyle w:val="FootnoteText"/>
        <w:ind w:left="1418" w:hanging="709"/>
        <w:rPr>
          <w:color w:val="000000" w:themeColor="text1"/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2" w:history="1">
        <w:r w:rsidRPr="00394DA7">
          <w:rPr>
            <w:rStyle w:val="Hyperlink"/>
            <w:sz w:val="24"/>
            <w:szCs w:val="24"/>
            <w:lang w:val="mt-MT"/>
          </w:rPr>
          <w:t>http://data.europa.eu/eli/C/2025/1804/oj</w:t>
        </w:r>
      </w:hyperlink>
      <w:r w:rsidRPr="00394DA7">
        <w:rPr>
          <w:color w:val="000000" w:themeColor="text1"/>
          <w:sz w:val="24"/>
          <w:szCs w:val="24"/>
          <w:lang w:val="mt-MT"/>
        </w:rPr>
        <w:t>).</w:t>
      </w:r>
    </w:p>
    <w:p w:rsidR="001B047C" w:rsidRPr="00394DA7" w:rsidP="00D44699" w14:paraId="61BAE948" w14:textId="312EB118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color w:val="000000" w:themeColor="text1"/>
          <w:sz w:val="24"/>
          <w:szCs w:val="24"/>
          <w:lang w:val="mt-MT"/>
        </w:rPr>
        <w:t>–</w:t>
      </w:r>
      <w:r w:rsidRPr="00394DA7">
        <w:rPr>
          <w:color w:val="000000" w:themeColor="text1"/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3" w:tooltip="Jagħti aċċess għal dan id-dokument permezz tal-URL tal-ELI tiegħu." w:history="1">
        <w:r w:rsidRPr="00394DA7">
          <w:rPr>
            <w:rStyle w:val="Hyperlink"/>
            <w:sz w:val="24"/>
            <w:szCs w:val="24"/>
            <w:lang w:val="mt-MT"/>
          </w:rPr>
          <w:t>http://data.europa.eu/eli/C/2025/2246/oj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5A94617F" w14:textId="674CB4EA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4" w:tooltip="Jagħti aċċess għal dan id-dokument permezz tal-URL tal-ELI tiegħu." w:history="1">
        <w:r w:rsidRPr="00394DA7">
          <w:rPr>
            <w:rStyle w:val="Hyperlink"/>
            <w:sz w:val="24"/>
            <w:szCs w:val="24"/>
            <w:lang w:val="mt-MT"/>
          </w:rPr>
          <w:t>http://data.europa.eu/eli/C/2025/2247/oj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096D317D" w14:textId="04C574FD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(ĠU C, C/2026/586, 24.2.2026, ELI: </w:t>
      </w:r>
      <w:hyperlink r:id="rId15" w:tooltip="Jagħti aċċess għal dan id-dokument permezz tal-URL tal-ELI tiegħu." w:history="1">
        <w:r w:rsidRPr="00394DA7">
          <w:rPr>
            <w:rStyle w:val="Hyperlink"/>
            <w:sz w:val="24"/>
            <w:szCs w:val="24"/>
            <w:lang w:val="mt-MT"/>
          </w:rPr>
          <w:t>http://data.europa.eu/eli/C/2026/586/oj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3D102E8D" w14:textId="2625CAAE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(ĠU C, C/2026/1523, 15.4.2026, ELI: </w:t>
      </w:r>
      <w:hyperlink r:id="rId16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http://data.europa.eu/eli/C/2026/1523/oj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30D69C28" w14:textId="37A4260A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tawtorizza t-tqegħid fis-suq ta’ prodotti li fihom, jikkonsistu minn, jew li huma prodotti minn qamħirrum ġenetikament modifikat DAS1131 skont ir-Regolament (KE) Nru 1829/2003 tal-Parlament Ewropew u tal-Kunsill (ĠU C, C/202</w:t>
      </w:r>
      <w:r w:rsidR="008A70F1">
        <w:rPr>
          <w:sz w:val="24"/>
          <w:szCs w:val="24"/>
          <w:lang w:val="mt-MT"/>
        </w:rPr>
        <w:t>6</w:t>
      </w:r>
      <w:r w:rsidRPr="00394DA7">
        <w:rPr>
          <w:sz w:val="24"/>
          <w:szCs w:val="24"/>
          <w:lang w:val="mt-MT"/>
        </w:rPr>
        <w:t>/1703, 24.4.2026, ELI: </w:t>
      </w:r>
      <w:hyperlink r:id="rId17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http://data.europa.eu/eli/C/2026/1703/oj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34318891" w14:textId="4B37C50C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(ĠU C, C/2026/1704, 24.4.2026, ELI: </w:t>
      </w:r>
      <w:hyperlink r:id="rId18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http://data.europa.eu/eli/C/2026/1704/oj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6B50FAF0" w14:textId="358F33AD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(ĠU C, C/2026/1705, 24.4.2026, ELI: </w:t>
      </w:r>
      <w:hyperlink r:id="rId19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http://data.europa.eu/eli/C/2026/1705/oj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1CB7C858" w14:textId="51BE5747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 xml:space="preserve">Ir-riżoluzzjoni tal-Parlament Ewropew tal-25 ta’ Novembru 2025 dwar l-abbozz ta’ Deċiżjoni ta’ Implimentazzjoni tal-Kummissjoni li ġġedded l-awtorizzazzjoni għall-introduzzjoni fis-suq ta’ prodotti li fihom il-fażola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MON 87708, li jikkonsistu minnha, jew li huma prodotti minnha, skont ir-Regolament (KE) Nru 1829/2003 tal-Parlament Ewropew u tal-Kunsill (ĠU C, C/2026/1706, 24.4.2026, ELI: </w:t>
      </w:r>
      <w:hyperlink r:id="rId20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http://data.europa.eu/eli/C/2026/1706/oj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518D94E2" w14:textId="0E271A0F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minnu, jew li huma prodotti minnu, skont ir-Regolament (KE) Nru 1829/2003 tal-Parlament Ewropew u tal-Kunsill (ĠU C, C/2026/1707, 24.4.2026, ELI: </w:t>
      </w:r>
      <w:hyperlink r:id="rId21" w:history="1">
        <w:r w:rsidRPr="00394DA7">
          <w:rPr>
            <w:rStyle w:val="Hyperlink"/>
            <w:sz w:val="24"/>
            <w:szCs w:val="24"/>
            <w:lang w:val="mt-MT"/>
          </w:rPr>
          <w:t>http://data.europa.eu/eli/C/2026/1707/oj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3F9595CB" w14:textId="0D1F6E12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(ĠU C, C/2026/2150, 6.5.2026, ELI: </w:t>
      </w:r>
      <w:hyperlink r:id="rId22" w:history="1">
        <w:r w:rsidRPr="00394DA7">
          <w:rPr>
            <w:rStyle w:val="Hyperlink"/>
            <w:sz w:val="24"/>
            <w:szCs w:val="24"/>
            <w:lang w:val="mt-MT"/>
          </w:rPr>
          <w:t>http://data.europa.eu/eli/C/2026/2150/oj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68A0519A" w14:textId="09CE59FF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r w:rsidRPr="00394DA7">
        <w:rPr>
          <w:sz w:val="24"/>
          <w:szCs w:val="24"/>
          <w:lang w:val="mt-MT"/>
        </w:rPr>
        <w:t>pitrava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zokkrija</w:t>
      </w:r>
      <w:r w:rsidRPr="00394DA7">
        <w:rPr>
          <w:sz w:val="24"/>
          <w:szCs w:val="24"/>
          <w:lang w:val="mt-MT"/>
        </w:rPr>
        <w:t xml:space="preserve"> ġenetikament modifikata KWS20-1, skont ir-Regolament (KE) Nru 1829/2003 tal-Parlament Ewropew u tal-Kunsill (ĠU C, C/2026/2151, 6.5.2026, ELI: </w:t>
      </w:r>
      <w:hyperlink r:id="rId23" w:history="1">
        <w:r w:rsidRPr="00394DA7">
          <w:rPr>
            <w:rStyle w:val="Hyperlink"/>
            <w:sz w:val="24"/>
            <w:szCs w:val="24"/>
            <w:lang w:val="mt-MT"/>
          </w:rPr>
          <w:t>http://data.europa.eu/eli/C/2026/2151/oj</w:t>
        </w:r>
      </w:hyperlink>
      <w:r w:rsidRPr="00394DA7">
        <w:rPr>
          <w:sz w:val="24"/>
          <w:szCs w:val="24"/>
          <w:lang w:val="mt-MT"/>
        </w:rPr>
        <w:t>).</w:t>
      </w:r>
    </w:p>
    <w:p w:rsidR="001B047C" w:rsidRPr="00394DA7" w:rsidP="00D44699" w14:paraId="69677E60" w14:textId="4C5F3A9E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 xml:space="preserve">Ir-riżoluzzjoni tal-Parlament Ewropew tal-11 ta’ Frar 2026 dwar l-abbozz ta’ deċiżjoni ta’ implimentazzjoni tal-Kummissjoni li tawtorizza t-tqegħid fis-suq ta’ prodotti li fihom il-fażola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DBN-09004-6, li jikkonsistu minnha jew li huma prodotti minnha, skont ir-Regolament (KE) Nru 1829/2003 tal-Parlament Ewropew u tal-Kunsill (Testi adottati, P10_TA(2026)0041).</w:t>
      </w:r>
    </w:p>
    <w:p w:rsidR="001B047C" w:rsidRPr="00394DA7" w:rsidP="00D44699" w14:paraId="42680543" w14:textId="7C5894F7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 (Testi adottati, P10_TA(2026)0042).</w:t>
      </w:r>
    </w:p>
    <w:p w:rsidR="001B047C" w:rsidRPr="00394DA7" w:rsidP="00D44699" w14:paraId="2B9EB3C2" w14:textId="6D57B233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 (Testi adottati, P10_TA(2026)0043).</w:t>
      </w:r>
    </w:p>
    <w:p w:rsidR="001B047C" w:rsidRPr="00394DA7" w:rsidP="00D44699" w14:paraId="0262D9D8" w14:textId="186D8ACD">
      <w:pPr>
        <w:pStyle w:val="FootnoteText"/>
        <w:ind w:left="1418" w:hanging="709"/>
        <w:rPr>
          <w:sz w:val="24"/>
          <w:szCs w:val="24"/>
          <w:vertAlign w:val="superscript"/>
          <w:lang w:val="mt-MT"/>
        </w:rPr>
      </w:pP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 (Testi adottati, P10_TA(2026)0044).</w:t>
      </w:r>
    </w:p>
    <w:p w:rsidR="001B047C" w:rsidRPr="00394DA7" w:rsidP="00D44699" w14:paraId="254BE812" w14:textId="585C5313">
      <w:pPr>
        <w:pStyle w:val="FootnoteText"/>
        <w:ind w:left="1418" w:hanging="709"/>
        <w:rPr>
          <w:sz w:val="24"/>
          <w:szCs w:val="24"/>
          <w:lang w:val="mt-MT"/>
        </w:rPr>
      </w:pPr>
      <w:r w:rsidRPr="00394DA7">
        <w:rPr>
          <w:sz w:val="24"/>
          <w:szCs w:val="24"/>
          <w:lang w:val="mt-MT"/>
        </w:rPr>
        <w:t>–</w:t>
      </w:r>
      <w:r w:rsidRPr="00394DA7">
        <w:rPr>
          <w:sz w:val="24"/>
          <w:szCs w:val="24"/>
          <w:lang w:val="mt-MT"/>
        </w:rPr>
        <w:tab/>
        <w:t xml:space="preserve">Ir-riżoluzzjoni tal-Parlament Ewropew tad-29 ta’ April 2026 dwar l-abbozz ta’ deċiżjoni ta’ implimentazzjoni tal-Kummissjoni li tawtorizza t-tqegħid fis-suq ta’ prodotti li fihom il-fażola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MON 94637, li jikkonsistu minnha jew li huma prodotti minnha, skont ir-Regolament (KE) Nru 1829/2003 tal-Parlament Ewropew u tal-Kunsill (Testi adottati, P10_TA(2026)0150).</w:t>
      </w:r>
    </w:p>
  </w:footnote>
  <w:footnote w:id="7">
    <w:p w:rsidR="001B047C" w:rsidRPr="00394DA7" w:rsidP="00D44699" w14:paraId="6C12C1A5" w14:textId="13434A82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Id-Deċiżjoni ta’ Implimentazzjoni tal-Kummissjoni (UE) 2015/696 tal-24 ta’ April 2015 li tawtorizza t-tqegħid fis-suq ta’ prodotti li fihom, jikkonsistu minn, jew huma prodotti mill-fażola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modifikata ġenetikament MON 87705 (MON-877Ø5-6) skont ir-Regolament (KE) Nru 1829/2003 tal-Parlament Ewropew u tal-Kunsill (ĠU L 112, 30.4.2015, p. 60, ELI: </w:t>
      </w:r>
      <w:hyperlink r:id="rId24" w:history="1">
        <w:r w:rsidRPr="00394DA7">
          <w:rPr>
            <w:rStyle w:val="Hyperlink"/>
            <w:sz w:val="24"/>
            <w:szCs w:val="24"/>
            <w:lang w:val="mt-MT"/>
          </w:rPr>
          <w:t>http://data.europa.eu/eli/dec_impl/2015/696/2021-02-16</w:t>
        </w:r>
      </w:hyperlink>
      <w:r w:rsidRPr="00394DA7">
        <w:rPr>
          <w:sz w:val="24"/>
          <w:szCs w:val="24"/>
          <w:lang w:val="mt-MT"/>
        </w:rPr>
        <w:t>).</w:t>
      </w:r>
    </w:p>
  </w:footnote>
  <w:footnote w:id="8">
    <w:p w:rsidR="001B047C" w:rsidRPr="00394DA7" w:rsidP="00D44699" w14:paraId="269BD63F" w14:textId="42EC7AFD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L-Opinjoni Xjentifika tal-Bord tal-EFSA dwar Organiżmi Ġenetikament Modifikati bit-titolu “Assessment of </w:t>
      </w:r>
      <w:r w:rsidRPr="00394DA7">
        <w:rPr>
          <w:sz w:val="24"/>
          <w:szCs w:val="24"/>
          <w:lang w:val="mt-MT"/>
        </w:rPr>
        <w:t>genetically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modified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soybean</w:t>
      </w:r>
      <w:r w:rsidRPr="00394DA7">
        <w:rPr>
          <w:sz w:val="24"/>
          <w:szCs w:val="24"/>
          <w:lang w:val="mt-MT"/>
        </w:rPr>
        <w:t xml:space="preserve"> MON 87705 </w:t>
      </w:r>
      <w:r w:rsidRPr="00394DA7">
        <w:rPr>
          <w:sz w:val="24"/>
          <w:szCs w:val="24"/>
          <w:lang w:val="mt-MT"/>
        </w:rPr>
        <w:t>for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renewal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authorisation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under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Regulation</w:t>
      </w:r>
      <w:r w:rsidRPr="00394DA7">
        <w:rPr>
          <w:sz w:val="24"/>
          <w:szCs w:val="24"/>
          <w:lang w:val="mt-MT"/>
        </w:rPr>
        <w:t xml:space="preserve"> (EC) </w:t>
      </w:r>
      <w:r w:rsidRPr="00394DA7">
        <w:rPr>
          <w:sz w:val="24"/>
          <w:szCs w:val="24"/>
          <w:lang w:val="mt-MT"/>
        </w:rPr>
        <w:t>No</w:t>
      </w:r>
      <w:r w:rsidRPr="00394DA7">
        <w:rPr>
          <w:sz w:val="24"/>
          <w:szCs w:val="24"/>
          <w:lang w:val="mt-MT"/>
        </w:rPr>
        <w:t xml:space="preserve"> 1829/2003 (application GMFF-2023-21236)” (Valutazzjoni tal-fażola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MON 87705 għall-awtorizzazzjoni tat-tiġdid skont ir-Regolament (KE) Nru 1829/2003 (applikazzjoni GMFF-2023-21236)), </w:t>
      </w:r>
      <w:r w:rsidRPr="00394DA7">
        <w:rPr>
          <w:i/>
          <w:sz w:val="24"/>
          <w:szCs w:val="24"/>
          <w:lang w:val="mt-MT"/>
        </w:rPr>
        <w:t xml:space="preserve">EFSA </w:t>
      </w:r>
      <w:r w:rsidRPr="00394DA7">
        <w:rPr>
          <w:i/>
          <w:sz w:val="24"/>
          <w:szCs w:val="24"/>
          <w:lang w:val="mt-MT"/>
        </w:rPr>
        <w:t>Journal</w:t>
      </w:r>
      <w:r w:rsidRPr="00394DA7">
        <w:rPr>
          <w:sz w:val="24"/>
          <w:szCs w:val="24"/>
          <w:lang w:val="mt-MT"/>
        </w:rPr>
        <w:t xml:space="preserve">, 2026, 24(1):e9846, </w:t>
      </w:r>
      <w:hyperlink r:id="rId4" w:history="1">
        <w:r w:rsidRPr="00394DA7">
          <w:rPr>
            <w:rStyle w:val="Hyperlink"/>
            <w:sz w:val="24"/>
            <w:szCs w:val="24"/>
            <w:lang w:val="mt-MT"/>
          </w:rPr>
          <w:t>https://doi.org/10.2903/j.efsa.2026.9846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9">
    <w:p w:rsidR="001B047C" w:rsidRPr="00394DA7" w:rsidP="00D44699" w14:paraId="4376F9BD" w14:textId="2F49E167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“L-Opinjoni Xjentifika tal-Bord tal-EFSA dwar Organiżmi Ġenetikament Modifikati dwar l-applikazzjoni EFSA-GMO-NL-2010-78 għat-tqegħid fis-suq tal-fażola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ġenetikament modifikata MON 87705 </w:t>
      </w:r>
      <w:r w:rsidRPr="00394DA7">
        <w:rPr>
          <w:sz w:val="24"/>
          <w:szCs w:val="24"/>
          <w:lang w:val="mt-MT"/>
        </w:rPr>
        <w:t>tolleranti</w:t>
      </w:r>
      <w:r w:rsidRPr="00394DA7">
        <w:rPr>
          <w:sz w:val="24"/>
          <w:szCs w:val="24"/>
          <w:lang w:val="mt-MT"/>
        </w:rPr>
        <w:t xml:space="preserve"> għall-erbiċidi għall-użu fl-ikel u l-għalf, u l-importazzjoni u l-ipproċessar skont ir-Regolament (KE) Nru 1829/2003 minn </w:t>
      </w:r>
      <w:r w:rsidRPr="00394DA7">
        <w:rPr>
          <w:sz w:val="24"/>
          <w:szCs w:val="24"/>
          <w:lang w:val="mt-MT"/>
        </w:rPr>
        <w:t>Monsanto</w:t>
      </w:r>
      <w:r w:rsidRPr="00394DA7">
        <w:rPr>
          <w:sz w:val="24"/>
          <w:szCs w:val="24"/>
          <w:lang w:val="mt-MT"/>
        </w:rPr>
        <w:t xml:space="preserve">”, </w:t>
      </w:r>
      <w:r w:rsidRPr="00394DA7">
        <w:rPr>
          <w:i/>
          <w:sz w:val="24"/>
          <w:szCs w:val="24"/>
          <w:lang w:val="mt-MT"/>
        </w:rPr>
        <w:t xml:space="preserve">EFSA </w:t>
      </w:r>
      <w:r w:rsidRPr="00394DA7">
        <w:rPr>
          <w:i/>
          <w:sz w:val="24"/>
          <w:szCs w:val="24"/>
          <w:lang w:val="mt-MT"/>
        </w:rPr>
        <w:t>Journal</w:t>
      </w:r>
      <w:r w:rsidRPr="00394DA7">
        <w:rPr>
          <w:sz w:val="24"/>
          <w:szCs w:val="24"/>
          <w:lang w:val="mt-MT"/>
        </w:rPr>
        <w:t xml:space="preserve">, 2012, 10(10):2909, </w:t>
      </w:r>
      <w:hyperlink r:id="rId25" w:history="1">
        <w:r w:rsidRPr="00394DA7">
          <w:rPr>
            <w:rStyle w:val="Hyperlink"/>
            <w:sz w:val="24"/>
            <w:szCs w:val="24"/>
            <w:lang w:val="mt-MT"/>
          </w:rPr>
          <w:t>https://doi.org/10.2903/j.efsa.2012.2909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10">
    <w:p w:rsidR="001B047C" w:rsidRPr="00394DA7" w:rsidP="00D44699" w14:paraId="4657B31B" w14:textId="318E6C72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Il-Bord tal-EFSA dwar l-Organiżmi Ġenetikament Modifikati, “</w:t>
      </w:r>
      <w:r w:rsidRPr="00394DA7">
        <w:rPr>
          <w:sz w:val="24"/>
          <w:szCs w:val="24"/>
          <w:lang w:val="mt-MT"/>
        </w:rPr>
        <w:t>Statement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complementing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the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scientific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opinion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on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application</w:t>
      </w:r>
      <w:r w:rsidRPr="00394DA7">
        <w:rPr>
          <w:sz w:val="24"/>
          <w:szCs w:val="24"/>
          <w:lang w:val="mt-MT"/>
        </w:rPr>
        <w:t xml:space="preserve"> EFSA-GMO-NL-2010-78 </w:t>
      </w:r>
      <w:r w:rsidRPr="00394DA7">
        <w:rPr>
          <w:sz w:val="24"/>
          <w:szCs w:val="24"/>
          <w:lang w:val="mt-MT"/>
        </w:rPr>
        <w:t>to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cover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the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safety</w:t>
      </w:r>
      <w:r w:rsidRPr="00394DA7">
        <w:rPr>
          <w:sz w:val="24"/>
          <w:szCs w:val="24"/>
          <w:lang w:val="mt-MT"/>
        </w:rPr>
        <w:t xml:space="preserve"> of </w:t>
      </w:r>
      <w:r w:rsidRPr="00394DA7">
        <w:rPr>
          <w:sz w:val="24"/>
          <w:szCs w:val="24"/>
          <w:lang w:val="mt-MT"/>
        </w:rPr>
        <w:t>soybean</w:t>
      </w:r>
      <w:r w:rsidRPr="00394DA7">
        <w:rPr>
          <w:sz w:val="24"/>
          <w:szCs w:val="24"/>
          <w:lang w:val="mt-MT"/>
        </w:rPr>
        <w:t xml:space="preserve"> MON 87705 </w:t>
      </w:r>
      <w:r w:rsidRPr="00394DA7">
        <w:rPr>
          <w:sz w:val="24"/>
          <w:szCs w:val="24"/>
          <w:lang w:val="mt-MT"/>
        </w:rPr>
        <w:t>oil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for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commercial</w:t>
      </w:r>
      <w:r w:rsidRPr="00394DA7">
        <w:rPr>
          <w:sz w:val="24"/>
          <w:szCs w:val="24"/>
          <w:lang w:val="mt-MT"/>
        </w:rPr>
        <w:t xml:space="preserve"> </w:t>
      </w:r>
      <w:r w:rsidRPr="00394DA7">
        <w:rPr>
          <w:sz w:val="24"/>
          <w:szCs w:val="24"/>
          <w:lang w:val="mt-MT"/>
        </w:rPr>
        <w:t>frying</w:t>
      </w:r>
      <w:r w:rsidRPr="00394DA7">
        <w:rPr>
          <w:sz w:val="24"/>
          <w:szCs w:val="24"/>
          <w:lang w:val="mt-MT"/>
        </w:rPr>
        <w:t xml:space="preserve">” (Dikjarazzjoni li tikkomplementa l-opinjoni xjentifika dwar l-applikazzjoni EFSA-GMO-NL-2010-78 biex tkopri s-sikurezza taż-żejt mill-fażola </w:t>
      </w:r>
      <w:r w:rsidRPr="00394DA7">
        <w:rPr>
          <w:sz w:val="24"/>
          <w:szCs w:val="24"/>
          <w:lang w:val="mt-MT"/>
        </w:rPr>
        <w:t>tas-sojja</w:t>
      </w:r>
      <w:r w:rsidRPr="00394DA7">
        <w:rPr>
          <w:sz w:val="24"/>
          <w:szCs w:val="24"/>
          <w:lang w:val="mt-MT"/>
        </w:rPr>
        <w:t xml:space="preserve"> MON 3507 għall-qali kummerċjali) </w:t>
      </w:r>
      <w:r w:rsidRPr="00394DA7">
        <w:rPr>
          <w:i/>
          <w:sz w:val="24"/>
          <w:szCs w:val="24"/>
          <w:lang w:val="mt-MT"/>
        </w:rPr>
        <w:t xml:space="preserve">EFSA </w:t>
      </w:r>
      <w:r w:rsidRPr="00394DA7">
        <w:rPr>
          <w:i/>
          <w:sz w:val="24"/>
          <w:szCs w:val="24"/>
          <w:lang w:val="mt-MT"/>
        </w:rPr>
        <w:t>Journal</w:t>
      </w:r>
      <w:r w:rsidRPr="00394DA7">
        <w:rPr>
          <w:sz w:val="24"/>
          <w:szCs w:val="24"/>
          <w:lang w:val="mt-MT"/>
        </w:rPr>
        <w:t xml:space="preserve">, 2013, 11(12):3507, </w:t>
      </w:r>
      <w:hyperlink r:id="rId26" w:history="1">
        <w:r w:rsidRPr="00394DA7">
          <w:rPr>
            <w:rStyle w:val="Hyperlink"/>
            <w:sz w:val="24"/>
            <w:szCs w:val="24"/>
            <w:lang w:val="mt-MT"/>
          </w:rPr>
          <w:t>https://doi.org/10.2903/j.efsa.2013.3507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11">
    <w:p w:rsidR="001B047C" w:rsidRPr="00394DA7" w:rsidP="00D44699" w14:paraId="2D7EFEC8" w14:textId="68EBE62D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 w:rsidR="007810B8">
        <w:rPr>
          <w:sz w:val="24"/>
          <w:szCs w:val="24"/>
          <w:shd w:val="clear" w:color="auto" w:fill="FFFFFF"/>
          <w:lang w:val="mt-MT"/>
        </w:rPr>
        <w:tab/>
      </w:r>
      <w:r w:rsidRPr="00394DA7">
        <w:rPr>
          <w:sz w:val="24"/>
          <w:szCs w:val="24"/>
          <w:shd w:val="clear" w:color="auto" w:fill="FFFFFF"/>
          <w:lang w:val="mt-MT"/>
        </w:rPr>
        <w:t xml:space="preserve">Ara, pereżempju, </w:t>
      </w:r>
      <w:r w:rsidRPr="00394DA7">
        <w:rPr>
          <w:sz w:val="24"/>
          <w:szCs w:val="24"/>
          <w:shd w:val="clear" w:color="auto" w:fill="FFFFFF"/>
          <w:lang w:val="mt-MT"/>
        </w:rPr>
        <w:t>Bonny</w:t>
      </w:r>
      <w:r w:rsidRPr="00394DA7">
        <w:rPr>
          <w:sz w:val="24"/>
          <w:szCs w:val="24"/>
          <w:shd w:val="clear" w:color="auto" w:fill="FFFFFF"/>
          <w:lang w:val="mt-MT"/>
        </w:rPr>
        <w:t>, S., “</w:t>
      </w:r>
      <w:r w:rsidRPr="00394DA7">
        <w:rPr>
          <w:sz w:val="24"/>
          <w:szCs w:val="24"/>
          <w:shd w:val="clear" w:color="auto" w:fill="FFFFFF"/>
          <w:lang w:val="mt-MT"/>
        </w:rPr>
        <w:t>Genetically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Modified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Herbicide-Tolerant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Crops</w:t>
      </w:r>
      <w:r w:rsidRPr="00394DA7">
        <w:rPr>
          <w:sz w:val="24"/>
          <w:szCs w:val="24"/>
          <w:shd w:val="clear" w:color="auto" w:fill="FFFFFF"/>
          <w:lang w:val="mt-MT"/>
        </w:rPr>
        <w:t xml:space="preserve">, </w:t>
      </w:r>
      <w:r w:rsidRPr="00394DA7">
        <w:rPr>
          <w:sz w:val="24"/>
          <w:szCs w:val="24"/>
          <w:shd w:val="clear" w:color="auto" w:fill="FFFFFF"/>
          <w:lang w:val="mt-MT"/>
        </w:rPr>
        <w:t>Weeds</w:t>
      </w:r>
      <w:r w:rsidRPr="00394DA7">
        <w:rPr>
          <w:sz w:val="24"/>
          <w:szCs w:val="24"/>
          <w:shd w:val="clear" w:color="auto" w:fill="FFFFFF"/>
          <w:lang w:val="mt-MT"/>
        </w:rPr>
        <w:t xml:space="preserve">, </w:t>
      </w:r>
      <w:r w:rsidRPr="00394DA7">
        <w:rPr>
          <w:sz w:val="24"/>
          <w:szCs w:val="24"/>
          <w:shd w:val="clear" w:color="auto" w:fill="FFFFFF"/>
          <w:lang w:val="mt-MT"/>
        </w:rPr>
        <w:t>and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Herbicides</w:t>
      </w:r>
      <w:r w:rsidRPr="00394DA7">
        <w:rPr>
          <w:sz w:val="24"/>
          <w:szCs w:val="24"/>
          <w:shd w:val="clear" w:color="auto" w:fill="FFFFFF"/>
          <w:lang w:val="mt-MT"/>
        </w:rPr>
        <w:t xml:space="preserve">: </w:t>
      </w:r>
      <w:r w:rsidRPr="00394DA7">
        <w:rPr>
          <w:sz w:val="24"/>
          <w:szCs w:val="24"/>
          <w:shd w:val="clear" w:color="auto" w:fill="FFFFFF"/>
          <w:lang w:val="mt-MT"/>
        </w:rPr>
        <w:t>Overview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and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Impact</w:t>
      </w:r>
      <w:r w:rsidRPr="00394DA7">
        <w:rPr>
          <w:sz w:val="24"/>
          <w:szCs w:val="24"/>
          <w:shd w:val="clear" w:color="auto" w:fill="FFFFFF"/>
          <w:lang w:val="mt-MT"/>
        </w:rPr>
        <w:t xml:space="preserve">” (Għelejjel, Ħaxix Ħażin, u Erbiċidi Ġenetikament Modifikati </w:t>
      </w:r>
      <w:r w:rsidRPr="00394DA7">
        <w:rPr>
          <w:sz w:val="24"/>
          <w:szCs w:val="24"/>
          <w:shd w:val="clear" w:color="auto" w:fill="FFFFFF"/>
          <w:lang w:val="mt-MT"/>
        </w:rPr>
        <w:t>Tolleranti</w:t>
      </w:r>
      <w:r w:rsidRPr="00394DA7">
        <w:rPr>
          <w:sz w:val="24"/>
          <w:szCs w:val="24"/>
          <w:shd w:val="clear" w:color="auto" w:fill="FFFFFF"/>
          <w:lang w:val="mt-MT"/>
        </w:rPr>
        <w:t xml:space="preserve"> għall-Erbiċidi: Ħarsa Ġenerali u Impatt),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>Environmental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 xml:space="preserve"> Management</w:t>
      </w:r>
      <w:r w:rsidRPr="00394DA7">
        <w:rPr>
          <w:sz w:val="24"/>
          <w:szCs w:val="24"/>
          <w:shd w:val="clear" w:color="auto" w:fill="FFFFFF"/>
          <w:lang w:val="mt-MT"/>
        </w:rPr>
        <w:t xml:space="preserve">, Jannar 2016, 57(1), </w:t>
      </w:r>
      <w:r w:rsidRPr="00394DA7">
        <w:rPr>
          <w:sz w:val="24"/>
          <w:szCs w:val="24"/>
          <w:shd w:val="clear" w:color="auto" w:fill="FFFFFF"/>
          <w:lang w:val="mt-MT"/>
        </w:rPr>
        <w:t>pp</w:t>
      </w:r>
      <w:r w:rsidRPr="00394DA7">
        <w:rPr>
          <w:sz w:val="24"/>
          <w:szCs w:val="24"/>
          <w:shd w:val="clear" w:color="auto" w:fill="FFFFFF"/>
          <w:lang w:val="mt-MT"/>
        </w:rPr>
        <w:t xml:space="preserve">. 31-48, </w:t>
      </w:r>
      <w:bookmarkStart w:id="7" w:name="_Hlk104996594"/>
      <w:hyperlink r:id="rId27" w:history="1">
        <w:r w:rsidRPr="00394DA7">
          <w:rPr>
            <w:rStyle w:val="Hyperlink"/>
            <w:sz w:val="24"/>
            <w:szCs w:val="24"/>
            <w:shd w:val="clear" w:color="auto" w:fill="FFFFFF"/>
            <w:lang w:val="mt-MT"/>
          </w:rPr>
          <w:t>https://doi.org/10.1007/s00267-015-0589-7</w:t>
        </w:r>
      </w:hyperlink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bookmarkEnd w:id="7"/>
      <w:r w:rsidRPr="00394DA7">
        <w:rPr>
          <w:sz w:val="24"/>
          <w:szCs w:val="24"/>
          <w:shd w:val="clear" w:color="auto" w:fill="FFFFFF"/>
          <w:lang w:val="mt-MT"/>
        </w:rPr>
        <w:t xml:space="preserve">u </w:t>
      </w:r>
      <w:r w:rsidRPr="00394DA7">
        <w:rPr>
          <w:sz w:val="24"/>
          <w:szCs w:val="24"/>
          <w:shd w:val="clear" w:color="auto" w:fill="FFFFFF"/>
          <w:lang w:val="mt-MT"/>
        </w:rPr>
        <w:t>Benbrook</w:t>
      </w:r>
      <w:r w:rsidRPr="00394DA7">
        <w:rPr>
          <w:sz w:val="24"/>
          <w:szCs w:val="24"/>
          <w:shd w:val="clear" w:color="auto" w:fill="FFFFFF"/>
          <w:lang w:val="mt-MT"/>
        </w:rPr>
        <w:t>, C.M., “</w:t>
      </w:r>
      <w:r w:rsidRPr="00394DA7">
        <w:rPr>
          <w:sz w:val="24"/>
          <w:szCs w:val="24"/>
          <w:shd w:val="clear" w:color="auto" w:fill="FFFFFF"/>
          <w:lang w:val="mt-MT"/>
        </w:rPr>
        <w:t>Impacts</w:t>
      </w:r>
      <w:r w:rsidRPr="00394DA7">
        <w:rPr>
          <w:sz w:val="24"/>
          <w:szCs w:val="24"/>
          <w:shd w:val="clear" w:color="auto" w:fill="FFFFFF"/>
          <w:lang w:val="mt-MT"/>
        </w:rPr>
        <w:t xml:space="preserve"> of </w:t>
      </w:r>
      <w:r w:rsidRPr="00394DA7">
        <w:rPr>
          <w:sz w:val="24"/>
          <w:szCs w:val="24"/>
          <w:shd w:val="clear" w:color="auto" w:fill="FFFFFF"/>
          <w:lang w:val="mt-MT"/>
        </w:rPr>
        <w:t>genetically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engineered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crops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on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pesticide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use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in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the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U.S. - </w:t>
      </w:r>
      <w:r w:rsidRPr="00394DA7">
        <w:rPr>
          <w:sz w:val="24"/>
          <w:szCs w:val="24"/>
          <w:shd w:val="clear" w:color="auto" w:fill="FFFFFF"/>
          <w:lang w:val="mt-MT"/>
        </w:rPr>
        <w:t>the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first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sixteen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years</w:t>
      </w:r>
      <w:r w:rsidRPr="00394DA7">
        <w:rPr>
          <w:sz w:val="24"/>
          <w:szCs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 sena),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>Environmental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>Sciences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>Europe</w:t>
      </w:r>
      <w:r w:rsidRPr="00394DA7">
        <w:rPr>
          <w:sz w:val="24"/>
          <w:szCs w:val="24"/>
          <w:shd w:val="clear" w:color="auto" w:fill="FFFFFF"/>
          <w:lang w:val="mt-MT"/>
        </w:rPr>
        <w:t xml:space="preserve">, it-28 ta’ Settembru 2012, </w:t>
      </w:r>
      <w:r w:rsidRPr="00394DA7">
        <w:rPr>
          <w:sz w:val="24"/>
          <w:szCs w:val="24"/>
          <w:shd w:val="clear" w:color="auto" w:fill="FFFFFF"/>
          <w:lang w:val="mt-MT"/>
        </w:rPr>
        <w:t>Vol</w:t>
      </w:r>
      <w:r w:rsidRPr="00394DA7">
        <w:rPr>
          <w:sz w:val="24"/>
          <w:szCs w:val="24"/>
          <w:shd w:val="clear" w:color="auto" w:fill="FFFFFF"/>
          <w:lang w:val="mt-MT"/>
        </w:rPr>
        <w:t xml:space="preserve">. 24(1), </w:t>
      </w:r>
      <w:hyperlink r:id="rId28" w:history="1">
        <w:r w:rsidRPr="00394DA7">
          <w:rPr>
            <w:rStyle w:val="Hyperlink"/>
            <w:sz w:val="24"/>
            <w:szCs w:val="24"/>
            <w:lang w:val="mt-MT"/>
          </w:rPr>
          <w:t>https://doi.org/10.1186/2190-4715-24-24</w:t>
        </w:r>
      </w:hyperlink>
      <w:r w:rsidRPr="00394DA7">
        <w:rPr>
          <w:sz w:val="24"/>
          <w:szCs w:val="24"/>
          <w:shd w:val="clear" w:color="auto" w:fill="FFFFFF"/>
          <w:lang w:val="mt-MT"/>
        </w:rPr>
        <w:t>.</w:t>
      </w:r>
    </w:p>
  </w:footnote>
  <w:footnote w:id="12">
    <w:p w:rsidR="001B047C" w:rsidRPr="00394DA7" w:rsidP="00D44699" w14:paraId="7C010EAD" w14:textId="5D02200C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 w:rsidR="007810B8">
        <w:rPr>
          <w:sz w:val="24"/>
          <w:szCs w:val="24"/>
          <w:shd w:val="clear" w:color="auto" w:fill="FFFFFF"/>
          <w:lang w:val="mt-MT"/>
        </w:rPr>
        <w:tab/>
      </w:r>
      <w:r w:rsidRPr="00394DA7">
        <w:rPr>
          <w:sz w:val="24"/>
          <w:szCs w:val="24"/>
          <w:shd w:val="clear" w:color="auto" w:fill="FFFFFF"/>
          <w:lang w:val="mt-MT"/>
        </w:rPr>
        <w:t xml:space="preserve">Ara, pereżempju, </w:t>
      </w:r>
      <w:bookmarkStart w:id="8" w:name="_Hlk104996780"/>
      <w:hyperlink r:id="rId29" w:history="1">
        <w:r w:rsidRPr="00394DA7">
          <w:rPr>
            <w:rStyle w:val="Hyperlink"/>
            <w:sz w:val="24"/>
            <w:szCs w:val="24"/>
            <w:lang w:val="mt-MT"/>
          </w:rPr>
          <w:t>https://doi.org/10.1016/j.mrrev.2019.02.001</w:t>
        </w:r>
      </w:hyperlink>
      <w:bookmarkEnd w:id="8"/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hyperlink r:id="rId30" w:history="1">
        <w:r w:rsidRPr="00394DA7">
          <w:rPr>
            <w:rStyle w:val="Hyperlink"/>
            <w:sz w:val="24"/>
            <w:szCs w:val="24"/>
            <w:lang w:val="mt-MT"/>
          </w:rPr>
          <w:t>https://doi.org/10.1093/ije/dyz017</w:t>
        </w:r>
      </w:hyperlink>
      <w:r w:rsidRPr="00394DA7">
        <w:rPr>
          <w:sz w:val="24"/>
          <w:szCs w:val="24"/>
          <w:shd w:val="clear" w:color="auto" w:fill="FFFFFF"/>
          <w:lang w:val="mt-MT"/>
        </w:rPr>
        <w:t xml:space="preserve">, </w:t>
      </w:r>
      <w:hyperlink r:id="rId31" w:history="1">
        <w:r w:rsidRPr="00394DA7">
          <w:rPr>
            <w:rStyle w:val="Hyperlink"/>
            <w:sz w:val="24"/>
            <w:szCs w:val="24"/>
            <w:lang w:val="mt-MT"/>
          </w:rPr>
          <w:t>https://doi.org/10.1371/journal.pone.0219610</w:t>
        </w:r>
      </w:hyperlink>
      <w:r w:rsidRPr="00394DA7">
        <w:rPr>
          <w:sz w:val="24"/>
          <w:szCs w:val="24"/>
          <w:shd w:val="clear" w:color="auto" w:fill="FFFFFF"/>
          <w:lang w:val="mt-MT"/>
        </w:rPr>
        <w:t xml:space="preserve">, u </w:t>
      </w:r>
      <w:hyperlink r:id="rId32" w:history="1">
        <w:r w:rsidRPr="00394DA7">
          <w:rPr>
            <w:rStyle w:val="Hyperlink"/>
            <w:sz w:val="24"/>
            <w:szCs w:val="24"/>
            <w:lang w:val="mt-MT"/>
          </w:rPr>
          <w:t>https://doi.org/10.1186/s13045-019-0767-9</w:t>
        </w:r>
      </w:hyperlink>
      <w:r w:rsidRPr="00394DA7">
        <w:rPr>
          <w:sz w:val="24"/>
          <w:szCs w:val="24"/>
          <w:shd w:val="clear" w:color="auto" w:fill="FFFFFF"/>
          <w:lang w:val="mt-MT"/>
        </w:rPr>
        <w:t>.</w:t>
      </w:r>
    </w:p>
  </w:footnote>
  <w:footnote w:id="13">
    <w:p w:rsidR="001B047C" w:rsidRPr="00394DA7" w:rsidP="00D44699" w14:paraId="4F9D02C0" w14:textId="3DA3DD7D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hyperlink r:id="rId33" w:tgtFrame="_blank" w:tooltip="Link persistenti bl-użu ta’ identifikatur tal-oġġett diġitali" w:history="1">
        <w:r w:rsidRPr="00394DA7">
          <w:rPr>
            <w:rStyle w:val="Hyperlink"/>
            <w:sz w:val="24"/>
            <w:szCs w:val="24"/>
            <w:lang w:val="mt-MT"/>
          </w:rPr>
          <w:t>https://doi.org/10.1006/rtph.1999.1371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14">
    <w:p w:rsidR="001B047C" w:rsidRPr="00394DA7" w:rsidP="00D44699" w14:paraId="557F5BFC" w14:textId="1228FDAB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 w:rsidR="007810B8">
        <w:rPr>
          <w:sz w:val="24"/>
          <w:szCs w:val="24"/>
          <w:shd w:val="clear" w:color="auto" w:fill="FFFFFF"/>
          <w:lang w:val="mt-MT"/>
        </w:rPr>
        <w:tab/>
      </w:r>
      <w:r w:rsidRPr="00394DA7">
        <w:rPr>
          <w:sz w:val="24"/>
          <w:szCs w:val="24"/>
          <w:shd w:val="clear" w:color="auto" w:fill="FFFFFF"/>
          <w:lang w:val="mt-MT"/>
        </w:rPr>
        <w:t xml:space="preserve">Dan huwa fil-fatt il-każ </w:t>
      </w:r>
      <w:r w:rsidRPr="00394DA7">
        <w:rPr>
          <w:sz w:val="24"/>
          <w:szCs w:val="24"/>
          <w:shd w:val="clear" w:color="auto" w:fill="FFFFFF"/>
          <w:lang w:val="mt-MT"/>
        </w:rPr>
        <w:t>għall-glifosat</w:t>
      </w:r>
      <w:r w:rsidRPr="00394DA7">
        <w:rPr>
          <w:sz w:val="24"/>
          <w:szCs w:val="24"/>
          <w:shd w:val="clear" w:color="auto" w:fill="FFFFFF"/>
          <w:lang w:val="mt-MT"/>
        </w:rPr>
        <w:t>, kif iddikjarat fl-Opinjoni Motivata tal-EFSA “</w:t>
      </w:r>
      <w:r w:rsidRPr="00394DA7">
        <w:rPr>
          <w:sz w:val="24"/>
          <w:szCs w:val="24"/>
          <w:shd w:val="clear" w:color="auto" w:fill="FFFFFF"/>
          <w:lang w:val="mt-MT"/>
        </w:rPr>
        <w:t>Review</w:t>
      </w:r>
      <w:r w:rsidRPr="00394DA7">
        <w:rPr>
          <w:sz w:val="24"/>
          <w:szCs w:val="24"/>
          <w:shd w:val="clear" w:color="auto" w:fill="FFFFFF"/>
          <w:lang w:val="mt-MT"/>
        </w:rPr>
        <w:t xml:space="preserve"> of </w:t>
      </w:r>
      <w:r w:rsidRPr="00394DA7">
        <w:rPr>
          <w:sz w:val="24"/>
          <w:szCs w:val="24"/>
          <w:shd w:val="clear" w:color="auto" w:fill="FFFFFF"/>
          <w:lang w:val="mt-MT"/>
        </w:rPr>
        <w:t>the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existing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maximum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residue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levels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for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glyphosate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according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to</w:t>
      </w:r>
      <w:r w:rsidRPr="00394DA7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>
        <w:rPr>
          <w:sz w:val="24"/>
          <w:szCs w:val="24"/>
          <w:shd w:val="clear" w:color="auto" w:fill="FFFFFF"/>
          <w:lang w:val="mt-MT"/>
        </w:rPr>
        <w:t>Article</w:t>
      </w:r>
      <w:r w:rsidRPr="00394DA7">
        <w:rPr>
          <w:sz w:val="24"/>
          <w:szCs w:val="24"/>
          <w:shd w:val="clear" w:color="auto" w:fill="FFFFFF"/>
          <w:lang w:val="mt-MT"/>
        </w:rPr>
        <w:t xml:space="preserve"> 12 of </w:t>
      </w:r>
      <w:r w:rsidRPr="00394DA7">
        <w:rPr>
          <w:sz w:val="24"/>
          <w:szCs w:val="24"/>
          <w:shd w:val="clear" w:color="auto" w:fill="FFFFFF"/>
          <w:lang w:val="mt-MT"/>
        </w:rPr>
        <w:t>Regulation</w:t>
      </w:r>
      <w:r w:rsidRPr="00394DA7">
        <w:rPr>
          <w:sz w:val="24"/>
          <w:szCs w:val="24"/>
          <w:shd w:val="clear" w:color="auto" w:fill="FFFFFF"/>
          <w:lang w:val="mt-MT"/>
        </w:rPr>
        <w:t xml:space="preserve"> (EC) </w:t>
      </w:r>
      <w:r w:rsidRPr="00394DA7">
        <w:rPr>
          <w:sz w:val="24"/>
          <w:szCs w:val="24"/>
          <w:shd w:val="clear" w:color="auto" w:fill="FFFFFF"/>
          <w:lang w:val="mt-MT"/>
        </w:rPr>
        <w:t>No</w:t>
      </w:r>
      <w:r w:rsidRPr="00394DA7">
        <w:rPr>
          <w:sz w:val="24"/>
          <w:szCs w:val="24"/>
          <w:shd w:val="clear" w:color="auto" w:fill="FFFFFF"/>
          <w:lang w:val="mt-MT"/>
        </w:rPr>
        <w:t xml:space="preserve"> 396/2005” (Rieżami tal-EFSA tal-livelli massimi ta’ residwi eżistenti </w:t>
      </w:r>
      <w:r w:rsidRPr="00394DA7">
        <w:rPr>
          <w:sz w:val="24"/>
          <w:szCs w:val="24"/>
          <w:shd w:val="clear" w:color="auto" w:fill="FFFFFF"/>
          <w:lang w:val="mt-MT"/>
        </w:rPr>
        <w:t>għall-glifosat</w:t>
      </w:r>
      <w:r w:rsidRPr="00394DA7">
        <w:rPr>
          <w:sz w:val="24"/>
          <w:szCs w:val="24"/>
          <w:shd w:val="clear" w:color="auto" w:fill="FFFFFF"/>
          <w:lang w:val="mt-MT"/>
        </w:rPr>
        <w:t xml:space="preserve"> skont l-Artikolu 12 tar-Regolament (KE) Nru 396/2005),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 xml:space="preserve">EFSA </w:t>
      </w:r>
      <w:r w:rsidRPr="00394DA7">
        <w:rPr>
          <w:i/>
          <w:iCs/>
          <w:sz w:val="24"/>
          <w:szCs w:val="24"/>
          <w:shd w:val="clear" w:color="auto" w:fill="FFFFFF"/>
          <w:lang w:val="mt-MT"/>
        </w:rPr>
        <w:t>Journal</w:t>
      </w:r>
      <w:r w:rsidRPr="00394DA7">
        <w:rPr>
          <w:sz w:val="24"/>
          <w:szCs w:val="24"/>
          <w:shd w:val="clear" w:color="auto" w:fill="FFFFFF"/>
          <w:lang w:val="mt-MT"/>
        </w:rPr>
        <w:t xml:space="preserve">, 2018,16(5):e5263, p. 12, </w:t>
      </w:r>
      <w:hyperlink r:id="rId34" w:history="1">
        <w:r w:rsidRPr="00394DA7">
          <w:rPr>
            <w:rStyle w:val="Hyperlink"/>
            <w:color w:val="123D80"/>
            <w:sz w:val="24"/>
            <w:szCs w:val="24"/>
            <w:shd w:val="clear" w:color="auto" w:fill="FFFFFF"/>
            <w:lang w:val="mt-MT"/>
          </w:rPr>
          <w:t>https://doi.org/10.2903/j.efsa.2018.5263</w:t>
        </w:r>
      </w:hyperlink>
      <w:r w:rsidRPr="00394DA7">
        <w:rPr>
          <w:sz w:val="24"/>
          <w:szCs w:val="24"/>
          <w:shd w:val="clear" w:color="auto" w:fill="FFFFFF"/>
          <w:lang w:val="mt-MT"/>
        </w:rPr>
        <w:t>.</w:t>
      </w:r>
    </w:p>
  </w:footnote>
  <w:footnote w:id="15">
    <w:p w:rsidR="001B047C" w:rsidRPr="00394DA7" w:rsidP="00D44699" w14:paraId="11F8C364" w14:textId="0E9A55F0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ĠU L 282, 19.10.2016, p. 4.</w:t>
      </w:r>
    </w:p>
  </w:footnote>
  <w:footnote w:id="16">
    <w:p w:rsidR="001B047C" w:rsidRPr="00394DA7" w:rsidP="00D44699" w14:paraId="0F6C9BF0" w14:textId="6EF26465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ĠU L 309, 13.12.1993, p. 3, ELI: </w:t>
      </w:r>
      <w:hyperlink r:id="rId35" w:tooltip="Jagħti aċċess għal dan id-dokument permezz tal-URL tal-ELI tiegħu." w:history="1">
        <w:r w:rsidRPr="00394DA7">
          <w:rPr>
            <w:rStyle w:val="Hyperlink"/>
            <w:sz w:val="24"/>
            <w:szCs w:val="24"/>
            <w:lang w:val="mt-MT"/>
          </w:rPr>
          <w:t>http://data.europa.eu/eli/convention/1993/626/oj</w:t>
        </w:r>
      </w:hyperlink>
      <w:r w:rsidRPr="00394DA7">
        <w:rPr>
          <w:sz w:val="24"/>
          <w:szCs w:val="24"/>
          <w:lang w:val="mt-MT"/>
        </w:rPr>
        <w:t>.</w:t>
      </w:r>
    </w:p>
  </w:footnote>
  <w:footnote w:id="17">
    <w:p w:rsidR="001B047C" w:rsidRPr="00394DA7" w:rsidP="00D44699" w14:paraId="54A6FA09" w14:textId="714D8D1A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>F’Diċembru 2022, ġie miftiehem qafas globali dwar il-bijodiversità fil-COP15 tal-KBD tan-NU li jinkludi mira globali sal-2030 għat-tnaqqis tar-riskju tal-pestiċidi b’mill-anqas 50 % (ara:</w:t>
      </w:r>
      <w:r w:rsidRPr="00394DA7">
        <w:rPr>
          <w:color w:val="000000" w:themeColor="text1"/>
          <w:sz w:val="24"/>
          <w:szCs w:val="24"/>
          <w:lang w:val="mt-MT"/>
        </w:rPr>
        <w:t xml:space="preserve"> </w:t>
      </w:r>
      <w:hyperlink r:id="rId36" w:history="1">
        <w:r w:rsidRPr="00394DA7">
          <w:rPr>
            <w:rStyle w:val="Hyperlink"/>
            <w:sz w:val="24"/>
            <w:szCs w:val="24"/>
            <w:lang w:val="mt-MT"/>
          </w:rPr>
          <w:t>https://ec.europa.eu/commission/presscorner/detail/mt/ip_22_7834</w:t>
        </w:r>
      </w:hyperlink>
      <w:r w:rsidRPr="00394DA7">
        <w:rPr>
          <w:sz w:val="24"/>
          <w:szCs w:val="24"/>
          <w:lang w:val="mt-MT"/>
        </w:rPr>
        <w:t>).</w:t>
      </w:r>
    </w:p>
  </w:footnote>
  <w:footnote w:id="18">
    <w:p w:rsidR="001B047C" w:rsidRPr="00394DA7" w:rsidP="00D44699" w14:paraId="24D31FC9" w14:textId="2CB581DA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hyperlink r:id="rId37" w:history="1">
        <w:r w:rsidRPr="00394DA7">
          <w:rPr>
            <w:rStyle w:val="Hyperlink"/>
            <w:sz w:val="24"/>
            <w:szCs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394DA7">
        <w:rPr>
          <w:rStyle w:val="Hyperlink"/>
          <w:sz w:val="24"/>
          <w:szCs w:val="24"/>
          <w:lang w:val="mt-MT"/>
        </w:rPr>
        <w:t>.</w:t>
      </w:r>
    </w:p>
  </w:footnote>
  <w:footnote w:id="19">
    <w:p w:rsidR="001B047C" w:rsidRPr="00394DA7" w:rsidP="00D44699" w14:paraId="527726CE" w14:textId="7D36F7CD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r w:rsidRPr="00394DA7">
        <w:rPr>
          <w:sz w:val="24"/>
          <w:szCs w:val="24"/>
          <w:lang w:val="mt-MT"/>
        </w:rPr>
        <w:t xml:space="preserve">Ir-Regolament tal-Parlament Ewropew u tal-Kunsill (KE) Nru 178/2002 tat-28 ta’ Jannar 2002 li </w:t>
      </w:r>
      <w:r w:rsidRPr="00394DA7">
        <w:rPr>
          <w:sz w:val="24"/>
          <w:szCs w:val="24"/>
          <w:lang w:val="mt-MT"/>
        </w:rPr>
        <w:t>jistabilixxi</w:t>
      </w:r>
      <w:r w:rsidRPr="00394DA7">
        <w:rPr>
          <w:sz w:val="24"/>
          <w:szCs w:val="24"/>
          <w:lang w:val="mt-MT"/>
        </w:rPr>
        <w:t xml:space="preserve"> l-prinċipji ġenerali u l-ħtiġijiet tal-liġi dwar l-ikel, li </w:t>
      </w:r>
      <w:r w:rsidRPr="00394DA7">
        <w:rPr>
          <w:sz w:val="24"/>
          <w:szCs w:val="24"/>
          <w:lang w:val="mt-MT"/>
        </w:rPr>
        <w:t>jistabilixxi</w:t>
      </w:r>
      <w:r w:rsidRPr="00394DA7">
        <w:rPr>
          <w:sz w:val="24"/>
          <w:szCs w:val="24"/>
          <w:lang w:val="mt-MT"/>
        </w:rPr>
        <w:t xml:space="preserve"> l-Awtorità Ewropea dwar is-Sigurtà fl-Ikel u jistabbilixxi l-proċeduri fi kwistjonijiet ta’ sigurtà tal-ikel (ĠU L 31, 1.2.2002, p. 1, ELI: </w:t>
      </w:r>
      <w:hyperlink r:id="rId38" w:tgtFrame="Gives access to this document through its ELI URI." w:history="1">
        <w:r w:rsidRPr="00394DA7">
          <w:rPr>
            <w:rStyle w:val="Hyperlink"/>
            <w:color w:val="0070C0"/>
            <w:sz w:val="24"/>
            <w:szCs w:val="24"/>
            <w:lang w:val="mt-MT"/>
          </w:rPr>
          <w:t>http://data.europa.eu/eli/reg/2002/178/oj</w:t>
        </w:r>
      </w:hyperlink>
      <w:r w:rsidRPr="00394DA7">
        <w:rPr>
          <w:sz w:val="24"/>
          <w:szCs w:val="24"/>
          <w:lang w:val="mt-MT"/>
        </w:rPr>
        <w:t>).</w:t>
      </w:r>
    </w:p>
  </w:footnote>
  <w:footnote w:id="20">
    <w:p w:rsidR="001B047C" w:rsidRPr="00394DA7" w:rsidP="00D44699" w14:paraId="40187CEF" w14:textId="5B655409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lang w:val="mt-MT"/>
        </w:rPr>
        <w:t xml:space="preserve"> </w:t>
      </w:r>
      <w:r w:rsidRPr="00394DA7" w:rsidR="007810B8">
        <w:rPr>
          <w:sz w:val="24"/>
          <w:szCs w:val="24"/>
          <w:lang w:val="mt-MT"/>
        </w:rPr>
        <w:tab/>
      </w:r>
      <w:hyperlink r:id="rId39" w:history="1">
        <w:r w:rsidRPr="00394DA7">
          <w:rPr>
            <w:rStyle w:val="Hyperlink"/>
            <w:sz w:val="24"/>
            <w:szCs w:val="24"/>
            <w:shd w:val="clear" w:color="auto" w:fill="FFFFFF"/>
            <w:lang w:val="mt-MT"/>
          </w:rPr>
          <w:t>https://tillymetz.lu/wp-content/uploads/2020/09/Co-signed-letter-MEP-Metz.pdf</w:t>
        </w:r>
      </w:hyperlink>
      <w:r w:rsidRPr="00394DA7">
        <w:rPr>
          <w:sz w:val="24"/>
          <w:szCs w:val="24"/>
          <w:shd w:val="clear" w:color="auto" w:fill="FFFFFF"/>
          <w:lang w:val="mt-MT"/>
        </w:rPr>
        <w:t>.</w:t>
      </w:r>
    </w:p>
  </w:footnote>
  <w:footnote w:id="21">
    <w:p w:rsidR="001B047C" w:rsidRPr="00394DA7" w:rsidP="00D44699" w14:paraId="067DBD56" w14:textId="09770976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 w:rsidR="007810B8">
        <w:rPr>
          <w:sz w:val="24"/>
          <w:szCs w:val="24"/>
          <w:shd w:val="clear" w:color="auto" w:fill="FFFFFF"/>
          <w:lang w:val="mt-MT"/>
        </w:rPr>
        <w:tab/>
      </w:r>
      <w:r w:rsidRPr="00394DA7">
        <w:rPr>
          <w:sz w:val="24"/>
          <w:szCs w:val="24"/>
          <w:shd w:val="clear" w:color="auto" w:fill="FFFFFF"/>
          <w:lang w:val="mt-MT"/>
        </w:rPr>
        <w:t>Ir-riżoluzzjoni tal-Parlament Ewropew tal-15 ta’ Jannar 2020 dwar il-Patt Ekoloġiku Ewropew (ĠU C 270, 7.7.2021, p. 2), il-paragrafu 102.</w:t>
      </w:r>
    </w:p>
  </w:footnote>
  <w:footnote w:id="22">
    <w:p w:rsidR="001B047C" w:rsidRPr="00394DA7" w:rsidP="00D44699" w14:paraId="20D53DEC" w14:textId="01223DE6">
      <w:pPr>
        <w:pStyle w:val="FootnoteText"/>
        <w:ind w:left="709" w:hanging="709"/>
        <w:rPr>
          <w:sz w:val="24"/>
          <w:szCs w:val="24"/>
          <w:lang w:val="mt-MT"/>
        </w:rPr>
      </w:pPr>
      <w:r w:rsidRPr="00394DA7">
        <w:rPr>
          <w:rStyle w:val="FootnoteReference"/>
          <w:sz w:val="24"/>
          <w:szCs w:val="24"/>
          <w:lang w:val="mt-MT"/>
        </w:rPr>
        <w:footnoteRef/>
      </w:r>
      <w:r w:rsidRPr="00394DA7" w:rsidR="007810B8">
        <w:rPr>
          <w:sz w:val="24"/>
          <w:szCs w:val="24"/>
          <w:shd w:val="clear" w:color="auto" w:fill="FFFFFF"/>
          <w:lang w:val="mt-MT"/>
        </w:rPr>
        <w:t xml:space="preserve"> </w:t>
      </w:r>
      <w:r w:rsidRPr="00394DA7" w:rsidR="007810B8">
        <w:rPr>
          <w:sz w:val="24"/>
          <w:szCs w:val="24"/>
          <w:shd w:val="clear" w:color="auto" w:fill="FFFFFF"/>
          <w:lang w:val="mt-MT"/>
        </w:rPr>
        <w:tab/>
      </w:r>
      <w:r w:rsidRPr="00394DA7">
        <w:rPr>
          <w:sz w:val="24"/>
          <w:szCs w:val="24"/>
          <w:shd w:val="clear" w:color="auto" w:fill="FFFFFF"/>
          <w:lang w:val="mt-MT"/>
        </w:rPr>
        <w:t>ĠU C 445, 29.10.2021, p. 257.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4C0BE92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0CE24D9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810B8" w14:paraId="5EBC14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6103012">
    <w:abstractNumId w:val="9"/>
  </w:num>
  <w:num w:numId="2" w16cid:durableId="370616660">
    <w:abstractNumId w:val="9"/>
  </w:num>
  <w:num w:numId="3" w16cid:durableId="617224677">
    <w:abstractNumId w:val="7"/>
  </w:num>
  <w:num w:numId="4" w16cid:durableId="1658681128">
    <w:abstractNumId w:val="7"/>
  </w:num>
  <w:num w:numId="5" w16cid:durableId="630474123">
    <w:abstractNumId w:val="6"/>
  </w:num>
  <w:num w:numId="6" w16cid:durableId="38359281">
    <w:abstractNumId w:val="6"/>
  </w:num>
  <w:num w:numId="7" w16cid:durableId="787239002">
    <w:abstractNumId w:val="5"/>
  </w:num>
  <w:num w:numId="8" w16cid:durableId="1657487603">
    <w:abstractNumId w:val="5"/>
  </w:num>
  <w:num w:numId="9" w16cid:durableId="1118260591">
    <w:abstractNumId w:val="4"/>
  </w:num>
  <w:num w:numId="10" w16cid:durableId="1964573719">
    <w:abstractNumId w:val="4"/>
  </w:num>
  <w:num w:numId="11" w16cid:durableId="572159325">
    <w:abstractNumId w:val="8"/>
  </w:num>
  <w:num w:numId="12" w16cid:durableId="1409689633">
    <w:abstractNumId w:val="8"/>
  </w:num>
  <w:num w:numId="13" w16cid:durableId="1617715015">
    <w:abstractNumId w:val="3"/>
  </w:num>
  <w:num w:numId="14" w16cid:durableId="994186817">
    <w:abstractNumId w:val="3"/>
  </w:num>
  <w:num w:numId="15" w16cid:durableId="832989379">
    <w:abstractNumId w:val="2"/>
  </w:num>
  <w:num w:numId="16" w16cid:durableId="1027828053">
    <w:abstractNumId w:val="2"/>
  </w:num>
  <w:num w:numId="17" w16cid:durableId="1307121296">
    <w:abstractNumId w:val="1"/>
  </w:num>
  <w:num w:numId="18" w16cid:durableId="901915408">
    <w:abstractNumId w:val="1"/>
  </w:num>
  <w:num w:numId="19" w16cid:durableId="1539968482">
    <w:abstractNumId w:val="0"/>
  </w:num>
  <w:num w:numId="20" w16cid:durableId="2042364012">
    <w:abstractNumId w:val="0"/>
  </w:num>
  <w:num w:numId="21" w16cid:durableId="1934826034">
    <w:abstractNumId w:val="9"/>
  </w:num>
  <w:num w:numId="22" w16cid:durableId="1034304409">
    <w:abstractNumId w:val="7"/>
  </w:num>
  <w:num w:numId="23" w16cid:durableId="1485732870">
    <w:abstractNumId w:val="6"/>
  </w:num>
  <w:num w:numId="24" w16cid:durableId="255018374">
    <w:abstractNumId w:val="5"/>
  </w:num>
  <w:num w:numId="25" w16cid:durableId="119539274">
    <w:abstractNumId w:val="4"/>
  </w:num>
  <w:num w:numId="26" w16cid:durableId="1717120086">
    <w:abstractNumId w:val="8"/>
  </w:num>
  <w:num w:numId="27" w16cid:durableId="177669211">
    <w:abstractNumId w:val="3"/>
  </w:num>
  <w:num w:numId="28" w16cid:durableId="1559199505">
    <w:abstractNumId w:val="2"/>
  </w:num>
  <w:num w:numId="29" w16cid:durableId="327100884">
    <w:abstractNumId w:val="1"/>
  </w:num>
  <w:num w:numId="30" w16cid:durableId="717127357">
    <w:abstractNumId w:val="0"/>
  </w:num>
  <w:num w:numId="31" w16cid:durableId="1317102679">
    <w:abstractNumId w:val="9"/>
  </w:num>
  <w:num w:numId="32" w16cid:durableId="143281103">
    <w:abstractNumId w:val="7"/>
  </w:num>
  <w:num w:numId="33" w16cid:durableId="84494511">
    <w:abstractNumId w:val="6"/>
  </w:num>
  <w:num w:numId="34" w16cid:durableId="272594416">
    <w:abstractNumId w:val="5"/>
  </w:num>
  <w:num w:numId="35" w16cid:durableId="747776441">
    <w:abstractNumId w:val="4"/>
  </w:num>
  <w:num w:numId="36" w16cid:durableId="791747622">
    <w:abstractNumId w:val="8"/>
  </w:num>
  <w:num w:numId="37" w16cid:durableId="1916090673">
    <w:abstractNumId w:val="3"/>
  </w:num>
  <w:num w:numId="38" w16cid:durableId="1153334655">
    <w:abstractNumId w:val="2"/>
  </w:num>
  <w:num w:numId="39" w16cid:durableId="2107264499">
    <w:abstractNumId w:val="1"/>
  </w:num>
  <w:num w:numId="40" w16cid:durableId="422726715">
    <w:abstractNumId w:val="0"/>
  </w:num>
  <w:num w:numId="41" w16cid:durableId="116917790">
    <w:abstractNumId w:val="10"/>
  </w:num>
  <w:num w:numId="42" w16cid:durableId="1374620898">
    <w:abstractNumId w:val="10"/>
  </w:num>
  <w:num w:numId="43" w16cid:durableId="1611233437">
    <w:abstractNumId w:val="10"/>
  </w:num>
  <w:num w:numId="44" w16cid:durableId="68306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AA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B047C"/>
    <w:rsid w:val="001F32AE"/>
    <w:rsid w:val="002767FF"/>
    <w:rsid w:val="002B18FE"/>
    <w:rsid w:val="002B5493"/>
    <w:rsid w:val="00343214"/>
    <w:rsid w:val="00361C00"/>
    <w:rsid w:val="00394DA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D7F12"/>
    <w:rsid w:val="006F74FA"/>
    <w:rsid w:val="00731ADD"/>
    <w:rsid w:val="00734777"/>
    <w:rsid w:val="00747932"/>
    <w:rsid w:val="00751A4A"/>
    <w:rsid w:val="00756632"/>
    <w:rsid w:val="00762C74"/>
    <w:rsid w:val="007723AA"/>
    <w:rsid w:val="007810B8"/>
    <w:rsid w:val="00786EC0"/>
    <w:rsid w:val="007D1690"/>
    <w:rsid w:val="007E22AD"/>
    <w:rsid w:val="00807B3B"/>
    <w:rsid w:val="00817416"/>
    <w:rsid w:val="00842779"/>
    <w:rsid w:val="00865F67"/>
    <w:rsid w:val="00881A7B"/>
    <w:rsid w:val="008840E5"/>
    <w:rsid w:val="00887B3E"/>
    <w:rsid w:val="008A70F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699"/>
    <w:rsid w:val="00D56C11"/>
    <w:rsid w:val="00D834A0"/>
    <w:rsid w:val="00D872DF"/>
    <w:rsid w:val="00D91E21"/>
    <w:rsid w:val="00DA7FCD"/>
    <w:rsid w:val="00E365E1"/>
    <w:rsid w:val="00E820A4"/>
    <w:rsid w:val="00EA3DA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4/2026"/>
    <w:docVar w:name="dvlangue" w:val="MT"/>
    <w:docVar w:name="dvnumam" w:val="0"/>
    <w:docVar w:name="dvpe" w:val="789.024"/>
    <w:docVar w:name="dvtitre" w:val="Riżoluzzjoni tal-Parlament Ewropew xx xx xxxx 2026 dwar l-abbozz ta’ Deċiżjoni ta’ Implimentazzjoni tal-Kummissjoni li ġġedded l-awtorizzazzjoni għat-tqegħid fis-suq ta’ prodotti li fihom il-fażola tas-sojja ġenetikament modifikata MON 87705, li jikkonsistu minnha jew li huma prodotti minnha, skont ir-Regolament (KE) Nru 1829/2003 tal-Parlament Ewropew u tal-Kunsill (D114998/03 – 2026/274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3EF3D1"/>
  <w15:chartTrackingRefBased/>
  <w15:docId w15:val="{BD9E4833-419D-4CFC-8DCF-527B0C6F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047C"/>
    <w:pPr>
      <w:spacing w:before="480" w:after="240"/>
    </w:pPr>
  </w:style>
  <w:style w:type="paragraph" w:customStyle="1" w:styleId="NormalHanging12a">
    <w:name w:val="NormalHanging12a"/>
    <w:basedOn w:val="Normal"/>
    <w:qFormat/>
    <w:rsid w:val="001B047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B047C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1B047C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394DA7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94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19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://data.europa.eu/eli/dec_impl/2015/696/2021-02-16" TargetMode="External" /><Relationship Id="rId25" Type="http://schemas.openxmlformats.org/officeDocument/2006/relationships/hyperlink" Target="https://doi.org/10.2903/j.efsa.2012.2909" TargetMode="External" /><Relationship Id="rId26" Type="http://schemas.openxmlformats.org/officeDocument/2006/relationships/hyperlink" Target="https://doi.org/10.2903/j.efsa.2013.3507" TargetMode="External" /><Relationship Id="rId27" Type="http://schemas.openxmlformats.org/officeDocument/2006/relationships/hyperlink" Target="https://doi.org/10.1007/s00267-015-0589-7" TargetMode="External" /><Relationship Id="rId28" Type="http://schemas.openxmlformats.org/officeDocument/2006/relationships/hyperlink" Target="https://doi.org/10.1186/2190-4715-24-24" TargetMode="External" /><Relationship Id="rId29" Type="http://schemas.openxmlformats.org/officeDocument/2006/relationships/hyperlink" Target="https://doi.org/10.1016/j.mrrev.2019.02.001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093/ije/dyz017" TargetMode="External" /><Relationship Id="rId31" Type="http://schemas.openxmlformats.org/officeDocument/2006/relationships/hyperlink" Target="https://doi.org/10.1371/journal.pone.0219610" TargetMode="External" /><Relationship Id="rId32" Type="http://schemas.openxmlformats.org/officeDocument/2006/relationships/hyperlink" Target="https://doi.org/10.1186/s13045-019-0767-9" TargetMode="External" /><Relationship Id="rId33" Type="http://schemas.openxmlformats.org/officeDocument/2006/relationships/hyperlink" Target="https://doi.org/10.1006/rtph.1999.1371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mt/ip_22_7834" TargetMode="External" /><Relationship Id="rId37" Type="http://schemas.openxmlformats.org/officeDocument/2006/relationships/hyperlink" Target="https://commission.europa.eu/strategy-and-policy/priorities-2019-2024/european-green-deal/agriculture-and-green-deal/strategic-dialogue-future-eu-agriculture_mt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6.98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1810</Words>
  <Characters>13193</Characters>
  <Application>Microsoft Office Word</Application>
  <DocSecurity>0</DocSecurity>
  <Lines>109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2026-08-14T10:24:00Z</dcterms:created>
  <dcterms:modified xsi:type="dcterms:W3CDTF">2026-08-14T10:24:00Z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B10-0334/2026</vt:lpwstr>
  </property>
  <property fmtid="{D5CDD505-2E9C-101B-9397-08002B2CF9AE}" pid="4" name="&lt;Type&gt;">
    <vt:lpwstr>RR</vt:lpwstr>
  </property>
</Properties>
</file>