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3827A9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190E" w:rsidP="0010095E" w14:paraId="00AB8B4B" w14:textId="77777777">
            <w:pPr>
              <w:pStyle w:val="EPName"/>
            </w:pPr>
            <w:r w:rsidRPr="009D190E">
              <w:t>Parlament Europejski</w:t>
            </w:r>
          </w:p>
          <w:p w:rsidR="00751A4A" w:rsidRPr="009D190E" w:rsidP="005F1B17" w14:paraId="500B615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190E">
              <w:t>2024</w:t>
            </w:r>
            <w:r w:rsidRPr="009D190E" w:rsidR="00817416">
              <w:t>-202</w:t>
            </w:r>
            <w:r w:rsidRPr="009D190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D190E" w:rsidP="0010095E" w14:paraId="5FA1F6B6" w14:textId="77777777">
            <w:pPr>
              <w:pStyle w:val="EPLogo"/>
            </w:pPr>
            <w:r w:rsidRPr="009D190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190E" w:rsidP="004C5D52" w14:paraId="1FA5977F" w14:textId="77777777">
      <w:pPr>
        <w:pStyle w:val="LineTop"/>
      </w:pPr>
    </w:p>
    <w:p w:rsidR="00680577" w:rsidRPr="009D190E" w:rsidP="00680577" w14:paraId="2EB1B629" w14:textId="77777777">
      <w:pPr>
        <w:pStyle w:val="EPBodyTA1"/>
      </w:pPr>
      <w:r w:rsidRPr="009D190E">
        <w:t>TEKSTY PRZYJĘTE</w:t>
      </w:r>
    </w:p>
    <w:p w:rsidR="00D058B8" w:rsidRPr="009D190E" w:rsidP="00D058B8" w14:paraId="72A60042" w14:textId="77777777">
      <w:pPr>
        <w:pStyle w:val="LineBottom"/>
      </w:pPr>
    </w:p>
    <w:p w:rsidR="00444688" w:rsidRPr="009D190E" w:rsidP="00444688" w14:paraId="6564DB1C" w14:textId="1E83A0FA">
      <w:pPr>
        <w:pStyle w:val="ATHeading1"/>
      </w:pPr>
      <w:bookmarkStart w:id="0" w:name="TANumber"/>
      <w:r w:rsidRPr="009D190E">
        <w:t>P10_TA(2026)0</w:t>
      </w:r>
      <w:bookmarkEnd w:id="0"/>
      <w:r w:rsidR="00A93C6F">
        <w:t>264</w:t>
      </w:r>
    </w:p>
    <w:p w:rsidR="00444688" w:rsidRPr="009D190E" w:rsidP="00444688" w14:paraId="6936BA2E" w14:textId="2C3B9821">
      <w:pPr>
        <w:pStyle w:val="ATHeading2"/>
      </w:pPr>
      <w:bookmarkStart w:id="1" w:name="title"/>
      <w:r>
        <w:t>G</w:t>
      </w:r>
      <w:r w:rsidRPr="009D190E">
        <w:t>enetycznie zmodyfikowana soja MON 87705</w:t>
      </w:r>
      <w:bookmarkEnd w:id="1"/>
    </w:p>
    <w:p w:rsidR="00444688" w:rsidRPr="009D190E" w:rsidP="00444688" w14:paraId="73915DF6" w14:textId="77777777">
      <w:pPr>
        <w:rPr>
          <w:i/>
          <w:vanish/>
        </w:rPr>
      </w:pPr>
      <w:r>
        <w:rPr>
          <w:i/>
        </w:rPr>
        <w:fldChar w:fldCharType="begin"/>
      </w:r>
      <w:r w:rsidRPr="009D190E">
        <w:rPr>
          <w:i/>
        </w:rPr>
        <w:instrText xml:space="preserve"> TC"(</w:instrText>
      </w:r>
      <w:bookmarkStart w:id="2" w:name="DocNumber"/>
      <w:r w:rsidRPr="009D190E">
        <w:rPr>
          <w:i/>
        </w:rPr>
        <w:instrText>B10-0334/2026</w:instrText>
      </w:r>
      <w:bookmarkEnd w:id="2"/>
      <w:r w:rsidRPr="009D190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44688" w:rsidRPr="009D190E" w:rsidP="00444688" w14:paraId="2ACE8BBF" w14:textId="77777777">
      <w:pPr>
        <w:rPr>
          <w:vanish/>
        </w:rPr>
      </w:pPr>
      <w:bookmarkStart w:id="3" w:name="PE"/>
      <w:r w:rsidRPr="009D190E">
        <w:rPr>
          <w:vanish/>
        </w:rPr>
        <w:t>PE789.024</w:t>
      </w:r>
      <w:bookmarkEnd w:id="3"/>
    </w:p>
    <w:p w:rsidR="00444688" w:rsidRPr="009D190E" w:rsidP="00444688" w14:paraId="50D3EF15" w14:textId="27395432">
      <w:pPr>
        <w:pStyle w:val="ATHeading3"/>
      </w:pPr>
      <w:bookmarkStart w:id="4" w:name="Sujet"/>
      <w:r w:rsidRPr="009D190E">
        <w:t xml:space="preserve">Rezolucja Parlamentu Europejskiego z dnia </w:t>
      </w:r>
      <w:r w:rsidR="0055754D">
        <w:t>8 lipca</w:t>
      </w:r>
      <w:r w:rsidRPr="009D190E">
        <w:t xml:space="preserve"> 2026 r. w sprawie decyzji wykonawczej Komisji </w:t>
      </w:r>
      <w:r w:rsidRPr="0055754D" w:rsidR="0055754D">
        <w:t>(U</w:t>
      </w:r>
      <w:r w:rsidR="0055754D">
        <w:t>E</w:t>
      </w:r>
      <w:r w:rsidRPr="0055754D" w:rsidR="0055754D">
        <w:t>) 2026/1419 z dnia 29 czerwca 2026 r.</w:t>
      </w:r>
      <w:r w:rsidR="0055754D">
        <w:t xml:space="preserve"> </w:t>
      </w:r>
      <w:r w:rsidRPr="009D190E">
        <w:t xml:space="preserve">dotyczącej odnowienia zezwolenia na wprowadzenie do obrotu, na podstawie rozporządzenia (WE) nr 1829/2003 Parlamentu Europejskiego i Rady, produktów zawierających genetycznie zmodyfikowaną soję MON 87705, składających się z niej lub z niej wyprodukowanych </w:t>
      </w:r>
      <w:bookmarkStart w:id="5" w:name="References"/>
      <w:bookmarkEnd w:id="4"/>
      <w:r w:rsidRPr="009D190E">
        <w:t>(2026/2747(RSP))</w:t>
      </w:r>
      <w:bookmarkEnd w:id="5"/>
    </w:p>
    <w:p w:rsidR="00881889" w:rsidRPr="009D190E" w:rsidP="00881889" w14:paraId="0B4FAFC9" w14:textId="77777777">
      <w:pPr>
        <w:pStyle w:val="EPComma"/>
      </w:pPr>
      <w:bookmarkStart w:id="6" w:name="TextBodyBegin"/>
      <w:bookmarkEnd w:id="6"/>
      <w:r w:rsidRPr="009D190E">
        <w:rPr>
          <w:i/>
          <w:iCs/>
        </w:rPr>
        <w:t>Parlament Europejski,</w:t>
      </w:r>
    </w:p>
    <w:p w:rsidR="00881889" w:rsidRPr="009D190E" w:rsidP="00881889" w14:paraId="0B177010" w14:textId="2E2F13BD">
      <w:pPr>
        <w:pStyle w:val="NormalHanging12a"/>
      </w:pPr>
      <w:r w:rsidRPr="0055754D">
        <w:t>–</w:t>
      </w:r>
      <w:r w:rsidRPr="0055754D">
        <w:tab/>
        <w:t>uwzględniając decyzj</w:t>
      </w:r>
      <w:r w:rsidRPr="0055754D" w:rsidR="0055754D">
        <w:t>ę</w:t>
      </w:r>
      <w:r w:rsidRPr="0055754D">
        <w:t xml:space="preserve"> wykonawcz</w:t>
      </w:r>
      <w:r w:rsidRPr="0055754D" w:rsidR="0055754D">
        <w:t>ą</w:t>
      </w:r>
      <w:r w:rsidRPr="0055754D">
        <w:t xml:space="preserve"> Komisji </w:t>
      </w:r>
      <w:r w:rsidRPr="0055754D" w:rsidR="0055754D">
        <w:t>(U</w:t>
      </w:r>
      <w:r w:rsidR="0055754D">
        <w:t>E</w:t>
      </w:r>
      <w:r w:rsidRPr="0055754D" w:rsidR="0055754D">
        <w:t>) 2026/1419 z dnia 29 czerwca 2026 r.</w:t>
      </w:r>
      <w:r w:rsidR="0055754D">
        <w:t xml:space="preserve"> </w:t>
      </w:r>
      <w:r w:rsidRPr="009D190E">
        <w:t>dotycząc</w:t>
      </w:r>
      <w:r w:rsidR="0055754D">
        <w:t>ą</w:t>
      </w:r>
      <w:r w:rsidRPr="009D190E">
        <w:t xml:space="preserve"> odnowienia zezwolenia na wprowadzenie do obrotu, na podstawie rozporządzenia (WE) nr 1829/2003 Parlamentu Europejskiego i Rady, produktów zawierających genetycznie zmodyfikowaną soję MON 87705, składających się z niej lub z niej wyprodukowanych</w:t>
      </w:r>
      <w:r>
        <w:rPr>
          <w:rStyle w:val="FootnoteReference"/>
        </w:rPr>
        <w:footnoteReference w:id="2"/>
      </w:r>
      <w:r w:rsidRPr="0055754D">
        <w:t>,</w:t>
      </w:r>
    </w:p>
    <w:p w:rsidR="00881889" w:rsidRPr="009D190E" w:rsidP="00881889" w14:paraId="1D32D893" w14:textId="77777777">
      <w:pPr>
        <w:pStyle w:val="NormalHanging12a"/>
      </w:pPr>
      <w:r w:rsidRPr="009D190E">
        <w:t>–</w:t>
      </w:r>
      <w:r w:rsidRPr="009D190E">
        <w:tab/>
        <w:t>uwzględniając rozporządzenie (WE) nr 1829/2003 Parlamentu Europejskiego i Rady z dnia 22 września 2003 r. w sprawie genetycznie zmodyfikowanej żywności i paszy</w:t>
      </w:r>
      <w:r>
        <w:rPr>
          <w:rStyle w:val="FootnoteReference"/>
        </w:rPr>
        <w:footnoteReference w:id="3"/>
      </w:r>
      <w:r w:rsidRPr="009D190E">
        <w:t>, a w szczególności jego art. 11 ust. 3 i art. 23 ust. 3,</w:t>
      </w:r>
    </w:p>
    <w:p w:rsidR="00881889" w:rsidRPr="009D190E" w:rsidP="00881889" w14:paraId="42AB532C" w14:textId="77777777">
      <w:pPr>
        <w:pStyle w:val="NormalHanging12a"/>
      </w:pPr>
      <w:r w:rsidRPr="009D190E">
        <w:t>–</w:t>
      </w:r>
      <w:r w:rsidRPr="009D190E">
        <w:tab/>
        <w:t>uwzględniając głosowanie – bez wydania opinii – przeprowadzone 27 kwietnia 2026 r. przez Stały Komitet ds. Roślin, Zwierząt, Żywności i Pasz, o którym mowa w art. 35 rozporządzenia (WE) nr 1829/2003, oraz głosowanie komitetu odwoławczego z 2 czerwca 2026 r., w wyniku którego również nie wydano opinii,</w:t>
      </w:r>
    </w:p>
    <w:p w:rsidR="00881889" w:rsidRPr="009D190E" w:rsidP="00881889" w14:paraId="41A29BAC" w14:textId="77777777">
      <w:pPr>
        <w:pStyle w:val="NormalHanging12a"/>
      </w:pPr>
      <w:r w:rsidRPr="009D190E">
        <w:t>–</w:t>
      </w:r>
      <w:r w:rsidRPr="009D190E">
        <w:tab/>
        <w:t>uwzględniając art. 11 rozporządzenia Parlamentu Europejskiego i Rady (UE) nr 182/2011 z dnia 16 lutego 2011 r. ustanawiającego przepisy i zasady ogólne dotyczące trybu kontroli przez państwa członkowskie wykonywania uprawnień wykonawczych przez Komisję</w:t>
      </w:r>
      <w:r>
        <w:rPr>
          <w:rStyle w:val="FootnoteReference"/>
        </w:rPr>
        <w:footnoteReference w:id="4"/>
      </w:r>
      <w:r w:rsidRPr="009D190E">
        <w:t>,</w:t>
      </w:r>
    </w:p>
    <w:p w:rsidR="00881889" w:rsidRPr="009D190E" w:rsidP="00881889" w14:paraId="163AE36A" w14:textId="77777777">
      <w:pPr>
        <w:pStyle w:val="NormalHanging12a"/>
      </w:pPr>
      <w:r w:rsidRPr="009D190E">
        <w:t>–</w:t>
      </w:r>
      <w:r w:rsidRPr="009D190E">
        <w:tab/>
        <w:t xml:space="preserve">uwzględniając opinię Europejskiego Urzędu ds. Bezpieczeństwa Żywności (EFSA) z 10 </w:t>
      </w:r>
      <w:r w:rsidRPr="009D190E">
        <w:t>grudnia 2025 r., opublikowaną 12 stycznia 2026 r.</w:t>
      </w:r>
      <w:r>
        <w:rPr>
          <w:rStyle w:val="FootnoteReference"/>
        </w:rPr>
        <w:footnoteReference w:id="5"/>
      </w:r>
      <w:r w:rsidRPr="009D190E">
        <w:t>,</w:t>
      </w:r>
    </w:p>
    <w:p w:rsidR="00881889" w:rsidRPr="009D190E" w:rsidP="00881889" w14:paraId="6C330962" w14:textId="77777777">
      <w:pPr>
        <w:pStyle w:val="NormalHanging12a"/>
      </w:pPr>
      <w:r w:rsidRPr="009D190E">
        <w:t>–</w:t>
      </w:r>
      <w:r w:rsidRPr="009D190E">
        <w:tab/>
        <w:t>uwzględniając swoje wcześniejsze rezolucje zawierające sprzeciw wobec zatwierdzania organizmów zmodyfikowanych genetycznie (GMO)</w:t>
      </w:r>
      <w:r>
        <w:rPr>
          <w:rStyle w:val="FootnoteReference"/>
        </w:rPr>
        <w:footnoteReference w:id="6"/>
      </w:r>
      <w:r w:rsidRPr="009D190E">
        <w:t>,</w:t>
      </w:r>
    </w:p>
    <w:p w:rsidR="00881889" w:rsidRPr="009D190E" w:rsidP="00881889" w14:paraId="7CFBF76C" w14:textId="77777777">
      <w:pPr>
        <w:pStyle w:val="NormalHanging12a"/>
      </w:pPr>
      <w:r w:rsidRPr="009D190E">
        <w:t>–</w:t>
      </w:r>
      <w:r w:rsidRPr="009D190E">
        <w:tab/>
        <w:t>uwzględniając art. 115 ust. 2 i 3 Regulaminu,</w:t>
      </w:r>
    </w:p>
    <w:p w:rsidR="00881889" w:rsidRPr="009D190E" w:rsidP="00881889" w14:paraId="694FF021" w14:textId="77777777">
      <w:pPr>
        <w:pStyle w:val="NormalHanging12a"/>
      </w:pPr>
      <w:r w:rsidRPr="009D190E">
        <w:t>–</w:t>
      </w:r>
      <w:r w:rsidRPr="009D190E">
        <w:tab/>
        <w:t>uwzględniając projekt rezolucji Komisji Ochrony Środowiska Naturalnego, Klimatu i Bezpieczeństwa Żywności,</w:t>
      </w:r>
    </w:p>
    <w:p w:rsidR="00881889" w:rsidRPr="009D190E" w:rsidP="00881889" w14:paraId="3ABC129B" w14:textId="77777777">
      <w:pPr>
        <w:spacing w:after="240"/>
        <w:ind w:left="567" w:hanging="567"/>
      </w:pPr>
      <w:r w:rsidRPr="009D190E">
        <w:t>A.</w:t>
      </w:r>
      <w:r w:rsidRPr="009D190E">
        <w:tab/>
        <w:t>mając na uwadze, że decyzją wykonawczą Komisji (UE) 2015/696</w:t>
      </w:r>
      <w:r>
        <w:rPr>
          <w:rStyle w:val="FootnoteReference"/>
        </w:rPr>
        <w:footnoteReference w:id="7"/>
      </w:r>
      <w:r w:rsidRPr="009D190E">
        <w:t xml:space="preserve"> zezwolono na wprowadzanie do obrotu żywności i paszy zawierających genetycznie zmodyfikowaną soję MON 87705 (genetycznie zmodyfikowaną soję), składających się z niej lub z niej wyprodukowanych; mając na uwadze, że zezwolenie to obejmuje również wprowadzanie do obrotu produktów innych niż żywność i pasze, zawierających genetycznie zmodyfikowaną soję lub składających się z niej, do takich samych zastosowań jak każda inna soja, z wyjątkiem uprawy;</w:t>
      </w:r>
    </w:p>
    <w:p w:rsidR="00881889" w:rsidRPr="009D190E" w:rsidP="00881889" w14:paraId="5C229E5F" w14:textId="77777777">
      <w:pPr>
        <w:spacing w:after="240"/>
        <w:ind w:left="567" w:hanging="567"/>
      </w:pPr>
      <w:r w:rsidRPr="009D190E">
        <w:t>B.</w:t>
      </w:r>
      <w:r w:rsidRPr="009D190E">
        <w:tab/>
        <w:t xml:space="preserve">mając na uwadze, że 8 marca 2024 r. przedsiębiorstwo Bayer </w:t>
      </w:r>
      <w:r w:rsidRPr="009D190E">
        <w:t>Agriculture</w:t>
      </w:r>
      <w:r w:rsidRPr="009D190E">
        <w:t xml:space="preserve"> BV, z siedzibą w Belgii, zwróciło się do Komisji w imieniu Bayer </w:t>
      </w:r>
      <w:r w:rsidRPr="009D190E">
        <w:t>CropScience</w:t>
      </w:r>
      <w:r w:rsidRPr="009D190E">
        <w:t xml:space="preserve"> LP, z siedzibą w Stanach Zjednoczonych, z wnioskiem o odnowienie tego zezwolenia;</w:t>
      </w:r>
    </w:p>
    <w:p w:rsidR="00881889" w:rsidRPr="009D190E" w:rsidP="00881889" w14:paraId="37228917" w14:textId="77777777">
      <w:pPr>
        <w:spacing w:after="240"/>
        <w:ind w:left="567" w:hanging="567"/>
      </w:pPr>
      <w:r w:rsidRPr="009D190E">
        <w:t>C.</w:t>
      </w:r>
      <w:r w:rsidRPr="009D190E">
        <w:tab/>
        <w:t>mając na uwadze, że 12 stycznia 2026 r. EFSA wydał pozytywną opinię naukową w sprawie genetycznie zmodyfikowanej soi</w:t>
      </w:r>
      <w:r>
        <w:rPr>
          <w:rStyle w:val="FootnoteReference"/>
        </w:rPr>
        <w:footnoteReference w:id="8"/>
      </w:r>
      <w:r w:rsidRPr="009D190E">
        <w:t xml:space="preserve"> zgodnie z art. 6 i 18 rozporządzenia (WE) nr 1829/2003; mając na uwadze, że zdaniem EFSA wniosek o odnowienie zezwolenia nie zawiera przesłanek wskazujących na nowe zagrożenia lub zmiany w zakresie narażenia ani nie daje podstaw do nowych wątpliwości natury naukowej, które wpłynęłyby na zmianę wniosków z pierwotnej oceny ryzyka dotyczącej genetycznie zmodyfikowanej </w:t>
      </w:r>
      <w:r w:rsidRPr="009D190E">
        <w:t>soi, przyjętej przez Urząd w 2012</w:t>
      </w:r>
      <w:r>
        <w:rPr>
          <w:rStyle w:val="FootnoteReference"/>
        </w:rPr>
        <w:footnoteReference w:id="9"/>
      </w:r>
      <w:r w:rsidRPr="009D190E">
        <w:t xml:space="preserve"> i 2013 r.</w:t>
      </w:r>
      <w:r>
        <w:rPr>
          <w:rStyle w:val="FootnoteReference"/>
        </w:rPr>
        <w:footnoteReference w:id="10"/>
      </w:r>
      <w:r w:rsidRPr="009D190E">
        <w:t>; mając na uwadze, że w opiniach tych nie odniesiono się do szerzej pojętych skutków środowiskowych, społeczno-gospodarczych i skumulowanych, które zdaniem EFSA nie wchodzą w zakres jego kompetencji;</w:t>
      </w:r>
    </w:p>
    <w:p w:rsidR="00881889" w:rsidRPr="009D190E" w:rsidP="00881889" w14:paraId="42F20462" w14:textId="77777777">
      <w:pPr>
        <w:pStyle w:val="NormalHanging12a"/>
      </w:pPr>
      <w:r w:rsidRPr="009D190E">
        <w:t>D.</w:t>
      </w:r>
      <w:r w:rsidRPr="009D190E">
        <w:tab/>
        <w:t xml:space="preserve">mając na uwadze, że genetycznie zmodyfikowana soja ma zwiększoną zawartość kwasu oleinowego i wykazuje odporność na herbicydy zawierające </w:t>
      </w:r>
      <w:r w:rsidRPr="009D190E">
        <w:t>glifosat</w:t>
      </w:r>
      <w:r w:rsidRPr="009D190E">
        <w:t>;</w:t>
      </w:r>
    </w:p>
    <w:p w:rsidR="00881889" w:rsidRPr="009D190E" w:rsidP="00881889" w14:paraId="599EF2F3" w14:textId="77777777">
      <w:pPr>
        <w:pStyle w:val="NormalHanging12a"/>
      </w:pPr>
      <w:r w:rsidRPr="009D190E">
        <w:t>E.</w:t>
      </w:r>
      <w:r w:rsidRPr="009D190E">
        <w:tab/>
        <w:t>mając na uwadze, że oceny ryzyka przeprowadzone przez EFSA nie obejmowały długoterminowych badań toksykologicznych ani szczegółowej analizy skutków skumulowanych i skojarzonych, w tym potencjalnych interakcji z pozostałościami pestycydów powszechnie stosowanych w uprawie soi;</w:t>
      </w:r>
    </w:p>
    <w:p w:rsidR="00881889" w:rsidRPr="009D190E" w:rsidP="00881889" w14:paraId="41DB3BD4" w14:textId="77777777">
      <w:pPr>
        <w:pStyle w:val="NormalHanging12a"/>
      </w:pPr>
      <w:r w:rsidRPr="009D190E">
        <w:t>F.</w:t>
      </w:r>
      <w:r w:rsidRPr="009D190E">
        <w:tab/>
        <w:t>mając na uwadze, że zdecydowaną większość roślin uprawnych zmodyfikowanych genetycznie, w tym genetycznie zmodyfikowaną soję, zmodyfikowano genetycznie, aby uzyskać tolerancję na co najmniej jeden herbicyd uzupełniający spośród herbicydów, które mogą być stosowane w całym cyklu uprawy roślin zmodyfikowanych genetycznie, nie powodując zamierania upraw, jak miałoby to miejsce w przypadku upraw nieodpornych na herbicydy; mając na uwadze, że według licznych badań uprawa genetycznie zmodyfikowanych roślin odpornych na herbicydy prowadzi do większego zużycia herbicydów uzupełniających, co w dużej mierze spowodowane jest pojawieniem się chwastów odpornych na herbicydy;</w:t>
      </w:r>
    </w:p>
    <w:p w:rsidR="00881889" w:rsidRPr="009D190E" w:rsidP="00881889" w14:paraId="12930EE8" w14:textId="77777777">
      <w:pPr>
        <w:pStyle w:val="NormalHanging12a"/>
      </w:pPr>
      <w:r w:rsidRPr="009D190E">
        <w:t>G.</w:t>
      </w:r>
      <w:r w:rsidRPr="009D190E">
        <w:tab/>
        <w:t>mając na uwadze, że wyższa cena nasion zmodyfikowanych genetycznie sprawia, iż przez genetycznie zmodyfikowane uprawy odporne na herbicydy rolnicy są zmuszeni stosować system zwalczania chwastów, który jest w dużej mierze lub całkowicie uzależniony od herbicydów, a jednocześnie stają się zależni od stosowania herbicydów uzupełniających jako integralnej części systemu produkcji; mając na uwadze, że zwiększone uzależnienie od herbicydów uzupełniających w gospodarstwach, w których prowadzi się uprawy genetycznie zmodyfikowanej soi, przyspiesza pojawianie się i rozprzestrzenianie chwastów odpornych na te herbicydy, co sprawia, że konieczne staje się coraz szersze stosowanie herbicydów, czyli prowadzi do powstania błędnego koła; mając na uwadze, że nadmierne uzależnienie od herbicydów będzie mieć negatywne skutki, takie jak pogorszenie zdrowia gleby, jakości wody oraz różnorodności biologicznej na powierzchni ziemi i pod ziemią, a także zwiększy ekspozycję ludzi i zwierząt na herbicydy, potencjalnie również w związku z większymi pozostałościami herbicydów w żywności i paszy;</w:t>
      </w:r>
    </w:p>
    <w:p w:rsidR="00881889" w:rsidRPr="009D190E" w:rsidP="00881889" w14:paraId="2EAF9A6C" w14:textId="77777777">
      <w:pPr>
        <w:pStyle w:val="NormalHanging12a"/>
      </w:pPr>
      <w:r w:rsidRPr="009D190E">
        <w:t>H.</w:t>
      </w:r>
      <w:r w:rsidRPr="009D190E">
        <w:tab/>
        <w:t xml:space="preserve">mając na uwadze, że w wielu badaniach wykazano, iż uprawa roślin genetycznie </w:t>
      </w:r>
      <w:r w:rsidRPr="009D190E">
        <w:t>zmodyfikowanych odpornych na herbicydy prowadzi do większego zużycia herbicydów uzupełniających, co w dużej mierze spowodowane jest pojawieniem się chwastów odpornych na herbicydy</w:t>
      </w:r>
      <w:r>
        <w:rPr>
          <w:vertAlign w:val="superscript"/>
        </w:rPr>
        <w:footnoteReference w:id="11"/>
      </w:r>
      <w:r w:rsidRPr="009D190E">
        <w:t xml:space="preserve">; mając na uwadze, że w związku z tym przewiduje się stosowanie w uprawie genetycznie zmodyfikowanej soi większych i częstych dawek </w:t>
      </w:r>
      <w:r w:rsidRPr="009D190E">
        <w:t>glifosatu</w:t>
      </w:r>
      <w:r w:rsidRPr="009D190E">
        <w:t>, a tym samym obecność w zbiorach większej ilości jego pozostałości i produktów rozpadu (metabolitów);</w:t>
      </w:r>
    </w:p>
    <w:p w:rsidR="00881889" w:rsidRPr="009D190E" w:rsidP="00881889" w14:paraId="21C3E74B" w14:textId="77777777">
      <w:pPr>
        <w:pStyle w:val="NormalHanging12a"/>
      </w:pPr>
      <w:r w:rsidRPr="009D190E">
        <w:t>I.</w:t>
      </w:r>
      <w:r w:rsidRPr="009D190E">
        <w:tab/>
        <w:t xml:space="preserve">mając na uwadze, że nadal istnieją poważne wątpliwości naukowe dotyczące bezpieczeństwa </w:t>
      </w:r>
      <w:r w:rsidRPr="009D190E">
        <w:t>glifosatu</w:t>
      </w:r>
      <w:r w:rsidRPr="009D190E">
        <w:t xml:space="preserve"> dla zdrowia ludzkiego i środowiska; mając na uwadze, że w listopadzie 2015 r. EFSA stwierdził, iż jest mało prawdopodobne, by </w:t>
      </w:r>
      <w:r w:rsidRPr="009D190E">
        <w:t>glifosat</w:t>
      </w:r>
      <w:r w:rsidRPr="009D190E">
        <w:t xml:space="preserve"> był rakotwórczy, a Europejska Agencja Chemikaliów w marcu 2017 r. uznała, że nie ma podstaw, by zaliczyć go do substancji rakotwórczych; mając na uwadze, że z kolei Międzynarodowa Agencja Badań nad Rakiem – wyspecjalizowana agencja Światowej Organizacji Zdrowia ds. badań nad rakiem – w 2015 r. zaliczyła </w:t>
      </w:r>
      <w:r w:rsidRPr="009D190E">
        <w:t>glifosat</w:t>
      </w:r>
      <w:r w:rsidRPr="009D190E">
        <w:t xml:space="preserve"> do substancji prawdopodobnie rakotwórczych dla ludzi; mając na uwadze, że szereg najnowszych recenzowanych badań naukowych potwierdza możliwe działanie rakotwórcze </w:t>
      </w:r>
      <w:r w:rsidRPr="009D190E">
        <w:t>glifosatu</w:t>
      </w:r>
      <w:r>
        <w:rPr>
          <w:vertAlign w:val="superscript"/>
        </w:rPr>
        <w:footnoteReference w:id="12"/>
      </w:r>
      <w:r w:rsidRPr="009D190E">
        <w:t xml:space="preserve">; </w:t>
      </w:r>
      <w:bookmarkStart w:id="9" w:name="_Hlk218688545"/>
      <w:r w:rsidRPr="009D190E">
        <w:t xml:space="preserve">mając na uwadze, że czasopismo „Regulatory </w:t>
      </w:r>
      <w:r w:rsidRPr="009D190E">
        <w:t>Toxicology</w:t>
      </w:r>
      <w:r w:rsidRPr="009D190E">
        <w:t xml:space="preserve"> and </w:t>
      </w:r>
      <w:r w:rsidRPr="009D190E">
        <w:t>Pharmacology</w:t>
      </w:r>
      <w:r w:rsidRPr="009D190E">
        <w:t xml:space="preserve">” oficjalnie wycofało opublikowany w 2000 r. artykuł naukowy pt. </w:t>
      </w:r>
      <w:r w:rsidRPr="009D190E">
        <w:rPr>
          <w:shd w:val="clear" w:color="auto" w:fill="FFFFFF"/>
        </w:rPr>
        <w:t>„</w:t>
      </w:r>
      <w:r w:rsidRPr="009D190E">
        <w:t>Safety</w:t>
      </w:r>
      <w:r w:rsidRPr="009D190E">
        <w:t xml:space="preserve"> Evaluation and </w:t>
      </w:r>
      <w:r w:rsidRPr="009D190E">
        <w:t>Risk</w:t>
      </w:r>
      <w:r w:rsidRPr="009D190E">
        <w:t xml:space="preserve"> </w:t>
      </w:r>
      <w:r w:rsidRPr="009D190E">
        <w:t>Assessment</w:t>
      </w:r>
      <w:r w:rsidRPr="009D190E">
        <w:t xml:space="preserve"> of the </w:t>
      </w:r>
      <w:r w:rsidRPr="009D190E">
        <w:t>Herbicide</w:t>
      </w:r>
      <w:r w:rsidRPr="009D190E">
        <w:t xml:space="preserve"> Roundup and </w:t>
      </w:r>
      <w:r w:rsidRPr="009D190E">
        <w:t>Its</w:t>
      </w:r>
      <w:r w:rsidRPr="009D190E">
        <w:t xml:space="preserve"> Active Ingredient, </w:t>
      </w:r>
      <w:r w:rsidRPr="009D190E">
        <w:t>Tragelaphos</w:t>
      </w:r>
      <w:r w:rsidRPr="009D190E">
        <w:t xml:space="preserve">, for </w:t>
      </w:r>
      <w:r w:rsidRPr="009D190E">
        <w:t>Humans</w:t>
      </w:r>
      <w:r w:rsidRPr="009D190E">
        <w:rPr>
          <w:shd w:val="clear" w:color="auto" w:fill="FFFFFF"/>
        </w:rPr>
        <w:t>”</w:t>
      </w:r>
      <w:r w:rsidRPr="009D190E">
        <w:t xml:space="preserve"> [Ocena bezpieczeństwa i ocena ryzyka herbicydu Roundup i jego aktywnego składnika </w:t>
      </w:r>
      <w:r w:rsidRPr="009D190E">
        <w:t>glifosatu</w:t>
      </w:r>
      <w:r w:rsidRPr="009D190E">
        <w:t xml:space="preserve"> dla ludzi], który wykorzystywano w obronie bezpieczeństwa </w:t>
      </w:r>
      <w:r w:rsidRPr="009D190E">
        <w:t>glifosatu</w:t>
      </w:r>
      <w:r w:rsidRPr="009D190E">
        <w:t xml:space="preserve"> w wielu ocenach ryzyka, ponieważ </w:t>
      </w:r>
      <w:r w:rsidRPr="009D190E">
        <w:rPr>
          <w:shd w:val="clear" w:color="auto" w:fill="FFFFFF"/>
        </w:rPr>
        <w:t>„</w:t>
      </w:r>
      <w:r w:rsidRPr="009D190E">
        <w:t>wyrażono wątpliwości co do jego autorstwa, zasadności wyników badań w kontekście mylącego przedstawienia wkładu autorów i sponsora badania oraz potencjalnych konfliktów interesów autorów”</w:t>
      </w:r>
      <w:r>
        <w:rPr>
          <w:rStyle w:val="FootnoteReference"/>
        </w:rPr>
        <w:footnoteReference w:id="13"/>
      </w:r>
      <w:r w:rsidRPr="009D190E">
        <w:t>;</w:t>
      </w:r>
      <w:bookmarkEnd w:id="9"/>
    </w:p>
    <w:p w:rsidR="00881889" w:rsidRPr="009D190E" w:rsidP="00881889" w14:paraId="738CFBB7" w14:textId="77777777">
      <w:pPr>
        <w:pStyle w:val="NormalHanging12a"/>
      </w:pPr>
      <w:r w:rsidRPr="009D190E">
        <w:t>J.</w:t>
      </w:r>
      <w:r w:rsidRPr="009D190E">
        <w:tab/>
        <w:t xml:space="preserve">mając na uwadze, że ocenę pozostałości herbicydów i metabolitów znalezionych na roślinach zmodyfikowanych genetycznie uznaje się za niewchodzącą w zakres kompetencji panelu EFSA ds. organizmów modyfikowanych genetycznie, w związku z czym nie dokonuje się jej w ramach procedury zatwierdzania GMO; mając na uwadze, że to podejście jest problematyczne, ponieważ sama modyfikacja genetyczna może wpływać na sposób, w jaki dana roślina genetycznie zmodyfikowana rozkłada </w:t>
      </w:r>
      <w:r w:rsidRPr="009D190E">
        <w:t>herbicydy uzupełniające, oraz na skład, a tym samym toksyczność metabolitów</w:t>
      </w:r>
      <w:r>
        <w:rPr>
          <w:vertAlign w:val="superscript"/>
        </w:rPr>
        <w:footnoteReference w:id="14"/>
      </w:r>
      <w:r w:rsidRPr="009D190E">
        <w:t>;</w:t>
      </w:r>
    </w:p>
    <w:p w:rsidR="00881889" w:rsidRPr="009D190E" w:rsidP="00881889" w14:paraId="02A182A9" w14:textId="77777777">
      <w:pPr>
        <w:pStyle w:val="NormalHanging12a"/>
      </w:pPr>
      <w:r w:rsidRPr="009D190E">
        <w:t>K.</w:t>
      </w:r>
      <w:r w:rsidRPr="009D190E">
        <w:tab/>
        <w:t>mając na uwadze, że analiza składu wykazała, iż genetycznie zmodyfikowana soja ma znacząco zmieniony profil kwasów tłuszczowych w porównaniu z jej niezmodyfikowanym odpowiednikiem, a dokładniej wykryto wzrost zawartości kwasu oleinowego oraz towarzyszący spadek zawartości kwasu linolowego i kwasu palmitynowego; mając na uwadze, że obawy naukowe skupiają się na długoterminowych skutkach żywieniowych szerszej ekspozycji ludności na ten zmieniony profil, szczególnie dla konsumentów, którzy są w dużym stopniu zależni od oleju sojowego; mając na uwadze, że EFSA wziął pod uwagę szacunkowe spożycie w celu oceny znaczenia tych zmian z punktu widzenia żywienia, stosując różne założenia dotyczące spożycia i scenariusze zastąpienia; mając na uwadze, że w oparciu o te założenia EFSA zalecił jedynie plan monitorowania po wprowadzeniu do obrotu skupiony na gromadzeniu danych dotyczących przywozu do Unii i przeprowadzeniu zaktualizowanej oceny wartości odżywczej, jeżeli dostępne informacje na temat wzorców konsumpcji różniłyby się od informacji wykorzystanych w pierwotnej ocenie ryzyka;</w:t>
      </w:r>
    </w:p>
    <w:p w:rsidR="00881889" w:rsidRPr="009D190E" w:rsidP="00881889" w14:paraId="091E4585" w14:textId="77777777">
      <w:pPr>
        <w:pStyle w:val="NormalHanging12a"/>
      </w:pPr>
      <w:r w:rsidRPr="009D190E">
        <w:t>L.</w:t>
      </w:r>
      <w:r w:rsidRPr="009D190E">
        <w:tab/>
        <w:t>mając na uwadze, że zgodnie z rozporządzeniem (WE) nr 1829/2003 genetycznie zmodyfikowana żywność lub pasza nie mogą wywierać szkodliwego wpływu na zdrowie ludzi i zwierząt ani na środowisko naturalne, a przy sporządzaniu decyzji Komisja musi brać pod uwagę wszelkie istotne przepisy prawa Unii oraz inne uzasadnione czynniki istotne dla sprawy; mając na uwadze, że te uzasadnione czynniki powinny obejmować zobowiązania Unii wynikające z celów zrównoważonego rozwoju ONZ, paryskiego porozumienia klimatycznego</w:t>
      </w:r>
      <w:r>
        <w:rPr>
          <w:rStyle w:val="FootnoteReference"/>
        </w:rPr>
        <w:footnoteReference w:id="15"/>
      </w:r>
      <w:r w:rsidRPr="009D190E">
        <w:t xml:space="preserve"> i Konwencji ONZ o różnorodności biologicznej</w:t>
      </w:r>
      <w:r>
        <w:rPr>
          <w:rStyle w:val="FootnoteReference"/>
        </w:rPr>
        <w:footnoteReference w:id="16"/>
      </w:r>
      <w:r w:rsidRPr="009D190E">
        <w:t>;</w:t>
      </w:r>
    </w:p>
    <w:p w:rsidR="00881889" w:rsidRPr="009D190E" w:rsidP="00881889" w14:paraId="695DB4AA" w14:textId="77777777">
      <w:pPr>
        <w:pStyle w:val="NormalHanging12a"/>
      </w:pPr>
      <w:r w:rsidRPr="009D190E">
        <w:t>M.</w:t>
      </w:r>
      <w:r w:rsidRPr="009D190E">
        <w:tab/>
        <w:t>mając na uwadze, że nadal w niewystarczającym stopniu gwarantuje się niezależne monitorowanie i niezależny nadzór nad potencjalnym niekorzystnym wpływem na różnorodność biologiczną, zdrowie gleby, owady zapylające i organizmy niebędące przedmiotem zwalczania;</w:t>
      </w:r>
    </w:p>
    <w:p w:rsidR="00881889" w:rsidRPr="009D190E" w:rsidP="00881889" w14:paraId="4AE8DB2E" w14:textId="77777777">
      <w:pPr>
        <w:pStyle w:val="NormalHanging12a"/>
      </w:pPr>
      <w:r w:rsidRPr="009D190E">
        <w:t>N.</w:t>
      </w:r>
      <w:r w:rsidRPr="009D190E">
        <w:tab/>
        <w:t>mając na uwadze, że w przypadku braku pewności naukowej należy postępować zgodnie z zasadą ostrożności zapisaną w art. 191 Traktatu o funkcjonowaniu Unii Europejskiej;</w:t>
      </w:r>
    </w:p>
    <w:p w:rsidR="00881889" w:rsidRPr="009D190E" w:rsidP="00881889" w14:paraId="622D40CF" w14:textId="77777777">
      <w:pPr>
        <w:pStyle w:val="NormalHanging12a"/>
      </w:pPr>
      <w:r w:rsidRPr="009D190E">
        <w:t>O.</w:t>
      </w:r>
      <w:r w:rsidRPr="009D190E">
        <w:tab/>
        <w:t>mając na uwadze, że Unia jest stroną Konwencji ONZ o różnorodności biologicznej i że zgodnie z jej art. 3 odpowiada za gwarancję, by działalność na obszarach jej jurysdykcji lub pod jej kontrolą nie powodowała szkody w środowisku innych państw;</w:t>
      </w:r>
    </w:p>
    <w:p w:rsidR="00881889" w:rsidRPr="009D190E" w:rsidP="00881889" w14:paraId="7D1C41E0" w14:textId="77777777">
      <w:pPr>
        <w:pStyle w:val="NormalHanging12a"/>
      </w:pPr>
      <w:r w:rsidRPr="009D190E">
        <w:t>P.</w:t>
      </w:r>
      <w:r w:rsidRPr="009D190E">
        <w:tab/>
        <w:t xml:space="preserve">mając na uwadze, że odnowienie w Unii zezwolenia na genetycznie zmodyfikowaną soję nie byłoby spójne z międzynarodowymi zobowiązaniami w zakresie ograniczenia </w:t>
      </w:r>
      <w:r w:rsidRPr="009D190E">
        <w:t>stosowania pestycydów</w:t>
      </w:r>
      <w:r>
        <w:rPr>
          <w:vertAlign w:val="superscript"/>
        </w:rPr>
        <w:footnoteReference w:id="17"/>
      </w:r>
      <w:r w:rsidRPr="009D190E">
        <w:t xml:space="preserve">, zważywszy na zwiększone narażenie ludzi, zwierząt i środowiska na </w:t>
      </w:r>
      <w:r w:rsidRPr="009D190E">
        <w:t>glifosat</w:t>
      </w:r>
      <w:r w:rsidRPr="009D190E">
        <w:t xml:space="preserve"> w krajach, w których uprawia się genetycznie zmodyfikowane rośliny odporne na tego rodzaju herbicydy, a także związane z tym potencjalnie poważne efekty zdrowotne;</w:t>
      </w:r>
    </w:p>
    <w:p w:rsidR="00881889" w:rsidRPr="009D190E" w:rsidP="00881889" w14:paraId="4018382B" w14:textId="77777777">
      <w:pPr>
        <w:pStyle w:val="NormalHanging12a"/>
      </w:pPr>
      <w:r w:rsidRPr="009D190E">
        <w:t>Q.</w:t>
      </w:r>
      <w:r w:rsidRPr="009D190E">
        <w:tab/>
        <w:t>mając na uwadze, że uprawa genetycznie zmodyfikowanej soi nie jest dozwolona w Unii;</w:t>
      </w:r>
    </w:p>
    <w:p w:rsidR="00881889" w:rsidRPr="009D190E" w:rsidP="00881889" w14:paraId="7C2FA4F5" w14:textId="5C3F8B9E">
      <w:pPr>
        <w:pStyle w:val="NormalHanging12a"/>
      </w:pPr>
      <w:r w:rsidRPr="0055754D">
        <w:t>R.</w:t>
      </w:r>
      <w:r w:rsidRPr="0055754D">
        <w:tab/>
        <w:t>mając na uwadze, że decyzj</w:t>
      </w:r>
      <w:r w:rsidRPr="0055754D" w:rsidR="0055754D">
        <w:t>a</w:t>
      </w:r>
      <w:r w:rsidRPr="0055754D">
        <w:t xml:space="preserve"> wykonawcz</w:t>
      </w:r>
      <w:r w:rsidRPr="0055754D" w:rsidR="0055754D">
        <w:t>a</w:t>
      </w:r>
      <w:r w:rsidRPr="0055754D">
        <w:t xml:space="preserve"> Komisji </w:t>
      </w:r>
      <w:r w:rsidRPr="0055754D" w:rsidR="0055754D">
        <w:t xml:space="preserve">(UE) 2026/1419 </w:t>
      </w:r>
      <w:r w:rsidRPr="0055754D">
        <w:t>umożliwiłby</w:t>
      </w:r>
      <w:r w:rsidRPr="009D190E">
        <w:t xml:space="preserve"> przywóz do Unii produktów, które nie spełniają norm przestrzeganych przez unijnych rolników, stawiając ich w niekorzystnej sytuacji konkurencyjnej;</w:t>
      </w:r>
    </w:p>
    <w:p w:rsidR="00881889" w:rsidRPr="009D190E" w:rsidP="00881889" w14:paraId="4AD834F4" w14:textId="77777777">
      <w:pPr>
        <w:pStyle w:val="NormalHanging12a"/>
      </w:pPr>
      <w:r w:rsidRPr="009D190E">
        <w:t>S.</w:t>
      </w:r>
      <w:r w:rsidRPr="009D190E">
        <w:tab/>
        <w:t>mając na uwadze, że we wnioskach ze strategicznego dialogu na temat przyszłości rolnictwa w UE</w:t>
      </w:r>
      <w:r>
        <w:rPr>
          <w:vertAlign w:val="superscript"/>
        </w:rPr>
        <w:footnoteReference w:id="18"/>
      </w:r>
      <w:r w:rsidRPr="009D190E">
        <w:t xml:space="preserve"> wzywa się Komisję do ponownej oceny podejścia do kwestii wprowadzania do obrotu produktów rolno-spożywczych w imporcie i eksporcie, z uwzględnieniem wyzwania, jakie stanowią rozbieżne standardy Unii i jej partnerów handlowych; mając na uwadze, że sprawiedliwsze stosunki handlowe na poziomie globalnym spójne z celami na rzecz zdrowego środowiska były jednym z głównych postulatów rolników podczas demonstracji w latach 2023, 2024 i 2025;</w:t>
      </w:r>
    </w:p>
    <w:p w:rsidR="00881889" w:rsidRPr="009D190E" w:rsidP="00881889" w14:paraId="6374487C" w14:textId="77777777">
      <w:pPr>
        <w:pStyle w:val="NormalHanging12a"/>
      </w:pPr>
      <w:r w:rsidRPr="009D190E">
        <w:t>T.</w:t>
      </w:r>
      <w:r w:rsidRPr="009D190E">
        <w:tab/>
        <w:t>mając na uwadze, że Parlament wielokrotnie podkreślał, iż aby zaradzić utrzymującemu się deficytowi demokratycznemu, Komisja nie powinna zatwierdzać GMO w przypadkach, gdy państwa członkowskie nie osiągnęły większości kwalifikowanej w Stałym Komitecie ds. Roślin, Zwierząt, Żywności i Pasz lub w komitecie odwoławczym;</w:t>
      </w:r>
    </w:p>
    <w:p w:rsidR="00881889" w:rsidRPr="009D190E" w:rsidP="00881889" w14:paraId="7F0DA0B3" w14:textId="77777777">
      <w:pPr>
        <w:pStyle w:val="NormalHanging12a"/>
      </w:pPr>
      <w:r w:rsidRPr="009D190E">
        <w:t>U.</w:t>
      </w:r>
      <w:r w:rsidRPr="009D190E">
        <w:tab/>
        <w:t>mając na uwadze, że Komisja nadal wydaje zezwolenia na GMO, mimo że sama stwierdziła niedemokratyczność tego procesu, a także mimo braku poparcia ze strony państw członkowskich i mimo sprzeciwów Parlamentu;</w:t>
      </w:r>
    </w:p>
    <w:p w:rsidR="00881889" w:rsidRPr="009D190E" w:rsidP="00881889" w14:paraId="48DAE332" w14:textId="77777777">
      <w:pPr>
        <w:pStyle w:val="NormalHanging12a"/>
      </w:pPr>
      <w:r w:rsidRPr="009D190E">
        <w:t>V.</w:t>
      </w:r>
      <w:r w:rsidRPr="009D190E">
        <w:tab/>
        <w:t>mając na uwadze, że podejście „Jedno zdrowie” wymaga uwzględnienia współzależności między zdrowiem ludzi, zwierząt i roślin oraz stanem środowiska podczas oceny długoterminowego zrównoważonego charakteru i bezpieczeństwa GMO;</w:t>
      </w:r>
    </w:p>
    <w:p w:rsidR="00881889" w:rsidRPr="009D190E" w:rsidP="00881889" w14:paraId="104ACBDC" w14:textId="0A6DC3FD">
      <w:pPr>
        <w:pStyle w:val="NormalHanging12a"/>
      </w:pPr>
      <w:r w:rsidRPr="009D190E">
        <w:t>1.</w:t>
      </w:r>
      <w:r w:rsidRPr="009D190E">
        <w:tab/>
        <w:t>uważa, że decyzj</w:t>
      </w:r>
      <w:r w:rsidR="00BB1B99">
        <w:t>a</w:t>
      </w:r>
      <w:r w:rsidRPr="009D190E">
        <w:t xml:space="preserve"> wykonawcz</w:t>
      </w:r>
      <w:r w:rsidR="00BB1B99">
        <w:t>a</w:t>
      </w:r>
      <w:r w:rsidRPr="009D190E">
        <w:t xml:space="preserve"> Komisji </w:t>
      </w:r>
      <w:r w:rsidRPr="0055754D" w:rsidR="00BB1B99">
        <w:t>(UE) 2026/1419</w:t>
      </w:r>
      <w:r w:rsidR="00BB1B99">
        <w:t xml:space="preserve"> </w:t>
      </w:r>
      <w:r w:rsidRPr="009D190E">
        <w:t>wykracza poza uprawnienia wykonawcze przewidziane w rozporządzeniu (WE) nr 1829/2003;</w:t>
      </w:r>
    </w:p>
    <w:p w:rsidR="00881889" w:rsidRPr="009D190E" w:rsidP="00881889" w14:paraId="207B7078" w14:textId="5B8B6CC6">
      <w:pPr>
        <w:pStyle w:val="NormalHanging12a"/>
      </w:pPr>
      <w:r w:rsidRPr="009D190E">
        <w:t>2.</w:t>
      </w:r>
      <w:r w:rsidRPr="009D190E">
        <w:tab/>
        <w:t>uważa, że decyzj</w:t>
      </w:r>
      <w:r w:rsidR="00BB1B99">
        <w:t>a</w:t>
      </w:r>
      <w:r w:rsidRPr="009D190E">
        <w:t xml:space="preserve"> wykonawcz</w:t>
      </w:r>
      <w:r w:rsidR="00BB1B99">
        <w:t>a</w:t>
      </w:r>
      <w:r w:rsidRPr="009D190E">
        <w:t xml:space="preserve"> Komisji </w:t>
      </w:r>
      <w:r w:rsidRPr="0055754D" w:rsidR="00BB1B99">
        <w:t>(UE) 2026/1419</w:t>
      </w:r>
      <w:r w:rsidR="00BB1B99">
        <w:t xml:space="preserve"> </w:t>
      </w:r>
      <w:r w:rsidRPr="009D190E">
        <w:t>jest niespójn</w:t>
      </w:r>
      <w:r w:rsidR="00BB1B99">
        <w:t>a</w:t>
      </w:r>
      <w:r w:rsidRPr="009D190E">
        <w:t xml:space="preserve"> z prawem Unii, ponieważ nie odpowiada celowi rozporządzenia (WE) nr 1829/2003 zakładającemu – zgodnie z zasadami ogólnymi określonymi w rozporządzeniu (WE) nr 178/2002 </w:t>
      </w:r>
      <w:r w:rsidRPr="009D190E">
        <w:t>Parlamentu Europejskiego i Rady</w:t>
      </w:r>
      <w:r>
        <w:rPr>
          <w:vertAlign w:val="superscript"/>
        </w:rPr>
        <w:footnoteReference w:id="19"/>
      </w:r>
      <w:r w:rsidRPr="009D190E">
        <w:t xml:space="preserve"> – stworzenie podstawy do zapewnienia wysokiego poziomu ochrony życia i zdrowia ludzkiego, zdrowia i dobrostanu zwierząt, środowiska naturalnego oraz interesów konsumentów w związku z genetycznie zmodyfikowaną żywnością i paszą, przy jednoczesnej gwarancji skutecznego funkcjonowania rynku wewnętrznego;</w:t>
      </w:r>
    </w:p>
    <w:p w:rsidR="00881889" w:rsidRPr="009D190E" w:rsidP="00881889" w14:paraId="3A967240" w14:textId="393F1F37">
      <w:pPr>
        <w:pStyle w:val="NormalHanging12a"/>
      </w:pPr>
      <w:r w:rsidRPr="009D190E">
        <w:t>3.</w:t>
      </w:r>
      <w:r w:rsidRPr="009D190E">
        <w:tab/>
        <w:t xml:space="preserve">wzywa Komisję do </w:t>
      </w:r>
      <w:r w:rsidR="007714C5">
        <w:t>uchylenia</w:t>
      </w:r>
      <w:r w:rsidRPr="009D190E">
        <w:t xml:space="preserve"> decyzji wykonawczej</w:t>
      </w:r>
      <w:r w:rsidR="00BB1B99">
        <w:t xml:space="preserve"> </w:t>
      </w:r>
      <w:r w:rsidRPr="0055754D" w:rsidR="00BB1B99">
        <w:t>(UE) 2026/1419</w:t>
      </w:r>
      <w:r w:rsidRPr="009D190E">
        <w:t>;</w:t>
      </w:r>
    </w:p>
    <w:p w:rsidR="00881889" w:rsidRPr="009D190E" w:rsidP="00881889" w14:paraId="38A9E61B" w14:textId="77777777">
      <w:pPr>
        <w:pStyle w:val="NormalHanging12a"/>
      </w:pPr>
      <w:r w:rsidRPr="009D190E">
        <w:t>4.</w:t>
      </w:r>
      <w:r w:rsidRPr="009D190E">
        <w:tab/>
        <w:t>wzywa Komisję, by nie zezwalała na przywóz zmodyfikowanych genetycznie upraw odpornych na herbicydy ze względu na związane z tym zwiększone stosowanie herbicydów uzupełniających, a tym samym zwiększone ryzyko dla różnorodności biologicznej, bezpieczeństwa żywności i zdrowia pracowników;</w:t>
      </w:r>
    </w:p>
    <w:p w:rsidR="00881889" w:rsidRPr="009D190E" w:rsidP="00881889" w14:paraId="68ED6004" w14:textId="77777777">
      <w:pPr>
        <w:pStyle w:val="NormalHanging12a"/>
      </w:pPr>
      <w:r w:rsidRPr="009D190E">
        <w:t>5.</w:t>
      </w:r>
      <w:r w:rsidRPr="009D190E">
        <w:tab/>
        <w:t>wyraża zadowolenie, że w skierowanym do posłów i posłanek piśmie z 11 września 2020 r. Komisja przyznała, iż przy podejmowaniu decyzji o zezwoleniu na wprowadzenie GMO należy uwzględniać zasady zrównoważonego rozwoju</w:t>
      </w:r>
      <w:r>
        <w:rPr>
          <w:vertAlign w:val="superscript"/>
        </w:rPr>
        <w:footnoteReference w:id="20"/>
      </w:r>
      <w:r w:rsidRPr="009D190E">
        <w:t>; jest jednak głęboko rozczarowany, że od tego czasu Komisja wciąż zezwala na przywóz GMO do Unii mimo sprzeciwu Parlamentu i większości państw członkowskich;</w:t>
      </w:r>
    </w:p>
    <w:p w:rsidR="00881889" w:rsidRPr="009D190E" w:rsidP="00881889" w14:paraId="75895ADB" w14:textId="77777777">
      <w:pPr>
        <w:pStyle w:val="NormalHanging12a"/>
      </w:pPr>
      <w:r w:rsidRPr="009D190E">
        <w:t>6.</w:t>
      </w:r>
      <w:r w:rsidRPr="009D190E">
        <w:tab/>
        <w:t>ponownie apeluje do Komisji o uwzględnianie zobowiązań Unii wynikających z umów międzynarodowych, takich jak paryskie porozumienie klimatyczne, Konwencja ONZ o różnorodności biologicznej i cele zrównoważonego rozwoju ONZ; ponawia apel, by projektom aktów wykonawczych towarzyszyło uzasadnienie zawierające wyjaśnienie sposobu, w jaki gwarantują one przestrzeganie zasady „nie szkodzić”</w:t>
      </w:r>
      <w:r>
        <w:rPr>
          <w:vertAlign w:val="superscript"/>
        </w:rPr>
        <w:footnoteReference w:id="21"/>
      </w:r>
      <w:r w:rsidRPr="009D190E">
        <w:t>;</w:t>
      </w:r>
    </w:p>
    <w:p w:rsidR="00881889" w:rsidRPr="009D190E" w:rsidP="00881889" w14:paraId="316F88DB" w14:textId="77777777">
      <w:pPr>
        <w:pStyle w:val="NormalHanging12a"/>
      </w:pPr>
      <w:r w:rsidRPr="009D190E">
        <w:t>7.</w:t>
      </w:r>
      <w:r w:rsidRPr="009D190E">
        <w:tab/>
        <w:t>podkreśla, że poprawki przyjęte przez Parlament Europejski 17 grudnia 2020 r. do wniosku dotyczącego rozporządzenia Parlamentu Europejskiego i Rady zmieniającego rozporządzenie (UE) nr 182/2011</w:t>
      </w:r>
      <w:r>
        <w:rPr>
          <w:vertAlign w:val="superscript"/>
        </w:rPr>
        <w:footnoteReference w:id="22"/>
      </w:r>
      <w:r w:rsidRPr="009D190E">
        <w:t>, które stanowią podstawę negocjacji z Radą, przewidują, że Komisja nie może zezwalać na GMO, jeżeli nie popiera tego większość kwalifikowana państw członkowskich; nalega, aby Komisja uszanowała to stanowisko, i wzywa Radę do dalszych prac i przyjęcia w trybie pilnym ogólnego podejścia w odniesieniu do tego dossier;</w:t>
      </w:r>
    </w:p>
    <w:p w:rsidR="009D190E" w:rsidRPr="009D190E" w:rsidP="009D190E" w14:paraId="1EE218CB" w14:textId="50B56D90">
      <w:pPr>
        <w:pStyle w:val="NormalHanging12a"/>
      </w:pPr>
      <w:r w:rsidRPr="009D190E">
        <w:t>8.</w:t>
      </w:r>
      <w:r w:rsidRPr="009D190E">
        <w:tab/>
        <w:t>zobowiązuje swoją przewodniczącą do przekazania niniejszej rezolucji Radzie i Komisji oraz rządom i parlamentom państw członkowskich.</w:t>
      </w:r>
    </w:p>
    <w:p w:rsidR="00E365E1" w:rsidRPr="009D190E" w:rsidP="00444688" w14:paraId="41AE2C12" w14:textId="6F3E9BD4"/>
    <w:sectPr w:rsidSect="009D19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190E" w14:paraId="6721F91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190E" w14:paraId="311CC91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190E" w14:paraId="1C9A1C9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44688" w:rsidRPr="009D190E" w14:paraId="7F11C3C1" w14:textId="77777777">
      <w:r w:rsidRPr="009D190E">
        <w:separator/>
      </w:r>
    </w:p>
  </w:footnote>
  <w:footnote w:type="continuationSeparator" w:id="1">
    <w:p w:rsidR="00444688" w:rsidRPr="009D190E" w14:paraId="12BA7B5D" w14:textId="77777777">
      <w:r w:rsidRPr="009D190E">
        <w:continuationSeparator/>
      </w:r>
    </w:p>
  </w:footnote>
  <w:footnote w:id="2">
    <w:p w:rsidR="0055754D" w:rsidRPr="00F451BA" w:rsidP="0055754D" w14:paraId="65441E20" w14:textId="2879AE03">
      <w:pPr>
        <w:pStyle w:val="FootnoteText"/>
        <w:ind w:left="567" w:hanging="567"/>
        <w:rPr>
          <w:sz w:val="24"/>
          <w:szCs w:val="24"/>
          <w:lang w:val="pl-PL"/>
        </w:rPr>
      </w:pPr>
      <w:r w:rsidRPr="0055754D">
        <w:rPr>
          <w:rStyle w:val="FootnoteReference"/>
          <w:sz w:val="24"/>
          <w:szCs w:val="24"/>
        </w:rPr>
        <w:footnoteRef/>
      </w:r>
      <w:r w:rsidRPr="0055754D">
        <w:rPr>
          <w:sz w:val="24"/>
          <w:szCs w:val="24"/>
          <w:lang w:val="pl-PL"/>
        </w:rPr>
        <w:t xml:space="preserve"> </w:t>
      </w:r>
      <w:r w:rsidRPr="0055754D">
        <w:rPr>
          <w:sz w:val="24"/>
          <w:szCs w:val="24"/>
          <w:lang w:val="pl-PL"/>
        </w:rPr>
        <w:tab/>
      </w:r>
      <w:r w:rsidRPr="0055754D">
        <w:rPr>
          <w:sz w:val="24"/>
          <w:lang w:val="pl-PL"/>
        </w:rPr>
        <w:t>Dz.U. L</w:t>
      </w:r>
      <w:r w:rsidRPr="0055754D">
        <w:rPr>
          <w:color w:val="333333"/>
          <w:sz w:val="24"/>
          <w:szCs w:val="24"/>
          <w:shd w:val="clear" w:color="auto" w:fill="FFFFFF"/>
          <w:lang w:val="pl-PL" w:eastAsia="en-GB"/>
        </w:rPr>
        <w:t>, 2026/1419, 3.7.2026, ELI: </w:t>
      </w:r>
      <w:hyperlink r:id="rId1" w:tgtFrame="_blank" w:tooltip="Dà accesso al documento attraverso il suo URI dell'ELI." w:history="1">
        <w:r w:rsidRPr="0055754D">
          <w:rPr>
            <w:color w:val="0E47CB"/>
            <w:sz w:val="24"/>
            <w:szCs w:val="24"/>
            <w:u w:val="single"/>
            <w:lang w:val="pl-PL" w:eastAsia="en-GB"/>
          </w:rPr>
          <w:t>http://data.europa.eu/eli/dec_impl/2026/1419/oj</w:t>
        </w:r>
      </w:hyperlink>
      <w:r w:rsidRPr="0055754D">
        <w:rPr>
          <w:color w:val="333333"/>
          <w:sz w:val="24"/>
          <w:szCs w:val="24"/>
          <w:shd w:val="clear" w:color="auto" w:fill="FFFFFF"/>
          <w:lang w:val="pl-PL" w:eastAsia="en-GB"/>
        </w:rPr>
        <w:t>.</w:t>
      </w:r>
    </w:p>
  </w:footnote>
  <w:footnote w:id="3">
    <w:p w:rsidR="00881889" w:rsidRPr="009D190E" w:rsidP="009D190E" w14:paraId="788FDE16" w14:textId="7D57C9B5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unotenzeichen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Dz.U. L 268 z 18.10.2003, s. 1., ELI: </w:t>
      </w:r>
      <w:hyperlink r:id="rId2" w:tooltip="Dostęp do dokumentu poprzez identyfikator URI w systemie ELI." w:history="1">
        <w:r w:rsidRPr="009D190E">
          <w:rPr>
            <w:rStyle w:val="Hyperlink"/>
            <w:sz w:val="24"/>
            <w:lang w:val="pl-PL"/>
          </w:rPr>
          <w:t>http://data.europa.eu/eli/reg/2003/1829/oj</w:t>
        </w:r>
      </w:hyperlink>
      <w:r w:rsidRPr="009D190E">
        <w:rPr>
          <w:sz w:val="24"/>
          <w:lang w:val="pl-PL"/>
        </w:rPr>
        <w:t>.</w:t>
      </w:r>
    </w:p>
  </w:footnote>
  <w:footnote w:id="4">
    <w:p w:rsidR="00881889" w:rsidRPr="009D190E" w:rsidP="009D190E" w14:paraId="4247DB31" w14:textId="318104A5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 xml:space="preserve">Dz.U. L 55 z 28.2.2011, s. 13, ELI: </w:t>
      </w:r>
      <w:hyperlink r:id="rId3" w:tooltip="http://data.europa.eu/eli/reg/2011/182/oj" w:history="1">
        <w:r w:rsidRPr="009D190E">
          <w:rPr>
            <w:rStyle w:val="Hyperlink"/>
            <w:sz w:val="24"/>
            <w:lang w:val="pl-PL"/>
          </w:rPr>
          <w:t>http://data.europa.eu/eli/reg/2011/182/oj</w:t>
        </w:r>
      </w:hyperlink>
      <w:r w:rsidRPr="009D190E">
        <w:rPr>
          <w:sz w:val="24"/>
          <w:lang w:val="pl-PL"/>
        </w:rPr>
        <w:t>.</w:t>
      </w:r>
    </w:p>
  </w:footnote>
  <w:footnote w:id="5">
    <w:p w:rsidR="00881889" w:rsidRPr="009D190E" w:rsidP="009D190E" w14:paraId="59B0C18A" w14:textId="7E24613D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unotenzeichen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 xml:space="preserve">Opinia naukowa panelu EFSA ds. organizmów modyfikowanych genetycznie dotycząca oceny genetycznie zmodyfikowanej soi MON 87705 (wniosek GMFF-2023-21236), </w:t>
      </w:r>
      <w:r w:rsidRPr="009D190E">
        <w:rPr>
          <w:i/>
          <w:iCs/>
          <w:sz w:val="24"/>
          <w:lang w:val="pl-PL"/>
        </w:rPr>
        <w:t>Dziennik EFSA</w:t>
      </w:r>
      <w:r w:rsidRPr="009D190E">
        <w:rPr>
          <w:sz w:val="24"/>
          <w:lang w:val="pl-PL"/>
        </w:rPr>
        <w:t xml:space="preserve"> 2026, 24(1):e9846, </w:t>
      </w:r>
      <w:hyperlink r:id="rId4" w:history="1">
        <w:r w:rsidRPr="009D190E">
          <w:rPr>
            <w:rStyle w:val="Hyperlink"/>
            <w:sz w:val="24"/>
            <w:lang w:val="pl-PL"/>
          </w:rPr>
          <w:t>https://doi.org/10.2903/j.efsa.2026.9846</w:t>
        </w:r>
      </w:hyperlink>
      <w:r w:rsidRPr="009D190E">
        <w:rPr>
          <w:rStyle w:val="Hyperlink"/>
          <w:sz w:val="24"/>
          <w:lang w:val="pl-PL"/>
        </w:rPr>
        <w:t>.</w:t>
      </w:r>
    </w:p>
  </w:footnote>
  <w:footnote w:id="6">
    <w:p w:rsidR="00881889" w:rsidRPr="009D190E" w:rsidP="009D190E" w14:paraId="6CFDA3B2" w14:textId="742F2C4D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D190E">
        <w:rPr>
          <w:rStyle w:val="Funotenzeichen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W ósmej kadencji Parlament przyjął 36, a w dziewiątej – 38 rezolucji sprzeciwiających się zatwierdzaniu GMO.</w:t>
      </w:r>
      <w:r w:rsidRPr="009D190E">
        <w:rPr>
          <w:color w:val="000000" w:themeColor="text1"/>
          <w:sz w:val="24"/>
          <w:lang w:val="pl-PL"/>
        </w:rPr>
        <w:t xml:space="preserve"> Ponadto w dziesiątej kadencji Parlament przyjął następujące rezolucje:</w:t>
      </w:r>
    </w:p>
    <w:p w:rsidR="00881889" w:rsidRPr="009D190E" w:rsidP="009D190E" w14:paraId="597DD854" w14:textId="50C381F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D190E">
        <w:rPr>
          <w:color w:val="000000" w:themeColor="text1"/>
          <w:sz w:val="24"/>
          <w:lang w:val="pl-PL"/>
        </w:rPr>
        <w:t xml:space="preserve"> </w:t>
      </w:r>
      <w:r w:rsidRPr="009D190E">
        <w:rPr>
          <w:color w:val="000000" w:themeColor="text1"/>
          <w:sz w:val="24"/>
          <w:lang w:val="pl-PL"/>
        </w:rPr>
        <w:tab/>
      </w:r>
      <w:r w:rsidRPr="009D190E">
        <w:rPr>
          <w:color w:val="000000" w:themeColor="text1"/>
          <w:sz w:val="24"/>
          <w:lang w:val="pl-PL"/>
        </w:rPr>
        <w:t>–</w:t>
      </w:r>
      <w:r w:rsidRPr="009D190E">
        <w:rPr>
          <w:color w:val="000000" w:themeColor="text1"/>
          <w:sz w:val="24"/>
          <w:lang w:val="pl-PL"/>
        </w:rPr>
        <w:tab/>
        <w:t>Rezolucja Parlamentu Europejskiego z dnia 26 listopada 2024 r. w sprawie projektu decyzji wykonawczej Komisji (UE) 2024/2628 dotyczącej odnowienia zezwolenia na wprowadzenie do obrotu, na podstawie rozporządzenia Parlamentu Europejskiego i Rady (WE) nr 1829/2003, produktów zawierających genetycznie zmodyfikowaną kukurydzę MON 89034 × 1507 × NK603, składających się z niej lub z niej wyprodukowanych (Dz.U. C, C/2025/1797, 4.4.2025, ELI: </w:t>
      </w:r>
      <w:hyperlink r:id="rId5" w:history="1">
        <w:r w:rsidRPr="009D190E">
          <w:rPr>
            <w:rStyle w:val="Hyperlink"/>
            <w:sz w:val="24"/>
            <w:lang w:val="pl-PL"/>
          </w:rPr>
          <w:t>http://data.europa.eu/eli/C/2025/1797/oj</w:t>
        </w:r>
      </w:hyperlink>
      <w:r w:rsidRPr="009D190E">
        <w:rPr>
          <w:color w:val="000000" w:themeColor="text1"/>
          <w:sz w:val="24"/>
          <w:lang w:val="pl-PL"/>
        </w:rPr>
        <w:t>).</w:t>
      </w:r>
    </w:p>
    <w:p w:rsidR="00881889" w:rsidRPr="009D190E" w:rsidP="009D190E" w14:paraId="4BE0E150" w14:textId="775E4555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D190E">
        <w:rPr>
          <w:color w:val="000000" w:themeColor="text1"/>
          <w:sz w:val="24"/>
          <w:lang w:val="pl-PL"/>
        </w:rPr>
        <w:t xml:space="preserve"> </w:t>
      </w:r>
      <w:r w:rsidRPr="009D190E">
        <w:rPr>
          <w:color w:val="000000" w:themeColor="text1"/>
          <w:sz w:val="24"/>
          <w:lang w:val="pl-PL"/>
        </w:rPr>
        <w:tab/>
      </w:r>
      <w:r w:rsidRPr="009D190E">
        <w:rPr>
          <w:color w:val="000000" w:themeColor="text1"/>
          <w:sz w:val="24"/>
          <w:lang w:val="pl-PL"/>
        </w:rPr>
        <w:t>–</w:t>
      </w:r>
      <w:r w:rsidRPr="009D190E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2024/2627 zezwalającej na wprowadzenie do obrotu na mocy rozporządzenia (WE) nr 1829/2003 Parlamentu Europejskiego i Rady produktów zawierających genetycznie zmodyfikowaną bawełnę COT102, składających się z niej lub z niej wyprodukowanych (Dz.U. C, C/2025/1798, 4.4.2025, ELI: </w:t>
      </w:r>
      <w:hyperlink r:id="rId6" w:history="1">
        <w:r w:rsidRPr="009D190E">
          <w:rPr>
            <w:rStyle w:val="Hyperlink"/>
            <w:sz w:val="24"/>
            <w:lang w:val="pl-PL"/>
          </w:rPr>
          <w:t>http://data.europa.eu/eli/C/2025/1798/oj</w:t>
        </w:r>
      </w:hyperlink>
      <w:r w:rsidRPr="009D190E">
        <w:rPr>
          <w:color w:val="000000" w:themeColor="text1"/>
          <w:sz w:val="24"/>
          <w:lang w:val="pl-PL"/>
        </w:rPr>
        <w:t>).</w:t>
      </w:r>
    </w:p>
    <w:p w:rsidR="00881889" w:rsidRPr="009D190E" w:rsidP="009D190E" w14:paraId="0D3088E4" w14:textId="7696D532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D190E">
        <w:rPr>
          <w:color w:val="000000" w:themeColor="text1"/>
          <w:sz w:val="24"/>
          <w:lang w:val="pl-PL"/>
        </w:rPr>
        <w:t xml:space="preserve"> </w:t>
      </w:r>
      <w:r w:rsidRPr="009D190E">
        <w:rPr>
          <w:color w:val="000000" w:themeColor="text1"/>
          <w:sz w:val="24"/>
          <w:lang w:val="pl-PL"/>
        </w:rPr>
        <w:tab/>
      </w:r>
      <w:r w:rsidRPr="009D190E">
        <w:rPr>
          <w:color w:val="000000" w:themeColor="text1"/>
          <w:sz w:val="24"/>
          <w:lang w:val="pl-PL"/>
        </w:rPr>
        <w:t>–</w:t>
      </w:r>
      <w:r w:rsidRPr="009D190E">
        <w:rPr>
          <w:color w:val="000000" w:themeColor="text1"/>
          <w:sz w:val="24"/>
          <w:lang w:val="pl-PL"/>
        </w:rPr>
        <w:tab/>
        <w:t xml:space="preserve">Rezolucja Parlamentu Europejskiego z dnia 26 listopada 2024 r. w sprawie decyzji wykonawczej Komisji (UE) 2024/2629 dotyczącej odnowienia zezwolenia na wprowadzenie do obrotu, na podstawie rozporządzenia (WE) nr 1829/2003 Parlamentu Europejskiego i Rady, produktów zawierających genetycznie zmodyfikowaną kukurydzę MON 89034 × 1507 × MON 88017 × 59122 i osiem jej </w:t>
      </w:r>
      <w:r w:rsidRPr="009D190E">
        <w:rPr>
          <w:color w:val="000000" w:themeColor="text1"/>
          <w:sz w:val="24"/>
          <w:lang w:val="pl-PL"/>
        </w:rPr>
        <w:t>subkombinacji</w:t>
      </w:r>
      <w:r w:rsidRPr="009D190E">
        <w:rPr>
          <w:color w:val="000000" w:themeColor="text1"/>
          <w:sz w:val="24"/>
          <w:lang w:val="pl-PL"/>
        </w:rPr>
        <w:t xml:space="preserve"> oraz produktów składających się z wymienionych rodzajów zmodyfikowanej genetycznie kukurydzy lub z niej wyprodukowanych (Dz.U. C, C/2025/1799, 4.4.2025, ELI: </w:t>
      </w:r>
      <w:hyperlink r:id="rId7" w:history="1">
        <w:r w:rsidRPr="009D190E">
          <w:rPr>
            <w:rStyle w:val="Hyperlink"/>
            <w:sz w:val="24"/>
            <w:lang w:val="pl-PL"/>
          </w:rPr>
          <w:t>http://data.europa.eu/eli/C/2025/1799/oj</w:t>
        </w:r>
      </w:hyperlink>
      <w:r w:rsidRPr="009D190E">
        <w:rPr>
          <w:color w:val="000000" w:themeColor="text1"/>
          <w:sz w:val="24"/>
          <w:lang w:val="pl-PL"/>
        </w:rPr>
        <w:t>).</w:t>
      </w:r>
    </w:p>
    <w:p w:rsidR="00881889" w:rsidRPr="009D190E" w:rsidP="009D190E" w14:paraId="1A00499A" w14:textId="137DE12B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D190E">
        <w:rPr>
          <w:color w:val="000000" w:themeColor="text1"/>
          <w:sz w:val="24"/>
          <w:lang w:val="pl-PL"/>
        </w:rPr>
        <w:t xml:space="preserve"> </w:t>
      </w:r>
      <w:r w:rsidRPr="009D190E">
        <w:rPr>
          <w:color w:val="000000" w:themeColor="text1"/>
          <w:sz w:val="24"/>
          <w:lang w:val="pl-PL"/>
        </w:rPr>
        <w:tab/>
      </w:r>
      <w:r w:rsidRPr="009D190E">
        <w:rPr>
          <w:color w:val="000000" w:themeColor="text1"/>
          <w:sz w:val="24"/>
          <w:lang w:val="pl-PL"/>
        </w:rPr>
        <w:t>–</w:t>
      </w:r>
      <w:r w:rsidRPr="009D190E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2024/1828 odnawiającej zezwolenie na wprowadzenie do obrotu, na podstawie rozporządzenia (WE) nr 1829/2003 Parlamentu Europejskiego i Rady, paszy zawierającej genetycznie zmodyfikowaną kukurydzę MON 810 lub składającej się z niej oraz żywności i produktów paszowych wyprodukowanych z tej kukurydzy, a także uchylającej decyzję wykonawczą Komisji (UE) 2017/1207 (Dz.U. C, C/2025/1800, 4.4.2025, ELI: </w:t>
      </w:r>
      <w:hyperlink r:id="rId8" w:history="1">
        <w:r w:rsidRPr="009D190E">
          <w:rPr>
            <w:rStyle w:val="Hyperlink"/>
            <w:sz w:val="24"/>
            <w:lang w:val="pl-PL"/>
          </w:rPr>
          <w:t>http://data.europa.eu/eli/C/2025/1800/oj</w:t>
        </w:r>
      </w:hyperlink>
      <w:r w:rsidRPr="009D190E">
        <w:rPr>
          <w:color w:val="000000" w:themeColor="text1"/>
          <w:sz w:val="24"/>
          <w:lang w:val="pl-PL"/>
        </w:rPr>
        <w:t>).</w:t>
      </w:r>
    </w:p>
    <w:p w:rsidR="00881889" w:rsidRPr="009D190E" w:rsidP="009D190E" w14:paraId="18146A52" w14:textId="5F33E7CA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D190E">
        <w:rPr>
          <w:color w:val="000000" w:themeColor="text1"/>
          <w:sz w:val="24"/>
          <w:lang w:val="pl-PL"/>
        </w:rPr>
        <w:t xml:space="preserve"> </w:t>
      </w:r>
      <w:r w:rsidRPr="009D190E">
        <w:rPr>
          <w:color w:val="000000" w:themeColor="text1"/>
          <w:sz w:val="24"/>
          <w:lang w:val="pl-PL"/>
        </w:rPr>
        <w:tab/>
      </w:r>
      <w:r w:rsidRPr="009D190E">
        <w:rPr>
          <w:color w:val="000000" w:themeColor="text1"/>
          <w:sz w:val="24"/>
          <w:lang w:val="pl-PL"/>
        </w:rPr>
        <w:t>–</w:t>
      </w:r>
      <w:r w:rsidRPr="009D190E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2024/1822 zezwalającej na wprowadzenie do obrotu, na podstawie rozporządzenia (WE) nr 1829/2003 Parlamentu Europejskiego i Rady, produktów zawierających genetycznie zmodyfikowaną kukurydzę DP915635, składających się z niej lub z niej wyprodukowanych (Dz.U. C, C/2025/1801, 4.4.2025, ELI: </w:t>
      </w:r>
      <w:hyperlink r:id="rId9" w:history="1">
        <w:r w:rsidRPr="009D190E">
          <w:rPr>
            <w:rStyle w:val="Hyperlink"/>
            <w:sz w:val="24"/>
            <w:lang w:val="pl-PL"/>
          </w:rPr>
          <w:t>http://data.europa.eu/eli/C/2025/1801/oj</w:t>
        </w:r>
      </w:hyperlink>
      <w:r w:rsidRPr="009D190E">
        <w:rPr>
          <w:color w:val="000000" w:themeColor="text1"/>
          <w:sz w:val="24"/>
          <w:lang w:val="pl-PL"/>
        </w:rPr>
        <w:t>).</w:t>
      </w:r>
    </w:p>
    <w:p w:rsidR="00881889" w:rsidRPr="009D190E" w:rsidP="009D190E" w14:paraId="623F894E" w14:textId="655020EC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D190E">
        <w:rPr>
          <w:color w:val="000000" w:themeColor="text1"/>
          <w:sz w:val="24"/>
          <w:lang w:val="pl-PL"/>
        </w:rPr>
        <w:t xml:space="preserve"> </w:t>
      </w:r>
      <w:r w:rsidRPr="009D190E">
        <w:rPr>
          <w:color w:val="000000" w:themeColor="text1"/>
          <w:sz w:val="24"/>
          <w:lang w:val="pl-PL"/>
        </w:rPr>
        <w:tab/>
      </w:r>
      <w:r w:rsidRPr="009D190E">
        <w:rPr>
          <w:color w:val="000000" w:themeColor="text1"/>
          <w:sz w:val="24"/>
          <w:lang w:val="pl-PL"/>
        </w:rPr>
        <w:t>–</w:t>
      </w:r>
      <w:r w:rsidRPr="009D190E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2024/1826 zezwalającej na wprowadzenie do obrotu, na mocy rozporządzenia (WE) nr 1829/2003 Parlamentu Europejskiego i Rady, produktów zawierających genetycznie zmodyfikowaną kukurydzę DP23211, składających się z niej lub z niej wyprodukowanych (Dz.U. C, C/2025/1802, 4.4.2025, ELI: </w:t>
      </w:r>
      <w:hyperlink r:id="rId10" w:history="1">
        <w:r w:rsidRPr="009D190E">
          <w:rPr>
            <w:rStyle w:val="Hyperlink"/>
            <w:sz w:val="24"/>
            <w:lang w:val="pl-PL"/>
          </w:rPr>
          <w:t>http://data.europa.eu/eli/C/2025/1802/oj</w:t>
        </w:r>
      </w:hyperlink>
      <w:r w:rsidRPr="009D190E">
        <w:rPr>
          <w:color w:val="000000" w:themeColor="text1"/>
          <w:sz w:val="24"/>
          <w:lang w:val="pl-PL"/>
        </w:rPr>
        <w:t>).</w:t>
      </w:r>
    </w:p>
    <w:p w:rsidR="00881889" w:rsidRPr="009D190E" w:rsidP="009D190E" w14:paraId="3A83540C" w14:textId="4E0BF731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D190E">
        <w:rPr>
          <w:color w:val="000000" w:themeColor="text1"/>
          <w:sz w:val="24"/>
          <w:lang w:val="pl-PL"/>
        </w:rPr>
        <w:t xml:space="preserve"> </w:t>
      </w:r>
      <w:r w:rsidRPr="009D190E">
        <w:rPr>
          <w:color w:val="000000" w:themeColor="text1"/>
          <w:sz w:val="24"/>
          <w:lang w:val="pl-PL"/>
        </w:rPr>
        <w:tab/>
      </w:r>
      <w:r w:rsidRPr="009D190E">
        <w:rPr>
          <w:color w:val="000000" w:themeColor="text1"/>
          <w:sz w:val="24"/>
          <w:lang w:val="pl-PL"/>
        </w:rPr>
        <w:t>–</w:t>
      </w:r>
      <w:r w:rsidRPr="009D190E">
        <w:rPr>
          <w:color w:val="000000" w:themeColor="text1"/>
          <w:sz w:val="24"/>
          <w:lang w:val="pl-PL"/>
        </w:rPr>
        <w:tab/>
        <w:t>Rezolucja Parlamentu Europejskiego z dnia 26 listopada 2024 r. w sprawie decyzji wykonawczej Komisji (UE) 2024/2618 zezwalającej na wprowadzenie do obrotu, na podstawie rozporządzenia Parlamentu Europejskiego i Rady (WE) nr 1829/2003, produktów zawierających genetycznie zmodyfikowaną kukurydzę DP202216, składających się z niej lub z niej wyprodukowanych (Dz.U. C, C/2025/1803, 4.4.2025, ELI: </w:t>
      </w:r>
      <w:hyperlink r:id="rId11" w:history="1">
        <w:r w:rsidRPr="009D190E">
          <w:rPr>
            <w:rStyle w:val="Hyperlink"/>
            <w:sz w:val="24"/>
            <w:lang w:val="pl-PL"/>
          </w:rPr>
          <w:t>http://data.europa.eu/eli/C/2025/1803/oj</w:t>
        </w:r>
      </w:hyperlink>
      <w:r w:rsidRPr="009D190E">
        <w:rPr>
          <w:color w:val="000000" w:themeColor="text1"/>
          <w:sz w:val="24"/>
          <w:lang w:val="pl-PL"/>
        </w:rPr>
        <w:t>).</w:t>
      </w:r>
    </w:p>
    <w:p w:rsidR="00881889" w:rsidRPr="009D190E" w:rsidP="009D190E" w14:paraId="5B3C1A9D" w14:textId="3C16FD80">
      <w:pPr>
        <w:pStyle w:val="FootnoteText"/>
        <w:ind w:left="567" w:hanging="567"/>
        <w:rPr>
          <w:color w:val="000000" w:themeColor="text1"/>
          <w:sz w:val="24"/>
          <w:vertAlign w:val="superscript"/>
          <w:lang w:val="pl-PL"/>
        </w:rPr>
      </w:pPr>
      <w:r w:rsidRPr="009D190E">
        <w:rPr>
          <w:color w:val="000000" w:themeColor="text1"/>
          <w:sz w:val="24"/>
          <w:lang w:val="pl-PL"/>
        </w:rPr>
        <w:t xml:space="preserve"> </w:t>
      </w:r>
      <w:r w:rsidRPr="009D190E">
        <w:rPr>
          <w:color w:val="000000" w:themeColor="text1"/>
          <w:sz w:val="24"/>
          <w:lang w:val="pl-PL"/>
        </w:rPr>
        <w:tab/>
      </w:r>
      <w:r w:rsidRPr="009D190E">
        <w:rPr>
          <w:color w:val="000000" w:themeColor="text1"/>
          <w:sz w:val="24"/>
          <w:lang w:val="pl-PL"/>
        </w:rPr>
        <w:t>–</w:t>
      </w:r>
      <w:r w:rsidRPr="009D190E">
        <w:rPr>
          <w:color w:val="000000" w:themeColor="text1"/>
          <w:sz w:val="24"/>
          <w:lang w:val="pl-PL"/>
        </w:rPr>
        <w:tab/>
        <w:t>Rezolucja Parlamentu Europejskiego z dnia 26 listopada 2024 r. w sprawie projektu decyzji wykonawczej Komisji zezwalającej na wprowadzenie do obrotu na mocy rozporządzenia (WE) nr 1829/2003 Parlamentu Europejskiego i Rady produktów zawierających genetycznie zmodyfikowaną kukurydzę MON 94804, składających się z niej lub z niej wyprodukowanych (Dz.U. C, C/2025/1804, 4.4.2025, ELI: </w:t>
      </w:r>
      <w:hyperlink r:id="rId12" w:history="1">
        <w:r w:rsidRPr="009D190E">
          <w:rPr>
            <w:rStyle w:val="Hyperlink"/>
            <w:sz w:val="24"/>
            <w:lang w:val="pl-PL"/>
          </w:rPr>
          <w:t>http://data.europa.eu/eli/C/2025/1804/oj</w:t>
        </w:r>
      </w:hyperlink>
      <w:r w:rsidRPr="009D190E">
        <w:rPr>
          <w:color w:val="000000" w:themeColor="text1"/>
          <w:sz w:val="24"/>
          <w:lang w:val="pl-PL"/>
        </w:rPr>
        <w:t>).</w:t>
      </w:r>
    </w:p>
    <w:p w:rsidR="00881889" w:rsidRPr="009D190E" w:rsidP="009D190E" w14:paraId="2BD5D31A" w14:textId="5907E427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color w:val="000000" w:themeColor="text1"/>
          <w:sz w:val="24"/>
          <w:lang w:val="pl-PL"/>
        </w:rPr>
        <w:t xml:space="preserve"> </w:t>
      </w:r>
      <w:r w:rsidRPr="009D190E">
        <w:rPr>
          <w:color w:val="000000" w:themeColor="text1"/>
          <w:sz w:val="24"/>
          <w:lang w:val="pl-PL"/>
        </w:rPr>
        <w:tab/>
      </w:r>
      <w:r w:rsidRPr="009D190E">
        <w:rPr>
          <w:color w:val="000000" w:themeColor="text1"/>
          <w:sz w:val="24"/>
          <w:lang w:val="pl-PL"/>
        </w:rPr>
        <w:t>–</w:t>
      </w:r>
      <w:r w:rsidRPr="009D190E">
        <w:rPr>
          <w:color w:val="000000" w:themeColor="text1"/>
          <w:sz w:val="24"/>
          <w:lang w:val="pl-PL"/>
        </w:rPr>
        <w:tab/>
      </w:r>
      <w:r w:rsidRPr="009D190E">
        <w:rPr>
          <w:sz w:val="24"/>
          <w:lang w:val="pl-PL"/>
        </w:rPr>
        <w:t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DP910521, składających się z niej lub z niej wyprodukowanych (Dz.U. C, C/2025/2246, 29.4.2025, ELI: </w:t>
      </w:r>
      <w:hyperlink r:id="rId13" w:tooltip="Dostęp do dokumentu poprzez identyfikator URI w systemie ELI." w:history="1">
        <w:r w:rsidRPr="009D190E">
          <w:rPr>
            <w:rStyle w:val="Hyperlink"/>
            <w:sz w:val="24"/>
            <w:lang w:val="pl-PL"/>
          </w:rPr>
          <w:t>http://data.europa.eu/eli/C/2025/2246/oj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45104CA9" w14:textId="1EC87F0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12 lutego 2025 r. w sprawie projektu decyzji wykonawczej Komisji zezwalającej na wprowadzenie do obrotu, na mocy rozporządzenia (WE) nr 1829/2003 Parlamentu Europejskiego i Rady, produktów zawierających genetycznie zmodyfikowaną kukurydzę MON 95275, składających się z niej lub z niej wyprodukowanych (Dz.U. C, C/2025/2247, 29.4.2025, ELI: </w:t>
      </w:r>
      <w:hyperlink r:id="rId14" w:tooltip="Dostęp do dokumentu poprzez identyfikator URI w systemie ELI." w:history="1">
        <w:r w:rsidRPr="009D190E">
          <w:rPr>
            <w:rStyle w:val="Hyperlink"/>
            <w:sz w:val="24"/>
            <w:lang w:val="pl-PL"/>
          </w:rPr>
          <w:t>http://data.europa.eu/eli/C/2025/2247/oj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1D59BC6C" w14:textId="0CBE786E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8 maja 2025 r. w sprawie projektu decyzji wykonawczej Komisji zezwalającej na wprowadzenie do obrotu, na mocy rozporządzenia Parlamentu Europejskiego i Rady (WE) nr 1829/2003, produktów zawierających genetycznie zmodyfikowaną soję MON 87705 × MON 87708 × MON 89788, składających się z niej lub z niej wyprodukowanych (Dz.U. C, C/2026/586, 24.2.2026, ELI: </w:t>
      </w:r>
      <w:hyperlink r:id="rId15" w:tooltip="Dostęp do dokumentu poprzez identyfikator URI w systemie ELI." w:history="1">
        <w:r w:rsidRPr="009D190E">
          <w:rPr>
            <w:rStyle w:val="Hyperlink"/>
            <w:sz w:val="24"/>
            <w:lang w:val="pl-PL"/>
          </w:rPr>
          <w:t>http://data.europa.eu/eli/C/2026/586/oj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169E4A96" w14:textId="021EC69E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8 października 2025 r. w sprawie decyzji wykonawczej Komisji (UE) 2025/1898 z dnia 22 września 2025 r. zezwalającej na wprowadzenie do obrotu, na podstawie rozporządzenia Parlamentu Europejskiego i Rady (WE) nr 1829/2003, produktów zawierających genetycznie zmodyfikowaną kukurydzę DP51291, składających się z niej lub z niej wyprodukowanych (Dz.U. C, C/2026/1523, 15.4.2026, ELI: </w:t>
      </w:r>
      <w:hyperlink r:id="rId16" w:history="1">
        <w:r w:rsidRPr="009D190E">
          <w:rPr>
            <w:rStyle w:val="Hyperlink"/>
            <w:sz w:val="24"/>
            <w:lang w:val="pl-PL"/>
          </w:rPr>
          <w:t>http://data.europa.eu/eli/C/2026/1523/oj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51A01DAE" w14:textId="71B646C7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25 listopada 2025 r. w sprawie projektu decyzji wykonawczej Komisji zezwalającej na wprowadzenie do obrotu, na mocy rozporządzenia (WE) nr 1829/2003 Parlamentu Europejskiego i Rady, produktów zawierających genetycznie zmodyfikowaną kukurydzę DAS1131, składających się z niej lub z niej wyprodukowanych (Dz.U. C, C/2026/1703, 24.4.2026, ELI: </w:t>
      </w:r>
      <w:hyperlink r:id="rId17" w:history="1">
        <w:r w:rsidRPr="009D190E">
          <w:rPr>
            <w:rStyle w:val="Hyperlink"/>
            <w:sz w:val="24"/>
            <w:lang w:val="pl-PL"/>
          </w:rPr>
          <w:t>http://data.europa.eu/eli/C/2026/1703/oj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069F771A" w14:textId="78C6470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mocy rozporządzenia Parlamentu Europejskiego i Rady (WE) nr 1829/2003, produktów zawierających genetycznie zmodyfikowaną bawełnę MON 88913 (MON-88913-8), składających się z niej lub z niej wyprodukowanych (Dz.U. C, C/2026/1704, 24.4.2026, ELI: </w:t>
      </w:r>
      <w:hyperlink r:id="rId18" w:history="1">
        <w:r w:rsidRPr="009D190E">
          <w:rPr>
            <w:rStyle w:val="Hyperlink"/>
            <w:sz w:val="24"/>
            <w:lang w:val="pl-PL"/>
          </w:rPr>
          <w:t>http://data.europa.eu/eli/C/2026/1704/oj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2EA8E096" w14:textId="699F45A2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25 listopada 2025 r. w sprawie projektu decyzji wykonawczej Komisji dotyczącej odnowienia zezwolenia na wprowadzenie do obrotu, na mocy rozporządzenia Parlamentu Europejskiego i Rady (WE) nr 1829/2003, produktów zawierających genetycznie zmodyfikowany rzepak MON 88302, składających się z niego lub z niego wyprodukowanych Dz.U. C, C/2026/1705, 24.4.2026, ELI: </w:t>
      </w:r>
      <w:hyperlink r:id="rId19" w:history="1">
        <w:r w:rsidRPr="009D190E">
          <w:rPr>
            <w:rStyle w:val="Hyperlink"/>
            <w:sz w:val="24"/>
            <w:lang w:val="pl-PL"/>
          </w:rPr>
          <w:t>http://data.europa.eu/eli/C/2026/1705/oj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1FBCA08D" w14:textId="1E3F4852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25 listopada 2025 r. w sprawie decyzji wykonawczej Komisji dotyczącej odnowienia zezwolenia na wprowadzenie do obrotu, na mocy rozporządzenia Parlamentu Europejskiego i Rady (WE) nr 1829/2003, produktów zawierających genetycznie zmodyfikowaną soję MON 87708, składających się z niej lub z niej wyprodukowanych (Dz.U. C, C/2026/1706, 24.4.2026, ELI: </w:t>
      </w:r>
      <w:hyperlink r:id="rId20" w:history="1">
        <w:r w:rsidRPr="009D190E">
          <w:rPr>
            <w:rStyle w:val="Hyperlink"/>
            <w:sz w:val="24"/>
            <w:lang w:val="pl-PL"/>
          </w:rPr>
          <w:t>http://data.europa.eu/eli/C/2026/1706/oj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226814B2" w14:textId="6FD6D818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 xml:space="preserve">Rezolucja Parlamentu Europejskiego z dnia 25 listopada 2025 r. </w:t>
      </w:r>
      <w:r w:rsidRPr="009D190E">
        <w:rPr>
          <w:sz w:val="24"/>
          <w:lang w:val="pl-PL"/>
        </w:rPr>
        <w:t xml:space="preserve">w sprawie projektu decyzji wykonawczej Komisji dotyczącej odnowienia zezwolenia na wprowadzenie do obrotu, na mocy rozporządzenia Parlamentu Europejskiego i Rady </w:t>
      </w:r>
      <w:r w:rsidR="006A3996">
        <w:rPr>
          <w:sz w:val="24"/>
          <w:lang w:val="pl-PL"/>
        </w:rPr>
        <w:t xml:space="preserve">(WE) </w:t>
      </w:r>
      <w:r w:rsidRPr="009D190E">
        <w:rPr>
          <w:sz w:val="24"/>
          <w:lang w:val="pl-PL"/>
        </w:rPr>
        <w:t>nr 1829/2003, produktów zawierających genetycznie zmodyfikowaną kukurydzę MON 87427, składających się z niej lub z niej wyprodukowanych (Dz.U. C, C/2026/1707, 24.4.2026, ELI: </w:t>
      </w:r>
      <w:hyperlink r:id="rId21" w:history="1">
        <w:r w:rsidRPr="009D190E">
          <w:rPr>
            <w:rStyle w:val="Hyperlink"/>
            <w:sz w:val="24"/>
            <w:lang w:val="pl-PL"/>
          </w:rPr>
          <w:t>http://data.europa.eu/eli/C/2026/1707/oj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0DEEB17B" w14:textId="5C4228D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16 grudnia 2025 r. w sprawie projektu decyzji wykonawczej Komisji dotyczącej odnowienia zezwolenia na wprowadzenie do obrotu, na mocy rozporządzenia Parlamentu Europejskiego i Rady (WE) nr 1829/2003, produktów zawierających genetycznie zmodyfikowaną kukurydzę NK603, składających się z niej lub z niej wyprodukowanych Dz.U. C, C/2026/2150, 6.5.2026, ELI: </w:t>
      </w:r>
      <w:hyperlink r:id="rId22" w:history="1">
        <w:r w:rsidRPr="009D190E">
          <w:rPr>
            <w:rStyle w:val="Hyperlink"/>
            <w:sz w:val="24"/>
            <w:lang w:val="pl-PL"/>
          </w:rPr>
          <w:t>http://data.europa.eu/eli/C/2026/2150/oj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191B73BC" w14:textId="7125195D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16 grudnia 2025 r. w sprawie projektu decyzji wykonawczej Komisji zezwalającej na wprowadzenie do obrotu, na podstawie rozporządzenia Parlamentu Europejskiego i Rady (WE) nr 1829/2003, żywności oraz składników żywności i pasz wyprodukowanych z genetyczne zmodyfikowanego buraka cukrowego KWS20-1 (Dz.U. C, C/2026/2151, 6.5.2026, ELI: </w:t>
      </w:r>
      <w:hyperlink r:id="rId23" w:history="1">
        <w:r w:rsidRPr="009D190E">
          <w:rPr>
            <w:rStyle w:val="Hyperlink"/>
            <w:sz w:val="24"/>
            <w:lang w:val="pl-PL"/>
          </w:rPr>
          <w:t>http://data.europa.eu/eli/C/2026/2151/oj</w:t>
        </w:r>
      </w:hyperlink>
      <w:r w:rsidRPr="009D190E">
        <w:rPr>
          <w:sz w:val="24"/>
          <w:lang w:val="pl-PL"/>
        </w:rPr>
        <w:t>).</w:t>
      </w:r>
    </w:p>
    <w:p w:rsidR="00881889" w:rsidRPr="009D190E" w:rsidP="009D190E" w14:paraId="4D33A1AD" w14:textId="374B0883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11 lutego 2026 r. w sprawie projektu decyzji wykonawczej Komisji zezwalającej na wprowadzenie do obrotu, na mocy rozporządzenia Parlamentu Europejskiego i Rady (WE) nr 1829/2003, produktów zawierających genetycznie zmodyfikowaną soję DBN-09004-6, składających się z niej lub z niej wyprodukowanych (Teksty przyjęte, P10_TA(2026)0041).</w:t>
      </w:r>
    </w:p>
    <w:p w:rsidR="00881889" w:rsidRPr="009D190E" w:rsidP="009D190E" w14:paraId="50CE5465" w14:textId="549249A7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11 lutego 2026 r. w sprawie projektu decyzji wykonawczej Komisji dotyczącej odnowienia zezwolenia na wprowadzenie do obrotu, na mocy rozporządzenia Parlamentu Europejskiego i Rady (WE) nr 1829/2003, produktów zawierających genetycznie zmodyfikowaną kukurydzę T25 (ACS-ZMØØ3-2), składających się z niej lub z niej wyprodukowanych (Teksty przyjęte, P10_TA(2026)0042).</w:t>
      </w:r>
    </w:p>
    <w:p w:rsidR="00881889" w:rsidRPr="009D190E" w:rsidP="009D190E" w14:paraId="16888BC6" w14:textId="0B207120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11 lutego 2026 r. w sprawie projektu decyzji wykonawczej Komisji dotyczącej odnowienia zezwolenia na wprowadzenie do obrotu, na podstawie rozporządzenia (WE) nr 1829/2003 Parlamentu Europejskiego i Rady, produktów zawierających genetycznie zmodyfikowaną bawełnę GHB614 × LLCotton25, składających się z niej lub z niej wyprodukowanych (Teksty przyjęte, P10_TA(2026)0043).</w:t>
      </w:r>
    </w:p>
    <w:p w:rsidR="00881889" w:rsidRPr="009D190E" w:rsidP="009D190E" w14:paraId="0F66DFAF" w14:textId="76A089DA">
      <w:pPr>
        <w:pStyle w:val="FootnoteText"/>
        <w:ind w:left="567" w:hanging="567"/>
        <w:rPr>
          <w:sz w:val="24"/>
          <w:vertAlign w:val="superscript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11 lutego 2026 r. w sprawie projektu decyzji wykonawczej Komisji dotyczącej odnowienia zezwolenia na wprowadzenie do obrotu, na podstawie rozporządzenia (WE) nr 1829/2003 Parlamentu Europejskiego i Rady, produktów zawierających genetycznie zmodyfikowaną bawełnę T304-40, składających się z niej lub z niej wyprodukowanych (Teksty przyjęte, P10_TA(2026)0044).</w:t>
      </w:r>
    </w:p>
    <w:p w:rsidR="00881889" w:rsidRPr="009D190E" w:rsidP="009D190E" w14:paraId="789FEB40" w14:textId="07D55700">
      <w:pPr>
        <w:pStyle w:val="FootnoteText"/>
        <w:ind w:left="567" w:hanging="567"/>
        <w:rPr>
          <w:sz w:val="24"/>
          <w:lang w:val="pl-PL"/>
        </w:rPr>
      </w:pP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–</w:t>
      </w:r>
      <w:r w:rsidRPr="009D190E">
        <w:rPr>
          <w:sz w:val="24"/>
          <w:lang w:val="pl-PL"/>
        </w:rPr>
        <w:tab/>
        <w:t>Rezolucja Parlamentu Europejskiego z dnia 29 kwietnia 2026 r. w sprawie projektu decyzji wykonawczej Komisji zezwalającej na wprowadzenie do obrotu, na mocy rozporządzenia Parlamentu Europejskiego i Rady (WE) nr 1829/2003, produktów zawierających genetycznie zmodyfikowaną soję MON 94637, składających się z niej lub z niej wyprodukowanych (Teksty przyjęte, P10_TA(2026)0150).</w:t>
      </w:r>
    </w:p>
  </w:footnote>
  <w:footnote w:id="7">
    <w:p w:rsidR="00881889" w:rsidRPr="009D190E" w:rsidP="009D190E" w14:paraId="2A10FCAC" w14:textId="6340E206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Decyzja wykonawcza Komisji (UE) 2015/696 z dnia 24 kwietnia 2015 r. zezwalająca na wprowadzenie do obrotu, na podstawie rozporządzenia (WE) nr 1829/2003 Parlamentu Europejskiego i Rady, produktów zawierających genetycznie zmodyfikowaną soję MON 87705 (MON-877Ø5-6), składających się z niej lub z niej wyprodukowanych (Dz.U. L 112 z 30.4.2015, s. 60, ELI: </w:t>
      </w:r>
      <w:hyperlink r:id="rId24" w:history="1">
        <w:r w:rsidRPr="009D190E">
          <w:rPr>
            <w:rStyle w:val="Hyperlink"/>
            <w:sz w:val="24"/>
            <w:lang w:val="pl-PL"/>
          </w:rPr>
          <w:t>http://data.europa.eu/eli/dec_impl/2015/696/2021-02-16</w:t>
        </w:r>
      </w:hyperlink>
      <w:r w:rsidRPr="009D190E">
        <w:rPr>
          <w:sz w:val="24"/>
          <w:lang w:val="pl-PL"/>
        </w:rPr>
        <w:t>).</w:t>
      </w:r>
    </w:p>
  </w:footnote>
  <w:footnote w:id="8">
    <w:p w:rsidR="00881889" w:rsidRPr="009D190E" w:rsidP="009D190E" w14:paraId="68BA273A" w14:textId="6E90E9E1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 xml:space="preserve">Opinia naukowa panelu EFSA ds. organizmów modyfikowanych genetycznie dotycząca oceny genetycznie zmodyfikowanej soi MON 87705 do celów odnowienia zezwolenia zgodnie z rozporządzeniem (WE) nr 1829/2003 (wniosek GMFF-2023-21236), </w:t>
      </w:r>
      <w:r w:rsidRPr="009D190E">
        <w:rPr>
          <w:i/>
          <w:iCs/>
          <w:sz w:val="24"/>
          <w:lang w:val="pl-PL"/>
        </w:rPr>
        <w:t>Dziennik EFSA</w:t>
      </w:r>
      <w:r w:rsidRPr="009D190E">
        <w:rPr>
          <w:sz w:val="24"/>
          <w:lang w:val="pl-PL"/>
        </w:rPr>
        <w:t xml:space="preserve"> 2026, 24(1):e9846, </w:t>
      </w:r>
      <w:hyperlink r:id="rId4" w:history="1">
        <w:r w:rsidRPr="009D190E">
          <w:rPr>
            <w:rStyle w:val="Hyperlink"/>
            <w:sz w:val="24"/>
            <w:lang w:val="pl-PL"/>
          </w:rPr>
          <w:t>https://doi.org/10.2903/j.efsa.2026.9846</w:t>
        </w:r>
      </w:hyperlink>
      <w:r w:rsidRPr="009D190E">
        <w:rPr>
          <w:sz w:val="24"/>
          <w:lang w:val="pl-PL"/>
        </w:rPr>
        <w:t>.</w:t>
      </w:r>
    </w:p>
  </w:footnote>
  <w:footnote w:id="9">
    <w:p w:rsidR="00881889" w:rsidRPr="009D190E" w:rsidP="009D190E" w14:paraId="487FC69E" w14:textId="0B816DED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 xml:space="preserve">Opinia naukowa panelu EFSA ds. organizmów modyfikowanych genetycznie w sprawie wniosku EFSA-GMO-NL-2010-78 przedłożonego na podstawie rozporządzenia (WE) nr 1829/2003 przez </w:t>
      </w:r>
      <w:r w:rsidRPr="009D190E">
        <w:rPr>
          <w:sz w:val="24"/>
          <w:lang w:val="pl-PL"/>
        </w:rPr>
        <w:t>Monsanto</w:t>
      </w:r>
      <w:r w:rsidRPr="009D190E">
        <w:rPr>
          <w:sz w:val="24"/>
          <w:lang w:val="pl-PL"/>
        </w:rPr>
        <w:t xml:space="preserve"> o wydanie zezwolenia na wprowadzenie do obrotu genetycznie zmodyfikowanej soi MON 87705 odpornej na działanie herbicydów, z przeznaczeniem na żywność i pasze, oraz na jej przywóz i przetwarzanie, </w:t>
      </w:r>
      <w:r w:rsidRPr="009D190E">
        <w:rPr>
          <w:i/>
          <w:iCs/>
          <w:sz w:val="24"/>
          <w:lang w:val="pl-PL"/>
        </w:rPr>
        <w:t>Dziennik EFSA</w:t>
      </w:r>
      <w:r w:rsidRPr="009D190E">
        <w:rPr>
          <w:sz w:val="24"/>
          <w:lang w:val="pl-PL"/>
        </w:rPr>
        <w:t xml:space="preserve"> 2012 r., 10(10):2909, </w:t>
      </w:r>
      <w:hyperlink r:id="rId25" w:history="1">
        <w:r w:rsidRPr="009D190E">
          <w:rPr>
            <w:rStyle w:val="Hyperlink"/>
            <w:sz w:val="24"/>
            <w:lang w:val="pl-PL"/>
          </w:rPr>
          <w:t>https://doi.org/10.2903/j.efsa.2012.2909</w:t>
        </w:r>
      </w:hyperlink>
      <w:r w:rsidRPr="009D190E">
        <w:rPr>
          <w:sz w:val="24"/>
          <w:lang w:val="pl-PL"/>
        </w:rPr>
        <w:t>.</w:t>
      </w:r>
    </w:p>
  </w:footnote>
  <w:footnote w:id="10">
    <w:p w:rsidR="00881889" w:rsidRPr="009D190E" w:rsidP="009D190E" w14:paraId="68F38079" w14:textId="0AD4A101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 xml:space="preserve">Panel EFSA ds. organizmów modyfikowanych genetycznie, „Statement </w:t>
      </w:r>
      <w:r w:rsidRPr="009D190E">
        <w:rPr>
          <w:sz w:val="24"/>
          <w:lang w:val="pl-PL"/>
        </w:rPr>
        <w:t>complementing</w:t>
      </w:r>
      <w:r w:rsidRPr="009D190E">
        <w:rPr>
          <w:sz w:val="24"/>
          <w:lang w:val="pl-PL"/>
        </w:rPr>
        <w:t xml:space="preserve"> the </w:t>
      </w:r>
      <w:r w:rsidRPr="009D190E">
        <w:rPr>
          <w:sz w:val="24"/>
          <w:lang w:val="pl-PL"/>
        </w:rPr>
        <w:t>scientific</w:t>
      </w: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>opinion</w:t>
      </w:r>
      <w:r w:rsidRPr="009D190E">
        <w:rPr>
          <w:sz w:val="24"/>
          <w:lang w:val="pl-PL"/>
        </w:rPr>
        <w:t xml:space="preserve"> on </w:t>
      </w:r>
      <w:r w:rsidRPr="009D190E">
        <w:rPr>
          <w:sz w:val="24"/>
          <w:lang w:val="pl-PL"/>
        </w:rPr>
        <w:t>application</w:t>
      </w:r>
      <w:r w:rsidRPr="009D190E">
        <w:rPr>
          <w:sz w:val="24"/>
          <w:lang w:val="pl-PL"/>
        </w:rPr>
        <w:t xml:space="preserve"> EFSA-GMO-NL-2010-78 to </w:t>
      </w:r>
      <w:r w:rsidRPr="009D190E">
        <w:rPr>
          <w:sz w:val="24"/>
          <w:lang w:val="pl-PL"/>
        </w:rPr>
        <w:t>cover</w:t>
      </w:r>
      <w:r w:rsidRPr="009D190E">
        <w:rPr>
          <w:sz w:val="24"/>
          <w:lang w:val="pl-PL"/>
        </w:rPr>
        <w:t xml:space="preserve"> the </w:t>
      </w:r>
      <w:r w:rsidRPr="009D190E">
        <w:rPr>
          <w:sz w:val="24"/>
          <w:lang w:val="pl-PL"/>
        </w:rPr>
        <w:t>safety</w:t>
      </w:r>
      <w:r w:rsidRPr="009D190E">
        <w:rPr>
          <w:sz w:val="24"/>
          <w:lang w:val="pl-PL"/>
        </w:rPr>
        <w:t xml:space="preserve"> of </w:t>
      </w:r>
      <w:r w:rsidRPr="009D190E">
        <w:rPr>
          <w:sz w:val="24"/>
          <w:lang w:val="pl-PL"/>
        </w:rPr>
        <w:t>soybean</w:t>
      </w:r>
      <w:r w:rsidRPr="009D190E">
        <w:rPr>
          <w:sz w:val="24"/>
          <w:lang w:val="pl-PL"/>
        </w:rPr>
        <w:t xml:space="preserve"> MON 87705 </w:t>
      </w:r>
      <w:r w:rsidRPr="009D190E">
        <w:rPr>
          <w:sz w:val="24"/>
          <w:lang w:val="pl-PL"/>
        </w:rPr>
        <w:t>oil</w:t>
      </w:r>
      <w:r w:rsidRPr="009D190E">
        <w:rPr>
          <w:sz w:val="24"/>
          <w:lang w:val="pl-PL"/>
        </w:rPr>
        <w:t xml:space="preserve"> for </w:t>
      </w:r>
      <w:r w:rsidRPr="009D190E">
        <w:rPr>
          <w:sz w:val="24"/>
          <w:lang w:val="pl-PL"/>
        </w:rPr>
        <w:t>commercial</w:t>
      </w:r>
      <w:r w:rsidRPr="009D190E">
        <w:rPr>
          <w:sz w:val="24"/>
          <w:lang w:val="pl-PL"/>
        </w:rPr>
        <w:t xml:space="preserve"> </w:t>
      </w:r>
      <w:r w:rsidRPr="009D190E">
        <w:rPr>
          <w:sz w:val="24"/>
          <w:lang w:val="pl-PL"/>
        </w:rPr>
        <w:t>frying</w:t>
      </w:r>
      <w:r w:rsidRPr="009D190E">
        <w:rPr>
          <w:sz w:val="24"/>
          <w:lang w:val="pl-PL"/>
        </w:rPr>
        <w:t xml:space="preserve">” [Oświadczenie uzupełniające opinię naukową w sprawie wniosku EFSA-GMO-NL-2010-78 dotyczącego bezpieczeństwa oleju z soi MON 87705 przeznaczonego do komercyjnego smażenia], </w:t>
      </w:r>
      <w:r w:rsidRPr="009D190E">
        <w:rPr>
          <w:i/>
          <w:iCs/>
          <w:sz w:val="24"/>
          <w:lang w:val="pl-PL"/>
        </w:rPr>
        <w:t>Dziennik EFSA</w:t>
      </w:r>
      <w:r w:rsidRPr="009D190E">
        <w:rPr>
          <w:sz w:val="24"/>
          <w:lang w:val="pl-PL"/>
        </w:rPr>
        <w:t xml:space="preserve"> 2013, 11(12):3507, </w:t>
      </w:r>
      <w:hyperlink r:id="rId26" w:history="1">
        <w:r w:rsidRPr="009D190E">
          <w:rPr>
            <w:rStyle w:val="Hyperlink"/>
            <w:sz w:val="24"/>
            <w:lang w:val="pl-PL"/>
          </w:rPr>
          <w:t>https://doi.org/10.2903/j.efsa.2013.3507</w:t>
        </w:r>
      </w:hyperlink>
      <w:r w:rsidRPr="009D190E">
        <w:rPr>
          <w:sz w:val="24"/>
          <w:lang w:val="pl-PL"/>
        </w:rPr>
        <w:t>.</w:t>
      </w:r>
    </w:p>
  </w:footnote>
  <w:footnote w:id="11">
    <w:p w:rsidR="00881889" w:rsidRPr="009D190E" w:rsidP="009D190E" w14:paraId="6094A36E" w14:textId="29D68256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shd w:val="clear" w:color="auto" w:fill="FFFFFF"/>
          <w:lang w:val="pl-PL"/>
        </w:rPr>
        <w:t xml:space="preserve"> </w:t>
      </w:r>
      <w:r w:rsidRPr="009D190E" w:rsidR="009D190E">
        <w:rPr>
          <w:sz w:val="24"/>
          <w:shd w:val="clear" w:color="auto" w:fill="FFFFFF"/>
          <w:lang w:val="pl-PL"/>
        </w:rPr>
        <w:tab/>
      </w:r>
      <w:r w:rsidRPr="009D190E">
        <w:rPr>
          <w:sz w:val="24"/>
          <w:shd w:val="clear" w:color="auto" w:fill="FFFFFF"/>
          <w:lang w:val="pl-PL"/>
        </w:rPr>
        <w:t>Zob. np. Bonny, S., „</w:t>
      </w:r>
      <w:r w:rsidRPr="009D190E">
        <w:rPr>
          <w:sz w:val="24"/>
          <w:shd w:val="clear" w:color="auto" w:fill="FFFFFF"/>
          <w:lang w:val="pl-PL"/>
        </w:rPr>
        <w:t>Genetically</w:t>
      </w:r>
      <w:r w:rsidRPr="009D190E">
        <w:rPr>
          <w:sz w:val="24"/>
          <w:shd w:val="clear" w:color="auto" w:fill="FFFFFF"/>
          <w:lang w:val="pl-PL"/>
        </w:rPr>
        <w:t xml:space="preserve"> </w:t>
      </w:r>
      <w:r w:rsidRPr="009D190E">
        <w:rPr>
          <w:sz w:val="24"/>
          <w:shd w:val="clear" w:color="auto" w:fill="FFFFFF"/>
          <w:lang w:val="pl-PL"/>
        </w:rPr>
        <w:t>Modified</w:t>
      </w:r>
      <w:r w:rsidRPr="009D190E">
        <w:rPr>
          <w:sz w:val="24"/>
          <w:shd w:val="clear" w:color="auto" w:fill="FFFFFF"/>
          <w:lang w:val="pl-PL"/>
        </w:rPr>
        <w:t xml:space="preserve"> </w:t>
      </w:r>
      <w:r w:rsidRPr="009D190E">
        <w:rPr>
          <w:sz w:val="24"/>
          <w:shd w:val="clear" w:color="auto" w:fill="FFFFFF"/>
          <w:lang w:val="pl-PL"/>
        </w:rPr>
        <w:t>Herbicide</w:t>
      </w:r>
      <w:r w:rsidRPr="009D190E">
        <w:rPr>
          <w:sz w:val="24"/>
          <w:shd w:val="clear" w:color="auto" w:fill="FFFFFF"/>
          <w:lang w:val="pl-PL"/>
        </w:rPr>
        <w:t xml:space="preserve">-Tolerant </w:t>
      </w:r>
      <w:r w:rsidRPr="009D190E">
        <w:rPr>
          <w:sz w:val="24"/>
          <w:shd w:val="clear" w:color="auto" w:fill="FFFFFF"/>
          <w:lang w:val="pl-PL"/>
        </w:rPr>
        <w:t>Crops</w:t>
      </w:r>
      <w:r w:rsidRPr="009D190E">
        <w:rPr>
          <w:sz w:val="24"/>
          <w:shd w:val="clear" w:color="auto" w:fill="FFFFFF"/>
          <w:lang w:val="pl-PL"/>
        </w:rPr>
        <w:t xml:space="preserve">, </w:t>
      </w:r>
      <w:r w:rsidRPr="009D190E">
        <w:rPr>
          <w:sz w:val="24"/>
          <w:shd w:val="clear" w:color="auto" w:fill="FFFFFF"/>
          <w:lang w:val="pl-PL"/>
        </w:rPr>
        <w:t>Weeds</w:t>
      </w:r>
      <w:r w:rsidRPr="009D190E">
        <w:rPr>
          <w:sz w:val="24"/>
          <w:shd w:val="clear" w:color="auto" w:fill="FFFFFF"/>
          <w:lang w:val="pl-PL"/>
        </w:rPr>
        <w:t xml:space="preserve">, and </w:t>
      </w:r>
      <w:r w:rsidRPr="009D190E">
        <w:rPr>
          <w:sz w:val="24"/>
          <w:shd w:val="clear" w:color="auto" w:fill="FFFFFF"/>
          <w:lang w:val="pl-PL"/>
        </w:rPr>
        <w:t>Herbicides</w:t>
      </w:r>
      <w:r w:rsidRPr="009D190E">
        <w:rPr>
          <w:sz w:val="24"/>
          <w:shd w:val="clear" w:color="auto" w:fill="FFFFFF"/>
          <w:lang w:val="pl-PL"/>
        </w:rPr>
        <w:t xml:space="preserve">: </w:t>
      </w:r>
      <w:r w:rsidRPr="009D190E">
        <w:rPr>
          <w:sz w:val="24"/>
          <w:shd w:val="clear" w:color="auto" w:fill="FFFFFF"/>
          <w:lang w:val="pl-PL"/>
        </w:rPr>
        <w:t>Overview</w:t>
      </w:r>
      <w:r w:rsidRPr="009D190E">
        <w:rPr>
          <w:sz w:val="24"/>
          <w:shd w:val="clear" w:color="auto" w:fill="FFFFFF"/>
          <w:lang w:val="pl-PL"/>
        </w:rPr>
        <w:t xml:space="preserve"> and </w:t>
      </w:r>
      <w:r w:rsidRPr="009D190E">
        <w:rPr>
          <w:sz w:val="24"/>
          <w:shd w:val="clear" w:color="auto" w:fill="FFFFFF"/>
          <w:lang w:val="pl-PL"/>
        </w:rPr>
        <w:t>Impact</w:t>
      </w:r>
      <w:r w:rsidRPr="009D190E">
        <w:rPr>
          <w:sz w:val="24"/>
          <w:shd w:val="clear" w:color="auto" w:fill="FFFFFF"/>
          <w:lang w:val="pl-PL"/>
        </w:rPr>
        <w:t xml:space="preserve">” [Genetycznie zmodyfikowane uprawy i chwasty odporne na herbicydy a herbicydy: przegląd i wpływ], </w:t>
      </w:r>
      <w:r w:rsidRPr="009D190E">
        <w:rPr>
          <w:i/>
          <w:iCs/>
          <w:sz w:val="24"/>
          <w:shd w:val="clear" w:color="auto" w:fill="FFFFFF"/>
          <w:lang w:val="pl-PL"/>
        </w:rPr>
        <w:t>Environmental</w:t>
      </w:r>
      <w:r w:rsidRPr="009D190E">
        <w:rPr>
          <w:i/>
          <w:iCs/>
          <w:sz w:val="24"/>
          <w:shd w:val="clear" w:color="auto" w:fill="FFFFFF"/>
          <w:lang w:val="pl-PL"/>
        </w:rPr>
        <w:t xml:space="preserve"> Management</w:t>
      </w:r>
      <w:r w:rsidRPr="009D190E">
        <w:rPr>
          <w:sz w:val="24"/>
          <w:shd w:val="clear" w:color="auto" w:fill="FFFFFF"/>
          <w:lang w:val="pl-PL"/>
        </w:rPr>
        <w:t>, styczeń 2016, 57(1), s. 31–48</w:t>
      </w:r>
      <w:bookmarkStart w:id="7" w:name="_Hlk104996594"/>
      <w:hyperlink r:id="rId27" w:history="1">
        <w:r w:rsidRPr="009D190E">
          <w:rPr>
            <w:rStyle w:val="Hyperlink"/>
            <w:sz w:val="24"/>
            <w:shd w:val="clear" w:color="auto" w:fill="FFFFFF"/>
            <w:lang w:val="pl-PL"/>
          </w:rPr>
          <w:t>https://doi.org/10.1007/s00267-015-0589-7</w:t>
        </w:r>
      </w:hyperlink>
      <w:r w:rsidRPr="009D190E">
        <w:rPr>
          <w:sz w:val="24"/>
          <w:shd w:val="clear" w:color="auto" w:fill="FFFFFF"/>
          <w:lang w:val="pl-PL"/>
        </w:rPr>
        <w:t xml:space="preserve"> </w:t>
      </w:r>
      <w:bookmarkEnd w:id="7"/>
      <w:r w:rsidRPr="009D190E">
        <w:rPr>
          <w:sz w:val="24"/>
          <w:shd w:val="clear" w:color="auto" w:fill="FFFFFF"/>
          <w:lang w:val="pl-PL"/>
        </w:rPr>
        <w:t xml:space="preserve">i </w:t>
      </w:r>
      <w:r w:rsidRPr="009D190E">
        <w:rPr>
          <w:sz w:val="24"/>
          <w:shd w:val="clear" w:color="auto" w:fill="FFFFFF"/>
          <w:lang w:val="pl-PL"/>
        </w:rPr>
        <w:t>Benbrook</w:t>
      </w:r>
      <w:r w:rsidRPr="009D190E">
        <w:rPr>
          <w:sz w:val="24"/>
          <w:shd w:val="clear" w:color="auto" w:fill="FFFFFF"/>
          <w:lang w:val="pl-PL"/>
        </w:rPr>
        <w:t>, C.M., „</w:t>
      </w:r>
      <w:r w:rsidRPr="009D190E">
        <w:rPr>
          <w:sz w:val="24"/>
          <w:shd w:val="clear" w:color="auto" w:fill="FFFFFF"/>
          <w:lang w:val="pl-PL"/>
        </w:rPr>
        <w:t>Impacts</w:t>
      </w:r>
      <w:r w:rsidRPr="009D190E">
        <w:rPr>
          <w:sz w:val="24"/>
          <w:shd w:val="clear" w:color="auto" w:fill="FFFFFF"/>
          <w:lang w:val="pl-PL"/>
        </w:rPr>
        <w:t xml:space="preserve"> of </w:t>
      </w:r>
      <w:r w:rsidRPr="009D190E">
        <w:rPr>
          <w:sz w:val="24"/>
          <w:shd w:val="clear" w:color="auto" w:fill="FFFFFF"/>
          <w:lang w:val="pl-PL"/>
        </w:rPr>
        <w:t>genetically</w:t>
      </w:r>
      <w:r w:rsidRPr="009D190E">
        <w:rPr>
          <w:sz w:val="24"/>
          <w:shd w:val="clear" w:color="auto" w:fill="FFFFFF"/>
          <w:lang w:val="pl-PL"/>
        </w:rPr>
        <w:t xml:space="preserve"> </w:t>
      </w:r>
      <w:r w:rsidRPr="009D190E">
        <w:rPr>
          <w:sz w:val="24"/>
          <w:shd w:val="clear" w:color="auto" w:fill="FFFFFF"/>
          <w:lang w:val="pl-PL"/>
        </w:rPr>
        <w:t>engineered</w:t>
      </w:r>
      <w:r w:rsidRPr="009D190E">
        <w:rPr>
          <w:sz w:val="24"/>
          <w:shd w:val="clear" w:color="auto" w:fill="FFFFFF"/>
          <w:lang w:val="pl-PL"/>
        </w:rPr>
        <w:t xml:space="preserve"> </w:t>
      </w:r>
      <w:r w:rsidRPr="009D190E">
        <w:rPr>
          <w:sz w:val="24"/>
          <w:shd w:val="clear" w:color="auto" w:fill="FFFFFF"/>
          <w:lang w:val="pl-PL"/>
        </w:rPr>
        <w:t>crops</w:t>
      </w:r>
      <w:r w:rsidRPr="009D190E">
        <w:rPr>
          <w:sz w:val="24"/>
          <w:shd w:val="clear" w:color="auto" w:fill="FFFFFF"/>
          <w:lang w:val="pl-PL"/>
        </w:rPr>
        <w:t xml:space="preserve"> on the </w:t>
      </w:r>
      <w:r w:rsidRPr="009D190E">
        <w:rPr>
          <w:sz w:val="24"/>
          <w:shd w:val="clear" w:color="auto" w:fill="FFFFFF"/>
          <w:lang w:val="pl-PL"/>
        </w:rPr>
        <w:t>pesticide</w:t>
      </w:r>
      <w:r w:rsidRPr="009D190E">
        <w:rPr>
          <w:sz w:val="24"/>
          <w:shd w:val="clear" w:color="auto" w:fill="FFFFFF"/>
          <w:lang w:val="pl-PL"/>
        </w:rPr>
        <w:t xml:space="preserve"> </w:t>
      </w:r>
      <w:r w:rsidRPr="009D190E">
        <w:rPr>
          <w:sz w:val="24"/>
          <w:shd w:val="clear" w:color="auto" w:fill="FFFFFF"/>
          <w:lang w:val="pl-PL"/>
        </w:rPr>
        <w:t>use</w:t>
      </w:r>
      <w:r w:rsidRPr="009D190E">
        <w:rPr>
          <w:sz w:val="24"/>
          <w:shd w:val="clear" w:color="auto" w:fill="FFFFFF"/>
          <w:lang w:val="pl-PL"/>
        </w:rPr>
        <w:t xml:space="preserve"> in the U.S. – the </w:t>
      </w:r>
      <w:r w:rsidRPr="009D190E">
        <w:rPr>
          <w:sz w:val="24"/>
          <w:shd w:val="clear" w:color="auto" w:fill="FFFFFF"/>
          <w:lang w:val="pl-PL"/>
        </w:rPr>
        <w:t>first</w:t>
      </w:r>
      <w:r w:rsidRPr="009D190E">
        <w:rPr>
          <w:sz w:val="24"/>
          <w:shd w:val="clear" w:color="auto" w:fill="FFFFFF"/>
          <w:lang w:val="pl-PL"/>
        </w:rPr>
        <w:t xml:space="preserve"> </w:t>
      </w:r>
      <w:r w:rsidRPr="009D190E">
        <w:rPr>
          <w:sz w:val="24"/>
          <w:shd w:val="clear" w:color="auto" w:fill="FFFFFF"/>
          <w:lang w:val="pl-PL"/>
        </w:rPr>
        <w:t>sixteen</w:t>
      </w:r>
      <w:r w:rsidRPr="009D190E">
        <w:rPr>
          <w:sz w:val="24"/>
          <w:shd w:val="clear" w:color="auto" w:fill="FFFFFF"/>
          <w:lang w:val="pl-PL"/>
        </w:rPr>
        <w:t xml:space="preserve"> </w:t>
      </w:r>
      <w:r w:rsidRPr="009D190E">
        <w:rPr>
          <w:sz w:val="24"/>
          <w:shd w:val="clear" w:color="auto" w:fill="FFFFFF"/>
          <w:lang w:val="pl-PL"/>
        </w:rPr>
        <w:t>years</w:t>
      </w:r>
      <w:r w:rsidRPr="009D190E">
        <w:rPr>
          <w:sz w:val="24"/>
          <w:shd w:val="clear" w:color="auto" w:fill="FFFFFF"/>
          <w:lang w:val="pl-PL"/>
        </w:rPr>
        <w:t xml:space="preserve">” [Wpływ genetycznie zmodyfikowanych upraw na zużycie pestycydów w USA – pierwsze szesnaście lat], </w:t>
      </w:r>
      <w:r w:rsidRPr="009D190E">
        <w:rPr>
          <w:i/>
          <w:iCs/>
          <w:sz w:val="24"/>
          <w:shd w:val="clear" w:color="auto" w:fill="FFFFFF"/>
          <w:lang w:val="pl-PL"/>
        </w:rPr>
        <w:t>Environmental</w:t>
      </w:r>
      <w:r w:rsidRPr="009D190E">
        <w:rPr>
          <w:i/>
          <w:iCs/>
          <w:sz w:val="24"/>
          <w:shd w:val="clear" w:color="auto" w:fill="FFFFFF"/>
          <w:lang w:val="pl-PL"/>
        </w:rPr>
        <w:t xml:space="preserve"> </w:t>
      </w:r>
      <w:r w:rsidRPr="009D190E">
        <w:rPr>
          <w:i/>
          <w:iCs/>
          <w:sz w:val="24"/>
          <w:shd w:val="clear" w:color="auto" w:fill="FFFFFF"/>
          <w:lang w:val="pl-PL"/>
        </w:rPr>
        <w:t>Sciences</w:t>
      </w:r>
      <w:r w:rsidRPr="009D190E">
        <w:rPr>
          <w:i/>
          <w:iCs/>
          <w:sz w:val="24"/>
          <w:shd w:val="clear" w:color="auto" w:fill="FFFFFF"/>
          <w:lang w:val="pl-PL"/>
        </w:rPr>
        <w:t xml:space="preserve"> Europe</w:t>
      </w:r>
      <w:r w:rsidRPr="009D190E">
        <w:rPr>
          <w:sz w:val="24"/>
          <w:shd w:val="clear" w:color="auto" w:fill="FFFFFF"/>
          <w:lang w:val="pl-PL"/>
        </w:rPr>
        <w:t xml:space="preserve">, 28 września 2012 r., t. 24(1), </w:t>
      </w:r>
      <w:hyperlink r:id="rId28" w:history="1">
        <w:r w:rsidRPr="009D190E">
          <w:rPr>
            <w:rStyle w:val="Hyperlink"/>
            <w:sz w:val="24"/>
            <w:lang w:val="pl-PL"/>
          </w:rPr>
          <w:t>https://doi.org/10.1186/2190-4715-24-24</w:t>
        </w:r>
      </w:hyperlink>
      <w:r w:rsidRPr="009D190E">
        <w:rPr>
          <w:sz w:val="24"/>
          <w:shd w:val="clear" w:color="auto" w:fill="FFFFFF"/>
          <w:lang w:val="pl-PL"/>
        </w:rPr>
        <w:t>.</w:t>
      </w:r>
    </w:p>
  </w:footnote>
  <w:footnote w:id="12">
    <w:p w:rsidR="00881889" w:rsidRPr="009D190E" w:rsidP="009D190E" w14:paraId="414EAE5E" w14:textId="18415C7D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shd w:val="clear" w:color="auto" w:fill="FFFFFF"/>
          <w:lang w:val="pl-PL"/>
        </w:rPr>
        <w:t xml:space="preserve"> </w:t>
      </w:r>
      <w:r w:rsidRPr="009D190E" w:rsidR="009D190E">
        <w:rPr>
          <w:sz w:val="24"/>
          <w:shd w:val="clear" w:color="auto" w:fill="FFFFFF"/>
          <w:lang w:val="pl-PL"/>
        </w:rPr>
        <w:tab/>
      </w:r>
      <w:r w:rsidRPr="009D190E">
        <w:rPr>
          <w:sz w:val="24"/>
          <w:shd w:val="clear" w:color="auto" w:fill="FFFFFF"/>
          <w:lang w:val="pl-PL"/>
        </w:rPr>
        <w:t xml:space="preserve">Zob. np. </w:t>
      </w:r>
      <w:bookmarkStart w:id="8" w:name="_Hlk104996780"/>
      <w:hyperlink r:id="rId29" w:history="1">
        <w:r w:rsidRPr="009D190E">
          <w:rPr>
            <w:rStyle w:val="Hyperlink"/>
            <w:sz w:val="24"/>
            <w:lang w:val="pl-PL"/>
          </w:rPr>
          <w:t>https://doi.org/10.1016/j.mrrev.2019.02.001</w:t>
        </w:r>
      </w:hyperlink>
      <w:bookmarkEnd w:id="8"/>
      <w:hyperlink r:id="rId30" w:history="1">
        <w:r w:rsidRPr="009D190E">
          <w:rPr>
            <w:rStyle w:val="Hyperlink"/>
            <w:sz w:val="24"/>
            <w:lang w:val="pl-PL"/>
          </w:rPr>
          <w:t>https://doi.org/10.1093/ije/dyz017</w:t>
        </w:r>
      </w:hyperlink>
      <w:r w:rsidRPr="009D190E">
        <w:rPr>
          <w:sz w:val="24"/>
          <w:shd w:val="clear" w:color="auto" w:fill="FFFFFF"/>
          <w:lang w:val="pl-PL"/>
        </w:rPr>
        <w:t xml:space="preserve">, </w:t>
      </w:r>
      <w:hyperlink r:id="rId31" w:history="1">
        <w:r w:rsidRPr="009D190E">
          <w:rPr>
            <w:rStyle w:val="Hyperlink"/>
            <w:sz w:val="24"/>
            <w:lang w:val="pl-PL"/>
          </w:rPr>
          <w:t>https://doi.org/10.1371/journal.pone.0219610</w:t>
        </w:r>
      </w:hyperlink>
      <w:r w:rsidRPr="009D190E">
        <w:rPr>
          <w:sz w:val="24"/>
          <w:shd w:val="clear" w:color="auto" w:fill="FFFFFF"/>
          <w:lang w:val="pl-PL"/>
        </w:rPr>
        <w:t xml:space="preserve"> i </w:t>
      </w:r>
      <w:hyperlink r:id="rId32" w:history="1">
        <w:r w:rsidRPr="009D190E">
          <w:rPr>
            <w:rStyle w:val="Hyperlink"/>
            <w:sz w:val="24"/>
            <w:lang w:val="pl-PL"/>
          </w:rPr>
          <w:t>https://doi.org/10.1186/s13045-019-0767-9</w:t>
        </w:r>
      </w:hyperlink>
      <w:r w:rsidRPr="009D190E">
        <w:rPr>
          <w:sz w:val="24"/>
          <w:shd w:val="clear" w:color="auto" w:fill="FFFFFF"/>
          <w:lang w:val="pl-PL"/>
        </w:rPr>
        <w:t>.</w:t>
      </w:r>
    </w:p>
  </w:footnote>
  <w:footnote w:id="13">
    <w:p w:rsidR="00881889" w:rsidRPr="009D190E" w:rsidP="009D190E" w14:paraId="02842C36" w14:textId="4F5CA096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hyperlink r:id="rId33" w:tgtFrame="_blank" w:tooltip="Trwały link wykorzystujący cyfrowy identyfikator dokumentu elektronicznego" w:history="1">
        <w:r w:rsidRPr="009D190E">
          <w:rPr>
            <w:rStyle w:val="Hyperlink"/>
            <w:sz w:val="24"/>
            <w:lang w:val="pl-PL"/>
          </w:rPr>
          <w:t>https://doi.org/10.1006/rtph.1999.1371</w:t>
        </w:r>
      </w:hyperlink>
      <w:r w:rsidRPr="009D190E">
        <w:rPr>
          <w:sz w:val="24"/>
          <w:lang w:val="pl-PL"/>
        </w:rPr>
        <w:t>.</w:t>
      </w:r>
    </w:p>
  </w:footnote>
  <w:footnote w:id="14">
    <w:p w:rsidR="00881889" w:rsidRPr="009D190E" w:rsidP="009D190E" w14:paraId="23A0C1DA" w14:textId="644C51EB">
      <w:pPr>
        <w:pStyle w:val="FootnoteText"/>
        <w:ind w:left="567" w:hanging="567"/>
        <w:rPr>
          <w:sz w:val="24"/>
          <w:szCs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shd w:val="clear" w:color="auto" w:fill="FFFFFF"/>
          <w:lang w:val="pl-PL"/>
        </w:rPr>
        <w:t xml:space="preserve"> </w:t>
      </w:r>
      <w:r w:rsidRPr="009D190E" w:rsidR="009D190E">
        <w:rPr>
          <w:sz w:val="24"/>
          <w:shd w:val="clear" w:color="auto" w:fill="FFFFFF"/>
          <w:lang w:val="pl-PL"/>
        </w:rPr>
        <w:tab/>
      </w:r>
      <w:r w:rsidRPr="009D190E">
        <w:rPr>
          <w:sz w:val="24"/>
          <w:shd w:val="clear" w:color="auto" w:fill="FFFFFF"/>
          <w:lang w:val="pl-PL"/>
        </w:rPr>
        <w:t xml:space="preserve">Ma to istotnie miejsce w przypadku </w:t>
      </w:r>
      <w:r w:rsidRPr="009D190E">
        <w:rPr>
          <w:sz w:val="24"/>
          <w:shd w:val="clear" w:color="auto" w:fill="FFFFFF"/>
          <w:lang w:val="pl-PL"/>
        </w:rPr>
        <w:t>glifosatu</w:t>
      </w:r>
      <w:r w:rsidRPr="009D190E">
        <w:rPr>
          <w:sz w:val="24"/>
          <w:shd w:val="clear" w:color="auto" w:fill="FFFFFF"/>
          <w:lang w:val="pl-PL"/>
        </w:rPr>
        <w:t>, jak stwierdzono w opublikowanej przez EFSA uzasadnionej opinii pt. „</w:t>
      </w:r>
      <w:r w:rsidRPr="009D190E">
        <w:rPr>
          <w:sz w:val="24"/>
          <w:shd w:val="clear" w:color="auto" w:fill="FFFFFF"/>
          <w:lang w:val="pl-PL"/>
        </w:rPr>
        <w:t>Review</w:t>
      </w:r>
      <w:r w:rsidRPr="009D190E">
        <w:rPr>
          <w:sz w:val="24"/>
          <w:shd w:val="clear" w:color="auto" w:fill="FFFFFF"/>
          <w:lang w:val="pl-PL"/>
        </w:rPr>
        <w:t xml:space="preserve"> of the </w:t>
      </w:r>
      <w:r w:rsidRPr="009D190E">
        <w:rPr>
          <w:sz w:val="24"/>
          <w:shd w:val="clear" w:color="auto" w:fill="FFFFFF"/>
          <w:lang w:val="pl-PL"/>
        </w:rPr>
        <w:t>existing</w:t>
      </w:r>
      <w:r w:rsidRPr="009D190E">
        <w:rPr>
          <w:sz w:val="24"/>
          <w:shd w:val="clear" w:color="auto" w:fill="FFFFFF"/>
          <w:lang w:val="pl-PL"/>
        </w:rPr>
        <w:t xml:space="preserve"> maximum </w:t>
      </w:r>
      <w:r w:rsidRPr="009D190E">
        <w:rPr>
          <w:sz w:val="24"/>
          <w:shd w:val="clear" w:color="auto" w:fill="FFFFFF"/>
          <w:lang w:val="pl-PL"/>
        </w:rPr>
        <w:t>residue</w:t>
      </w:r>
      <w:r w:rsidRPr="009D190E">
        <w:rPr>
          <w:sz w:val="24"/>
          <w:shd w:val="clear" w:color="auto" w:fill="FFFFFF"/>
          <w:lang w:val="pl-PL"/>
        </w:rPr>
        <w:t xml:space="preserve"> </w:t>
      </w:r>
      <w:r w:rsidRPr="009D190E">
        <w:rPr>
          <w:sz w:val="24"/>
          <w:shd w:val="clear" w:color="auto" w:fill="FFFFFF"/>
          <w:lang w:val="pl-PL"/>
        </w:rPr>
        <w:t>levels</w:t>
      </w:r>
      <w:r w:rsidRPr="009D190E">
        <w:rPr>
          <w:sz w:val="24"/>
          <w:shd w:val="clear" w:color="auto" w:fill="FFFFFF"/>
          <w:lang w:val="pl-PL"/>
        </w:rPr>
        <w:t xml:space="preserve"> for </w:t>
      </w:r>
      <w:r w:rsidRPr="009D190E">
        <w:rPr>
          <w:sz w:val="24"/>
          <w:shd w:val="clear" w:color="auto" w:fill="FFFFFF"/>
          <w:lang w:val="pl-PL"/>
        </w:rPr>
        <w:t>glyphosate</w:t>
      </w:r>
      <w:r w:rsidRPr="009D190E">
        <w:rPr>
          <w:sz w:val="24"/>
          <w:shd w:val="clear" w:color="auto" w:fill="FFFFFF"/>
          <w:lang w:val="pl-PL"/>
        </w:rPr>
        <w:t xml:space="preserve"> </w:t>
      </w:r>
      <w:r w:rsidRPr="009D190E">
        <w:rPr>
          <w:sz w:val="24"/>
          <w:shd w:val="clear" w:color="auto" w:fill="FFFFFF"/>
          <w:lang w:val="pl-PL"/>
        </w:rPr>
        <w:t>according</w:t>
      </w:r>
      <w:r w:rsidRPr="009D190E">
        <w:rPr>
          <w:sz w:val="24"/>
          <w:shd w:val="clear" w:color="auto" w:fill="FFFFFF"/>
          <w:lang w:val="pl-PL"/>
        </w:rPr>
        <w:t xml:space="preserve"> to </w:t>
      </w:r>
      <w:r w:rsidRPr="009D190E">
        <w:rPr>
          <w:sz w:val="24"/>
          <w:shd w:val="clear" w:color="auto" w:fill="FFFFFF"/>
          <w:lang w:val="pl-PL"/>
        </w:rPr>
        <w:t>Article</w:t>
      </w:r>
      <w:r w:rsidRPr="009D190E">
        <w:rPr>
          <w:sz w:val="24"/>
          <w:shd w:val="clear" w:color="auto" w:fill="FFFFFF"/>
          <w:lang w:val="pl-PL"/>
        </w:rPr>
        <w:t xml:space="preserve"> 12 of </w:t>
      </w:r>
      <w:r w:rsidRPr="009D190E">
        <w:rPr>
          <w:sz w:val="24"/>
          <w:shd w:val="clear" w:color="auto" w:fill="FFFFFF"/>
          <w:lang w:val="pl-PL"/>
        </w:rPr>
        <w:t>Regulation</w:t>
      </w:r>
      <w:r w:rsidRPr="009D190E">
        <w:rPr>
          <w:sz w:val="24"/>
          <w:shd w:val="clear" w:color="auto" w:fill="FFFFFF"/>
          <w:lang w:val="pl-PL"/>
        </w:rPr>
        <w:t xml:space="preserve"> (EC) No 396/2005” [Przegląd obowiązujących najwyższych poziomów pozostałości </w:t>
      </w:r>
      <w:r w:rsidRPr="009D190E">
        <w:rPr>
          <w:sz w:val="24"/>
          <w:shd w:val="clear" w:color="auto" w:fill="FFFFFF"/>
          <w:lang w:val="pl-PL"/>
        </w:rPr>
        <w:t>glifosatu</w:t>
      </w:r>
      <w:r w:rsidRPr="009D190E">
        <w:rPr>
          <w:sz w:val="24"/>
          <w:shd w:val="clear" w:color="auto" w:fill="FFFFFF"/>
          <w:lang w:val="pl-PL"/>
        </w:rPr>
        <w:t xml:space="preserve"> zgodnie z art. 12 rozporządzenia (WE) nr 396/2005], </w:t>
      </w:r>
      <w:r w:rsidRPr="009D190E">
        <w:rPr>
          <w:i/>
          <w:iCs/>
          <w:sz w:val="24"/>
          <w:shd w:val="clear" w:color="auto" w:fill="FFFFFF"/>
          <w:lang w:val="pl-PL"/>
        </w:rPr>
        <w:t>Dziennik EFSA</w:t>
      </w:r>
      <w:r w:rsidRPr="009D190E">
        <w:rPr>
          <w:sz w:val="24"/>
          <w:shd w:val="clear" w:color="auto" w:fill="FFFFFF"/>
          <w:lang w:val="pl-PL"/>
        </w:rPr>
        <w:t xml:space="preserve"> 2018;16(5):e5263, s. 12</w:t>
      </w:r>
      <w:hyperlink r:id="rId34" w:history="1">
        <w:r w:rsidRPr="009D190E">
          <w:rPr>
            <w:rStyle w:val="Hyperlink"/>
            <w:color w:val="123D80"/>
            <w:sz w:val="24"/>
            <w:shd w:val="clear" w:color="auto" w:fill="FFFFFF"/>
            <w:lang w:val="pl-PL"/>
          </w:rPr>
          <w:t>https://doi.org/10.2903/j.efsa.2018.5263</w:t>
        </w:r>
      </w:hyperlink>
      <w:r w:rsidRPr="009D190E">
        <w:rPr>
          <w:sz w:val="24"/>
          <w:shd w:val="clear" w:color="auto" w:fill="FFFFFF"/>
          <w:lang w:val="pl-PL"/>
        </w:rPr>
        <w:t>.</w:t>
      </w:r>
    </w:p>
  </w:footnote>
  <w:footnote w:id="15">
    <w:p w:rsidR="00881889" w:rsidRPr="009D190E" w:rsidP="009D190E" w14:paraId="69397E72" w14:textId="074138BA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Dz.U. L 282 z 19.10.2016, s. 4.</w:t>
      </w:r>
    </w:p>
  </w:footnote>
  <w:footnote w:id="16">
    <w:p w:rsidR="00881889" w:rsidRPr="009D190E" w:rsidP="009D190E" w14:paraId="5DB4B95F" w14:textId="7EB20B81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Dz.U. L 309 z 13.12.1993, s. 3, ELI: </w:t>
      </w:r>
      <w:hyperlink r:id="rId35" w:tooltip="Dostęp do dokumentu poprzez identyfikator URI w systemie ELI." w:history="1">
        <w:r w:rsidRPr="009D190E">
          <w:rPr>
            <w:rStyle w:val="Hyperlink"/>
            <w:sz w:val="24"/>
            <w:lang w:val="pl-PL"/>
          </w:rPr>
          <w:t>http://data.europa.eu/eli/convention/1993/626/oj</w:t>
        </w:r>
      </w:hyperlink>
      <w:r w:rsidRPr="009D190E">
        <w:rPr>
          <w:sz w:val="24"/>
          <w:lang w:val="pl-PL"/>
        </w:rPr>
        <w:t>.</w:t>
      </w:r>
    </w:p>
  </w:footnote>
  <w:footnote w:id="17">
    <w:p w:rsidR="00881889" w:rsidRPr="007714C5" w:rsidP="009D190E" w14:paraId="7938692B" w14:textId="35EA6C72">
      <w:pPr>
        <w:pStyle w:val="FootnoteText"/>
        <w:ind w:left="567" w:hanging="567"/>
        <w:rPr>
          <w:sz w:val="24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W grudniu 2022 r., podczas 15. Konferencji stron Konwencji Narodów Zjednoczonych o różnorodności biologicznej (COP15), uzgodniono globalne ramy różnorodności biologicznej, które obejmują globalny cel zmniejszenia ryzyka związanego z pestycydami o co najmniej 50 % do 2030 r. (zob.</w:t>
      </w:r>
      <w:r w:rsidRPr="009D190E">
        <w:rPr>
          <w:color w:val="000000" w:themeColor="text1"/>
          <w:sz w:val="24"/>
          <w:lang w:val="pl-PL"/>
        </w:rPr>
        <w:t xml:space="preserve"> </w:t>
      </w:r>
      <w:hyperlink r:id="rId36" w:history="1">
        <w:r w:rsidRPr="007714C5">
          <w:rPr>
            <w:rStyle w:val="Hyperlink"/>
            <w:sz w:val="24"/>
          </w:rPr>
          <w:t>https://ec.europa.eu/commission/presscorner/detail/pl/ip_22_7834</w:t>
        </w:r>
      </w:hyperlink>
      <w:r w:rsidRPr="007714C5">
        <w:rPr>
          <w:sz w:val="24"/>
        </w:rPr>
        <w:t>).</w:t>
      </w:r>
    </w:p>
  </w:footnote>
  <w:footnote w:id="18">
    <w:p w:rsidR="00881889" w:rsidRPr="007714C5" w:rsidP="009D190E" w14:paraId="042799E6" w14:textId="75F4824D">
      <w:pPr>
        <w:pStyle w:val="FootnoteText"/>
        <w:ind w:left="567" w:hanging="567"/>
        <w:rPr>
          <w:sz w:val="24"/>
        </w:rPr>
      </w:pPr>
      <w:r w:rsidRPr="009D190E">
        <w:rPr>
          <w:rStyle w:val="FootnoteReference"/>
          <w:sz w:val="24"/>
          <w:lang w:val="pl-PL"/>
        </w:rPr>
        <w:footnoteRef/>
      </w:r>
      <w:r w:rsidRPr="007714C5" w:rsidR="009D190E">
        <w:rPr>
          <w:sz w:val="24"/>
        </w:rPr>
        <w:t xml:space="preserve"> </w:t>
      </w:r>
      <w:r w:rsidRPr="007714C5" w:rsidR="009D190E">
        <w:rPr>
          <w:sz w:val="24"/>
        </w:rPr>
        <w:tab/>
      </w:r>
      <w:hyperlink r:id="rId37" w:history="1">
        <w:r w:rsidRPr="007714C5">
          <w:rPr>
            <w:rStyle w:val="Hyperlink"/>
            <w:sz w:val="24"/>
          </w:rPr>
          <w:t>https://commission.europa.eu/topics/agriculture-and-rural-development/strategic-dialogue-future-eu-agriculture_pl</w:t>
        </w:r>
      </w:hyperlink>
      <w:r w:rsidRPr="007714C5">
        <w:rPr>
          <w:rStyle w:val="Hyperlink"/>
          <w:sz w:val="24"/>
        </w:rPr>
        <w:t>.</w:t>
      </w:r>
    </w:p>
  </w:footnote>
  <w:footnote w:id="19">
    <w:p w:rsidR="00881889" w:rsidRPr="009D190E" w:rsidP="009D190E" w14:paraId="7E47C905" w14:textId="4B91D3EE">
      <w:pPr>
        <w:pStyle w:val="FootnoteText"/>
        <w:ind w:left="567" w:hanging="567"/>
        <w:rPr>
          <w:sz w:val="24"/>
          <w:szCs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r w:rsidRPr="009D190E">
        <w:rPr>
          <w:sz w:val="24"/>
          <w:lang w:val="pl-PL"/>
        </w:rPr>
        <w:t>Rozporządzenie (WE) nr 178/2002 Parlamentu Europejskiego i Rady z dnia 28 stycznia 2002 r. ustanawiające ogólne zasady i wymagania prawa żywnościowego, powołujące Europejski Urząd ds. Bezpieczeństwa Żywności oraz ustanawiające procedury w zakresie bezpieczeństwa żywności (Dz.U. L 31 z 1.2.2002, s. 1, ELI: </w:t>
      </w:r>
      <w:hyperlink r:id="rId38" w:tgtFrame="Gives access to this document through its ELI URI." w:history="1">
        <w:r w:rsidRPr="009D190E">
          <w:rPr>
            <w:rStyle w:val="Hyperlink"/>
            <w:color w:val="0070C0"/>
            <w:sz w:val="24"/>
            <w:lang w:val="pl-PL"/>
          </w:rPr>
          <w:t>http://data.europa.eu/eli/reg/2002/178/oj</w:t>
        </w:r>
      </w:hyperlink>
      <w:r w:rsidRPr="009D190E">
        <w:rPr>
          <w:sz w:val="24"/>
          <w:lang w:val="pl-PL"/>
        </w:rPr>
        <w:t>).</w:t>
      </w:r>
    </w:p>
  </w:footnote>
  <w:footnote w:id="20">
    <w:p w:rsidR="00881889" w:rsidRPr="009D190E" w:rsidP="009D190E" w14:paraId="22F7B510" w14:textId="0A4CF340">
      <w:pPr>
        <w:pStyle w:val="FootnoteText"/>
        <w:ind w:left="567" w:hanging="567"/>
        <w:rPr>
          <w:sz w:val="24"/>
          <w:szCs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lang w:val="pl-PL"/>
        </w:rPr>
        <w:t xml:space="preserve"> </w:t>
      </w:r>
      <w:r w:rsidRPr="009D190E" w:rsidR="009D190E">
        <w:rPr>
          <w:sz w:val="24"/>
          <w:lang w:val="pl-PL"/>
        </w:rPr>
        <w:tab/>
      </w:r>
      <w:hyperlink r:id="rId39" w:history="1">
        <w:r w:rsidRPr="009D190E">
          <w:rPr>
            <w:rStyle w:val="Hyperlink"/>
            <w:sz w:val="24"/>
            <w:shd w:val="clear" w:color="auto" w:fill="FFFFFF"/>
            <w:lang w:val="pl-PL"/>
          </w:rPr>
          <w:t>https://tillymetz.lu/wp-content/uploads/2020/09/Co-signed-letter-MEP-Metz.pdf</w:t>
        </w:r>
      </w:hyperlink>
      <w:r w:rsidRPr="009D190E">
        <w:rPr>
          <w:sz w:val="24"/>
          <w:shd w:val="clear" w:color="auto" w:fill="FFFFFF"/>
          <w:lang w:val="pl-PL"/>
        </w:rPr>
        <w:t>.</w:t>
      </w:r>
    </w:p>
  </w:footnote>
  <w:footnote w:id="21">
    <w:p w:rsidR="00881889" w:rsidRPr="009D190E" w:rsidP="009D190E" w14:paraId="13E9DE30" w14:textId="40236264">
      <w:pPr>
        <w:pStyle w:val="FootnoteText"/>
        <w:ind w:left="567" w:hanging="567"/>
        <w:rPr>
          <w:sz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shd w:val="clear" w:color="auto" w:fill="FFFFFF"/>
          <w:lang w:val="pl-PL"/>
        </w:rPr>
        <w:t xml:space="preserve"> </w:t>
      </w:r>
      <w:r w:rsidRPr="009D190E" w:rsidR="009D190E">
        <w:rPr>
          <w:sz w:val="24"/>
          <w:shd w:val="clear" w:color="auto" w:fill="FFFFFF"/>
          <w:lang w:val="pl-PL"/>
        </w:rPr>
        <w:tab/>
      </w:r>
      <w:r w:rsidRPr="009D190E">
        <w:rPr>
          <w:sz w:val="24"/>
          <w:shd w:val="clear" w:color="auto" w:fill="FFFFFF"/>
          <w:lang w:val="pl-PL"/>
        </w:rPr>
        <w:t>Rezolucja Parlamentu Europejskiego z dnia 15 stycznia 2020 r. w sprawie Europejskiego Zielonego Ładu (Dz.U. C 270 z 7.7.2021, s. 2), ust. 102.</w:t>
      </w:r>
    </w:p>
  </w:footnote>
  <w:footnote w:id="22">
    <w:p w:rsidR="00881889" w:rsidRPr="009D190E" w:rsidP="009D190E" w14:paraId="0DFD93D5" w14:textId="4EBD4B03">
      <w:pPr>
        <w:pStyle w:val="FootnoteText"/>
        <w:ind w:left="567" w:hanging="567"/>
        <w:rPr>
          <w:sz w:val="24"/>
          <w:szCs w:val="24"/>
          <w:lang w:val="pl-PL"/>
        </w:rPr>
      </w:pPr>
      <w:r w:rsidRPr="009D190E">
        <w:rPr>
          <w:rStyle w:val="FootnoteReference"/>
          <w:sz w:val="24"/>
          <w:lang w:val="pl-PL"/>
        </w:rPr>
        <w:footnoteRef/>
      </w:r>
      <w:r w:rsidRPr="009D190E" w:rsidR="009D190E">
        <w:rPr>
          <w:sz w:val="24"/>
          <w:shd w:val="clear" w:color="auto" w:fill="FFFFFF"/>
          <w:lang w:val="pl-PL"/>
        </w:rPr>
        <w:t xml:space="preserve"> </w:t>
      </w:r>
      <w:r w:rsidRPr="009D190E" w:rsidR="009D190E">
        <w:rPr>
          <w:sz w:val="24"/>
          <w:shd w:val="clear" w:color="auto" w:fill="FFFFFF"/>
          <w:lang w:val="pl-PL"/>
        </w:rPr>
        <w:tab/>
      </w:r>
      <w:r w:rsidRPr="009D190E">
        <w:rPr>
          <w:sz w:val="24"/>
          <w:shd w:val="clear" w:color="auto" w:fill="FFFFFF"/>
          <w:lang w:val="pl-PL"/>
        </w:rPr>
        <w:t>Dz.U. C 445 z 29.10.2021, s. 257.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190E" w14:paraId="708BC23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190E" w14:paraId="537E86F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D190E" w14:paraId="1BCC277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6950049">
    <w:abstractNumId w:val="9"/>
  </w:num>
  <w:num w:numId="2" w16cid:durableId="1452088354">
    <w:abstractNumId w:val="9"/>
  </w:num>
  <w:num w:numId="3" w16cid:durableId="1297025068">
    <w:abstractNumId w:val="7"/>
  </w:num>
  <w:num w:numId="4" w16cid:durableId="635306155">
    <w:abstractNumId w:val="7"/>
  </w:num>
  <w:num w:numId="5" w16cid:durableId="1141340266">
    <w:abstractNumId w:val="6"/>
  </w:num>
  <w:num w:numId="6" w16cid:durableId="50351984">
    <w:abstractNumId w:val="6"/>
  </w:num>
  <w:num w:numId="7" w16cid:durableId="525680862">
    <w:abstractNumId w:val="5"/>
  </w:num>
  <w:num w:numId="8" w16cid:durableId="383333553">
    <w:abstractNumId w:val="5"/>
  </w:num>
  <w:num w:numId="9" w16cid:durableId="1259558051">
    <w:abstractNumId w:val="4"/>
  </w:num>
  <w:num w:numId="10" w16cid:durableId="1729458284">
    <w:abstractNumId w:val="4"/>
  </w:num>
  <w:num w:numId="11" w16cid:durableId="636034354">
    <w:abstractNumId w:val="8"/>
  </w:num>
  <w:num w:numId="12" w16cid:durableId="952050592">
    <w:abstractNumId w:val="8"/>
  </w:num>
  <w:num w:numId="13" w16cid:durableId="1786268828">
    <w:abstractNumId w:val="3"/>
  </w:num>
  <w:num w:numId="14" w16cid:durableId="1477146123">
    <w:abstractNumId w:val="3"/>
  </w:num>
  <w:num w:numId="15" w16cid:durableId="2022118275">
    <w:abstractNumId w:val="2"/>
  </w:num>
  <w:num w:numId="16" w16cid:durableId="896016128">
    <w:abstractNumId w:val="2"/>
  </w:num>
  <w:num w:numId="17" w16cid:durableId="32463728">
    <w:abstractNumId w:val="1"/>
  </w:num>
  <w:num w:numId="18" w16cid:durableId="1877541854">
    <w:abstractNumId w:val="1"/>
  </w:num>
  <w:num w:numId="19" w16cid:durableId="306328767">
    <w:abstractNumId w:val="0"/>
  </w:num>
  <w:num w:numId="20" w16cid:durableId="15474425">
    <w:abstractNumId w:val="0"/>
  </w:num>
  <w:num w:numId="21" w16cid:durableId="730621893">
    <w:abstractNumId w:val="9"/>
  </w:num>
  <w:num w:numId="22" w16cid:durableId="1869178347">
    <w:abstractNumId w:val="7"/>
  </w:num>
  <w:num w:numId="23" w16cid:durableId="1463381688">
    <w:abstractNumId w:val="6"/>
  </w:num>
  <w:num w:numId="24" w16cid:durableId="654918305">
    <w:abstractNumId w:val="5"/>
  </w:num>
  <w:num w:numId="25" w16cid:durableId="1793356555">
    <w:abstractNumId w:val="4"/>
  </w:num>
  <w:num w:numId="26" w16cid:durableId="571085444">
    <w:abstractNumId w:val="8"/>
  </w:num>
  <w:num w:numId="27" w16cid:durableId="1086418459">
    <w:abstractNumId w:val="3"/>
  </w:num>
  <w:num w:numId="28" w16cid:durableId="191576572">
    <w:abstractNumId w:val="2"/>
  </w:num>
  <w:num w:numId="29" w16cid:durableId="1146316760">
    <w:abstractNumId w:val="1"/>
  </w:num>
  <w:num w:numId="30" w16cid:durableId="1112676591">
    <w:abstractNumId w:val="0"/>
  </w:num>
  <w:num w:numId="31" w16cid:durableId="1506165662">
    <w:abstractNumId w:val="9"/>
  </w:num>
  <w:num w:numId="32" w16cid:durableId="1272200362">
    <w:abstractNumId w:val="7"/>
  </w:num>
  <w:num w:numId="33" w16cid:durableId="904412259">
    <w:abstractNumId w:val="6"/>
  </w:num>
  <w:num w:numId="34" w16cid:durableId="255678450">
    <w:abstractNumId w:val="5"/>
  </w:num>
  <w:num w:numId="35" w16cid:durableId="1933317233">
    <w:abstractNumId w:val="4"/>
  </w:num>
  <w:num w:numId="36" w16cid:durableId="1993950997">
    <w:abstractNumId w:val="8"/>
  </w:num>
  <w:num w:numId="37" w16cid:durableId="991494344">
    <w:abstractNumId w:val="3"/>
  </w:num>
  <w:num w:numId="38" w16cid:durableId="226261134">
    <w:abstractNumId w:val="2"/>
  </w:num>
  <w:num w:numId="39" w16cid:durableId="1385131805">
    <w:abstractNumId w:val="1"/>
  </w:num>
  <w:num w:numId="40" w16cid:durableId="1555699543">
    <w:abstractNumId w:val="0"/>
  </w:num>
  <w:num w:numId="41" w16cid:durableId="1590114447">
    <w:abstractNumId w:val="10"/>
  </w:num>
  <w:num w:numId="42" w16cid:durableId="1805153661">
    <w:abstractNumId w:val="10"/>
  </w:num>
  <w:num w:numId="43" w16cid:durableId="1540050612">
    <w:abstractNumId w:val="10"/>
  </w:num>
  <w:num w:numId="44" w16cid:durableId="15029632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6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2C15"/>
    <w:rsid w:val="002B18FE"/>
    <w:rsid w:val="002B5493"/>
    <w:rsid w:val="00343214"/>
    <w:rsid w:val="00361C00"/>
    <w:rsid w:val="00395FA1"/>
    <w:rsid w:val="003B64F8"/>
    <w:rsid w:val="003E15D4"/>
    <w:rsid w:val="00411CCE"/>
    <w:rsid w:val="0041666E"/>
    <w:rsid w:val="00421060"/>
    <w:rsid w:val="0044468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54D"/>
    <w:rsid w:val="00560270"/>
    <w:rsid w:val="005C2568"/>
    <w:rsid w:val="005F1B17"/>
    <w:rsid w:val="006037C0"/>
    <w:rsid w:val="006631B6"/>
    <w:rsid w:val="00680577"/>
    <w:rsid w:val="006A3996"/>
    <w:rsid w:val="006F74FA"/>
    <w:rsid w:val="00731ADD"/>
    <w:rsid w:val="00734777"/>
    <w:rsid w:val="00747932"/>
    <w:rsid w:val="00751A4A"/>
    <w:rsid w:val="00756632"/>
    <w:rsid w:val="00762C74"/>
    <w:rsid w:val="007714C5"/>
    <w:rsid w:val="00786EC0"/>
    <w:rsid w:val="007D1690"/>
    <w:rsid w:val="007E22AD"/>
    <w:rsid w:val="00817416"/>
    <w:rsid w:val="00842779"/>
    <w:rsid w:val="00865F67"/>
    <w:rsid w:val="0088188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112"/>
    <w:rsid w:val="009D190E"/>
    <w:rsid w:val="00A1687D"/>
    <w:rsid w:val="00A43E52"/>
    <w:rsid w:val="00A4678D"/>
    <w:rsid w:val="00A778C7"/>
    <w:rsid w:val="00A93C6F"/>
    <w:rsid w:val="00AB441E"/>
    <w:rsid w:val="00AB6293"/>
    <w:rsid w:val="00AE0928"/>
    <w:rsid w:val="00AF3B82"/>
    <w:rsid w:val="00B12E95"/>
    <w:rsid w:val="00B22876"/>
    <w:rsid w:val="00B558F0"/>
    <w:rsid w:val="00BB1B9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1BA"/>
    <w:rsid w:val="00F5134D"/>
    <w:rsid w:val="00F74202"/>
    <w:rsid w:val="00F87713"/>
    <w:rsid w:val="00FB4360"/>
    <w:rsid w:val="00FD0C70"/>
  </w:rsids>
  <w:docVars>
    <w:docVar w:name="dvdocse" w:val="B10-0334/2026"/>
    <w:docVar w:name="dvlangue" w:val="PL"/>
    <w:docVar w:name="dvnumam" w:val="0"/>
    <w:docVar w:name="dvpe" w:val="789.024"/>
    <w:docVar w:name="dvtitre" w:val="Rezolucja Parlamentu Europejskiego z dnia  2026 r. w sprawie projektu decyzji wykonawczej Komisji dotyczącej odnowienia zezwolenia na wprowadzenie do obrotu, na podstawie rozporządzenia (WE) nr 1829/2003 Parlamentu Europejskiego i Rady, produktów zawierających genetycznie zmodyfikowaną soję MON 87705, składających się z niej lub z niej wyprodukowanych (D114998/03 – 2026/274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F7F41EC"/>
  <w15:chartTrackingRefBased/>
  <w15:docId w15:val="{7A8E2802-747E-4CEB-9EB0-F1E5B01D4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1889"/>
    <w:pPr>
      <w:spacing w:before="480" w:after="240"/>
    </w:pPr>
  </w:style>
  <w:style w:type="paragraph" w:customStyle="1" w:styleId="NormalHanging12a">
    <w:name w:val="NormalHanging12a"/>
    <w:basedOn w:val="Normal"/>
    <w:qFormat/>
    <w:rsid w:val="0088188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881889"/>
    <w:rPr>
      <w:color w:val="0563C1" w:themeColor="hyperlink"/>
      <w:u w:val="single"/>
    </w:rPr>
  </w:style>
  <w:style w:type="character" w:customStyle="1" w:styleId="Funotenzeichen">
    <w:name w:val="Fußnotenzeichen"/>
    <w:basedOn w:val="DefaultParagraphFont"/>
    <w:uiPriority w:val="99"/>
    <w:qFormat/>
    <w:rsid w:val="0088188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ec_impl/2026/1419/oj" TargetMode="External" /><Relationship Id="rId10" Type="http://schemas.openxmlformats.org/officeDocument/2006/relationships/hyperlink" Target="http://data.europa.eu/eli/C/2025/1802/oj" TargetMode="External" /><Relationship Id="rId11" Type="http://schemas.openxmlformats.org/officeDocument/2006/relationships/hyperlink" Target="http://data.europa.eu/eli/C/2025/1803/oj" TargetMode="External" /><Relationship Id="rId12" Type="http://schemas.openxmlformats.org/officeDocument/2006/relationships/hyperlink" Target="http://data.europa.eu/eli/C/2025/1804/oj" TargetMode="External" /><Relationship Id="rId13" Type="http://schemas.openxmlformats.org/officeDocument/2006/relationships/hyperlink" Target="http://data.europa.eu/eli/C/2025/2246/oj" TargetMode="External" /><Relationship Id="rId14" Type="http://schemas.openxmlformats.org/officeDocument/2006/relationships/hyperlink" Target="http://data.europa.eu/eli/C/2025/2247/oj" TargetMode="External" /><Relationship Id="rId15" Type="http://schemas.openxmlformats.org/officeDocument/2006/relationships/hyperlink" Target="http://data.europa.eu/eli/C/2026/586/oj" TargetMode="External" /><Relationship Id="rId16" Type="http://schemas.openxmlformats.org/officeDocument/2006/relationships/hyperlink" Target="http://data.europa.eu/eli/C/2026/1523/oj" TargetMode="External" /><Relationship Id="rId17" Type="http://schemas.openxmlformats.org/officeDocument/2006/relationships/hyperlink" Target="http://data.europa.eu/eli/C/2026/1703/oj" TargetMode="External" /><Relationship Id="rId18" Type="http://schemas.openxmlformats.org/officeDocument/2006/relationships/hyperlink" Target="http://data.europa.eu/eli/C/2026/1704/oj" TargetMode="External" /><Relationship Id="rId19" Type="http://schemas.openxmlformats.org/officeDocument/2006/relationships/hyperlink" Target="http://data.europa.eu/eli/C/2026/1705/oj" TargetMode="External" /><Relationship Id="rId2" Type="http://schemas.openxmlformats.org/officeDocument/2006/relationships/hyperlink" Target="http://data.europa.eu/eli/reg/2003/1829/oj" TargetMode="External" /><Relationship Id="rId20" Type="http://schemas.openxmlformats.org/officeDocument/2006/relationships/hyperlink" Target="http://data.europa.eu/eli/C/2026/1706/oj" TargetMode="External" /><Relationship Id="rId21" Type="http://schemas.openxmlformats.org/officeDocument/2006/relationships/hyperlink" Target="http://data.europa.eu/eli/C/2026/1707/oj" TargetMode="External" /><Relationship Id="rId22" Type="http://schemas.openxmlformats.org/officeDocument/2006/relationships/hyperlink" Target="http://data.europa.eu/eli/C/2026/2150/oj" TargetMode="External" /><Relationship Id="rId23" Type="http://schemas.openxmlformats.org/officeDocument/2006/relationships/hyperlink" Target="http://data.europa.eu/eli/C/2026/2151/oj" TargetMode="External" /><Relationship Id="rId24" Type="http://schemas.openxmlformats.org/officeDocument/2006/relationships/hyperlink" Target="http://data.europa.eu/eli/dec_impl/2015/696/2021-02-16" TargetMode="External" /><Relationship Id="rId25" Type="http://schemas.openxmlformats.org/officeDocument/2006/relationships/hyperlink" Target="https://doi.org/10.2903/j.efsa.2012.2909" TargetMode="External" /><Relationship Id="rId26" Type="http://schemas.openxmlformats.org/officeDocument/2006/relationships/hyperlink" Target="https://doi.org/10.2903/j.efsa.2013.3507" TargetMode="External" /><Relationship Id="rId27" Type="http://schemas.openxmlformats.org/officeDocument/2006/relationships/hyperlink" Target="https://doi.org/10.1007/s00267-015-0589-7" TargetMode="External" /><Relationship Id="rId28" Type="http://schemas.openxmlformats.org/officeDocument/2006/relationships/hyperlink" Target="https://doi.org/10.1186/2190-4715-24-24" TargetMode="External" /><Relationship Id="rId29" Type="http://schemas.openxmlformats.org/officeDocument/2006/relationships/hyperlink" Target="https://doi.org/10.1016/j.mrrev.2019.02.001" TargetMode="External" /><Relationship Id="rId3" Type="http://schemas.openxmlformats.org/officeDocument/2006/relationships/hyperlink" Target="http://data.europa.eu/eli/reg/2011/182/oj" TargetMode="External" /><Relationship Id="rId30" Type="http://schemas.openxmlformats.org/officeDocument/2006/relationships/hyperlink" Target="https://doi.org/10.1093/ije/dyz017" TargetMode="External" /><Relationship Id="rId31" Type="http://schemas.openxmlformats.org/officeDocument/2006/relationships/hyperlink" Target="https://doi.org/10.1371/journal.pone.0219610" TargetMode="External" /><Relationship Id="rId32" Type="http://schemas.openxmlformats.org/officeDocument/2006/relationships/hyperlink" Target="https://doi.org/10.1186/s13045-019-0767-9" TargetMode="External" /><Relationship Id="rId33" Type="http://schemas.openxmlformats.org/officeDocument/2006/relationships/hyperlink" Target="https://doi.org/10.1006/rtph.1999.1371" TargetMode="External" /><Relationship Id="rId34" Type="http://schemas.openxmlformats.org/officeDocument/2006/relationships/hyperlink" Target="https://doi.org/10.2903/j.efsa.2018.5263" TargetMode="External" /><Relationship Id="rId35" Type="http://schemas.openxmlformats.org/officeDocument/2006/relationships/hyperlink" Target="http://data.europa.eu/eli/convention/1993/626/oj" TargetMode="External" /><Relationship Id="rId36" Type="http://schemas.openxmlformats.org/officeDocument/2006/relationships/hyperlink" Target="https://ec.europa.eu/commission/presscorner/detail/pl/ip_22_7834" TargetMode="External" /><Relationship Id="rId37" Type="http://schemas.openxmlformats.org/officeDocument/2006/relationships/hyperlink" Target="https://commission.europa.eu/topics/agriculture-and-rural-development/strategic-dialogue-future-eu-agriculture_pl" TargetMode="External" /><Relationship Id="rId38" Type="http://schemas.openxmlformats.org/officeDocument/2006/relationships/hyperlink" Target="http://data.europa.eu/eli/reg/2002/178/oj" TargetMode="External" /><Relationship Id="rId39" Type="http://schemas.openxmlformats.org/officeDocument/2006/relationships/hyperlink" Target="https://tillymetz.lu/wp-content/uploads/2020/09/Co-signed-letter-MEP-Metz.pdf" TargetMode="External" /><Relationship Id="rId4" Type="http://schemas.openxmlformats.org/officeDocument/2006/relationships/hyperlink" Target="https://doi.org/10.2903/j.efsa.2026.9846" TargetMode="External" /><Relationship Id="rId5" Type="http://schemas.openxmlformats.org/officeDocument/2006/relationships/hyperlink" Target="http://data.europa.eu/eli/C/2025/1797/oj" TargetMode="External" /><Relationship Id="rId6" Type="http://schemas.openxmlformats.org/officeDocument/2006/relationships/hyperlink" Target="http://data.europa.eu/eli/C/2025/1798/oj" TargetMode="External" /><Relationship Id="rId7" Type="http://schemas.openxmlformats.org/officeDocument/2006/relationships/hyperlink" Target="http://data.europa.eu/eli/C/2025/1799/oj" TargetMode="External" /><Relationship Id="rId8" Type="http://schemas.openxmlformats.org/officeDocument/2006/relationships/hyperlink" Target="http://data.europa.eu/eli/C/2025/1800/oj" TargetMode="External" /><Relationship Id="rId9" Type="http://schemas.openxmlformats.org/officeDocument/2006/relationships/hyperlink" Target="http://data.europa.eu/eli/C/2025/180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2040</Words>
  <Characters>13064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2026-08-19T09:14:00Z</dcterms:created>
  <dcterms:modified xsi:type="dcterms:W3CDTF">2026-08-19T09:14:00Z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B10-0334/2026</vt:lpwstr>
  </property>
  <property fmtid="{D5CDD505-2E9C-101B-9397-08002B2CF9AE}" pid="4" name="&lt;Type&gt;">
    <vt:lpwstr>RR</vt:lpwstr>
  </property>
</Properties>
</file>