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3DE576F" w14:textId="77777777" w:rsidTr="0010095E">
        <w:tblPrEx>
          <w:tblW w:w="9072" w:type="dxa"/>
          <w:tblLook w:val="01E0"/>
        </w:tblPrEx>
        <w:trPr>
          <w:trHeight w:hRule="exact" w:val="1418"/>
        </w:trPr>
        <w:tc>
          <w:tcPr>
            <w:tcW w:w="6804" w:type="dxa"/>
            <w:shd w:val="clear" w:color="auto" w:fill="auto"/>
            <w:vAlign w:val="center"/>
          </w:tcPr>
          <w:p w:rsidR="00751A4A" w:rsidRPr="00155681" w:rsidP="0010095E" w14:paraId="48A67CC1" w14:textId="77777777">
            <w:pPr>
              <w:pStyle w:val="EPName"/>
            </w:pPr>
            <w:r w:rsidRPr="00155681">
              <w:t>Parlamentul European</w:t>
            </w:r>
          </w:p>
          <w:p w:rsidR="00751A4A" w:rsidRPr="00155681" w:rsidP="005F1B17" w14:paraId="360CCC7C" w14:textId="77777777">
            <w:pPr>
              <w:pStyle w:val="EPTerm"/>
              <w:rPr>
                <w:rStyle w:val="HideTWBExt"/>
                <w:noProof w:val="0"/>
                <w:vanish w:val="0"/>
                <w:color w:val="auto"/>
              </w:rPr>
            </w:pPr>
            <w:r w:rsidRPr="00155681">
              <w:t>2024</w:t>
            </w:r>
            <w:r w:rsidRPr="00155681" w:rsidR="00817416">
              <w:t>-202</w:t>
            </w:r>
            <w:r w:rsidRPr="00155681">
              <w:t>9</w:t>
            </w:r>
          </w:p>
        </w:tc>
        <w:tc>
          <w:tcPr>
            <w:tcW w:w="2268" w:type="dxa"/>
            <w:shd w:val="clear" w:color="auto" w:fill="auto"/>
          </w:tcPr>
          <w:p w:rsidR="00751A4A" w:rsidRPr="00155681" w:rsidP="0010095E" w14:paraId="240D78C1" w14:textId="77777777">
            <w:pPr>
              <w:pStyle w:val="EPLogo"/>
            </w:pPr>
            <w:r w:rsidRPr="0015568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55681" w:rsidP="004C5D52" w14:paraId="73CD1690" w14:textId="77777777">
      <w:pPr>
        <w:pStyle w:val="LineTop"/>
      </w:pPr>
    </w:p>
    <w:p w:rsidR="00680577" w:rsidRPr="00155681" w:rsidP="00680577" w14:paraId="1DE778F7" w14:textId="77777777">
      <w:pPr>
        <w:pStyle w:val="EPBodyTA1"/>
      </w:pPr>
      <w:r w:rsidRPr="00155681">
        <w:t>TEXTE ADOPTATE</w:t>
      </w:r>
    </w:p>
    <w:p w:rsidR="00D058B8" w:rsidRPr="00155681" w:rsidP="00D058B8" w14:paraId="54186FE0" w14:textId="77777777">
      <w:pPr>
        <w:pStyle w:val="LineBottom"/>
      </w:pPr>
    </w:p>
    <w:p w:rsidR="00FB7A63" w:rsidRPr="00155681" w:rsidP="00FB7A63" w14:paraId="4888BD8A" w14:textId="71225C26">
      <w:pPr>
        <w:pStyle w:val="ATHeading1"/>
      </w:pPr>
      <w:bookmarkStart w:id="0" w:name="TANumber"/>
      <w:r w:rsidRPr="00155681">
        <w:t>P10_TA(2026)0</w:t>
      </w:r>
      <w:r w:rsidRPr="00155681" w:rsidR="00155681">
        <w:t>264</w:t>
      </w:r>
      <w:bookmarkEnd w:id="0"/>
    </w:p>
    <w:p w:rsidR="00FB7A63" w:rsidRPr="00155681" w:rsidP="00FB7A63" w14:paraId="40DC36D1" w14:textId="03549682">
      <w:pPr>
        <w:pStyle w:val="ATHeading2"/>
      </w:pPr>
      <w:bookmarkStart w:id="1" w:name="title"/>
      <w:r w:rsidRPr="00155681">
        <w:t>Soia modificată genetic MON</w:t>
      </w:r>
      <w:r w:rsidR="00331CE6">
        <w:t> </w:t>
      </w:r>
      <w:r w:rsidRPr="00155681">
        <w:t>87705</w:t>
      </w:r>
      <w:bookmarkEnd w:id="1"/>
    </w:p>
    <w:p w:rsidR="00FB7A63" w:rsidRPr="00155681" w:rsidP="00FB7A63" w14:paraId="5B2FC80A" w14:textId="77777777">
      <w:pPr>
        <w:rPr>
          <w:i/>
          <w:vanish/>
        </w:rPr>
      </w:pPr>
      <w:r>
        <w:rPr>
          <w:i/>
        </w:rPr>
        <w:fldChar w:fldCharType="begin"/>
      </w:r>
      <w:r w:rsidRPr="00155681">
        <w:rPr>
          <w:i/>
        </w:rPr>
        <w:instrText xml:space="preserve"> TC"(</w:instrText>
      </w:r>
      <w:bookmarkStart w:id="2" w:name="DocNumber"/>
      <w:r w:rsidRPr="00155681">
        <w:rPr>
          <w:i/>
        </w:rPr>
        <w:instrText>B10-0334/2026</w:instrText>
      </w:r>
      <w:bookmarkEnd w:id="2"/>
      <w:r w:rsidRPr="00155681">
        <w:rPr>
          <w:i/>
        </w:rPr>
        <w:instrText xml:space="preserve">)"\l3 \n&gt; \* MERGEFORMAT </w:instrText>
      </w:r>
      <w:r>
        <w:rPr>
          <w:i/>
        </w:rPr>
        <w:fldChar w:fldCharType="end"/>
      </w:r>
    </w:p>
    <w:p w:rsidR="00FB7A63" w:rsidRPr="00155681" w:rsidP="00FB7A63" w14:paraId="531A18D9" w14:textId="77777777">
      <w:pPr>
        <w:rPr>
          <w:vanish/>
        </w:rPr>
      </w:pPr>
      <w:bookmarkStart w:id="3" w:name="PE"/>
      <w:r w:rsidRPr="00155681">
        <w:rPr>
          <w:vanish/>
        </w:rPr>
        <w:t>PE789.024</w:t>
      </w:r>
      <w:bookmarkEnd w:id="3"/>
    </w:p>
    <w:p w:rsidR="00FB7A63" w:rsidRPr="00155681" w:rsidP="00FB7A63" w14:paraId="2B382848" w14:textId="479E0234">
      <w:pPr>
        <w:pStyle w:val="ATHeading3"/>
      </w:pPr>
      <w:bookmarkStart w:id="4" w:name="Sujet"/>
      <w:r w:rsidRPr="00155681">
        <w:t xml:space="preserve">Rezoluția Parlamentului European din 8 iulie 2026 referitoare la </w:t>
      </w:r>
      <w:r w:rsidRPr="00155681" w:rsidR="00D00710">
        <w:t>D</w:t>
      </w:r>
      <w:r w:rsidRPr="00155681">
        <w:t>ecizi</w:t>
      </w:r>
      <w:r w:rsidRPr="00155681" w:rsidR="00D00710">
        <w:t>a</w:t>
      </w:r>
      <w:r w:rsidRPr="00155681">
        <w:t xml:space="preserve"> de punere în aplicare </w:t>
      </w:r>
      <w:r w:rsidRPr="00155681" w:rsidR="00D00710">
        <w:t xml:space="preserve">(UE) 2026/1419 </w:t>
      </w:r>
      <w:r w:rsidRPr="00155681">
        <w:t xml:space="preserve">a Comisiei </w:t>
      </w:r>
      <w:r w:rsidRPr="00155681" w:rsidR="00D00710">
        <w:t xml:space="preserve">din 29 iunie 2026 </w:t>
      </w:r>
      <w:r w:rsidRPr="00155681" w:rsidR="00B75CB6">
        <w:rPr>
          <w:bCs/>
        </w:rPr>
        <w:t>de reînnoire a autorizației de introducere pe piață a produselor care conțin, constau în sau sunt fabricate din soia modificată genetic MON 87705, în temeiul Regulamentului (CE) nr. 1829/2003 al Parlamentului European și al Consiliului</w:t>
      </w:r>
      <w:bookmarkEnd w:id="4"/>
      <w:r w:rsidRPr="00155681">
        <w:t xml:space="preserve"> </w:t>
      </w:r>
      <w:bookmarkStart w:id="5" w:name="References"/>
      <w:r w:rsidRPr="00155681">
        <w:t>(2026/2747(RSP))</w:t>
      </w:r>
      <w:bookmarkEnd w:id="5"/>
    </w:p>
    <w:p w:rsidR="00E66213" w:rsidRPr="00155681" w:rsidP="00E66213" w14:paraId="5B307ACE" w14:textId="77777777">
      <w:pPr>
        <w:pStyle w:val="EPComma"/>
      </w:pPr>
      <w:bookmarkStart w:id="6" w:name="TextBodyBegin"/>
      <w:bookmarkEnd w:id="6"/>
      <w:r w:rsidRPr="00155681">
        <w:rPr>
          <w:i/>
        </w:rPr>
        <w:t>Parlamentul European</w:t>
      </w:r>
      <w:r w:rsidRPr="00155681">
        <w:t>,</w:t>
      </w:r>
    </w:p>
    <w:p w:rsidR="00E66213" w:rsidRPr="00155681" w:rsidP="00E66213" w14:paraId="6DE42A84" w14:textId="5043F56B">
      <w:pPr>
        <w:pStyle w:val="NormalHanging12a"/>
      </w:pPr>
      <w:r w:rsidRPr="00155681">
        <w:t>–</w:t>
      </w:r>
      <w:r w:rsidRPr="00155681">
        <w:tab/>
        <w:t xml:space="preserve">având în vedere </w:t>
      </w:r>
      <w:r w:rsidRPr="00155681" w:rsidR="00D00710">
        <w:t>D</w:t>
      </w:r>
      <w:r w:rsidRPr="00155681">
        <w:t>ecizi</w:t>
      </w:r>
      <w:r w:rsidRPr="00155681" w:rsidR="00E726D9">
        <w:t>a</w:t>
      </w:r>
      <w:r w:rsidRPr="00155681">
        <w:t xml:space="preserve"> de punere în aplicare </w:t>
      </w:r>
      <w:r w:rsidRPr="00155681" w:rsidR="00D00710">
        <w:t xml:space="preserve">(UE) 2026/1419 </w:t>
      </w:r>
      <w:r w:rsidRPr="00155681">
        <w:t xml:space="preserve">a Comisiei </w:t>
      </w:r>
      <w:r w:rsidRPr="00155681" w:rsidR="00D00710">
        <w:t xml:space="preserve">din 29 iunie 2026 </w:t>
      </w:r>
      <w:r w:rsidRPr="00155681" w:rsidR="00C53751">
        <w:t>de reînnoire a autorizației de introducere pe piață a produselor care conțin, constau în sau sunt fabricate din soia modificată genetic MON 87705, în temeiul Regulamentului (CE) nr. 1829/2003 al Parlamentului European și al Consiliului</w:t>
      </w:r>
      <w:r>
        <w:rPr>
          <w:rStyle w:val="FootnoteReference"/>
        </w:rPr>
        <w:footnoteReference w:id="2"/>
      </w:r>
      <w:r w:rsidRPr="00155681">
        <w:t>,</w:t>
      </w:r>
    </w:p>
    <w:p w:rsidR="00E66213" w:rsidRPr="00155681" w:rsidP="00E66213" w14:paraId="6540098E" w14:textId="77777777">
      <w:pPr>
        <w:pStyle w:val="NormalHanging12a"/>
      </w:pPr>
      <w:r w:rsidRPr="00155681">
        <w:t>–</w:t>
      </w:r>
      <w:r w:rsidRPr="00155681">
        <w:tab/>
        <w:t>având în vedere Regulamentul (CE) nr. 1829/2003 al Parlamentului European și al Consiliului din 22 septembrie 2003 privind produsele alimentare și furajele modificate genetic</w:t>
      </w:r>
      <w:r>
        <w:rPr>
          <w:rStyle w:val="FootnoteReference"/>
        </w:rPr>
        <w:footnoteReference w:id="3"/>
      </w:r>
      <w:r w:rsidRPr="00155681">
        <w:t>, în special articolul 11 alineatul (3) și articolul 23 alineatul (3),</w:t>
      </w:r>
    </w:p>
    <w:p w:rsidR="00E66213" w:rsidRPr="00155681" w:rsidP="00E66213" w14:paraId="64BB7350" w14:textId="77777777">
      <w:pPr>
        <w:pStyle w:val="NormalHanging12a"/>
      </w:pPr>
      <w:r w:rsidRPr="00155681">
        <w:t>–</w:t>
      </w:r>
      <w:r w:rsidRPr="00155681">
        <w:tab/>
        <w:t>având în vedere votul din 27 aprilie 2026 al Comitetului permanent pentru plante, animale, produse alimentare și hrană pentru animale, menționat la articolul 35 din Regulamentul (CE) nr. 1829/2003, în urma căruia nu s-a emis niciun aviz, și votul Comitetului de apel din 2 iunie 2026, în urma căruia, din nou, nu a fost emis niciun aviz,</w:t>
      </w:r>
    </w:p>
    <w:p w:rsidR="00E66213" w:rsidRPr="00155681" w:rsidP="00E66213" w14:paraId="06439F07" w14:textId="77777777">
      <w:pPr>
        <w:pStyle w:val="NormalHanging12a"/>
      </w:pPr>
      <w:r w:rsidRPr="00155681">
        <w:t>–</w:t>
      </w:r>
      <w:r w:rsidRPr="00155681">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Pr>
          <w:rStyle w:val="FootnoteReference"/>
        </w:rPr>
        <w:footnoteReference w:id="4"/>
      </w:r>
      <w:r w:rsidRPr="00155681">
        <w:t>,</w:t>
      </w:r>
    </w:p>
    <w:p w:rsidR="00E66213" w:rsidRPr="00155681" w:rsidP="00E66213" w14:paraId="6B3896A6" w14:textId="77777777">
      <w:pPr>
        <w:pStyle w:val="NormalHanging12a"/>
      </w:pPr>
      <w:r w:rsidRPr="00155681">
        <w:t>–</w:t>
      </w:r>
      <w:r w:rsidRPr="00155681">
        <w:tab/>
        <w:t xml:space="preserve">având în vedere avizul adoptat de Autoritatea Europeană pentru Siguranța Alimentară </w:t>
      </w:r>
      <w:r w:rsidRPr="00155681">
        <w:t>(EFSA) la 10 decembrie 2025 și publicat la 12 ianuarie 2026</w:t>
      </w:r>
      <w:r>
        <w:rPr>
          <w:rStyle w:val="FootnoteReference"/>
        </w:rPr>
        <w:footnoteReference w:id="5"/>
      </w:r>
      <w:r w:rsidRPr="00155681">
        <w:t>,</w:t>
      </w:r>
    </w:p>
    <w:p w:rsidR="00E66213" w:rsidRPr="00155681" w:rsidP="00E66213" w14:paraId="74F8469A" w14:textId="77777777">
      <w:pPr>
        <w:pStyle w:val="NormalHanging12a"/>
      </w:pPr>
      <w:r w:rsidRPr="00155681">
        <w:t>–</w:t>
      </w:r>
      <w:r w:rsidRPr="00155681">
        <w:tab/>
        <w:t>având în vedere rezoluțiile sale anterioare în care se opune autorizării organismelor modificate genetic („OMG”)</w:t>
      </w:r>
      <w:r>
        <w:rPr>
          <w:rStyle w:val="FootnoteReference"/>
        </w:rPr>
        <w:footnoteReference w:id="6"/>
      </w:r>
      <w:r w:rsidRPr="00155681">
        <w:t>,</w:t>
      </w:r>
    </w:p>
    <w:p w:rsidR="00E66213" w:rsidRPr="00155681" w:rsidP="00E66213" w14:paraId="73B97C27" w14:textId="77777777">
      <w:pPr>
        <w:pStyle w:val="NormalHanging12a"/>
      </w:pPr>
      <w:r w:rsidRPr="00155681">
        <w:t>–</w:t>
      </w:r>
      <w:r w:rsidRPr="00155681">
        <w:tab/>
        <w:t>având în vedere articolul 115 alineatele (2) și (3) din Regulamentul său de procedură,</w:t>
      </w:r>
    </w:p>
    <w:p w:rsidR="00E66213" w:rsidRPr="00155681" w:rsidP="00E66213" w14:paraId="2DDCC7E6" w14:textId="77777777">
      <w:pPr>
        <w:pStyle w:val="NormalHanging12a"/>
      </w:pPr>
      <w:r w:rsidRPr="00155681">
        <w:t>–</w:t>
      </w:r>
      <w:r w:rsidRPr="00155681">
        <w:tab/>
        <w:t>având în vedere propunerea de rezoluție a Comisiei pentru mediu, climă și siguranță alimentară,</w:t>
      </w:r>
    </w:p>
    <w:p w:rsidR="00E66213" w:rsidRPr="00155681" w:rsidP="00E66213" w14:paraId="09ED9368" w14:textId="57720464">
      <w:pPr>
        <w:spacing w:after="240"/>
        <w:ind w:left="567" w:hanging="567"/>
      </w:pPr>
      <w:r w:rsidRPr="00155681">
        <w:t>A.</w:t>
      </w:r>
      <w:r w:rsidRPr="00155681">
        <w:tab/>
        <w:t>întrucât, prin Decizia de punere în aplicare (UE) 2015/69</w:t>
      </w:r>
      <w:r w:rsidR="00D007FB">
        <w:t>6</w:t>
      </w:r>
      <w:r w:rsidRPr="00155681">
        <w:t xml:space="preserve"> a Comisiei</w:t>
      </w:r>
      <w:r>
        <w:rPr>
          <w:rStyle w:val="FootnoteReference"/>
        </w:rPr>
        <w:footnoteReference w:id="7"/>
      </w:r>
      <w:r w:rsidRPr="00155681">
        <w:t>, s-a autorizat introducerea pe piață a produselor alimentare și furajelor care conțin, constau în sau sunt fabricate din soia modificată genetic MON 87705 (denumită în continuare „soia modificată genetic”); întrucât domeniul de aplicare al respectivei autorizații a acoperit și introducerea pe piață de produse altele decât produsele alimentare și furajele care conțin sau sunt compuse din soia modificată genetic, având aceeași utilizare ca orice alt tip de soia, cu excepția cultivării;</w:t>
      </w:r>
    </w:p>
    <w:p w:rsidR="00E66213" w:rsidRPr="00155681" w:rsidP="00E66213" w14:paraId="7A3CAFE1" w14:textId="77777777">
      <w:pPr>
        <w:spacing w:after="240"/>
        <w:ind w:left="567" w:hanging="567"/>
      </w:pPr>
      <w:r w:rsidRPr="00155681">
        <w:t>B.</w:t>
      </w:r>
      <w:r w:rsidRPr="00155681">
        <w:tab/>
        <w:t xml:space="preserve">întrucât, la 8 martie 2024, Bayer </w:t>
      </w:r>
      <w:r w:rsidRPr="00155681">
        <w:t>Agriculture</w:t>
      </w:r>
      <w:r w:rsidRPr="00155681">
        <w:t xml:space="preserve"> BV, cu sediul în Belgia, a prezentat Comisiei, în numele Bayer </w:t>
      </w:r>
      <w:r w:rsidRPr="00155681">
        <w:t>CropScience</w:t>
      </w:r>
      <w:r w:rsidRPr="00155681">
        <w:t> LP, cu sediul în SUA, o cerere de reînnoire a autorizației respective;</w:t>
      </w:r>
    </w:p>
    <w:p w:rsidR="00E66213" w:rsidRPr="00155681" w:rsidP="00E66213" w14:paraId="0534464D" w14:textId="77777777">
      <w:pPr>
        <w:spacing w:after="240"/>
        <w:ind w:left="567" w:hanging="567"/>
      </w:pPr>
      <w:r w:rsidRPr="00155681">
        <w:t>C.</w:t>
      </w:r>
      <w:r w:rsidRPr="00155681">
        <w:tab/>
        <w:t>întrucât, la 12 ianuarie 2026, EFSA a emis un aviz științific favorabil, privind soia modificată genetic</w:t>
      </w:r>
      <w:r>
        <w:rPr>
          <w:rStyle w:val="FootnoteReference"/>
        </w:rPr>
        <w:footnoteReference w:id="8"/>
      </w:r>
      <w:r w:rsidRPr="00155681">
        <w:t xml:space="preserve">, în conformitate cu articolele 6 și 18 din Regulamentul (CE) nr. 1829/2003; întrucât EFSA a concluzionat că cererea de reînnoire nu conținea dovezi cu privire la pericole, expuneri modificate sau incertitudini științifice noi care ar modifica concluziile evaluării inițiale a riscurilor asociate cu soia modificată genetic, </w:t>
      </w:r>
      <w:r w:rsidRPr="00155681">
        <w:t>adoptată de EFSA în 2012</w:t>
      </w:r>
      <w:r>
        <w:rPr>
          <w:rStyle w:val="FootnoteReference"/>
        </w:rPr>
        <w:footnoteReference w:id="9"/>
      </w:r>
      <w:r w:rsidRPr="00155681">
        <w:t xml:space="preserve"> și 2013</w:t>
      </w:r>
      <w:r>
        <w:rPr>
          <w:rStyle w:val="FootnoteReference"/>
        </w:rPr>
        <w:footnoteReference w:id="10"/>
      </w:r>
      <w:r w:rsidRPr="00155681">
        <w:t>; întrucât avizele respective nu au studiat mai multe efecte mai ample de natură ambientală, socioeconomice și cumulative, despre care EFSA consideră că nu intră în sfera sa de competență;</w:t>
      </w:r>
    </w:p>
    <w:p w:rsidR="00E66213" w:rsidRPr="00155681" w:rsidP="00E66213" w14:paraId="41799951" w14:textId="77777777">
      <w:pPr>
        <w:pStyle w:val="NormalHanging12a"/>
      </w:pPr>
      <w:r w:rsidRPr="00155681">
        <w:t>D.</w:t>
      </w:r>
      <w:r w:rsidRPr="00155681">
        <w:tab/>
        <w:t xml:space="preserve">întrucât soia modificată genetic are un conținut crescut de acid oleic și prezintă toleranță la erbicidele care conțin </w:t>
      </w:r>
      <w:r w:rsidRPr="00155681">
        <w:t>glifosat</w:t>
      </w:r>
      <w:r w:rsidRPr="00155681">
        <w:t>;</w:t>
      </w:r>
    </w:p>
    <w:p w:rsidR="00E66213" w:rsidRPr="00155681" w:rsidP="00E66213" w14:paraId="70FB8BBE" w14:textId="77777777">
      <w:pPr>
        <w:pStyle w:val="NormalHanging12a"/>
      </w:pPr>
      <w:r w:rsidRPr="00155681">
        <w:t>E.</w:t>
      </w:r>
      <w:r w:rsidRPr="00155681">
        <w:tab/>
        <w:t>întrucât evaluarea riscurilor efectuată de EFSA nu a inclus studii toxicologice pe termen lung și nici nu a analizat în detaliu efectele cumulative și combinate, inclusiv posibilele interacțiuni cu reziduuri de pesticide utilizate în mod obișnuit la cultivarea de soia;</w:t>
      </w:r>
    </w:p>
    <w:p w:rsidR="00E66213" w:rsidRPr="00155681" w:rsidP="00E66213" w14:paraId="7D2CF79F" w14:textId="77777777">
      <w:pPr>
        <w:pStyle w:val="NormalHanging12a"/>
      </w:pPr>
      <w:r w:rsidRPr="00155681">
        <w:t>F.</w:t>
      </w:r>
      <w:r w:rsidRPr="00155681">
        <w:tab/>
        <w:t>întrucât marea majoritate a culturilor modificate genetic, inclusiv soia modificată genetic, au fost modificate genetic astfel încât să fie tolerante la unul sau mai multe erbicide „complementare” care pot fi utilizate pe tot parcursul cultivării culturii modificate genetic, fără ca aceasta să fie distrusă, așa cum s-ar întâmpla în cazul unei culturi netolerante la erbicide; întrucât o serie de studii arată că în cazul culturilor modificate genetic tolerante la erbicide se utilizează cantități mai mari de erbicide complementare, în mare parte din cauza apariției unor buruieni tolerante la erbicide;</w:t>
      </w:r>
    </w:p>
    <w:p w:rsidR="00E66213" w:rsidRPr="00155681" w:rsidP="00E66213" w14:paraId="41249BDA" w14:textId="77777777">
      <w:pPr>
        <w:pStyle w:val="NormalHanging12a"/>
      </w:pPr>
      <w:r w:rsidRPr="00155681">
        <w:t>G.</w:t>
      </w:r>
      <w:r w:rsidRPr="00155681">
        <w:tab/>
        <w:t>întrucât culturile modificate genetic tolerante la erbicide fac ca fermierii să rămână prinși într-un sistem de gestionare a buruienilor care depinde în mare măsură sau în totalitate de erbicide și fac acest lucru prin perceperea unui preț mai mare pentru semințele modificate genetic, creând în același timp o dependență de utilizarea unor erbicide complementare ca parte integrantă a sistemului de producție; întrucât dependența mai mare de erbicidele complementare în fermele care plantează soia modificată genetic vor accelera apariția și răspândirea unor buruieni rezistente la erbicidele respective, făcând astfel să crească și mai mult cantitatea de erbicid utilizată, un cerc vicios cunoscut sub numele de „spirala erbicidelor”; întrucât, în consecință, efectele dăunătoare ale dependenței excesive de erbicide asupra sănătății solului, calității apei și biodiversității din sol și de deasupra solului se vor agrava și vor amplifica expunerea oamenilor și animalelor, eventual și prin creșterea cantității de reziduuri de erbicide în alimente și furaje;</w:t>
      </w:r>
    </w:p>
    <w:p w:rsidR="00E66213" w:rsidRPr="00155681" w:rsidP="00E66213" w14:paraId="347BD53C" w14:textId="77777777">
      <w:pPr>
        <w:pStyle w:val="NormalHanging12a"/>
      </w:pPr>
      <w:r w:rsidRPr="00155681">
        <w:t>H.</w:t>
      </w:r>
      <w:r w:rsidRPr="00155681">
        <w:tab/>
        <w:t xml:space="preserve">întrucât mai multe studii demonstrează că culturile modificate genetic cu toleranță la erbicide ajung să folosească mai intens erbicide „complementare”, în mare parte din </w:t>
      </w:r>
      <w:r w:rsidRPr="00155681">
        <w:t>cauza apariției unor buruieni tolerante la erbicide</w:t>
      </w:r>
      <w:r>
        <w:rPr>
          <w:vertAlign w:val="superscript"/>
        </w:rPr>
        <w:footnoteReference w:id="11"/>
      </w:r>
      <w:r w:rsidRPr="00155681">
        <w:t xml:space="preserve">; întrucât, în consecință, este de așteptat ca soia modificată genetic să fie expusă la doze mai mari și repetate de </w:t>
      </w:r>
      <w:r w:rsidRPr="00155681">
        <w:t>glifosat</w:t>
      </w:r>
      <w:r w:rsidRPr="00155681">
        <w:t>, ceea ce poate, prin urmare, genera prezența unei cantități mai mari de reziduuri și de produse de descompunere ale acestora (metaboliți) în recoltă;</w:t>
      </w:r>
    </w:p>
    <w:p w:rsidR="00E66213" w:rsidRPr="00155681" w:rsidP="00E66213" w14:paraId="0DB02CE0" w14:textId="77777777">
      <w:pPr>
        <w:pStyle w:val="NormalHanging12a"/>
      </w:pPr>
      <w:r w:rsidRPr="00155681">
        <w:t>I.</w:t>
      </w:r>
      <w:r w:rsidRPr="00155681">
        <w:tab/>
        <w:t xml:space="preserve">întrucât persistă incertitudini științifice semnificative în ceea ce privește siguranța </w:t>
      </w:r>
      <w:r w:rsidRPr="00155681">
        <w:t>glifosatului</w:t>
      </w:r>
      <w:r w:rsidRPr="00155681">
        <w:t xml:space="preserve"> pentru sănătatea umană și pentru mediu; întrucât, în noiembrie 2015, EFSA a ajuns la concluzia că este puțin probabil ca </w:t>
      </w:r>
      <w:r w:rsidRPr="00155681">
        <w:t>glifosatul</w:t>
      </w:r>
      <w:r w:rsidRPr="00155681">
        <w:t xml:space="preserve"> să fie cancerigen, iar Agenția Europeană pentru Produse Chimice (ECHA) a concluzionat în martie 2017 că nu se justifică clasificarea acestei substanțe ca atare; întrucât, dimpotrivă, în 2015, Agenția Internațională pentru Cercetare în Domeniul Cancerului, agenția specializată în domeniul cancerului a Organizației Mondiale a Sănătății, a clasificat </w:t>
      </w:r>
      <w:r w:rsidRPr="00155681">
        <w:t>glifosatul</w:t>
      </w:r>
      <w:r w:rsidRPr="00155681">
        <w:t xml:space="preserve"> drept substanță probabil cancerigenă pentru oameni; întrucât o serie de alte studii științifice recente, evaluate inter </w:t>
      </w:r>
      <w:r w:rsidRPr="00155681">
        <w:t>pares</w:t>
      </w:r>
      <w:r w:rsidRPr="00155681">
        <w:t xml:space="preserve">, confirmă că </w:t>
      </w:r>
      <w:r w:rsidRPr="00155681">
        <w:t>glifosatul</w:t>
      </w:r>
      <w:r w:rsidRPr="00155681">
        <w:t xml:space="preserve"> are un potențial cancerigen</w:t>
      </w:r>
      <w:r>
        <w:rPr>
          <w:vertAlign w:val="superscript"/>
        </w:rPr>
        <w:footnoteReference w:id="12"/>
      </w:r>
      <w:r w:rsidRPr="00155681">
        <w:t xml:space="preserve">; </w:t>
      </w:r>
      <w:bookmarkStart w:id="9" w:name="_Hlk218688545"/>
      <w:r w:rsidRPr="00155681">
        <w:t>întrucât revista „</w:t>
      </w:r>
      <w:r w:rsidRPr="00155681">
        <w:t>Regulatory</w:t>
      </w:r>
      <w:r w:rsidRPr="00155681">
        <w:t xml:space="preserve"> </w:t>
      </w:r>
      <w:r w:rsidRPr="00155681">
        <w:t>Toxicology</w:t>
      </w:r>
      <w:r w:rsidRPr="00155681">
        <w:t xml:space="preserve"> </w:t>
      </w:r>
      <w:r w:rsidRPr="00155681">
        <w:t>and</w:t>
      </w:r>
      <w:r w:rsidRPr="00155681">
        <w:t xml:space="preserve"> </w:t>
      </w:r>
      <w:r w:rsidRPr="00155681">
        <w:t>Pharmacology</w:t>
      </w:r>
      <w:r w:rsidRPr="00155681">
        <w:t>” a retras în mod oficial documentul științific intitulat „</w:t>
      </w:r>
      <w:r w:rsidRPr="00155681">
        <w:t>Safety</w:t>
      </w:r>
      <w:r w:rsidRPr="00155681">
        <w:t xml:space="preserve"> </w:t>
      </w:r>
      <w:r w:rsidRPr="00155681">
        <w:t>Evaluation</w:t>
      </w:r>
      <w:r w:rsidRPr="00155681">
        <w:t xml:space="preserve"> </w:t>
      </w:r>
      <w:r w:rsidRPr="00155681">
        <w:t>and</w:t>
      </w:r>
      <w:r w:rsidRPr="00155681">
        <w:t xml:space="preserve"> </w:t>
      </w:r>
      <w:r w:rsidRPr="00155681">
        <w:t>Risk</w:t>
      </w:r>
      <w:r w:rsidRPr="00155681">
        <w:t xml:space="preserve"> </w:t>
      </w:r>
      <w:r w:rsidRPr="00155681">
        <w:t>Assessment</w:t>
      </w:r>
      <w:r w:rsidRPr="00155681">
        <w:t xml:space="preserve"> of </w:t>
      </w:r>
      <w:r w:rsidRPr="00155681">
        <w:t>the</w:t>
      </w:r>
      <w:r w:rsidRPr="00155681">
        <w:t xml:space="preserve"> </w:t>
      </w:r>
      <w:r w:rsidRPr="00155681">
        <w:t>Herbicide</w:t>
      </w:r>
      <w:r w:rsidRPr="00155681">
        <w:t xml:space="preserve"> </w:t>
      </w:r>
      <w:r w:rsidRPr="00155681">
        <w:t>Roundup</w:t>
      </w:r>
      <w:r w:rsidRPr="00155681">
        <w:t xml:space="preserve"> </w:t>
      </w:r>
      <w:r w:rsidRPr="00155681">
        <w:t>and</w:t>
      </w:r>
      <w:r w:rsidRPr="00155681">
        <w:t xml:space="preserve"> </w:t>
      </w:r>
      <w:r w:rsidRPr="00155681">
        <w:t>Its</w:t>
      </w:r>
      <w:r w:rsidRPr="00155681">
        <w:t xml:space="preserve"> Active Ingredient, </w:t>
      </w:r>
      <w:r w:rsidRPr="00155681">
        <w:t>Glyphosate</w:t>
      </w:r>
      <w:r w:rsidRPr="00155681">
        <w:t xml:space="preserve">, for </w:t>
      </w:r>
      <w:r w:rsidRPr="00155681">
        <w:t>Humans</w:t>
      </w:r>
      <w:r w:rsidRPr="00155681">
        <w:t xml:space="preserve">” (Evaluarea siguranței și a riscurilor pentru oameni în ceea ce privește erbicidul </w:t>
      </w:r>
      <w:r w:rsidRPr="00155681">
        <w:t>Roundup</w:t>
      </w:r>
      <w:r w:rsidRPr="00155681">
        <w:t xml:space="preserve"> și ingredientul său activ, </w:t>
      </w:r>
      <w:r w:rsidRPr="00155681">
        <w:t>glifosatul</w:t>
      </w:r>
      <w:r w:rsidRPr="00155681">
        <w:t xml:space="preserve">), publicat în 2000, care a fost utilizat pentru a susține, în multe evaluări ale riscurilor, că </w:t>
      </w:r>
      <w:r w:rsidRPr="00155681">
        <w:t>glifosatul</w:t>
      </w:r>
      <w:r w:rsidRPr="00155681">
        <w:t xml:space="preserve"> poate fi utilizat în condiții de siguranță, deoarece „au fost exprimate preocupări cu privire la calitatea de autor, la validitatea rezultatelor cercetării în contextul prezentării eronate a contribuțiilor de către autori și sponsorul studiului și la potențialele conflicte de interese ale autorilor”</w:t>
      </w:r>
      <w:r>
        <w:rPr>
          <w:rStyle w:val="FootnoteReference"/>
        </w:rPr>
        <w:footnoteReference w:id="13"/>
      </w:r>
      <w:r w:rsidRPr="00155681">
        <w:t>;</w:t>
      </w:r>
      <w:bookmarkEnd w:id="9"/>
    </w:p>
    <w:p w:rsidR="00E66213" w:rsidRPr="00155681" w:rsidP="00E66213" w14:paraId="3AB64B31" w14:textId="77777777">
      <w:pPr>
        <w:pStyle w:val="NormalHanging12a"/>
      </w:pPr>
      <w:r w:rsidRPr="00155681">
        <w:t>J.</w:t>
      </w:r>
      <w:r w:rsidRPr="00155681">
        <w:tab/>
        <w:t>întrucât se consideră că evaluarea reziduurilor de erbicide și a metaboliților acestora prezenți în plantele modificate genetic nu face parte din domeniul de competență al Grupului EFSA pentru organisme modificate genetic și, prin urmare, nu este efectuată în cadrul procesului de autorizare a organismelor modificate genetic; întrucât acest lucru este problematic, deoarece modul în care erbicidele complementare sunt descompuse de planta modificată genetic în cauză, dar și compoziția și, prin urmare, toxicitatea metaboliților, pot fi afectate de însăși modificarea genetică</w:t>
      </w:r>
      <w:r>
        <w:rPr>
          <w:vertAlign w:val="superscript"/>
        </w:rPr>
        <w:footnoteReference w:id="14"/>
      </w:r>
      <w:r w:rsidRPr="00155681">
        <w:t>;</w:t>
      </w:r>
    </w:p>
    <w:p w:rsidR="00E66213" w:rsidRPr="00155681" w:rsidP="00E66213" w14:paraId="7E6F6B04" w14:textId="77777777">
      <w:pPr>
        <w:pStyle w:val="NormalHanging12a"/>
      </w:pPr>
      <w:r w:rsidRPr="00155681">
        <w:t>K.</w:t>
      </w:r>
      <w:r w:rsidRPr="00155681">
        <w:tab/>
        <w:t xml:space="preserve">întrucât analiza compoziției a arătat o diferență semnificativă în ceea ce privește profilul </w:t>
      </w:r>
      <w:r w:rsidRPr="00155681">
        <w:t xml:space="preserve">acizilor grași la soia modificată genetic, în comparație cu omologul său convențional, cu creșterea acidului oleic și scăderi aferente ale acidului </w:t>
      </w:r>
      <w:r w:rsidRPr="00155681">
        <w:t>linoleic</w:t>
      </w:r>
      <w:r w:rsidRPr="00155681">
        <w:t xml:space="preserve"> și ale acidului palmitic; întrucât preocupările științifice vizează implicațiile nutriționale pe termen lung ale expunerii mai ample a populației la acest profil modificat, în special pentru consumatorii care se bazează foarte mult pe uleiul de soia; întrucât EFSA a luat în considerare estimări ale aportului alimentar pentru a evalua relevanța nutrițională a modificărilor, utilizând diferite ipoteze privind consumul și scenarii de înlocuire; întrucât EFSA a recomandat, pe baza acestor ipoteze, doar un plan de monitorizare ulterioară introducerii pe piață care vizează colectarea de date privind importurile în Uniune și efectuarea unei evaluări nutriționale actualizate dacă informațiile disponibile privind modelele de consum erau diferite de cele utilizate în cursul evaluării inițiale a riscurilor;</w:t>
      </w:r>
    </w:p>
    <w:p w:rsidR="00E66213" w:rsidRPr="00155681" w:rsidP="00E66213" w14:paraId="13697EF4" w14:textId="77777777">
      <w:pPr>
        <w:pStyle w:val="NormalHanging12a"/>
      </w:pPr>
      <w:r w:rsidRPr="00155681">
        <w:t>L.</w:t>
      </w:r>
      <w:r w:rsidRPr="00155681">
        <w:tab/>
        <w:t>întrucât Regulamentul (CE) nr. 1829/2003 prevede că produsele alimentare sau furajele modificate genetic nu trebuie să aibă efecte adverse asupra sănătății umane, a sănătății animale sau a mediului și că, atunci când își redactează decizia, Comisia trebuie să țină seama de toate dispozițiile pertinente din dreptul Uniunii și de alți factori legitimi relevanți pentru subiectul în cauză; întrucât acești factori legitimi ar trebui să includă obligațiile Uniunii în temeiul obiectivelor de dezvoltare durabilă („ODD”) ale ONU, al Acordului de la Paris privind schimbările climatice</w:t>
      </w:r>
      <w:r>
        <w:rPr>
          <w:rStyle w:val="FootnoteReference"/>
        </w:rPr>
        <w:footnoteReference w:id="15"/>
      </w:r>
      <w:r w:rsidRPr="00155681">
        <w:t xml:space="preserve"> și al Convenției ONU privind diversitatea biologică</w:t>
      </w:r>
      <w:r>
        <w:rPr>
          <w:rStyle w:val="FootnoteReference"/>
        </w:rPr>
        <w:footnoteReference w:id="16"/>
      </w:r>
      <w:r w:rsidRPr="00155681">
        <w:t xml:space="preserve"> („CBD a ONU”);</w:t>
      </w:r>
    </w:p>
    <w:p w:rsidR="00E66213" w:rsidRPr="00155681" w:rsidP="00E66213" w14:paraId="51380BEA" w14:textId="77777777">
      <w:pPr>
        <w:pStyle w:val="NormalHanging12a"/>
      </w:pPr>
      <w:r w:rsidRPr="00155681">
        <w:t>M.</w:t>
      </w:r>
      <w:r w:rsidRPr="00155681">
        <w:tab/>
        <w:t>întrucât monitorizarea și supravegherea independentă a potențialelor efecte adverse asupra biodiversității, sănătății solului, polenizatorilor și organismelor nevizate rămân insuficient garantate;</w:t>
      </w:r>
    </w:p>
    <w:p w:rsidR="00E66213" w:rsidRPr="00155681" w:rsidP="00E66213" w14:paraId="6E2DEF77" w14:textId="77777777">
      <w:pPr>
        <w:pStyle w:val="NormalHanging12a"/>
      </w:pPr>
      <w:r w:rsidRPr="00155681">
        <w:t>N.</w:t>
      </w:r>
      <w:r w:rsidRPr="00155681">
        <w:tab/>
        <w:t>întrucât principiul precauției, consacrat la articolul 191 din Tratatul privind funcționarea Uniunii Europene, ar trebui să se aplice în cazurile de incertitudine științifică;</w:t>
      </w:r>
    </w:p>
    <w:p w:rsidR="00E66213" w:rsidRPr="00155681" w:rsidP="00E66213" w14:paraId="734891CD" w14:textId="77777777">
      <w:pPr>
        <w:pStyle w:val="NormalHanging12a"/>
      </w:pPr>
      <w:r w:rsidRPr="00155681">
        <w:t>O.</w:t>
      </w:r>
      <w:r w:rsidRPr="00155681">
        <w:tab/>
        <w:t>întrucât Uniunea, în calitate de parte contractantă la CBD a ONU și în conformitate cu articolul 3 din aceasta, are responsabilitatea de a se asigura că activitățile aflate sub jurisdicția sau controlul său nu provoacă daune mediului din alte state;</w:t>
      </w:r>
    </w:p>
    <w:p w:rsidR="00E66213" w:rsidRPr="00155681" w:rsidP="00E66213" w14:paraId="420E6321" w14:textId="77777777">
      <w:pPr>
        <w:pStyle w:val="NormalHanging12a"/>
      </w:pPr>
      <w:r w:rsidRPr="00155681">
        <w:t>P.</w:t>
      </w:r>
      <w:r w:rsidRPr="00155681">
        <w:tab/>
        <w:t>întrucât eventuala decizie a Uniunii de a reînnoi autorizația pentru soia modificată genetic nu ar fi în concordanță cu angajamentele internaționale privind reducerea pesticidelor</w:t>
      </w:r>
      <w:r>
        <w:rPr>
          <w:vertAlign w:val="superscript"/>
        </w:rPr>
        <w:footnoteReference w:id="17"/>
      </w:r>
      <w:r w:rsidRPr="00155681">
        <w:t xml:space="preserve">, având în vedere că în țările care cultivă această plantă modificată genetic tolerantă la erbicide oamenii, animalele și mediul sunt mai expuși la </w:t>
      </w:r>
      <w:r w:rsidRPr="00155681">
        <w:t>glifosat</w:t>
      </w:r>
      <w:r w:rsidRPr="00155681">
        <w:t>, expunere asociată cu efecte potențial grave asupra sănătății;</w:t>
      </w:r>
    </w:p>
    <w:p w:rsidR="00E66213" w:rsidRPr="00155681" w:rsidP="00E66213" w14:paraId="3CFDB3FE" w14:textId="77777777">
      <w:pPr>
        <w:pStyle w:val="NormalHanging12a"/>
      </w:pPr>
      <w:r w:rsidRPr="00155681">
        <w:t>Q.</w:t>
      </w:r>
      <w:r w:rsidRPr="00155681">
        <w:tab/>
        <w:t>întrucât cultivarea de soia modificată genetic nu este permisă în Uniune;</w:t>
      </w:r>
    </w:p>
    <w:p w:rsidR="00E66213" w:rsidRPr="00155681" w:rsidP="00E66213" w14:paraId="6BEEEA4B" w14:textId="46427F3E">
      <w:pPr>
        <w:pStyle w:val="NormalHanging12a"/>
      </w:pPr>
      <w:r w:rsidRPr="00155681">
        <w:t>R.</w:t>
      </w:r>
      <w:r w:rsidRPr="00155681">
        <w:tab/>
        <w:t xml:space="preserve">întrucât </w:t>
      </w:r>
      <w:r w:rsidRPr="00155681" w:rsidR="006E1726">
        <w:t>D</w:t>
      </w:r>
      <w:r w:rsidRPr="00155681">
        <w:t>ecizi</w:t>
      </w:r>
      <w:r w:rsidRPr="00155681" w:rsidR="006E1726">
        <w:t>a</w:t>
      </w:r>
      <w:r w:rsidRPr="00155681">
        <w:t xml:space="preserve"> de punere în aplicare </w:t>
      </w:r>
      <w:r w:rsidRPr="00155681" w:rsidR="006E1726">
        <w:t xml:space="preserve">(UE) 2026/1419 </w:t>
      </w:r>
      <w:r w:rsidRPr="00155681">
        <w:t>a Comisiei ar permite importuri în Uniune care nu respectă standardele aplicate de fermierii din Uniune, punându-i astfel într-o situație de dezavantaj concurențial;</w:t>
      </w:r>
    </w:p>
    <w:p w:rsidR="00E66213" w:rsidRPr="00155681" w:rsidP="00E66213" w14:paraId="479F22FA" w14:textId="77777777">
      <w:pPr>
        <w:pStyle w:val="NormalHanging12a"/>
      </w:pPr>
      <w:r w:rsidRPr="00155681">
        <w:t>S.</w:t>
      </w:r>
      <w:r w:rsidRPr="00155681">
        <w:tab/>
        <w:t>întrucât, în concluziile dialogului strategic privind viitorul agriculturii în UE</w:t>
      </w:r>
      <w:r>
        <w:rPr>
          <w:vertAlign w:val="superscript"/>
        </w:rPr>
        <w:footnoteReference w:id="18"/>
      </w:r>
      <w:r w:rsidRPr="00155681">
        <w:t>, Comisia este invitată să își reevalueze abordarea privind accesul pe piață pentru importurile și exporturile agroalimentare, dată fiind problema standardelor divergente ale Uniunii și ale partenerilor săi comerciali; întrucât, în timpul demonstrațiilor din 2023, 2024 și 2025, una dintre principalele revendicări ale fermierilor a fost să se instaureze relații comerciale mai echitabile, la nivel mondial, în concordanță cu obiectivele pentru un mediu sănătos;</w:t>
      </w:r>
    </w:p>
    <w:p w:rsidR="00E66213" w:rsidRPr="00155681" w:rsidP="00E66213" w14:paraId="3F0DA1AB" w14:textId="77777777">
      <w:pPr>
        <w:pStyle w:val="NormalHanging12a"/>
      </w:pPr>
      <w:r w:rsidRPr="00155681">
        <w:t>T.</w:t>
      </w:r>
      <w:r w:rsidRPr="00155681">
        <w:tab/>
        <w:t>întrucât Parlamentul a subliniat în mod repetat că Comisia nu ar trebui să autorizeze OMG-urile în cazurile în care nu se ajunge la o majoritate calificată a statelor membre în Comitetul permanent pentru plante, animale, produse alimentare și hrană pentru animale sau în comitetul de apel, astfel încât să se rezolve veșnica problemă a deficitului democratic;</w:t>
      </w:r>
    </w:p>
    <w:p w:rsidR="00E66213" w:rsidRPr="00155681" w:rsidP="00E66213" w14:paraId="08FFF697" w14:textId="77777777">
      <w:pPr>
        <w:pStyle w:val="NormalHanging12a"/>
      </w:pPr>
      <w:r w:rsidRPr="00155681">
        <w:t>U.</w:t>
      </w:r>
      <w:r w:rsidRPr="00155681">
        <w:tab/>
        <w:t>întrucât, deși ea însăși recunoaște că procesul democratic lasă de dorit, că nu există suficientă susținere din partea statelor membre și că Parlamentul ridică obiecții, Comisia continuă să autorizeze OMG-uri;</w:t>
      </w:r>
    </w:p>
    <w:p w:rsidR="00E66213" w:rsidRPr="00155681" w:rsidP="00E66213" w14:paraId="5EA3ADAF" w14:textId="77777777">
      <w:pPr>
        <w:pStyle w:val="NormalHanging12a"/>
      </w:pPr>
      <w:r w:rsidRPr="00155681">
        <w:t>V.</w:t>
      </w:r>
      <w:r w:rsidRPr="00155681">
        <w:tab/>
        <w:t>întrucât abordarea de tip „O singură sănătate” presupune a lua în calcul interdependența dintre sănătatea umană, animală, a plantelor și a mediului atunci când se evaluează sustenabilitatea și siguranța pe termen lung a OMG-urilor,</w:t>
      </w:r>
    </w:p>
    <w:p w:rsidR="00E66213" w:rsidRPr="00155681" w:rsidP="00E66213" w14:paraId="484B0092" w14:textId="63B7B4D1">
      <w:pPr>
        <w:pStyle w:val="NormalHanging12a"/>
      </w:pPr>
      <w:r w:rsidRPr="00155681">
        <w:t>1.</w:t>
      </w:r>
      <w:r w:rsidRPr="00155681">
        <w:tab/>
        <w:t xml:space="preserve">consideră că </w:t>
      </w:r>
      <w:r w:rsidRPr="00155681" w:rsidR="006E1726">
        <w:t>D</w:t>
      </w:r>
      <w:r w:rsidRPr="00155681">
        <w:t>ecizi</w:t>
      </w:r>
      <w:r w:rsidRPr="00155681" w:rsidR="006E1726">
        <w:t>a</w:t>
      </w:r>
      <w:r w:rsidRPr="00155681">
        <w:t xml:space="preserve"> de punere în aplicare </w:t>
      </w:r>
      <w:r w:rsidRPr="00155681" w:rsidR="006E1726">
        <w:t xml:space="preserve">(UE) 2026/1419 </w:t>
      </w:r>
      <w:r w:rsidRPr="00155681">
        <w:t xml:space="preserve">a Comisiei depășește competențele de </w:t>
      </w:r>
      <w:r w:rsidRPr="00155681" w:rsidR="000E6C61">
        <w:t>executare</w:t>
      </w:r>
      <w:r w:rsidRPr="00155681">
        <w:t xml:space="preserve"> prevăzute în Regulamentul (CE) nr. 1829/2003;</w:t>
      </w:r>
    </w:p>
    <w:p w:rsidR="00E66213" w:rsidRPr="00155681" w:rsidP="00E66213" w14:paraId="0061AD65" w14:textId="37986DBB">
      <w:pPr>
        <w:pStyle w:val="NormalHanging12a"/>
      </w:pPr>
      <w:r w:rsidRPr="00155681">
        <w:t>2.</w:t>
      </w:r>
      <w:r w:rsidRPr="00155681">
        <w:tab/>
        <w:t xml:space="preserve">consideră că </w:t>
      </w:r>
      <w:r w:rsidRPr="00155681" w:rsidR="006E1726">
        <w:t>D</w:t>
      </w:r>
      <w:r w:rsidRPr="00155681">
        <w:t>ecizi</w:t>
      </w:r>
      <w:r w:rsidRPr="00155681" w:rsidR="006E1726">
        <w:t>a</w:t>
      </w:r>
      <w:r w:rsidRPr="00155681">
        <w:t xml:space="preserve"> de punere în aplicare </w:t>
      </w:r>
      <w:r w:rsidRPr="00155681" w:rsidR="006E1726">
        <w:t xml:space="preserve">(UE) 2026/1419 </w:t>
      </w:r>
      <w:r w:rsidRPr="00155681">
        <w:t xml:space="preserve">a Comisiei nu este </w:t>
      </w:r>
      <w:r w:rsidRPr="00155681" w:rsidR="000E6C61">
        <w:t>conformă</w:t>
      </w:r>
      <w:r w:rsidRPr="00155681">
        <w:t xml:space="preserve"> cu dreptul Uniunii, prin faptul că nu este compatibil cu obiectivul Regulamentului (CE) nr. 1829/2003, care, în conformitate cu principiile generale prevăzute de Regulamentul (CE) nr. 178/2002 al Parlamentului European și al Consiliului</w:t>
      </w:r>
      <w:r>
        <w:rPr>
          <w:vertAlign w:val="superscript"/>
        </w:rPr>
        <w:footnoteReference w:id="19"/>
      </w:r>
      <w:r w:rsidRPr="00155681">
        <w:t>, constă în asigurarea unei baze prin care să se garanteze un nivel ridicat de protecție a vieții și sănătății umane, a sănătății și calității vieții animalelor, a intereselor de mediu și ale consumatorilor în ceea ce privește produsele alimentare și furajele modificate genetic, asigurând, în același timp, funcționarea eficace a pieței interne;</w:t>
      </w:r>
    </w:p>
    <w:p w:rsidR="00E66213" w:rsidRPr="00155681" w:rsidP="00E66213" w14:paraId="3E45B2B0" w14:textId="25A6398A">
      <w:pPr>
        <w:pStyle w:val="NormalHanging12a"/>
      </w:pPr>
      <w:r w:rsidRPr="00155681">
        <w:t>3.</w:t>
      </w:r>
      <w:r w:rsidRPr="00155681">
        <w:tab/>
        <w:t xml:space="preserve">solicită Comisiei să </w:t>
      </w:r>
      <w:r w:rsidRPr="00155681" w:rsidR="00C53751">
        <w:t>abroge</w:t>
      </w:r>
      <w:r w:rsidRPr="00155681">
        <w:t xml:space="preserve"> </w:t>
      </w:r>
      <w:r w:rsidRPr="00155681" w:rsidR="006E1726">
        <w:t>D</w:t>
      </w:r>
      <w:r w:rsidRPr="00155681">
        <w:t>ecizi</w:t>
      </w:r>
      <w:r w:rsidRPr="00155681" w:rsidR="006E1726">
        <w:t>a</w:t>
      </w:r>
      <w:r w:rsidRPr="00155681">
        <w:t xml:space="preserve"> de punere în aplicare</w:t>
      </w:r>
      <w:r w:rsidRPr="00155681" w:rsidR="006E1726">
        <w:t xml:space="preserve"> (UE) 2026/1419</w:t>
      </w:r>
      <w:r w:rsidRPr="00155681" w:rsidR="00C53751">
        <w:t xml:space="preserve"> a Comisiei</w:t>
      </w:r>
      <w:r w:rsidRPr="00155681">
        <w:t>;</w:t>
      </w:r>
    </w:p>
    <w:p w:rsidR="00E66213" w:rsidRPr="00155681" w:rsidP="00E66213" w14:paraId="12E4F038" w14:textId="77777777">
      <w:pPr>
        <w:pStyle w:val="NormalHanging12a"/>
      </w:pPr>
      <w:r w:rsidRPr="00155681">
        <w:t>4.</w:t>
      </w:r>
      <w:r w:rsidRPr="00155681">
        <w:tab/>
        <w:t>invită Comisia să nu autorizeze importul de culturi modificate genetic tolerante la erbicide, din cauza utilizării sporite asociate a erbicidelor complementare și, prin urmare, din cauza riscurilor crescute pentru biodiversitate, siguranța alimentară și sănătatea lucrătorilor;</w:t>
      </w:r>
    </w:p>
    <w:p w:rsidR="00E66213" w:rsidRPr="00155681" w:rsidP="00E66213" w14:paraId="73E053E1" w14:textId="77777777">
      <w:pPr>
        <w:pStyle w:val="NormalHanging12a"/>
      </w:pPr>
      <w:r w:rsidRPr="00155681">
        <w:t>5.</w:t>
      </w:r>
      <w:r w:rsidRPr="00155681">
        <w:tab/>
        <w:t xml:space="preserve">salută faptul că Comisia a recunoscut, în scrisoarea din 11 septembrie 2020 adresată deputaților, că trebuie să se țină seama de sustenabilitate în deciziile de autorizare a </w:t>
      </w:r>
      <w:r w:rsidRPr="00155681">
        <w:t>OMG-urilor</w:t>
      </w:r>
      <w:r>
        <w:rPr>
          <w:vertAlign w:val="superscript"/>
        </w:rPr>
        <w:footnoteReference w:id="20"/>
      </w:r>
      <w:r w:rsidRPr="00155681">
        <w:t>; se declară însă foarte dezamăgit de faptul că, din acel moment, Comisia a continuat să autorizeze importul de OMG-uri în Uniune, deși Parlamentul s-a opus încontinuu, iar majoritatea statelor membre au votat împotrivă;</w:t>
      </w:r>
    </w:p>
    <w:p w:rsidR="00E66213" w:rsidRPr="00155681" w:rsidP="00E66213" w14:paraId="7FFEE023" w14:textId="77777777">
      <w:pPr>
        <w:pStyle w:val="NormalHanging12a"/>
      </w:pPr>
      <w:r w:rsidRPr="00155681">
        <w:t>6.</w:t>
      </w:r>
      <w:r w:rsidRPr="00155681">
        <w:tab/>
        <w:t>îndeamnă din nou Comisia să țină seama de obligațiile Uniunii în temeiul acordurilor internaționale, precum Acordul de la Paris privind schimbările climatice, CBD a ONU și ODD ale ONU; solicită din nou ca proiectele de acte de punere în aplicare să fie însoțite de o expunere de motive în care să se explice modul în care acestea respectă principiul de „a nu aduce prejudicii”</w:t>
      </w:r>
      <w:r>
        <w:rPr>
          <w:vertAlign w:val="superscript"/>
        </w:rPr>
        <w:footnoteReference w:id="21"/>
      </w:r>
      <w:r w:rsidRPr="00155681">
        <w:t>;</w:t>
      </w:r>
    </w:p>
    <w:p w:rsidR="00E66213" w:rsidRPr="00155681" w:rsidP="00E66213" w14:paraId="6FE9933A" w14:textId="77777777">
      <w:pPr>
        <w:pStyle w:val="NormalHanging12a"/>
      </w:pPr>
      <w:r w:rsidRPr="00155681">
        <w:t>7.</w:t>
      </w:r>
      <w:r w:rsidRPr="00155681">
        <w:tab/>
        <w:t>evidențiază că amendamentele adoptate de Parlamentul European la 17 decembrie 2020 cu privire la propunerea de regulament al Parlamentului European și al Consiliului de modificare a Regulamentului (UE) nr. 182/2011</w:t>
      </w:r>
      <w:r>
        <w:rPr>
          <w:vertAlign w:val="superscript"/>
        </w:rPr>
        <w:footnoteReference w:id="22"/>
      </w:r>
      <w:r w:rsidRPr="00155681">
        <w:t>, care au fost adoptate în Parlament ca bază pentru negocierile cu Consiliul, stipulează că Comisia nu autorizează OMG-uri care nu sunt susținute de o majoritate calificată a statelor membre; insistă pe lângă Comisie să respecte această poziție și invită Consiliul să depună în continuare eforturi și să adopte de urgență o abordare generală față de acest dosar;</w:t>
      </w:r>
    </w:p>
    <w:p w:rsidR="00E365E1" w:rsidRPr="00155681" w:rsidP="00155681" w14:paraId="46CDAC9C" w14:textId="3F41BB5E">
      <w:pPr>
        <w:ind w:left="567" w:hanging="567"/>
      </w:pPr>
      <w:r w:rsidRPr="00155681">
        <w:t>8.</w:t>
      </w:r>
      <w:r w:rsidRPr="00155681">
        <w:tab/>
        <w:t>încredințează Președintei sarcina de a transmite prezenta rezoluție Consiliului și Comisiei, precum și guvernelor și parlamentelor statelor membre.</w:t>
      </w:r>
    </w:p>
    <w:sectPr w:rsidSect="00C00F1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F17" w14:paraId="5E6C008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F17" w14:paraId="4B87578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F17" w14:paraId="7B9E999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B7A63" w:rsidRPr="00C00F17" w14:paraId="72C8FB0F" w14:textId="77777777">
      <w:r w:rsidRPr="00C00F17">
        <w:separator/>
      </w:r>
    </w:p>
  </w:footnote>
  <w:footnote w:type="continuationSeparator" w:id="1">
    <w:p w:rsidR="00FB7A63" w:rsidRPr="00C00F17" w14:paraId="789614E1" w14:textId="77777777">
      <w:r w:rsidRPr="00C00F17">
        <w:continuationSeparator/>
      </w:r>
    </w:p>
  </w:footnote>
  <w:footnote w:id="2">
    <w:p w:rsidR="00D00710" w:rsidRPr="00155681" w:rsidP="00D00710" w14:paraId="2879059C" w14:textId="56F56C0B">
      <w:pPr>
        <w:pStyle w:val="FootnoteText"/>
        <w:ind w:left="567" w:hanging="567"/>
        <w:rPr>
          <w:sz w:val="24"/>
          <w:szCs w:val="24"/>
          <w:lang w:val="fi-FI"/>
        </w:rPr>
      </w:pPr>
      <w:r w:rsidRPr="00155681">
        <w:rPr>
          <w:rStyle w:val="FootnoteReference"/>
          <w:sz w:val="24"/>
          <w:szCs w:val="24"/>
        </w:rPr>
        <w:footnoteRef/>
      </w:r>
      <w:r w:rsidRPr="00155681">
        <w:rPr>
          <w:sz w:val="24"/>
          <w:szCs w:val="24"/>
          <w:lang w:val="fi-FI"/>
        </w:rPr>
        <w:t xml:space="preserve"> </w:t>
      </w:r>
      <w:r w:rsidRPr="00155681">
        <w:rPr>
          <w:sz w:val="24"/>
          <w:szCs w:val="24"/>
          <w:lang w:val="fi-FI"/>
        </w:rPr>
        <w:tab/>
      </w:r>
      <w:r w:rsidRPr="00155681">
        <w:rPr>
          <w:color w:val="333333"/>
          <w:sz w:val="24"/>
          <w:szCs w:val="24"/>
          <w:shd w:val="clear" w:color="auto" w:fill="FFFFFF"/>
          <w:lang w:val="fi-FI" w:eastAsia="en-GB"/>
        </w:rPr>
        <w:t>JO L, 2026/1419, 3.7.2026, ELI: </w:t>
      </w:r>
      <w:hyperlink r:id="rId1" w:tgtFrame="_blank" w:tooltip="Dà accesso al documento attraverso il suo URI dell'ELI." w:history="1">
        <w:r w:rsidRPr="00155681">
          <w:rPr>
            <w:color w:val="0E47CB"/>
            <w:sz w:val="24"/>
            <w:szCs w:val="24"/>
            <w:u w:val="single"/>
            <w:lang w:val="fi-FI" w:eastAsia="en-GB"/>
          </w:rPr>
          <w:t>http://data.europa.eu/eli/dec_impl/2026/1419/oj</w:t>
        </w:r>
      </w:hyperlink>
      <w:r w:rsidRPr="00155681">
        <w:rPr>
          <w:color w:val="333333"/>
          <w:sz w:val="24"/>
          <w:szCs w:val="24"/>
          <w:shd w:val="clear" w:color="auto" w:fill="FFFFFF"/>
          <w:lang w:val="fi-FI" w:eastAsia="en-GB"/>
        </w:rPr>
        <w:t>.</w:t>
      </w:r>
    </w:p>
  </w:footnote>
  <w:footnote w:id="3">
    <w:p w:rsidR="00E66213" w:rsidRPr="00C00F17" w:rsidP="00C00F17" w14:paraId="24052B64" w14:textId="382E09A4">
      <w:pPr>
        <w:pStyle w:val="FootnoteText"/>
        <w:ind w:left="567" w:hanging="567"/>
        <w:rPr>
          <w:sz w:val="24"/>
          <w:lang w:val="ro-RO"/>
        </w:rPr>
      </w:pPr>
      <w:r w:rsidRPr="00D00710">
        <w:rPr>
          <w:rStyle w:val="Funotenzeichen"/>
          <w:sz w:val="24"/>
          <w:lang w:val="ro-RO"/>
        </w:rPr>
        <w:footnoteRef/>
      </w:r>
      <w:r w:rsidRPr="00D00710" w:rsidR="00C00F17">
        <w:rPr>
          <w:sz w:val="24"/>
          <w:lang w:val="ro-RO"/>
        </w:rPr>
        <w:t xml:space="preserve"> </w:t>
      </w:r>
      <w:r w:rsidRPr="00D00710" w:rsidR="00C00F17">
        <w:rPr>
          <w:sz w:val="24"/>
          <w:lang w:val="ro-RO"/>
        </w:rPr>
        <w:tab/>
      </w:r>
      <w:r w:rsidRPr="00D00710">
        <w:rPr>
          <w:sz w:val="24"/>
          <w:lang w:val="ro-RO"/>
        </w:rPr>
        <w:t>JO L 268, 18.10.2003, p. 1, ELI: </w:t>
      </w:r>
      <w:hyperlink r:id="rId2" w:tooltip="Oferă acces la acest document prin identificatorul său uniform de resurse ELI." w:history="1">
        <w:r w:rsidRPr="00D00710">
          <w:rPr>
            <w:rStyle w:val="Hyperlink"/>
            <w:sz w:val="24"/>
            <w:lang w:val="ro-RO"/>
          </w:rPr>
          <w:t>http://data.europa.eu/eli/reg/2003/1829/oj</w:t>
        </w:r>
      </w:hyperlink>
      <w:r w:rsidRPr="00C00F17">
        <w:rPr>
          <w:sz w:val="24"/>
          <w:lang w:val="ro-RO"/>
        </w:rPr>
        <w:t>.</w:t>
      </w:r>
    </w:p>
  </w:footnote>
  <w:footnote w:id="4">
    <w:p w:rsidR="00E66213" w:rsidRPr="00C00F17" w:rsidP="00C00F17" w14:paraId="755E5864" w14:textId="322D9E6E">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 xml:space="preserve">JO L 55, 28.2.2011, p. 13, ELI: </w:t>
      </w:r>
      <w:hyperlink r:id="rId3" w:tooltip="http://data.europa.eu/eli/reg/2011/182/oj" w:history="1">
        <w:r w:rsidRPr="00C00F17">
          <w:rPr>
            <w:rStyle w:val="Hyperlink"/>
            <w:sz w:val="24"/>
            <w:lang w:val="ro-RO"/>
          </w:rPr>
          <w:t>http://data.europa.eu/eli/reg/2011/182/oj</w:t>
        </w:r>
      </w:hyperlink>
      <w:r w:rsidRPr="00C00F17">
        <w:rPr>
          <w:sz w:val="24"/>
          <w:lang w:val="ro-RO"/>
        </w:rPr>
        <w:t>.</w:t>
      </w:r>
    </w:p>
  </w:footnote>
  <w:footnote w:id="5">
    <w:p w:rsidR="00E66213" w:rsidRPr="00C00F17" w:rsidP="00C00F17" w14:paraId="3F71F5F4" w14:textId="74FA39E6">
      <w:pPr>
        <w:pStyle w:val="FootnoteText"/>
        <w:ind w:left="567" w:hanging="567"/>
        <w:rPr>
          <w:sz w:val="24"/>
          <w:lang w:val="ro-RO"/>
        </w:rPr>
      </w:pPr>
      <w:r w:rsidRPr="00C00F17">
        <w:rPr>
          <w:rStyle w:val="Funotenzeichen"/>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Avizul științific al Grupului EFSA pentru organismele modificate genetic intitulat „</w:t>
      </w:r>
      <w:r w:rsidRPr="00C00F17">
        <w:rPr>
          <w:sz w:val="24"/>
          <w:lang w:val="ro-RO"/>
        </w:rPr>
        <w:t>Assessment</w:t>
      </w:r>
      <w:r w:rsidRPr="00C00F17">
        <w:rPr>
          <w:sz w:val="24"/>
          <w:lang w:val="ro-RO"/>
        </w:rPr>
        <w:t xml:space="preserve"> of </w:t>
      </w:r>
      <w:r w:rsidRPr="00C00F17">
        <w:rPr>
          <w:sz w:val="24"/>
          <w:lang w:val="ro-RO"/>
        </w:rPr>
        <w:t>genetically</w:t>
      </w:r>
      <w:r w:rsidRPr="00C00F17">
        <w:rPr>
          <w:sz w:val="24"/>
          <w:lang w:val="ro-RO"/>
        </w:rPr>
        <w:t xml:space="preserve"> </w:t>
      </w:r>
      <w:r w:rsidRPr="00C00F17">
        <w:rPr>
          <w:sz w:val="24"/>
          <w:lang w:val="ro-RO"/>
        </w:rPr>
        <w:t>modified</w:t>
      </w:r>
      <w:r w:rsidRPr="00C00F17">
        <w:rPr>
          <w:sz w:val="24"/>
          <w:lang w:val="ro-RO"/>
        </w:rPr>
        <w:t xml:space="preserve"> </w:t>
      </w:r>
      <w:r w:rsidRPr="00C00F17">
        <w:rPr>
          <w:sz w:val="24"/>
          <w:lang w:val="ro-RO"/>
        </w:rPr>
        <w:t>soybean</w:t>
      </w:r>
      <w:r w:rsidRPr="00C00F17">
        <w:rPr>
          <w:sz w:val="24"/>
          <w:lang w:val="ro-RO"/>
        </w:rPr>
        <w:t xml:space="preserve"> MON 87705 (</w:t>
      </w:r>
      <w:r w:rsidRPr="00C00F17">
        <w:rPr>
          <w:sz w:val="24"/>
          <w:lang w:val="ro-RO"/>
        </w:rPr>
        <w:t>application</w:t>
      </w:r>
      <w:r w:rsidRPr="00C00F17">
        <w:rPr>
          <w:sz w:val="24"/>
          <w:lang w:val="ro-RO"/>
        </w:rPr>
        <w:t xml:space="preserve"> GMFF-2023-21236)” [Evaluarea </w:t>
      </w:r>
      <w:r w:rsidRPr="00C00F17">
        <w:rPr>
          <w:sz w:val="24"/>
          <w:lang w:val="ro-RO"/>
        </w:rPr>
        <w:t>soiei</w:t>
      </w:r>
      <w:r w:rsidRPr="00C00F17">
        <w:rPr>
          <w:sz w:val="24"/>
          <w:lang w:val="ro-RO"/>
        </w:rPr>
        <w:t xml:space="preserve"> modificate genetic MON 87705 (dosarul GMFF-2023-21236)], </w:t>
      </w:r>
      <w:r w:rsidRPr="00C00F17">
        <w:rPr>
          <w:i/>
          <w:sz w:val="24"/>
          <w:lang w:val="ro-RO"/>
        </w:rPr>
        <w:t>EFSA Journal</w:t>
      </w:r>
      <w:r w:rsidRPr="00C00F17">
        <w:rPr>
          <w:sz w:val="24"/>
          <w:lang w:val="ro-RO"/>
        </w:rPr>
        <w:t>, 2026</w:t>
      </w:r>
      <w:r w:rsidR="004330ED">
        <w:rPr>
          <w:sz w:val="24"/>
          <w:lang w:val="ro-RO"/>
        </w:rPr>
        <w:t>,</w:t>
      </w:r>
      <w:r w:rsidRPr="00C00F17">
        <w:rPr>
          <w:sz w:val="24"/>
          <w:lang w:val="ro-RO"/>
        </w:rPr>
        <w:t xml:space="preserve"> 24(1):e9846 , </w:t>
      </w:r>
      <w:hyperlink r:id="rId4" w:history="1">
        <w:r w:rsidRPr="00C00F17">
          <w:rPr>
            <w:rStyle w:val="Hyperlink"/>
            <w:sz w:val="24"/>
            <w:lang w:val="ro-RO"/>
          </w:rPr>
          <w:t>https://doi.org/10.2903/j.efsa.2026.9846</w:t>
        </w:r>
      </w:hyperlink>
      <w:r w:rsidRPr="00C00F17">
        <w:rPr>
          <w:rStyle w:val="Hyperlink"/>
          <w:sz w:val="24"/>
          <w:lang w:val="ro-RO"/>
        </w:rPr>
        <w:t>.</w:t>
      </w:r>
    </w:p>
  </w:footnote>
  <w:footnote w:id="6">
    <w:p w:rsidR="00E66213" w:rsidRPr="00C00F17" w:rsidP="00C00F17" w14:paraId="11F574C6" w14:textId="52A8DE9B">
      <w:pPr>
        <w:pStyle w:val="FootnoteText"/>
        <w:ind w:left="567" w:hanging="567"/>
        <w:rPr>
          <w:color w:val="000000" w:themeColor="text1"/>
          <w:sz w:val="24"/>
          <w:vertAlign w:val="superscript"/>
          <w:lang w:val="ro-RO"/>
        </w:rPr>
      </w:pPr>
      <w:r w:rsidRPr="00C00F17">
        <w:rPr>
          <w:rStyle w:val="Funotenzeichen"/>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În cea de a opta legislatură, Parlamentul a adoptat 36 de rezoluții, iar în cea de a noua legislatură, 38 de rezoluții în care se opune autorizării OMG-urilor.</w:t>
      </w:r>
      <w:r w:rsidRPr="00C00F17">
        <w:rPr>
          <w:color w:val="000000" w:themeColor="text1"/>
          <w:sz w:val="24"/>
          <w:lang w:val="ro-RO"/>
        </w:rPr>
        <w:t xml:space="preserve"> În plus, în cea de a zecea legislatură, Parlamentul a adoptat următoarele rezoluții:</w:t>
      </w:r>
    </w:p>
    <w:p w:rsidR="00E66213" w:rsidRPr="00C00F17" w:rsidP="00155681" w14:paraId="108D8F52" w14:textId="3E8C136F">
      <w:pPr>
        <w:pStyle w:val="FootnoteText"/>
        <w:ind w:left="1134" w:hanging="567"/>
        <w:rPr>
          <w:color w:val="000000" w:themeColor="text1"/>
          <w:sz w:val="24"/>
          <w:vertAlign w:val="superscript"/>
          <w:lang w:val="ro-RO"/>
        </w:rPr>
      </w:pPr>
      <w:r w:rsidRPr="00C00F17">
        <w:rPr>
          <w:color w:val="000000" w:themeColor="text1"/>
          <w:sz w:val="24"/>
          <w:lang w:val="ro-RO"/>
        </w:rPr>
        <w:t>–</w:t>
      </w:r>
      <w:r w:rsidRPr="00C00F17">
        <w:rPr>
          <w:color w:val="000000" w:themeColor="text1"/>
          <w:sz w:val="24"/>
          <w:lang w:val="ro-RO"/>
        </w:rPr>
        <w:tab/>
        <w:t>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(JO C, C/2025/1797, 4.4.2025, ELI: </w:t>
      </w:r>
      <w:hyperlink r:id="rId5" w:history="1">
        <w:r w:rsidRPr="00C00F17">
          <w:rPr>
            <w:rStyle w:val="Hyperlink"/>
            <w:sz w:val="24"/>
            <w:lang w:val="ro-RO"/>
          </w:rPr>
          <w:t>http://data.europa.eu/eli/C/2025/1797/oj</w:t>
        </w:r>
      </w:hyperlink>
      <w:r w:rsidRPr="00C00F17">
        <w:rPr>
          <w:color w:val="000000" w:themeColor="text1"/>
          <w:sz w:val="24"/>
          <w:lang w:val="ro-RO"/>
        </w:rPr>
        <w:t>).</w:t>
      </w:r>
    </w:p>
    <w:p w:rsidR="00E66213" w:rsidRPr="00C00F17" w:rsidP="00155681" w14:paraId="21C009E4" w14:textId="04B7FC06">
      <w:pPr>
        <w:pStyle w:val="FootnoteText"/>
        <w:ind w:left="1134" w:hanging="708"/>
        <w:rPr>
          <w:color w:val="000000" w:themeColor="text1"/>
          <w:sz w:val="24"/>
          <w:vertAlign w:val="superscript"/>
          <w:lang w:val="ro-RO"/>
        </w:rPr>
      </w:pPr>
      <w:r w:rsidRPr="00C00F17">
        <w:rPr>
          <w:color w:val="000000" w:themeColor="text1"/>
          <w:sz w:val="24"/>
          <w:lang w:val="ro-RO"/>
        </w:rPr>
        <w:t xml:space="preserve"> </w:t>
      </w:r>
      <w:r w:rsidRPr="00C00F17">
        <w:rPr>
          <w:color w:val="000000" w:themeColor="text1"/>
          <w:sz w:val="24"/>
          <w:lang w:val="ro-RO"/>
        </w:rPr>
        <w:t>–</w:t>
      </w:r>
      <w:r w:rsidR="004330ED">
        <w:rPr>
          <w:color w:val="000000" w:themeColor="text1"/>
          <w:sz w:val="24"/>
          <w:lang w:val="ro-RO"/>
        </w:rPr>
        <w:tab/>
      </w:r>
      <w:r w:rsidRPr="00C00F17">
        <w:rPr>
          <w:color w:val="000000" w:themeColor="text1"/>
          <w:sz w:val="24"/>
          <w:lang w:val="ro-RO"/>
        </w:rPr>
        <w:t>Rezoluția Parlamentului European din 26 noiembrie 2024 referitoare la Decizia de punere în aplicare (UE) 2024/2627 a Comisiei de autorizare a introducerii pe piață a produselor care conțin, constau în sau sunt fabricate din bumbacul modificat genetic COT102, în temeiul Regulamentului (CE) nr. 1829/2003 al Parlamentului European și al Consiliului (JO C, C/2025/1798, 4.4.2025, ELI: </w:t>
      </w:r>
      <w:hyperlink r:id="rId6" w:history="1">
        <w:r w:rsidRPr="00C00F17">
          <w:rPr>
            <w:rStyle w:val="Hyperlink"/>
            <w:sz w:val="24"/>
            <w:lang w:val="ro-RO"/>
          </w:rPr>
          <w:t>http://data.europa.eu/eli/C/2025/1798/oj</w:t>
        </w:r>
      </w:hyperlink>
      <w:r w:rsidRPr="00C00F17">
        <w:rPr>
          <w:color w:val="000000" w:themeColor="text1"/>
          <w:sz w:val="24"/>
          <w:lang w:val="ro-RO"/>
        </w:rPr>
        <w:t>).</w:t>
      </w:r>
    </w:p>
    <w:p w:rsidR="00E66213" w:rsidRPr="00C00F17" w:rsidP="00155681" w14:paraId="5F484625" w14:textId="214C30BF">
      <w:pPr>
        <w:pStyle w:val="FootnoteText"/>
        <w:ind w:left="1134" w:hanging="708"/>
        <w:rPr>
          <w:color w:val="000000" w:themeColor="text1"/>
          <w:sz w:val="24"/>
          <w:vertAlign w:val="superscript"/>
          <w:lang w:val="ro-RO"/>
        </w:rPr>
      </w:pPr>
      <w:r w:rsidRPr="00C00F17">
        <w:rPr>
          <w:color w:val="000000" w:themeColor="text1"/>
          <w:sz w:val="24"/>
          <w:lang w:val="ro-RO"/>
        </w:rPr>
        <w:t xml:space="preserve"> </w:t>
      </w:r>
      <w:r w:rsidRPr="00C00F17">
        <w:rPr>
          <w:color w:val="000000" w:themeColor="text1"/>
          <w:sz w:val="24"/>
          <w:lang w:val="ro-RO"/>
        </w:rPr>
        <w:t>–</w:t>
      </w:r>
      <w:r w:rsidRPr="00C00F17">
        <w:rPr>
          <w:color w:val="000000" w:themeColor="text1"/>
          <w:sz w:val="24"/>
          <w:lang w:val="ro-RO"/>
        </w:rPr>
        <w:tab/>
        <w:t xml:space="preserve">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w:t>
      </w:r>
      <w:r w:rsidRPr="00C00F17">
        <w:rPr>
          <w:color w:val="000000" w:themeColor="text1"/>
          <w:sz w:val="24"/>
          <w:lang w:val="ro-RO"/>
        </w:rPr>
        <w:t>subcombinațiile</w:t>
      </w:r>
      <w:r w:rsidRPr="00C00F17">
        <w:rPr>
          <w:color w:val="000000" w:themeColor="text1"/>
          <w:sz w:val="24"/>
          <w:lang w:val="ro-RO"/>
        </w:rPr>
        <w:t xml:space="preserve"> acestuia, în temeiul Regulamentului (CE) nr. 1829/2003 al Parlamentului European și al Consiliului (JO C, C/2025/1799, 4.4.2025, ELI: </w:t>
      </w:r>
      <w:hyperlink r:id="rId7" w:history="1">
        <w:r w:rsidRPr="00C00F17">
          <w:rPr>
            <w:rStyle w:val="Hyperlink"/>
            <w:sz w:val="24"/>
            <w:lang w:val="ro-RO"/>
          </w:rPr>
          <w:t>http://data.europa.eu/eli/C/2025/1799/oj</w:t>
        </w:r>
      </w:hyperlink>
      <w:r w:rsidRPr="00C00F17">
        <w:rPr>
          <w:color w:val="000000" w:themeColor="text1"/>
          <w:sz w:val="24"/>
          <w:lang w:val="ro-RO"/>
        </w:rPr>
        <w:t>).</w:t>
      </w:r>
    </w:p>
    <w:p w:rsidR="00E66213" w:rsidRPr="00C00F17" w:rsidP="00155681" w14:paraId="72B7DCDE" w14:textId="02F6DC91">
      <w:pPr>
        <w:pStyle w:val="FootnoteText"/>
        <w:ind w:left="1134" w:hanging="708"/>
        <w:rPr>
          <w:color w:val="000000" w:themeColor="text1"/>
          <w:sz w:val="24"/>
          <w:vertAlign w:val="superscript"/>
          <w:lang w:val="ro-RO"/>
        </w:rPr>
      </w:pPr>
      <w:r w:rsidRPr="00C00F17">
        <w:rPr>
          <w:color w:val="000000" w:themeColor="text1"/>
          <w:sz w:val="24"/>
          <w:lang w:val="ro-RO"/>
        </w:rPr>
        <w:t xml:space="preserve"> </w:t>
      </w:r>
      <w:r w:rsidRPr="00C00F17">
        <w:rPr>
          <w:color w:val="000000" w:themeColor="text1"/>
          <w:sz w:val="24"/>
          <w:lang w:val="ro-RO"/>
        </w:rPr>
        <w:t>–</w:t>
      </w:r>
      <w:r w:rsidRPr="00C00F17">
        <w:rPr>
          <w:color w:val="000000" w:themeColor="text1"/>
          <w:sz w:val="24"/>
          <w:lang w:val="ro-RO"/>
        </w:rPr>
        <w:tab/>
        <w:t>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8" w:history="1">
        <w:r w:rsidRPr="00C00F17">
          <w:rPr>
            <w:rStyle w:val="Hyperlink"/>
            <w:sz w:val="24"/>
            <w:lang w:val="ro-RO"/>
          </w:rPr>
          <w:t>http://data.europa.eu/eli/C/2025/1800/oj</w:t>
        </w:r>
      </w:hyperlink>
      <w:r w:rsidRPr="00C00F17">
        <w:rPr>
          <w:color w:val="000000" w:themeColor="text1"/>
          <w:sz w:val="24"/>
          <w:lang w:val="ro-RO"/>
        </w:rPr>
        <w:t>).</w:t>
      </w:r>
    </w:p>
    <w:p w:rsidR="00E66213" w:rsidRPr="00C00F17" w:rsidP="00155681" w14:paraId="12A13247" w14:textId="03C9BF74">
      <w:pPr>
        <w:pStyle w:val="FootnoteText"/>
        <w:ind w:left="1134" w:hanging="708"/>
        <w:rPr>
          <w:color w:val="000000" w:themeColor="text1"/>
          <w:sz w:val="24"/>
          <w:vertAlign w:val="superscript"/>
          <w:lang w:val="ro-RO"/>
        </w:rPr>
      </w:pPr>
      <w:r w:rsidRPr="00C00F17">
        <w:rPr>
          <w:color w:val="000000" w:themeColor="text1"/>
          <w:sz w:val="24"/>
          <w:lang w:val="ro-RO"/>
        </w:rPr>
        <w:t xml:space="preserve"> </w:t>
      </w:r>
      <w:r w:rsidRPr="00C00F17">
        <w:rPr>
          <w:color w:val="000000" w:themeColor="text1"/>
          <w:sz w:val="24"/>
          <w:lang w:val="ro-RO"/>
        </w:rPr>
        <w:t>–</w:t>
      </w:r>
      <w:r w:rsidRPr="00C00F17">
        <w:rPr>
          <w:color w:val="000000" w:themeColor="text1"/>
          <w:sz w:val="24"/>
          <w:lang w:val="ro-RO"/>
        </w:rPr>
        <w:tab/>
        <w:t>Rezoluția Parlamentului European din 26 noiembrie 2024 referitoare la Decizia de punere în aplicare (UE) 2024/182</w:t>
      </w:r>
      <w:r w:rsidR="00D007FB">
        <w:rPr>
          <w:color w:val="000000" w:themeColor="text1"/>
          <w:sz w:val="24"/>
          <w:lang w:val="ro-RO"/>
        </w:rPr>
        <w:t>2</w:t>
      </w:r>
      <w:r w:rsidRPr="00C00F17">
        <w:rPr>
          <w:color w:val="000000" w:themeColor="text1"/>
          <w:sz w:val="24"/>
          <w:lang w:val="ro-RO"/>
        </w:rPr>
        <w:t xml:space="preserve"> a Comisiei de autorizare a introducerii pe piață a produselor care conțin, constau în sau sunt fabricate din porumb modificat genetic DP915635, în temeiul Regulamentului (CE) nr. 1829/2003 al Parlamentului European și al Consiliului (JO C, C/2025/1801, 4.4.2025, ELI: </w:t>
      </w:r>
      <w:hyperlink r:id="rId9" w:history="1">
        <w:r w:rsidRPr="00C00F17">
          <w:rPr>
            <w:rStyle w:val="Hyperlink"/>
            <w:sz w:val="24"/>
            <w:lang w:val="ro-RO"/>
          </w:rPr>
          <w:t>http://data.europa.eu/eli/C/2025/1801/oj</w:t>
        </w:r>
      </w:hyperlink>
      <w:r w:rsidRPr="00C00F17">
        <w:rPr>
          <w:color w:val="000000" w:themeColor="text1"/>
          <w:sz w:val="24"/>
          <w:lang w:val="ro-RO"/>
        </w:rPr>
        <w:t>).</w:t>
      </w:r>
    </w:p>
    <w:p w:rsidR="00E66213" w:rsidRPr="00C00F17" w:rsidP="00155681" w14:paraId="4D128A8F" w14:textId="4BAB95E5">
      <w:pPr>
        <w:pStyle w:val="FootnoteText"/>
        <w:ind w:left="1134" w:hanging="708"/>
        <w:rPr>
          <w:color w:val="000000" w:themeColor="text1"/>
          <w:sz w:val="24"/>
          <w:vertAlign w:val="superscript"/>
          <w:lang w:val="ro-RO"/>
        </w:rPr>
      </w:pPr>
      <w:r w:rsidRPr="00C00F17">
        <w:rPr>
          <w:color w:val="000000" w:themeColor="text1"/>
          <w:sz w:val="24"/>
          <w:lang w:val="ro-RO"/>
        </w:rPr>
        <w:t xml:space="preserve"> </w:t>
      </w:r>
      <w:r w:rsidRPr="00C00F17">
        <w:rPr>
          <w:color w:val="000000" w:themeColor="text1"/>
          <w:sz w:val="24"/>
          <w:lang w:val="ro-RO"/>
        </w:rPr>
        <w:t>–</w:t>
      </w:r>
      <w:r w:rsidRPr="00C00F17">
        <w:rPr>
          <w:color w:val="000000" w:themeColor="text1"/>
          <w:sz w:val="24"/>
          <w:lang w:val="ro-RO"/>
        </w:rPr>
        <w:tab/>
        <w:t>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10" w:history="1">
        <w:r w:rsidRPr="00C00F17">
          <w:rPr>
            <w:rStyle w:val="Hyperlink"/>
            <w:sz w:val="24"/>
            <w:lang w:val="ro-RO"/>
          </w:rPr>
          <w:t>http://data.europa.eu/eli/C/2025/1802/oj</w:t>
        </w:r>
      </w:hyperlink>
      <w:r w:rsidRPr="00C00F17">
        <w:rPr>
          <w:color w:val="000000" w:themeColor="text1"/>
          <w:sz w:val="24"/>
          <w:lang w:val="ro-RO"/>
        </w:rPr>
        <w:t>).</w:t>
      </w:r>
    </w:p>
    <w:p w:rsidR="00E66213" w:rsidRPr="00C00F17" w:rsidP="00155681" w14:paraId="5B5A75B3" w14:textId="10A23E79">
      <w:pPr>
        <w:pStyle w:val="FootnoteText"/>
        <w:ind w:left="1134" w:hanging="567"/>
        <w:rPr>
          <w:color w:val="000000" w:themeColor="text1"/>
          <w:sz w:val="24"/>
          <w:vertAlign w:val="superscript"/>
          <w:lang w:val="ro-RO"/>
        </w:rPr>
      </w:pPr>
      <w:r w:rsidRPr="00C00F17">
        <w:rPr>
          <w:color w:val="000000" w:themeColor="text1"/>
          <w:sz w:val="24"/>
          <w:lang w:val="ro-RO"/>
        </w:rPr>
        <w:t xml:space="preserve"> </w:t>
      </w:r>
      <w:r w:rsidRPr="00C00F17">
        <w:rPr>
          <w:color w:val="000000" w:themeColor="text1"/>
          <w:sz w:val="24"/>
          <w:lang w:val="ro-RO"/>
        </w:rPr>
        <w:t>–</w:t>
      </w:r>
      <w:r w:rsidRPr="00C00F17">
        <w:rPr>
          <w:color w:val="000000" w:themeColor="text1"/>
          <w:sz w:val="24"/>
          <w:lang w:val="ro-RO"/>
        </w:rPr>
        <w:tab/>
        <w:t>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1" w:history="1">
        <w:r w:rsidRPr="00C00F17">
          <w:rPr>
            <w:rStyle w:val="Hyperlink"/>
            <w:sz w:val="24"/>
            <w:lang w:val="ro-RO"/>
          </w:rPr>
          <w:t>http://data.europa.eu/eli/C/2025/1803/oj</w:t>
        </w:r>
      </w:hyperlink>
      <w:r w:rsidRPr="00C00F17">
        <w:rPr>
          <w:color w:val="000000" w:themeColor="text1"/>
          <w:sz w:val="24"/>
          <w:lang w:val="ro-RO"/>
        </w:rPr>
        <w:t>).</w:t>
      </w:r>
    </w:p>
    <w:p w:rsidR="00E66213" w:rsidRPr="00C00F17" w:rsidP="00155681" w14:paraId="3862477E" w14:textId="3B4357FD">
      <w:pPr>
        <w:pStyle w:val="FootnoteText"/>
        <w:ind w:left="1134" w:hanging="567"/>
        <w:rPr>
          <w:color w:val="000000" w:themeColor="text1"/>
          <w:sz w:val="24"/>
          <w:vertAlign w:val="superscript"/>
          <w:lang w:val="ro-RO"/>
        </w:rPr>
      </w:pPr>
      <w:r w:rsidRPr="00C00F17">
        <w:rPr>
          <w:color w:val="000000" w:themeColor="text1"/>
          <w:sz w:val="24"/>
          <w:lang w:val="ro-RO"/>
        </w:rPr>
        <w:t xml:space="preserve"> </w:t>
      </w:r>
      <w:r w:rsidRPr="00C00F17">
        <w:rPr>
          <w:color w:val="000000" w:themeColor="text1"/>
          <w:sz w:val="24"/>
          <w:lang w:val="ro-RO"/>
        </w:rPr>
        <w:t>–</w:t>
      </w:r>
      <w:r w:rsidRPr="00C00F17">
        <w:rPr>
          <w:color w:val="000000" w:themeColor="text1"/>
          <w:sz w:val="24"/>
          <w:lang w:val="ro-RO"/>
        </w:rPr>
        <w:tab/>
        <w:t>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2" w:history="1">
        <w:r w:rsidRPr="00C00F17">
          <w:rPr>
            <w:rStyle w:val="Hyperlink"/>
            <w:sz w:val="24"/>
            <w:lang w:val="ro-RO"/>
          </w:rPr>
          <w:t>http://data.europa.eu/eli/C/2025/1804/oj</w:t>
        </w:r>
      </w:hyperlink>
      <w:r w:rsidRPr="00C00F17">
        <w:rPr>
          <w:color w:val="000000" w:themeColor="text1"/>
          <w:sz w:val="24"/>
          <w:lang w:val="ro-RO"/>
        </w:rPr>
        <w:t>).</w:t>
      </w:r>
    </w:p>
    <w:p w:rsidR="00E66213" w:rsidRPr="00C00F17" w:rsidP="00155681" w14:paraId="2D5D8318" w14:textId="219348F2">
      <w:pPr>
        <w:pStyle w:val="FootnoteText"/>
        <w:ind w:left="1134" w:hanging="567"/>
        <w:rPr>
          <w:sz w:val="24"/>
          <w:vertAlign w:val="superscript"/>
          <w:lang w:val="ro-RO"/>
        </w:rPr>
      </w:pPr>
      <w:r w:rsidRPr="00C00F17">
        <w:rPr>
          <w:color w:val="000000" w:themeColor="text1"/>
          <w:sz w:val="24"/>
          <w:lang w:val="ro-RO"/>
        </w:rPr>
        <w:t xml:space="preserve"> </w:t>
      </w:r>
      <w:r w:rsidRPr="00C00F17">
        <w:rPr>
          <w:color w:val="000000" w:themeColor="text1"/>
          <w:sz w:val="24"/>
          <w:lang w:val="ro-RO"/>
        </w:rPr>
        <w:t>–</w:t>
      </w:r>
      <w:r w:rsidRPr="00C00F17">
        <w:rPr>
          <w:color w:val="000000" w:themeColor="text1"/>
          <w:sz w:val="24"/>
          <w:lang w:val="ro-RO"/>
        </w:rPr>
        <w:tab/>
      </w:r>
      <w:r w:rsidRPr="00C00F17">
        <w:rPr>
          <w:sz w:val="24"/>
          <w:lang w:val="ro-RO"/>
        </w:rPr>
        <w:t>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13" w:tooltip="Oferă acces la acest document prin identificatorul său uniform de resurse ELI." w:history="1">
        <w:r w:rsidRPr="00C00F17">
          <w:rPr>
            <w:rStyle w:val="Hyperlink"/>
            <w:sz w:val="24"/>
            <w:lang w:val="ro-RO"/>
          </w:rPr>
          <w:t>http://data.europa.eu/eli/C/2025/2246/oj</w:t>
        </w:r>
      </w:hyperlink>
      <w:r w:rsidRPr="00C00F17">
        <w:rPr>
          <w:sz w:val="24"/>
          <w:lang w:val="ro-RO"/>
        </w:rPr>
        <w:t>).</w:t>
      </w:r>
    </w:p>
    <w:p w:rsidR="00E66213" w:rsidRPr="00C00F17" w:rsidP="00155681" w14:paraId="777AECC8" w14:textId="2A62430F">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4" w:tooltip="Oferă acces la acest document prin identificatorul său uniform de resurse ELI." w:history="1">
        <w:r w:rsidRPr="00C00F17">
          <w:rPr>
            <w:rStyle w:val="Hyperlink"/>
            <w:sz w:val="24"/>
            <w:lang w:val="ro-RO"/>
          </w:rPr>
          <w:t>http://data.europa.eu/eli/C/2025/2247/oj</w:t>
        </w:r>
      </w:hyperlink>
      <w:r w:rsidRPr="00C00F17">
        <w:rPr>
          <w:sz w:val="24"/>
          <w:lang w:val="ro-RO"/>
        </w:rPr>
        <w:t>).</w:t>
      </w:r>
    </w:p>
    <w:p w:rsidR="00E66213" w:rsidRPr="00C00F17" w:rsidP="00155681" w14:paraId="41DAB648" w14:textId="16B35372">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(JO C, C/2026/586, 24.2.2026, ELI: </w:t>
      </w:r>
      <w:hyperlink r:id="rId15" w:tooltip="Oferă acces la acest document prin identificatorul său uniform de resurse ELI." w:history="1">
        <w:r w:rsidRPr="00C00F17">
          <w:rPr>
            <w:rStyle w:val="Hyperlink"/>
            <w:sz w:val="24"/>
            <w:lang w:val="ro-RO"/>
          </w:rPr>
          <w:t>http://data.europa.eu/eli/C/2026/586/oj</w:t>
        </w:r>
      </w:hyperlink>
      <w:r w:rsidRPr="00C00F17">
        <w:rPr>
          <w:sz w:val="24"/>
          <w:lang w:val="ro-RO"/>
        </w:rPr>
        <w:t>).</w:t>
      </w:r>
    </w:p>
    <w:p w:rsidR="00E66213" w:rsidRPr="00C00F17" w:rsidP="00155681" w14:paraId="7E8FCB48" w14:textId="7C81368F">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 xml:space="preserve">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(JO C, C/2026/1523, </w:t>
      </w:r>
      <w:r w:rsidR="00D007FB">
        <w:rPr>
          <w:sz w:val="24"/>
          <w:lang w:val="ro-RO"/>
        </w:rPr>
        <w:t>15</w:t>
      </w:r>
      <w:r w:rsidRPr="00C00F17">
        <w:rPr>
          <w:sz w:val="24"/>
          <w:lang w:val="ro-RO"/>
        </w:rPr>
        <w:t>.4.202</w:t>
      </w:r>
      <w:r w:rsidR="00D007FB">
        <w:rPr>
          <w:sz w:val="24"/>
          <w:lang w:val="ro-RO"/>
        </w:rPr>
        <w:t>6</w:t>
      </w:r>
      <w:r w:rsidRPr="00C00F17">
        <w:rPr>
          <w:sz w:val="24"/>
          <w:lang w:val="ro-RO"/>
        </w:rPr>
        <w:t>, ELI: </w:t>
      </w:r>
      <w:hyperlink r:id="rId16" w:history="1">
        <w:r w:rsidRPr="00C00F17">
          <w:rPr>
            <w:rStyle w:val="Hyperlink"/>
            <w:sz w:val="24"/>
            <w:lang w:val="ro-RO"/>
          </w:rPr>
          <w:t>http://data.europa.eu/eli/C/2026/1523/oj</w:t>
        </w:r>
      </w:hyperlink>
      <w:r w:rsidRPr="00C00F17">
        <w:rPr>
          <w:sz w:val="24"/>
          <w:lang w:val="ro-RO"/>
        </w:rPr>
        <w:t>).</w:t>
      </w:r>
    </w:p>
    <w:p w:rsidR="00E66213" w:rsidRPr="00C00F17" w:rsidP="00155681" w14:paraId="6D769545" w14:textId="03EF1913">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 (JO C, C/2026/1703, 24.4.2026, ELI: </w:t>
      </w:r>
      <w:hyperlink r:id="rId17" w:history="1">
        <w:r w:rsidRPr="00C00F17">
          <w:rPr>
            <w:rStyle w:val="Hyperlink"/>
            <w:sz w:val="24"/>
            <w:lang w:val="ro-RO"/>
          </w:rPr>
          <w:t>http://data.europa.eu/eli/C/2026/1703/oj</w:t>
        </w:r>
      </w:hyperlink>
      <w:r w:rsidRPr="00C00F17">
        <w:rPr>
          <w:sz w:val="24"/>
          <w:lang w:val="ro-RO"/>
        </w:rPr>
        <w:t>).</w:t>
      </w:r>
    </w:p>
    <w:p w:rsidR="00E66213" w:rsidRPr="00C00F17" w:rsidP="00155681" w14:paraId="79496BAD" w14:textId="06A19EFC">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bumbac modificat genetic MON 88913 (MON-88913-8), în temeiul Regulamentului (CE) nr. 1829/2003 al Parlamentului European și al Consiliului (JO C, C/2026/1704, 24.4.2026, ELI: </w:t>
      </w:r>
      <w:hyperlink r:id="rId18" w:history="1">
        <w:r w:rsidRPr="00C00F17">
          <w:rPr>
            <w:rStyle w:val="Hyperlink"/>
            <w:sz w:val="24"/>
            <w:lang w:val="ro-RO"/>
          </w:rPr>
          <w:t>http://data.europa.eu/eli/C/2026/1704/oj</w:t>
        </w:r>
      </w:hyperlink>
      <w:r w:rsidRPr="00C00F17">
        <w:rPr>
          <w:sz w:val="24"/>
          <w:lang w:val="ro-RO"/>
        </w:rPr>
        <w:t>).</w:t>
      </w:r>
    </w:p>
    <w:p w:rsidR="00E66213" w:rsidRPr="00C00F17" w:rsidP="00155681" w14:paraId="10B4D68B" w14:textId="015CDC0D">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(JO C, C/2026/1705, 24.4.2026, ELI: </w:t>
      </w:r>
      <w:hyperlink r:id="rId19" w:history="1">
        <w:r w:rsidRPr="00C00F17">
          <w:rPr>
            <w:rStyle w:val="Hyperlink"/>
            <w:sz w:val="24"/>
            <w:lang w:val="ro-RO"/>
          </w:rPr>
          <w:t>http://data.europa.eu/eli/C/2026/1705/oj</w:t>
        </w:r>
      </w:hyperlink>
      <w:r w:rsidRPr="00C00F17">
        <w:rPr>
          <w:sz w:val="24"/>
          <w:lang w:val="ro-RO"/>
        </w:rPr>
        <w:t>).</w:t>
      </w:r>
    </w:p>
    <w:p w:rsidR="00E66213" w:rsidRPr="00C00F17" w:rsidP="00155681" w14:paraId="04974E5E" w14:textId="6272A288">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 (JO C, C/2026/1706, 24.4.2026, ELI: </w:t>
      </w:r>
      <w:hyperlink r:id="rId20" w:history="1">
        <w:r w:rsidRPr="00C00F17">
          <w:rPr>
            <w:rStyle w:val="Hyperlink"/>
            <w:sz w:val="24"/>
            <w:lang w:val="ro-RO"/>
          </w:rPr>
          <w:t>http://data.europa.eu/eli/C/2026/1706/oj</w:t>
        </w:r>
      </w:hyperlink>
      <w:r w:rsidRPr="00C00F17">
        <w:rPr>
          <w:sz w:val="24"/>
          <w:lang w:val="ro-RO"/>
        </w:rPr>
        <w:t>).</w:t>
      </w:r>
    </w:p>
    <w:p w:rsidR="00E66213" w:rsidRPr="00C00F17" w:rsidP="00155681" w14:paraId="3BA624A5" w14:textId="62D22401">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25 noiembrie 2025 referitoare la proiectul de decizie de punere în aplicare a Comisiei privind reînnoirea autorizației pentru introducerea pe piață a produselor care conțin, sunt compuse sau fabricate din porumb modificat genetic MON 87427, în temeiul Regulamentului (CE) nr. 1829/2003 al Parlamentului European și al Consiliului (JO C, C/2026/1707, 24.4.2026, ELI: </w:t>
      </w:r>
      <w:hyperlink r:id="rId21" w:history="1">
        <w:r w:rsidRPr="00C00F17">
          <w:rPr>
            <w:rStyle w:val="Hyperlink"/>
            <w:sz w:val="24"/>
            <w:lang w:val="ro-RO"/>
          </w:rPr>
          <w:t>http://data.europa.eu/eli/C/2026/1707/oj</w:t>
        </w:r>
      </w:hyperlink>
      <w:r w:rsidRPr="00C00F17">
        <w:rPr>
          <w:sz w:val="24"/>
          <w:lang w:val="ro-RO"/>
        </w:rPr>
        <w:t>).</w:t>
      </w:r>
    </w:p>
    <w:p w:rsidR="00E66213" w:rsidRPr="00C00F17" w:rsidP="00155681" w14:paraId="6FD8A621" w14:textId="32BC358C">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16 decembrie 2025 referitoare la proiectul de decizie de punere în aplicare a Comisiei privind reînnoirea autorizației pentru introducerea pe piață a produselor care conțin, sunt compuse sau fabricate din porumb modificat genetic NK603, în temeiul Regulamentului (CE) nr. 1829/2003 al Parlamentului European și al Consiliului (JO C, C/2026/2150, 6.5.2026, ELI: </w:t>
      </w:r>
      <w:hyperlink r:id="rId22" w:history="1">
        <w:r w:rsidRPr="00C00F17">
          <w:rPr>
            <w:rStyle w:val="Hyperlink"/>
            <w:sz w:val="24"/>
            <w:lang w:val="ro-RO"/>
          </w:rPr>
          <w:t>http://data.europa.eu/eli/C/2026/2150/oj</w:t>
        </w:r>
      </w:hyperlink>
      <w:r w:rsidRPr="00C00F17">
        <w:rPr>
          <w:sz w:val="24"/>
          <w:lang w:val="ro-RO"/>
        </w:rPr>
        <w:t>).</w:t>
      </w:r>
    </w:p>
    <w:p w:rsidR="00E66213" w:rsidRPr="00C00F17" w:rsidP="00155681" w14:paraId="656A382C" w14:textId="795F0702">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16 decembrie 2025 referitoare la proiectul de decizie de punere în aplicare a Comisiei de autorizare a introducerii pe piață a produselor care conțin, sunt compuse sau fabricate din sfeclă de zahăr modificată genetic KWS20-1, în temeiul Regulamentului (CE) nr. 1829/2003 al Parlamentului European și al Consiliului (JO C, C/2026/2151, 6.5.2026, ELI: </w:t>
      </w:r>
      <w:hyperlink r:id="rId23" w:history="1">
        <w:r w:rsidRPr="00C00F17">
          <w:rPr>
            <w:rStyle w:val="Hyperlink"/>
            <w:sz w:val="24"/>
            <w:lang w:val="ro-RO"/>
          </w:rPr>
          <w:t>http://data.europa.eu/eli/C/2026/2151/oj</w:t>
        </w:r>
      </w:hyperlink>
      <w:r w:rsidRPr="00C00F17">
        <w:rPr>
          <w:sz w:val="24"/>
          <w:lang w:val="ro-RO"/>
        </w:rPr>
        <w:t>).</w:t>
      </w:r>
    </w:p>
    <w:p w:rsidR="00E66213" w:rsidRPr="00C00F17" w:rsidP="00155681" w14:paraId="36F9D750" w14:textId="4D9CDF0C">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11 februarie 2026 referitoare la proiectul de decizie de punere în aplicare a Comisiei de autorizare a introducerii pe piață a produselor care conțin, constau în sau sunt fabricate din soia modificată genetic DBN-09004-6, în temeiul Regulamentului (CE) nr. 1829/2003 al Parlamentului European și al Consiliului (Texte adoptate, P10_TA(2026)0041).</w:t>
      </w:r>
    </w:p>
    <w:p w:rsidR="00E66213" w:rsidRPr="00C00F17" w:rsidP="00155681" w14:paraId="29C5DE0C" w14:textId="1625AB00">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11 februarie 2026 referitoare la proiectul de decizie de punere în aplicare a Comisiei privind reînnoirea autorizației pentru introducerea pe piață a produselor care conțin, sunt compuse sau fabricate din porumb modificat genetic T25 (ACS-ZMØØ3-2), în temeiul Regulamentului (CE) nr. 1829/2003 al Parlamentului European și al Consiliului (Texte adoptate, P10_TA(2026)0042).</w:t>
      </w:r>
    </w:p>
    <w:p w:rsidR="00E66213" w:rsidRPr="00C00F17" w:rsidP="00155681" w14:paraId="26E43EDD" w14:textId="3E1DD819">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11 februarie 2026 referitoare la proiectul de decizie de punere în aplicare a Comisiei privind reînnoirea autorizației pentru introducerea pe piață a produselor care conțin, sunt compuse sau fabricate din bumbac modificat genetic GHB614 × LLCotton25, în temeiul Regulamentului (CE) nr. 1829/2003 al Parlamentului European și al Consiliului (Texte adoptate, P10_TA(2026)0043).</w:t>
      </w:r>
    </w:p>
    <w:p w:rsidR="00E66213" w:rsidRPr="00C00F17" w:rsidP="00155681" w14:paraId="1D4C6939" w14:textId="19F7FA4C">
      <w:pPr>
        <w:pStyle w:val="FootnoteText"/>
        <w:ind w:left="1134" w:hanging="567"/>
        <w:rPr>
          <w:sz w:val="24"/>
          <w:vertAlign w:val="superscript"/>
          <w:lang w:val="ro-RO"/>
        </w:rPr>
      </w:pPr>
      <w:r w:rsidRPr="00C00F17">
        <w:rPr>
          <w:sz w:val="24"/>
          <w:lang w:val="ro-RO"/>
        </w:rPr>
        <w:t xml:space="preserve"> </w:t>
      </w:r>
      <w:r w:rsidRPr="00C00F17">
        <w:rPr>
          <w:sz w:val="24"/>
          <w:lang w:val="ro-RO"/>
        </w:rPr>
        <w:t>–</w:t>
      </w:r>
      <w:r w:rsidRPr="00C00F17">
        <w:rPr>
          <w:sz w:val="24"/>
          <w:lang w:val="ro-RO"/>
        </w:rPr>
        <w:tab/>
        <w:t>Rezoluția Parlamentului European din 11 februarie 2026 referitoare la proiectul de decizie de punere în aplicare a Comisiei privind reînnoirea autorizației pentru introducerea pe piață a produselor care conțin, sunt compuse sau fabricate din bumbac modificat genetic T304-40, în temeiul Regulamentului (CE) nr. 1829/2003 al Parlamentului European și al Consiliului (Texte adoptate, P10_TA(2026)0044).</w:t>
      </w:r>
    </w:p>
    <w:p w:rsidR="00E66213" w:rsidRPr="00C00F17" w:rsidP="00155681" w14:paraId="176D6762" w14:textId="031B2732">
      <w:pPr>
        <w:pStyle w:val="FootnoteText"/>
        <w:ind w:left="1134" w:hanging="567"/>
        <w:rPr>
          <w:sz w:val="24"/>
          <w:lang w:val="ro-RO"/>
        </w:rPr>
      </w:pPr>
      <w:r w:rsidRPr="00C00F17">
        <w:rPr>
          <w:sz w:val="24"/>
          <w:lang w:val="ro-RO"/>
        </w:rPr>
        <w:t>–</w:t>
      </w:r>
      <w:r w:rsidRPr="00C00F17">
        <w:rPr>
          <w:sz w:val="24"/>
          <w:lang w:val="ro-RO"/>
        </w:rPr>
        <w:tab/>
        <w:t xml:space="preserve">Rezoluția Parlamentului European din 29 aprilie 2026 referitoare la proiectul de decizie de punere în aplicare a Comisiei de autorizare a introducerii pe piață a produselor care conțin, </w:t>
      </w:r>
      <w:r w:rsidRPr="004E454A" w:rsidR="004E454A">
        <w:rPr>
          <w:sz w:val="24"/>
          <w:lang w:val="ro-RO"/>
        </w:rPr>
        <w:t xml:space="preserve">sunt compuse sau fabricate </w:t>
      </w:r>
      <w:r w:rsidRPr="00C00F17">
        <w:rPr>
          <w:sz w:val="24"/>
          <w:lang w:val="ro-RO"/>
        </w:rPr>
        <w:t>din soia modificată genetic MON 94637, în temeiul Regulamentului (CE) nr. 1829/2003 al Parlamentului European și al Consiliului (Texte adoptate, P10_TA(2026)0150).</w:t>
      </w:r>
    </w:p>
  </w:footnote>
  <w:footnote w:id="7">
    <w:p w:rsidR="00E66213" w:rsidRPr="00C00F17" w:rsidP="00C00F17" w14:paraId="5B23CC81" w14:textId="4E116EEE">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Decizia de punere în aplicare (UE) 2015/696 a Comisiei din 24 aprilie 2015 de autorizare a introducerii pe piață a produselor care conțin, constau în sau sunt fabricate din soia modificată genetic MON 87705 (MON-877Ø5-6), în temeiul Regulamentului (CE) nr. 1829/2003 al Parlamentului European și al Consiliului (JO L 112, 30.4.2015, p. 60, ELI: </w:t>
      </w:r>
      <w:hyperlink r:id="rId24" w:history="1">
        <w:r w:rsidRPr="00C00F17">
          <w:rPr>
            <w:rStyle w:val="Hyperlink"/>
            <w:sz w:val="24"/>
            <w:lang w:val="ro-RO"/>
          </w:rPr>
          <w:t>http://data.europa.eu/eli/dec_impl/2015/696/2021-02-16</w:t>
        </w:r>
      </w:hyperlink>
      <w:r w:rsidRPr="00C00F17">
        <w:rPr>
          <w:sz w:val="24"/>
          <w:lang w:val="ro-RO"/>
        </w:rPr>
        <w:t>).</w:t>
      </w:r>
    </w:p>
  </w:footnote>
  <w:footnote w:id="8">
    <w:p w:rsidR="00E66213" w:rsidRPr="00C00F17" w:rsidP="00C00F17" w14:paraId="076949A8" w14:textId="6C18C36D">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Aviz științific al Grupului EFSA pentru organismele modificate genetic intitulat „</w:t>
      </w:r>
      <w:r w:rsidRPr="00C00F17">
        <w:rPr>
          <w:sz w:val="24"/>
          <w:lang w:val="ro-RO"/>
        </w:rPr>
        <w:t>Assessment</w:t>
      </w:r>
      <w:r w:rsidRPr="00C00F17">
        <w:rPr>
          <w:sz w:val="24"/>
          <w:lang w:val="ro-RO"/>
        </w:rPr>
        <w:t xml:space="preserve"> of </w:t>
      </w:r>
      <w:r w:rsidRPr="00C00F17">
        <w:rPr>
          <w:sz w:val="24"/>
          <w:lang w:val="ro-RO"/>
        </w:rPr>
        <w:t>genetically</w:t>
      </w:r>
      <w:r w:rsidRPr="00C00F17">
        <w:rPr>
          <w:sz w:val="24"/>
          <w:lang w:val="ro-RO"/>
        </w:rPr>
        <w:t xml:space="preserve"> </w:t>
      </w:r>
      <w:r w:rsidRPr="00C00F17">
        <w:rPr>
          <w:sz w:val="24"/>
          <w:lang w:val="ro-RO"/>
        </w:rPr>
        <w:t>modified</w:t>
      </w:r>
      <w:r w:rsidRPr="00C00F17">
        <w:rPr>
          <w:sz w:val="24"/>
          <w:lang w:val="ro-RO"/>
        </w:rPr>
        <w:t xml:space="preserve"> </w:t>
      </w:r>
      <w:r w:rsidRPr="00C00F17">
        <w:rPr>
          <w:sz w:val="24"/>
          <w:lang w:val="ro-RO"/>
        </w:rPr>
        <w:t>soybean</w:t>
      </w:r>
      <w:r w:rsidRPr="00C00F17">
        <w:rPr>
          <w:sz w:val="24"/>
          <w:lang w:val="ro-RO"/>
        </w:rPr>
        <w:t xml:space="preserve"> MON 87705 for </w:t>
      </w:r>
      <w:r w:rsidRPr="00C00F17">
        <w:rPr>
          <w:sz w:val="24"/>
          <w:lang w:val="ro-RO"/>
        </w:rPr>
        <w:t>renewal</w:t>
      </w:r>
      <w:r w:rsidRPr="00C00F17">
        <w:rPr>
          <w:sz w:val="24"/>
          <w:lang w:val="ro-RO"/>
        </w:rPr>
        <w:t xml:space="preserve"> </w:t>
      </w:r>
      <w:r w:rsidRPr="00C00F17">
        <w:rPr>
          <w:sz w:val="24"/>
          <w:lang w:val="ro-RO"/>
        </w:rPr>
        <w:t>authorisation</w:t>
      </w:r>
      <w:r w:rsidRPr="00C00F17">
        <w:rPr>
          <w:sz w:val="24"/>
          <w:lang w:val="ro-RO"/>
        </w:rPr>
        <w:t xml:space="preserve"> </w:t>
      </w:r>
      <w:r w:rsidRPr="00C00F17">
        <w:rPr>
          <w:sz w:val="24"/>
          <w:lang w:val="ro-RO"/>
        </w:rPr>
        <w:t>under</w:t>
      </w:r>
      <w:r w:rsidRPr="00C00F17">
        <w:rPr>
          <w:sz w:val="24"/>
          <w:lang w:val="ro-RO"/>
        </w:rPr>
        <w:t xml:space="preserve"> </w:t>
      </w:r>
      <w:r w:rsidRPr="00C00F17">
        <w:rPr>
          <w:sz w:val="24"/>
          <w:lang w:val="ro-RO"/>
        </w:rPr>
        <w:t>Regulation</w:t>
      </w:r>
      <w:r w:rsidRPr="00C00F17">
        <w:rPr>
          <w:sz w:val="24"/>
          <w:lang w:val="ro-RO"/>
        </w:rPr>
        <w:t> (EC) No 1829/2003 (</w:t>
      </w:r>
      <w:r w:rsidRPr="00C00F17">
        <w:rPr>
          <w:sz w:val="24"/>
          <w:lang w:val="ro-RO"/>
        </w:rPr>
        <w:t>application</w:t>
      </w:r>
      <w:r w:rsidRPr="00C00F17">
        <w:rPr>
          <w:sz w:val="24"/>
          <w:lang w:val="ro-RO"/>
        </w:rPr>
        <w:t xml:space="preserve"> GMFF-2023-21236)” [Evaluarea </w:t>
      </w:r>
      <w:r w:rsidRPr="00C00F17">
        <w:rPr>
          <w:sz w:val="24"/>
          <w:lang w:val="ro-RO"/>
        </w:rPr>
        <w:t>soiei</w:t>
      </w:r>
      <w:r w:rsidRPr="00C00F17">
        <w:rPr>
          <w:sz w:val="24"/>
          <w:lang w:val="ro-RO"/>
        </w:rPr>
        <w:t xml:space="preserve"> modificate genetic MON 87705 pentru reînnoirea autorizației în temeiul Regulamentului (CE) nr. 1829/2003 (dosarul GMFF-2023-21236)], </w:t>
      </w:r>
      <w:r w:rsidRPr="00C00F17">
        <w:rPr>
          <w:i/>
          <w:sz w:val="24"/>
          <w:lang w:val="ro-RO"/>
        </w:rPr>
        <w:t>EFSA Journal</w:t>
      </w:r>
      <w:r w:rsidRPr="00C00F17">
        <w:rPr>
          <w:sz w:val="24"/>
          <w:lang w:val="ro-RO"/>
        </w:rPr>
        <w:t xml:space="preserve">, 2026, 24(1):e9846, </w:t>
      </w:r>
      <w:hyperlink r:id="rId4" w:history="1">
        <w:r w:rsidRPr="00C00F17">
          <w:rPr>
            <w:rStyle w:val="Hyperlink"/>
            <w:sz w:val="24"/>
            <w:lang w:val="ro-RO"/>
          </w:rPr>
          <w:t>https://doi.org/10.2903/j.efsa.2026.9846</w:t>
        </w:r>
      </w:hyperlink>
      <w:r w:rsidRPr="00C00F17">
        <w:rPr>
          <w:sz w:val="24"/>
          <w:lang w:val="ro-RO"/>
        </w:rPr>
        <w:t>.</w:t>
      </w:r>
    </w:p>
  </w:footnote>
  <w:footnote w:id="9">
    <w:p w:rsidR="00E66213" w:rsidRPr="00C00F17" w:rsidP="00C00F17" w14:paraId="6D3B6EDF" w14:textId="70FC871F">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„Grupul EFSA pentru organisme modificate genetic - „</w:t>
      </w:r>
      <w:r w:rsidRPr="00C00F17">
        <w:rPr>
          <w:sz w:val="24"/>
          <w:lang w:val="ro-RO"/>
        </w:rPr>
        <w:t>Scientific</w:t>
      </w:r>
      <w:r w:rsidRPr="00C00F17">
        <w:rPr>
          <w:sz w:val="24"/>
          <w:lang w:val="ro-RO"/>
        </w:rPr>
        <w:t xml:space="preserve"> </w:t>
      </w:r>
      <w:r w:rsidRPr="00C00F17">
        <w:rPr>
          <w:sz w:val="24"/>
          <w:lang w:val="ro-RO"/>
        </w:rPr>
        <w:t>Opinion</w:t>
      </w:r>
      <w:r w:rsidRPr="00C00F17">
        <w:rPr>
          <w:sz w:val="24"/>
          <w:lang w:val="ro-RO"/>
        </w:rPr>
        <w:t xml:space="preserve"> on </w:t>
      </w:r>
      <w:r w:rsidRPr="00C00F17">
        <w:rPr>
          <w:sz w:val="24"/>
          <w:lang w:val="ro-RO"/>
        </w:rPr>
        <w:t>application</w:t>
      </w:r>
      <w:r w:rsidRPr="00C00F17">
        <w:rPr>
          <w:sz w:val="24"/>
          <w:lang w:val="ro-RO"/>
        </w:rPr>
        <w:t xml:space="preserve"> EFSA-GMO-NL-2010-78 for </w:t>
      </w:r>
      <w:r w:rsidRPr="00C00F17">
        <w:rPr>
          <w:sz w:val="24"/>
          <w:lang w:val="ro-RO"/>
        </w:rPr>
        <w:t>the</w:t>
      </w:r>
      <w:r w:rsidRPr="00C00F17">
        <w:rPr>
          <w:sz w:val="24"/>
          <w:lang w:val="ro-RO"/>
        </w:rPr>
        <w:t xml:space="preserve"> </w:t>
      </w:r>
      <w:r w:rsidRPr="00C00F17">
        <w:rPr>
          <w:sz w:val="24"/>
          <w:lang w:val="ro-RO"/>
        </w:rPr>
        <w:t>placing</w:t>
      </w:r>
      <w:r w:rsidRPr="00C00F17">
        <w:rPr>
          <w:sz w:val="24"/>
          <w:lang w:val="ro-RO"/>
        </w:rPr>
        <w:t xml:space="preserve"> on </w:t>
      </w:r>
      <w:r w:rsidRPr="00C00F17">
        <w:rPr>
          <w:sz w:val="24"/>
          <w:lang w:val="ro-RO"/>
        </w:rPr>
        <w:t>the</w:t>
      </w:r>
      <w:r w:rsidRPr="00C00F17">
        <w:rPr>
          <w:sz w:val="24"/>
          <w:lang w:val="ro-RO"/>
        </w:rPr>
        <w:t xml:space="preserve"> market of </w:t>
      </w:r>
      <w:r w:rsidRPr="00C00F17">
        <w:rPr>
          <w:sz w:val="24"/>
          <w:lang w:val="ro-RO"/>
        </w:rPr>
        <w:t>herbicide</w:t>
      </w:r>
      <w:r w:rsidRPr="00C00F17">
        <w:rPr>
          <w:sz w:val="24"/>
          <w:lang w:val="ro-RO"/>
        </w:rPr>
        <w:t xml:space="preserve"> tolerant, </w:t>
      </w:r>
      <w:r w:rsidRPr="00C00F17">
        <w:rPr>
          <w:sz w:val="24"/>
          <w:lang w:val="ro-RO"/>
        </w:rPr>
        <w:t>increased</w:t>
      </w:r>
      <w:r w:rsidRPr="00C00F17">
        <w:rPr>
          <w:sz w:val="24"/>
          <w:lang w:val="ro-RO"/>
        </w:rPr>
        <w:t xml:space="preserve"> oleic acid </w:t>
      </w:r>
      <w:r w:rsidRPr="00C00F17">
        <w:rPr>
          <w:sz w:val="24"/>
          <w:lang w:val="ro-RO"/>
        </w:rPr>
        <w:t>genetically</w:t>
      </w:r>
      <w:r w:rsidRPr="00C00F17">
        <w:rPr>
          <w:sz w:val="24"/>
          <w:lang w:val="ro-RO"/>
        </w:rPr>
        <w:t xml:space="preserve"> </w:t>
      </w:r>
      <w:r w:rsidRPr="00C00F17">
        <w:rPr>
          <w:sz w:val="24"/>
          <w:lang w:val="ro-RO"/>
        </w:rPr>
        <w:t>modified</w:t>
      </w:r>
      <w:r w:rsidRPr="00C00F17">
        <w:rPr>
          <w:sz w:val="24"/>
          <w:lang w:val="ro-RO"/>
        </w:rPr>
        <w:t xml:space="preserve"> </w:t>
      </w:r>
      <w:r w:rsidRPr="00C00F17">
        <w:rPr>
          <w:sz w:val="24"/>
          <w:lang w:val="ro-RO"/>
        </w:rPr>
        <w:t>soybean</w:t>
      </w:r>
      <w:r w:rsidRPr="00C00F17">
        <w:rPr>
          <w:sz w:val="24"/>
          <w:lang w:val="ro-RO"/>
        </w:rPr>
        <w:t xml:space="preserve"> MON 87705 for </w:t>
      </w:r>
      <w:r w:rsidRPr="00C00F17">
        <w:rPr>
          <w:sz w:val="24"/>
          <w:lang w:val="ro-RO"/>
        </w:rPr>
        <w:t>food</w:t>
      </w:r>
      <w:r w:rsidRPr="00C00F17">
        <w:rPr>
          <w:sz w:val="24"/>
          <w:lang w:val="ro-RO"/>
        </w:rPr>
        <w:t xml:space="preserve"> </w:t>
      </w:r>
      <w:r w:rsidRPr="00C00F17">
        <w:rPr>
          <w:sz w:val="24"/>
          <w:lang w:val="ro-RO"/>
        </w:rPr>
        <w:t>and</w:t>
      </w:r>
      <w:r w:rsidRPr="00C00F17">
        <w:rPr>
          <w:sz w:val="24"/>
          <w:lang w:val="ro-RO"/>
        </w:rPr>
        <w:t xml:space="preserve"> </w:t>
      </w:r>
      <w:r w:rsidRPr="00C00F17">
        <w:rPr>
          <w:sz w:val="24"/>
          <w:lang w:val="ro-RO"/>
        </w:rPr>
        <w:t>feed</w:t>
      </w:r>
      <w:r w:rsidRPr="00C00F17">
        <w:rPr>
          <w:sz w:val="24"/>
          <w:lang w:val="ro-RO"/>
        </w:rPr>
        <w:t xml:space="preserve"> </w:t>
      </w:r>
      <w:r w:rsidRPr="00C00F17">
        <w:rPr>
          <w:sz w:val="24"/>
          <w:lang w:val="ro-RO"/>
        </w:rPr>
        <w:t>uses</w:t>
      </w:r>
      <w:r w:rsidRPr="00C00F17">
        <w:rPr>
          <w:sz w:val="24"/>
          <w:lang w:val="ro-RO"/>
        </w:rPr>
        <w:t xml:space="preserve">, import </w:t>
      </w:r>
      <w:r w:rsidRPr="00C00F17">
        <w:rPr>
          <w:sz w:val="24"/>
          <w:lang w:val="ro-RO"/>
        </w:rPr>
        <w:t>and</w:t>
      </w:r>
      <w:r w:rsidRPr="00C00F17">
        <w:rPr>
          <w:sz w:val="24"/>
          <w:lang w:val="ro-RO"/>
        </w:rPr>
        <w:t xml:space="preserve"> </w:t>
      </w:r>
      <w:r w:rsidRPr="00C00F17">
        <w:rPr>
          <w:sz w:val="24"/>
          <w:lang w:val="ro-RO"/>
        </w:rPr>
        <w:t>processing</w:t>
      </w:r>
      <w:r w:rsidRPr="00C00F17">
        <w:rPr>
          <w:sz w:val="24"/>
          <w:lang w:val="ro-RO"/>
        </w:rPr>
        <w:t xml:space="preserve"> </w:t>
      </w:r>
      <w:r w:rsidRPr="00C00F17">
        <w:rPr>
          <w:sz w:val="24"/>
          <w:lang w:val="ro-RO"/>
        </w:rPr>
        <w:t>under</w:t>
      </w:r>
      <w:r w:rsidRPr="00C00F17">
        <w:rPr>
          <w:sz w:val="24"/>
          <w:lang w:val="ro-RO"/>
        </w:rPr>
        <w:t xml:space="preserve"> </w:t>
      </w:r>
      <w:r w:rsidRPr="00C00F17">
        <w:rPr>
          <w:sz w:val="24"/>
          <w:lang w:val="ro-RO"/>
        </w:rPr>
        <w:t>Regulation</w:t>
      </w:r>
      <w:r w:rsidRPr="00C00F17">
        <w:rPr>
          <w:sz w:val="24"/>
          <w:lang w:val="ro-RO"/>
        </w:rPr>
        <w:t xml:space="preserve"> (EC) No 1829/2003 </w:t>
      </w:r>
      <w:r w:rsidRPr="00C00F17">
        <w:rPr>
          <w:sz w:val="24"/>
          <w:lang w:val="ro-RO"/>
        </w:rPr>
        <w:t>from</w:t>
      </w:r>
      <w:r w:rsidRPr="00C00F17">
        <w:rPr>
          <w:sz w:val="24"/>
          <w:lang w:val="ro-RO"/>
        </w:rPr>
        <w:t xml:space="preserve"> </w:t>
      </w:r>
      <w:r w:rsidRPr="00C00F17">
        <w:rPr>
          <w:sz w:val="24"/>
          <w:lang w:val="ro-RO"/>
        </w:rPr>
        <w:t>Monsanto</w:t>
      </w:r>
      <w:r w:rsidRPr="00C00F17">
        <w:rPr>
          <w:sz w:val="24"/>
          <w:lang w:val="ro-RO"/>
        </w:rPr>
        <w:t xml:space="preserve">” [Aviz științific privind cererea EFSA-GMO-NL-2010-78 din partea </w:t>
      </w:r>
      <w:r w:rsidRPr="00C00F17">
        <w:rPr>
          <w:sz w:val="24"/>
          <w:lang w:val="ro-RO"/>
        </w:rPr>
        <w:t>Monsanto</w:t>
      </w:r>
      <w:r w:rsidRPr="00C00F17">
        <w:rPr>
          <w:sz w:val="24"/>
          <w:lang w:val="ro-RO"/>
        </w:rPr>
        <w:t xml:space="preserve"> pentru introducerea pe piață a </w:t>
      </w:r>
      <w:r w:rsidRPr="00C00F17">
        <w:rPr>
          <w:sz w:val="24"/>
          <w:lang w:val="ro-RO"/>
        </w:rPr>
        <w:t>soiei</w:t>
      </w:r>
      <w:r w:rsidRPr="00C00F17">
        <w:rPr>
          <w:sz w:val="24"/>
          <w:lang w:val="ro-RO"/>
        </w:rPr>
        <w:t xml:space="preserve"> modificate genetic MON 87705 tolerantă la erbicide și cu un profil ridicat al acidului oleic pentru utilizări în produse alimentare și hrana pentru animale, import și prelucrare în temeiul Regulamentului (CE) nr. 1829/2003], </w:t>
      </w:r>
      <w:r w:rsidRPr="00C00F17">
        <w:rPr>
          <w:i/>
          <w:sz w:val="24"/>
          <w:lang w:val="ro-RO"/>
        </w:rPr>
        <w:t>EFSA Journal</w:t>
      </w:r>
      <w:r w:rsidRPr="00C00F17">
        <w:rPr>
          <w:sz w:val="24"/>
          <w:lang w:val="ro-RO"/>
        </w:rPr>
        <w:t>, 2012, 10(10):2909,</w:t>
      </w:r>
      <w:hyperlink r:id="rId25" w:history="1">
        <w:r w:rsidRPr="00C00F17">
          <w:rPr>
            <w:rStyle w:val="Hyperlink"/>
            <w:sz w:val="24"/>
            <w:lang w:val="ro-RO"/>
          </w:rPr>
          <w:t>https://doi.org/10.2903/j.efsa.2012.2909</w:t>
        </w:r>
      </w:hyperlink>
      <w:r w:rsidRPr="00C00F17">
        <w:rPr>
          <w:sz w:val="24"/>
          <w:lang w:val="ro-RO"/>
        </w:rPr>
        <w:t>.</w:t>
      </w:r>
    </w:p>
  </w:footnote>
  <w:footnote w:id="10">
    <w:p w:rsidR="00E66213" w:rsidRPr="00C00F17" w:rsidP="00C00F17" w14:paraId="1C194DBC" w14:textId="6A67600C">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Grupul EFSA pentru organismele modificate genetic - „</w:t>
      </w:r>
      <w:r w:rsidRPr="00C00F17">
        <w:rPr>
          <w:sz w:val="24"/>
          <w:lang w:val="ro-RO"/>
        </w:rPr>
        <w:t>Statement</w:t>
      </w:r>
      <w:r w:rsidRPr="00C00F17">
        <w:rPr>
          <w:sz w:val="24"/>
          <w:lang w:val="ro-RO"/>
        </w:rPr>
        <w:t xml:space="preserve"> </w:t>
      </w:r>
      <w:r w:rsidRPr="00C00F17">
        <w:rPr>
          <w:sz w:val="24"/>
          <w:lang w:val="ro-RO"/>
        </w:rPr>
        <w:t>supplementing</w:t>
      </w:r>
      <w:r w:rsidRPr="00C00F17">
        <w:rPr>
          <w:sz w:val="24"/>
          <w:lang w:val="ro-RO"/>
        </w:rPr>
        <w:t xml:space="preserve"> </w:t>
      </w:r>
      <w:r w:rsidRPr="00C00F17">
        <w:rPr>
          <w:sz w:val="24"/>
          <w:lang w:val="ro-RO"/>
        </w:rPr>
        <w:t>the</w:t>
      </w:r>
      <w:r w:rsidRPr="00C00F17">
        <w:rPr>
          <w:sz w:val="24"/>
          <w:lang w:val="ro-RO"/>
        </w:rPr>
        <w:t xml:space="preserve"> </w:t>
      </w:r>
      <w:r w:rsidRPr="00C00F17">
        <w:rPr>
          <w:sz w:val="24"/>
          <w:lang w:val="ro-RO"/>
        </w:rPr>
        <w:t>scientific</w:t>
      </w:r>
      <w:r w:rsidRPr="00C00F17">
        <w:rPr>
          <w:sz w:val="24"/>
          <w:lang w:val="ro-RO"/>
        </w:rPr>
        <w:t xml:space="preserve"> </w:t>
      </w:r>
      <w:r w:rsidRPr="00C00F17">
        <w:rPr>
          <w:sz w:val="24"/>
          <w:lang w:val="ro-RO"/>
        </w:rPr>
        <w:t>opinion</w:t>
      </w:r>
      <w:r w:rsidRPr="00C00F17">
        <w:rPr>
          <w:sz w:val="24"/>
          <w:lang w:val="ro-RO"/>
        </w:rPr>
        <w:t xml:space="preserve"> on </w:t>
      </w:r>
      <w:r w:rsidRPr="00C00F17">
        <w:rPr>
          <w:sz w:val="24"/>
          <w:lang w:val="ro-RO"/>
        </w:rPr>
        <w:t>application</w:t>
      </w:r>
      <w:r w:rsidRPr="00C00F17">
        <w:rPr>
          <w:sz w:val="24"/>
          <w:lang w:val="ro-RO"/>
        </w:rPr>
        <w:t xml:space="preserve"> EFSA-GMO-NL-2010-78 </w:t>
      </w:r>
      <w:r w:rsidRPr="00C00F17">
        <w:rPr>
          <w:sz w:val="24"/>
          <w:lang w:val="ro-RO"/>
        </w:rPr>
        <w:t>to</w:t>
      </w:r>
      <w:r w:rsidRPr="00C00F17">
        <w:rPr>
          <w:sz w:val="24"/>
          <w:lang w:val="ro-RO"/>
        </w:rPr>
        <w:t xml:space="preserve"> </w:t>
      </w:r>
      <w:r w:rsidRPr="00C00F17">
        <w:rPr>
          <w:sz w:val="24"/>
          <w:lang w:val="ro-RO"/>
        </w:rPr>
        <w:t>cover</w:t>
      </w:r>
      <w:r w:rsidRPr="00C00F17">
        <w:rPr>
          <w:sz w:val="24"/>
          <w:lang w:val="ro-RO"/>
        </w:rPr>
        <w:t xml:space="preserve"> </w:t>
      </w:r>
      <w:r w:rsidRPr="00C00F17">
        <w:rPr>
          <w:sz w:val="24"/>
          <w:lang w:val="ro-RO"/>
        </w:rPr>
        <w:t>the</w:t>
      </w:r>
      <w:r w:rsidRPr="00C00F17">
        <w:rPr>
          <w:sz w:val="24"/>
          <w:lang w:val="ro-RO"/>
        </w:rPr>
        <w:t xml:space="preserve"> </w:t>
      </w:r>
      <w:r w:rsidRPr="00C00F17">
        <w:rPr>
          <w:sz w:val="24"/>
          <w:lang w:val="ro-RO"/>
        </w:rPr>
        <w:t>safety</w:t>
      </w:r>
      <w:r w:rsidRPr="00C00F17">
        <w:rPr>
          <w:sz w:val="24"/>
          <w:lang w:val="ro-RO"/>
        </w:rPr>
        <w:t xml:space="preserve"> of </w:t>
      </w:r>
      <w:r w:rsidRPr="00C00F17">
        <w:rPr>
          <w:sz w:val="24"/>
          <w:lang w:val="ro-RO"/>
        </w:rPr>
        <w:t>soybean</w:t>
      </w:r>
      <w:r w:rsidRPr="00C00F17">
        <w:rPr>
          <w:sz w:val="24"/>
          <w:lang w:val="ro-RO"/>
        </w:rPr>
        <w:t xml:space="preserve"> MON 87705 </w:t>
      </w:r>
      <w:r w:rsidRPr="00C00F17">
        <w:rPr>
          <w:sz w:val="24"/>
          <w:lang w:val="ro-RO"/>
        </w:rPr>
        <w:t>oil</w:t>
      </w:r>
      <w:r w:rsidRPr="00C00F17">
        <w:rPr>
          <w:sz w:val="24"/>
          <w:lang w:val="ro-RO"/>
        </w:rPr>
        <w:t xml:space="preserve"> for </w:t>
      </w:r>
      <w:r w:rsidRPr="00C00F17">
        <w:rPr>
          <w:sz w:val="24"/>
          <w:lang w:val="ro-RO"/>
        </w:rPr>
        <w:t>commercial</w:t>
      </w:r>
      <w:r w:rsidRPr="00C00F17">
        <w:rPr>
          <w:sz w:val="24"/>
          <w:lang w:val="ro-RO"/>
        </w:rPr>
        <w:t xml:space="preserve"> </w:t>
      </w:r>
      <w:r w:rsidRPr="00C00F17">
        <w:rPr>
          <w:sz w:val="24"/>
          <w:lang w:val="ro-RO"/>
        </w:rPr>
        <w:t>frying</w:t>
      </w:r>
      <w:r w:rsidRPr="00C00F17">
        <w:rPr>
          <w:sz w:val="24"/>
          <w:lang w:val="ro-RO"/>
        </w:rPr>
        <w:t xml:space="preserve">” (Declarație care completează avizul științific privind cererea EFSA-GMO-NL-2010-78 pentru a acoperi siguranța utilizării comerciale a uleiului pentru prăjit obținut din soia MON 87705), </w:t>
      </w:r>
      <w:r w:rsidRPr="00C00F17">
        <w:rPr>
          <w:i/>
          <w:sz w:val="24"/>
          <w:lang w:val="ro-RO"/>
        </w:rPr>
        <w:t>EFSA Journal</w:t>
      </w:r>
      <w:r w:rsidRPr="00C00F17">
        <w:rPr>
          <w:sz w:val="24"/>
          <w:lang w:val="ro-RO"/>
        </w:rPr>
        <w:t xml:space="preserve">, 2013, 11(12):3507, </w:t>
      </w:r>
      <w:hyperlink r:id="rId26" w:history="1">
        <w:r w:rsidRPr="00C00F17">
          <w:rPr>
            <w:rStyle w:val="Hyperlink"/>
            <w:sz w:val="24"/>
            <w:lang w:val="ro-RO"/>
          </w:rPr>
          <w:t>https://doi.org/10.2903/j.efsa.2013.3507</w:t>
        </w:r>
      </w:hyperlink>
      <w:r w:rsidRPr="00C00F17">
        <w:rPr>
          <w:sz w:val="24"/>
          <w:lang w:val="ro-RO"/>
        </w:rPr>
        <w:t>.</w:t>
      </w:r>
    </w:p>
  </w:footnote>
  <w:footnote w:id="11">
    <w:p w:rsidR="00E66213" w:rsidRPr="00C00F17" w:rsidP="00C00F17" w14:paraId="11C7EE5B" w14:textId="060A314A">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 xml:space="preserve">A se vedea, de exemplu: </w:t>
      </w:r>
      <w:r w:rsidRPr="00C00F17">
        <w:rPr>
          <w:sz w:val="24"/>
          <w:lang w:val="ro-RO"/>
        </w:rPr>
        <w:t>Bonny</w:t>
      </w:r>
      <w:r w:rsidRPr="00C00F17">
        <w:rPr>
          <w:sz w:val="24"/>
          <w:lang w:val="ro-RO"/>
        </w:rPr>
        <w:t>, S., „</w:t>
      </w:r>
      <w:r w:rsidRPr="00C00F17">
        <w:rPr>
          <w:sz w:val="24"/>
          <w:lang w:val="ro-RO"/>
        </w:rPr>
        <w:t>Genetically</w:t>
      </w:r>
      <w:r w:rsidRPr="00C00F17">
        <w:rPr>
          <w:sz w:val="24"/>
          <w:lang w:val="ro-RO"/>
        </w:rPr>
        <w:t xml:space="preserve"> </w:t>
      </w:r>
      <w:r w:rsidRPr="00C00F17">
        <w:rPr>
          <w:sz w:val="24"/>
          <w:lang w:val="ro-RO"/>
        </w:rPr>
        <w:t>Modified</w:t>
      </w:r>
      <w:r w:rsidRPr="00C00F17">
        <w:rPr>
          <w:sz w:val="24"/>
          <w:lang w:val="ro-RO"/>
        </w:rPr>
        <w:t xml:space="preserve"> </w:t>
      </w:r>
      <w:r w:rsidRPr="00C00F17">
        <w:rPr>
          <w:sz w:val="24"/>
          <w:lang w:val="ro-RO"/>
        </w:rPr>
        <w:t>Herbicide</w:t>
      </w:r>
      <w:r w:rsidRPr="00C00F17">
        <w:rPr>
          <w:sz w:val="24"/>
          <w:lang w:val="ro-RO"/>
        </w:rPr>
        <w:t xml:space="preserve">-Tolerant </w:t>
      </w:r>
      <w:r w:rsidRPr="00C00F17">
        <w:rPr>
          <w:sz w:val="24"/>
          <w:lang w:val="ro-RO"/>
        </w:rPr>
        <w:t>Crops</w:t>
      </w:r>
      <w:r w:rsidRPr="00C00F17">
        <w:rPr>
          <w:sz w:val="24"/>
          <w:lang w:val="ro-RO"/>
        </w:rPr>
        <w:t xml:space="preserve">, </w:t>
      </w:r>
      <w:r w:rsidRPr="00C00F17">
        <w:rPr>
          <w:sz w:val="24"/>
          <w:lang w:val="ro-RO"/>
        </w:rPr>
        <w:t>Weeds</w:t>
      </w:r>
      <w:r w:rsidRPr="00C00F17">
        <w:rPr>
          <w:sz w:val="24"/>
          <w:lang w:val="ro-RO"/>
        </w:rPr>
        <w:t xml:space="preserve">, </w:t>
      </w:r>
      <w:r w:rsidRPr="00C00F17">
        <w:rPr>
          <w:sz w:val="24"/>
          <w:lang w:val="ro-RO"/>
        </w:rPr>
        <w:t>and</w:t>
      </w:r>
      <w:r w:rsidRPr="00C00F17">
        <w:rPr>
          <w:sz w:val="24"/>
          <w:lang w:val="ro-RO"/>
        </w:rPr>
        <w:t xml:space="preserve"> </w:t>
      </w:r>
      <w:r w:rsidRPr="00C00F17">
        <w:rPr>
          <w:sz w:val="24"/>
          <w:lang w:val="ro-RO"/>
        </w:rPr>
        <w:t>Herbicides</w:t>
      </w:r>
      <w:r w:rsidRPr="00C00F17">
        <w:rPr>
          <w:sz w:val="24"/>
          <w:lang w:val="ro-RO"/>
        </w:rPr>
        <w:t xml:space="preserve">: </w:t>
      </w:r>
      <w:r w:rsidRPr="00C00F17">
        <w:rPr>
          <w:sz w:val="24"/>
          <w:lang w:val="ro-RO"/>
        </w:rPr>
        <w:t>Overview</w:t>
      </w:r>
      <w:r w:rsidRPr="00C00F17">
        <w:rPr>
          <w:sz w:val="24"/>
          <w:lang w:val="ro-RO"/>
        </w:rPr>
        <w:t xml:space="preserve"> </w:t>
      </w:r>
      <w:r w:rsidRPr="00C00F17">
        <w:rPr>
          <w:sz w:val="24"/>
          <w:lang w:val="ro-RO"/>
        </w:rPr>
        <w:t>and</w:t>
      </w:r>
      <w:r w:rsidRPr="00C00F17">
        <w:rPr>
          <w:sz w:val="24"/>
          <w:lang w:val="ro-RO"/>
        </w:rPr>
        <w:t xml:space="preserve"> Impact” (Culturile modificate genetic tolerante la erbicide, buruienile și erbicidele: prezentare generală și impact), </w:t>
      </w:r>
      <w:r w:rsidRPr="00C00F17">
        <w:rPr>
          <w:i/>
          <w:sz w:val="24"/>
          <w:lang w:val="ro-RO"/>
        </w:rPr>
        <w:t>Environmental</w:t>
      </w:r>
      <w:r w:rsidRPr="00C00F17">
        <w:rPr>
          <w:i/>
          <w:sz w:val="24"/>
          <w:lang w:val="ro-RO"/>
        </w:rPr>
        <w:t xml:space="preserve"> Management</w:t>
      </w:r>
      <w:r w:rsidRPr="00C00F17">
        <w:rPr>
          <w:sz w:val="24"/>
          <w:lang w:val="ro-RO"/>
        </w:rPr>
        <w:t>, ianuarie 2016; 57(1), p. </w:t>
      </w:r>
      <w:r w:rsidRPr="00C00F17">
        <w:rPr>
          <w:sz w:val="24"/>
          <w:lang w:val="ro-RO"/>
        </w:rPr>
        <w:t xml:space="preserve">31-48, </w:t>
      </w:r>
      <w:bookmarkStart w:id="7" w:name="_Hlk104996594"/>
      <w:hyperlink r:id="rId27" w:history="1">
        <w:r w:rsidRPr="00C00F17">
          <w:rPr>
            <w:rStyle w:val="Hyperlink"/>
            <w:sz w:val="24"/>
            <w:shd w:val="clear" w:color="auto" w:fill="FFFFFF"/>
            <w:lang w:val="ro-RO"/>
          </w:rPr>
          <w:t>https://doi.org/10.1007/s00267-015-0589-7</w:t>
        </w:r>
      </w:hyperlink>
      <w:r w:rsidRPr="00C00F17">
        <w:rPr>
          <w:sz w:val="24"/>
          <w:shd w:val="clear" w:color="auto" w:fill="FFFFFF"/>
          <w:lang w:val="ro-RO"/>
        </w:rPr>
        <w:t xml:space="preserve"> </w:t>
      </w:r>
      <w:bookmarkEnd w:id="7"/>
      <w:r w:rsidRPr="00C00F17">
        <w:rPr>
          <w:sz w:val="24"/>
          <w:lang w:val="ro-RO"/>
        </w:rPr>
        <w:t xml:space="preserve"> și </w:t>
      </w:r>
      <w:r w:rsidRPr="00C00F17">
        <w:rPr>
          <w:sz w:val="24"/>
          <w:lang w:val="ro-RO"/>
        </w:rPr>
        <w:t>Benbrook</w:t>
      </w:r>
      <w:r w:rsidRPr="00C00F17">
        <w:rPr>
          <w:sz w:val="24"/>
          <w:lang w:val="ro-RO"/>
        </w:rPr>
        <w:t>, C.M., „</w:t>
      </w:r>
      <w:r w:rsidRPr="00C00F17">
        <w:rPr>
          <w:sz w:val="24"/>
          <w:lang w:val="ro-RO"/>
        </w:rPr>
        <w:t>Impacts</w:t>
      </w:r>
      <w:r w:rsidRPr="00C00F17">
        <w:rPr>
          <w:sz w:val="24"/>
          <w:lang w:val="ro-RO"/>
        </w:rPr>
        <w:t xml:space="preserve"> of </w:t>
      </w:r>
      <w:r w:rsidRPr="00C00F17">
        <w:rPr>
          <w:sz w:val="24"/>
          <w:lang w:val="ro-RO"/>
        </w:rPr>
        <w:t>genetically</w:t>
      </w:r>
      <w:r w:rsidRPr="00C00F17">
        <w:rPr>
          <w:sz w:val="24"/>
          <w:lang w:val="ro-RO"/>
        </w:rPr>
        <w:t xml:space="preserve"> </w:t>
      </w:r>
      <w:r w:rsidRPr="00C00F17">
        <w:rPr>
          <w:sz w:val="24"/>
          <w:lang w:val="ro-RO"/>
        </w:rPr>
        <w:t>engineered</w:t>
      </w:r>
      <w:r w:rsidRPr="00C00F17">
        <w:rPr>
          <w:sz w:val="24"/>
          <w:lang w:val="ro-RO"/>
        </w:rPr>
        <w:t xml:space="preserve"> </w:t>
      </w:r>
      <w:r w:rsidRPr="00C00F17">
        <w:rPr>
          <w:sz w:val="24"/>
          <w:lang w:val="ro-RO"/>
        </w:rPr>
        <w:t>crops</w:t>
      </w:r>
      <w:r w:rsidRPr="00C00F17">
        <w:rPr>
          <w:sz w:val="24"/>
          <w:lang w:val="ro-RO"/>
        </w:rPr>
        <w:t xml:space="preserve"> on pesticide </w:t>
      </w:r>
      <w:r w:rsidRPr="00C00F17">
        <w:rPr>
          <w:sz w:val="24"/>
          <w:lang w:val="ro-RO"/>
        </w:rPr>
        <w:t>use</w:t>
      </w:r>
      <w:r w:rsidRPr="00C00F17">
        <w:rPr>
          <w:sz w:val="24"/>
          <w:lang w:val="ro-RO"/>
        </w:rPr>
        <w:t xml:space="preserve"> in </w:t>
      </w:r>
      <w:r w:rsidRPr="00C00F17">
        <w:rPr>
          <w:sz w:val="24"/>
          <w:lang w:val="ro-RO"/>
        </w:rPr>
        <w:t>the</w:t>
      </w:r>
      <w:r w:rsidRPr="00C00F17">
        <w:rPr>
          <w:sz w:val="24"/>
          <w:lang w:val="ro-RO"/>
        </w:rPr>
        <w:t xml:space="preserve"> U.S. – </w:t>
      </w:r>
      <w:r w:rsidRPr="00C00F17">
        <w:rPr>
          <w:sz w:val="24"/>
          <w:lang w:val="ro-RO"/>
        </w:rPr>
        <w:t>the</w:t>
      </w:r>
      <w:r w:rsidRPr="00C00F17">
        <w:rPr>
          <w:sz w:val="24"/>
          <w:lang w:val="ro-RO"/>
        </w:rPr>
        <w:t xml:space="preserve"> </w:t>
      </w:r>
      <w:r w:rsidRPr="00C00F17">
        <w:rPr>
          <w:sz w:val="24"/>
          <w:lang w:val="ro-RO"/>
        </w:rPr>
        <w:t>first</w:t>
      </w:r>
      <w:r w:rsidRPr="00C00F17">
        <w:rPr>
          <w:sz w:val="24"/>
          <w:lang w:val="ro-RO"/>
        </w:rPr>
        <w:t xml:space="preserve"> </w:t>
      </w:r>
      <w:r w:rsidRPr="00C00F17">
        <w:rPr>
          <w:sz w:val="24"/>
          <w:lang w:val="ro-RO"/>
        </w:rPr>
        <w:t>sixteen</w:t>
      </w:r>
      <w:r w:rsidRPr="00C00F17">
        <w:rPr>
          <w:sz w:val="24"/>
          <w:lang w:val="ro-RO"/>
        </w:rPr>
        <w:t xml:space="preserve"> </w:t>
      </w:r>
      <w:r w:rsidRPr="00C00F17">
        <w:rPr>
          <w:sz w:val="24"/>
          <w:lang w:val="ro-RO"/>
        </w:rPr>
        <w:t>years</w:t>
      </w:r>
      <w:r w:rsidRPr="00C00F17">
        <w:rPr>
          <w:sz w:val="24"/>
          <w:lang w:val="ro-RO"/>
        </w:rPr>
        <w:t xml:space="preserve">” (Impactul culturilor modificate genetic asupra utilizării pesticidelor în SUA – primii 16 ani), </w:t>
      </w:r>
      <w:r w:rsidRPr="00C00F17">
        <w:rPr>
          <w:i/>
          <w:sz w:val="24"/>
          <w:lang w:val="ro-RO"/>
        </w:rPr>
        <w:t>Environmental</w:t>
      </w:r>
      <w:r w:rsidRPr="00C00F17">
        <w:rPr>
          <w:i/>
          <w:sz w:val="24"/>
          <w:lang w:val="ro-RO"/>
        </w:rPr>
        <w:t xml:space="preserve"> </w:t>
      </w:r>
      <w:r w:rsidRPr="00C00F17">
        <w:rPr>
          <w:i/>
          <w:sz w:val="24"/>
          <w:lang w:val="ro-RO"/>
        </w:rPr>
        <w:t>Sciences</w:t>
      </w:r>
      <w:r w:rsidRPr="00C00F17">
        <w:rPr>
          <w:i/>
          <w:sz w:val="24"/>
          <w:lang w:val="ro-RO"/>
        </w:rPr>
        <w:t xml:space="preserve"> Europe</w:t>
      </w:r>
      <w:r w:rsidRPr="00C00F17">
        <w:rPr>
          <w:sz w:val="24"/>
          <w:lang w:val="ro-RO"/>
        </w:rPr>
        <w:t>, 28 septembrie 2012, vol. 24(1),</w:t>
      </w:r>
      <w:hyperlink r:id="rId28" w:history="1">
        <w:r w:rsidRPr="00C00F17">
          <w:rPr>
            <w:rStyle w:val="Hyperlink"/>
            <w:sz w:val="24"/>
            <w:lang w:val="ro-RO"/>
          </w:rPr>
          <w:t xml:space="preserve"> https://doi.org/10.1186/2190-4715-24-24</w:t>
        </w:r>
      </w:hyperlink>
      <w:r w:rsidRPr="00C00F17">
        <w:rPr>
          <w:sz w:val="24"/>
          <w:lang w:val="ro-RO"/>
        </w:rPr>
        <w:t>.</w:t>
      </w:r>
    </w:p>
  </w:footnote>
  <w:footnote w:id="12">
    <w:p w:rsidR="00E66213" w:rsidRPr="00C00F17" w:rsidP="00C00F17" w14:paraId="3E0FD05B" w14:textId="626BBFDA">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 xml:space="preserve">A se vedea, de exemplu, </w:t>
      </w:r>
      <w:bookmarkStart w:id="8" w:name="_Hlk104996780"/>
      <w:hyperlink r:id="rId29" w:history="1">
        <w:r w:rsidRPr="00C00F17">
          <w:rPr>
            <w:rStyle w:val="Hyperlink"/>
            <w:sz w:val="24"/>
            <w:lang w:val="ro-RO"/>
          </w:rPr>
          <w:t>https://doi.org/10.1016/j.mrrev.2019.02.001</w:t>
        </w:r>
      </w:hyperlink>
      <w:bookmarkEnd w:id="8"/>
      <w:r w:rsidRPr="00C00F17">
        <w:rPr>
          <w:sz w:val="24"/>
          <w:lang w:val="ro-RO"/>
        </w:rPr>
        <w:t xml:space="preserve">, </w:t>
      </w:r>
      <w:hyperlink r:id="rId30" w:history="1">
        <w:r w:rsidRPr="00C00F17">
          <w:rPr>
            <w:rStyle w:val="Hyperlink"/>
            <w:sz w:val="24"/>
            <w:lang w:val="ro-RO"/>
          </w:rPr>
          <w:t>https://doi.org/10.1093/ije/dyz017</w:t>
        </w:r>
      </w:hyperlink>
      <w:r w:rsidRPr="00C00F17">
        <w:rPr>
          <w:sz w:val="24"/>
          <w:lang w:val="ro-RO"/>
        </w:rPr>
        <w:t xml:space="preserve">, </w:t>
      </w:r>
      <w:hyperlink r:id="rId31" w:history="1">
        <w:r w:rsidRPr="00C00F17">
          <w:rPr>
            <w:rStyle w:val="Hyperlink"/>
            <w:sz w:val="24"/>
            <w:lang w:val="ro-RO"/>
          </w:rPr>
          <w:t>https://doi.org/10.1371/journal.pone.0219610</w:t>
        </w:r>
      </w:hyperlink>
      <w:r w:rsidRPr="00C00F17">
        <w:rPr>
          <w:sz w:val="24"/>
          <w:lang w:val="ro-RO"/>
        </w:rPr>
        <w:t xml:space="preserve"> și </w:t>
      </w:r>
      <w:hyperlink r:id="rId32" w:history="1">
        <w:r w:rsidRPr="00C00F17">
          <w:rPr>
            <w:rStyle w:val="Hyperlink"/>
            <w:sz w:val="24"/>
            <w:lang w:val="ro-RO"/>
          </w:rPr>
          <w:t>https://doi.org/10.1186/s13045-019-0767-9</w:t>
        </w:r>
      </w:hyperlink>
      <w:r w:rsidRPr="00C00F17">
        <w:rPr>
          <w:sz w:val="24"/>
          <w:lang w:val="ro-RO"/>
        </w:rPr>
        <w:t>.</w:t>
      </w:r>
    </w:p>
  </w:footnote>
  <w:footnote w:id="13">
    <w:p w:rsidR="00E66213" w:rsidRPr="00C00F17" w:rsidP="00C00F17" w14:paraId="7FB90ED8" w14:textId="6BCF02A6">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hyperlink r:id="rId33" w:tgtFrame="_blank" w:tooltip="Link permanent care folosește un identificator de obiect digital" w:history="1">
        <w:r w:rsidRPr="00C00F17">
          <w:rPr>
            <w:rStyle w:val="Hyperlink"/>
            <w:sz w:val="24"/>
            <w:lang w:val="ro-RO"/>
          </w:rPr>
          <w:t>https://doi.org/10.1006/rtph.1999.1371</w:t>
        </w:r>
      </w:hyperlink>
      <w:r w:rsidRPr="00C00F17">
        <w:rPr>
          <w:sz w:val="24"/>
          <w:lang w:val="ro-RO"/>
        </w:rPr>
        <w:t>.</w:t>
      </w:r>
    </w:p>
  </w:footnote>
  <w:footnote w:id="14">
    <w:p w:rsidR="00E66213" w:rsidRPr="00C00F17" w:rsidP="00C00F17" w14:paraId="797B61DC" w14:textId="2F8E3258">
      <w:pPr>
        <w:pStyle w:val="FootnoteText"/>
        <w:ind w:left="567" w:hanging="567"/>
        <w:rPr>
          <w:sz w:val="24"/>
          <w:szCs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 xml:space="preserve">Acest lucru este într-adevăr valabil în cazul </w:t>
      </w:r>
      <w:r w:rsidRPr="00C00F17">
        <w:rPr>
          <w:sz w:val="24"/>
          <w:lang w:val="ro-RO"/>
        </w:rPr>
        <w:t>glifosatului</w:t>
      </w:r>
      <w:r w:rsidRPr="00C00F17">
        <w:rPr>
          <w:sz w:val="24"/>
          <w:lang w:val="ro-RO"/>
        </w:rPr>
        <w:t xml:space="preserve">, astfel cum se afirmă în Avizul motivat al EFSA intitulat „Review of </w:t>
      </w:r>
      <w:r w:rsidRPr="00C00F17">
        <w:rPr>
          <w:sz w:val="24"/>
          <w:lang w:val="ro-RO"/>
        </w:rPr>
        <w:t>the</w:t>
      </w:r>
      <w:r w:rsidRPr="00C00F17">
        <w:rPr>
          <w:sz w:val="24"/>
          <w:lang w:val="ro-RO"/>
        </w:rPr>
        <w:t xml:space="preserve"> </w:t>
      </w:r>
      <w:r w:rsidRPr="00C00F17">
        <w:rPr>
          <w:sz w:val="24"/>
          <w:lang w:val="ro-RO"/>
        </w:rPr>
        <w:t>existing</w:t>
      </w:r>
      <w:r w:rsidRPr="00C00F17">
        <w:rPr>
          <w:sz w:val="24"/>
          <w:lang w:val="ro-RO"/>
        </w:rPr>
        <w:t xml:space="preserve"> maximum </w:t>
      </w:r>
      <w:r w:rsidRPr="00C00F17">
        <w:rPr>
          <w:sz w:val="24"/>
          <w:lang w:val="ro-RO"/>
        </w:rPr>
        <w:t>residue</w:t>
      </w:r>
      <w:r w:rsidRPr="00C00F17">
        <w:rPr>
          <w:sz w:val="24"/>
          <w:lang w:val="ro-RO"/>
        </w:rPr>
        <w:t xml:space="preserve"> </w:t>
      </w:r>
      <w:r w:rsidRPr="00C00F17">
        <w:rPr>
          <w:sz w:val="24"/>
          <w:lang w:val="ro-RO"/>
        </w:rPr>
        <w:t>levels</w:t>
      </w:r>
      <w:r w:rsidRPr="00C00F17">
        <w:rPr>
          <w:sz w:val="24"/>
          <w:lang w:val="ro-RO"/>
        </w:rPr>
        <w:t xml:space="preserve"> for </w:t>
      </w:r>
      <w:r w:rsidRPr="00C00F17">
        <w:rPr>
          <w:sz w:val="24"/>
          <w:lang w:val="ro-RO"/>
        </w:rPr>
        <w:t>glyphosate</w:t>
      </w:r>
      <w:r w:rsidRPr="00C00F17">
        <w:rPr>
          <w:sz w:val="24"/>
          <w:lang w:val="ro-RO"/>
        </w:rPr>
        <w:t xml:space="preserve"> </w:t>
      </w:r>
      <w:r w:rsidRPr="00C00F17">
        <w:rPr>
          <w:sz w:val="24"/>
          <w:lang w:val="ro-RO"/>
        </w:rPr>
        <w:t>according</w:t>
      </w:r>
      <w:r w:rsidRPr="00C00F17">
        <w:rPr>
          <w:sz w:val="24"/>
          <w:lang w:val="ro-RO"/>
        </w:rPr>
        <w:t xml:space="preserve"> </w:t>
      </w:r>
      <w:r w:rsidRPr="00C00F17">
        <w:rPr>
          <w:sz w:val="24"/>
          <w:lang w:val="ro-RO"/>
        </w:rPr>
        <w:t>to</w:t>
      </w:r>
      <w:r w:rsidRPr="00C00F17">
        <w:rPr>
          <w:sz w:val="24"/>
          <w:lang w:val="ro-RO"/>
        </w:rPr>
        <w:t xml:space="preserve"> </w:t>
      </w:r>
      <w:r w:rsidRPr="00C00F17">
        <w:rPr>
          <w:sz w:val="24"/>
          <w:lang w:val="ro-RO"/>
        </w:rPr>
        <w:t>Article</w:t>
      </w:r>
      <w:r w:rsidRPr="00C00F17">
        <w:rPr>
          <w:sz w:val="24"/>
          <w:lang w:val="ro-RO"/>
        </w:rPr>
        <w:t xml:space="preserve"> 12 of </w:t>
      </w:r>
      <w:r w:rsidRPr="00C00F17">
        <w:rPr>
          <w:sz w:val="24"/>
          <w:lang w:val="ro-RO"/>
        </w:rPr>
        <w:t>Regulation</w:t>
      </w:r>
      <w:r w:rsidRPr="00C00F17">
        <w:rPr>
          <w:sz w:val="24"/>
          <w:lang w:val="ro-RO"/>
        </w:rPr>
        <w:t xml:space="preserve"> (EC) No 396/2005” (Revizuirea reziduurilor maxime existente de </w:t>
      </w:r>
      <w:r w:rsidRPr="00C00F17">
        <w:rPr>
          <w:sz w:val="24"/>
          <w:lang w:val="ro-RO"/>
        </w:rPr>
        <w:t>glifosat</w:t>
      </w:r>
      <w:r w:rsidRPr="00C00F17">
        <w:rPr>
          <w:sz w:val="24"/>
          <w:lang w:val="ro-RO"/>
        </w:rPr>
        <w:t xml:space="preserve"> în conformitate cu articolul 12 din Regulamentul (CE) nr. 396/2005), </w:t>
      </w:r>
      <w:r w:rsidRPr="00C00F17">
        <w:rPr>
          <w:i/>
          <w:sz w:val="24"/>
          <w:lang w:val="ro-RO"/>
        </w:rPr>
        <w:t>EFSA Journal</w:t>
      </w:r>
      <w:r w:rsidRPr="00C00F17">
        <w:rPr>
          <w:sz w:val="24"/>
          <w:lang w:val="ro-RO"/>
        </w:rPr>
        <w:t xml:space="preserve">, 2018,16(5):e5263, p. 12, </w:t>
      </w:r>
      <w:hyperlink r:id="rId34" w:history="1">
        <w:r w:rsidRPr="00C00F17">
          <w:rPr>
            <w:rStyle w:val="Hyperlink"/>
            <w:color w:val="123D80"/>
            <w:sz w:val="24"/>
            <w:shd w:val="clear" w:color="auto" w:fill="FFFFFF"/>
            <w:lang w:val="ro-RO"/>
          </w:rPr>
          <w:t>https://doi.org/10.2903/j.efsa.2018.5263</w:t>
        </w:r>
      </w:hyperlink>
      <w:r w:rsidRPr="00C00F17">
        <w:rPr>
          <w:sz w:val="24"/>
          <w:lang w:val="ro-RO"/>
        </w:rPr>
        <w:t>.</w:t>
      </w:r>
    </w:p>
  </w:footnote>
  <w:footnote w:id="15">
    <w:p w:rsidR="00E66213" w:rsidRPr="00C00F17" w:rsidP="00C00F17" w14:paraId="0D663C9F" w14:textId="7A0F319B">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JO L 282, 19.10.2016, p. 4.</w:t>
      </w:r>
    </w:p>
  </w:footnote>
  <w:footnote w:id="16">
    <w:p w:rsidR="00E66213" w:rsidRPr="00C00F17" w:rsidP="00C00F17" w14:paraId="26305171" w14:textId="4EFD12F7">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JO L 309, 13.12.1993, p. 3, ELI: </w:t>
      </w:r>
      <w:hyperlink r:id="rId35" w:tooltip="Oferă acces la acest document prin identificatorul său uniform de resurse ELI." w:history="1">
        <w:r w:rsidRPr="00C00F17">
          <w:rPr>
            <w:rStyle w:val="Hyperlink"/>
            <w:sz w:val="24"/>
            <w:lang w:val="ro-RO"/>
          </w:rPr>
          <w:t>http://data.europa.eu/eli/convention/1993/626/oj</w:t>
        </w:r>
      </w:hyperlink>
      <w:r w:rsidRPr="00C00F17">
        <w:rPr>
          <w:sz w:val="24"/>
          <w:lang w:val="ro-RO"/>
        </w:rPr>
        <w:t>.</w:t>
      </w:r>
    </w:p>
  </w:footnote>
  <w:footnote w:id="17">
    <w:p w:rsidR="00E66213" w:rsidRPr="00C00F17" w:rsidP="00C00F17" w14:paraId="26B11FF0" w14:textId="1FB52624">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În decembrie 2022, a fost convenit un cadru mondial pentru biodiversitate la COP15 la CBD a ONU, care cuprinde o țintă mondială de reducere a riscului asociat pesticidelor cu cel puțin 50 % până în 2030 (a se vedea:</w:t>
      </w:r>
      <w:r w:rsidRPr="00C00F17">
        <w:rPr>
          <w:color w:val="000000" w:themeColor="text1"/>
          <w:sz w:val="24"/>
          <w:lang w:val="ro-RO"/>
        </w:rPr>
        <w:t xml:space="preserve"> </w:t>
      </w:r>
      <w:hyperlink r:id="rId36" w:history="1">
        <w:r w:rsidRPr="00C00F17">
          <w:rPr>
            <w:rStyle w:val="Hyperlink"/>
            <w:sz w:val="24"/>
            <w:lang w:val="ro-RO"/>
          </w:rPr>
          <w:t>https://ec.europa.eu/commission/presscorner/detail/ro/ip_22_7834</w:t>
        </w:r>
      </w:hyperlink>
      <w:r w:rsidRPr="00C00F17">
        <w:rPr>
          <w:sz w:val="24"/>
          <w:lang w:val="ro-RO"/>
        </w:rPr>
        <w:t>).</w:t>
      </w:r>
    </w:p>
  </w:footnote>
  <w:footnote w:id="18">
    <w:p w:rsidR="00E66213" w:rsidRPr="00C00F17" w:rsidP="00C00F17" w14:paraId="74230364" w14:textId="06EBF774">
      <w:pPr>
        <w:pStyle w:val="FootnoteText"/>
        <w:ind w:left="567" w:hanging="567"/>
        <w:rPr>
          <w:sz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hyperlink r:id="rId37" w:history="1">
        <w:r w:rsidRPr="00C00F17">
          <w:rPr>
            <w:rStyle w:val="Hyperlink"/>
            <w:sz w:val="24"/>
            <w:lang w:val="ro-RO"/>
          </w:rPr>
          <w:t>https://commission.europa.eu/topics/agriculture-and-rural-development/strategic-dialogue-future-eu-agriculture_ro</w:t>
        </w:r>
      </w:hyperlink>
      <w:r w:rsidRPr="00C00F17">
        <w:rPr>
          <w:rStyle w:val="Hyperlink"/>
          <w:sz w:val="24"/>
          <w:lang w:val="ro-RO"/>
        </w:rPr>
        <w:t>.</w:t>
      </w:r>
    </w:p>
  </w:footnote>
  <w:footnote w:id="19">
    <w:p w:rsidR="00E66213" w:rsidRPr="00C00F17" w:rsidP="00C00F17" w14:paraId="7E45FEEC" w14:textId="6854E547">
      <w:pPr>
        <w:pStyle w:val="FootnoteText"/>
        <w:ind w:left="567" w:hanging="567"/>
        <w:rPr>
          <w:sz w:val="24"/>
          <w:szCs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r w:rsidRPr="00C00F17">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w:t>
      </w:r>
      <w:hyperlink r:id="rId38" w:tgtFrame="Gives access to this document through its ELI URI." w:history="1">
        <w:r w:rsidRPr="00C00F17">
          <w:rPr>
            <w:rStyle w:val="Hyperlink"/>
            <w:color w:val="0070C0"/>
            <w:sz w:val="24"/>
            <w:lang w:val="ro-RO"/>
          </w:rPr>
          <w:t>http://data.europa.eu/eli/reg/2002/178/oj</w:t>
        </w:r>
      </w:hyperlink>
      <w:r w:rsidRPr="00C00F17">
        <w:rPr>
          <w:sz w:val="24"/>
          <w:lang w:val="ro-RO"/>
        </w:rPr>
        <w:t>).</w:t>
      </w:r>
    </w:p>
  </w:footnote>
  <w:footnote w:id="20">
    <w:p w:rsidR="00E66213" w:rsidRPr="00C00F17" w:rsidP="00C00F17" w14:paraId="5E519DA4" w14:textId="174CDEC2">
      <w:pPr>
        <w:pStyle w:val="FootnoteText"/>
        <w:ind w:left="567" w:hanging="567"/>
        <w:rPr>
          <w:sz w:val="24"/>
          <w:szCs w:val="24"/>
          <w:lang w:val="ro-RO"/>
        </w:rPr>
      </w:pPr>
      <w:r w:rsidRPr="00C00F17">
        <w:rPr>
          <w:rStyle w:val="FootnoteReference"/>
          <w:sz w:val="24"/>
          <w:lang w:val="ro-RO"/>
        </w:rPr>
        <w:footnoteRef/>
      </w:r>
      <w:r w:rsidRPr="00C00F17" w:rsidR="00C00F17">
        <w:rPr>
          <w:sz w:val="24"/>
          <w:lang w:val="ro-RO"/>
        </w:rPr>
        <w:t xml:space="preserve"> </w:t>
      </w:r>
      <w:r w:rsidRPr="00C00F17" w:rsidR="00C00F17">
        <w:rPr>
          <w:sz w:val="24"/>
          <w:lang w:val="ro-RO"/>
        </w:rPr>
        <w:tab/>
      </w:r>
      <w:hyperlink r:id="rId39" w:history="1">
        <w:r w:rsidRPr="00C00F17">
          <w:rPr>
            <w:rStyle w:val="Hyperlink"/>
            <w:sz w:val="24"/>
            <w:shd w:val="clear" w:color="auto" w:fill="FFFFFF"/>
            <w:lang w:val="ro-RO"/>
          </w:rPr>
          <w:t>https://tillymetz.lu/wp-content/uploads/2020/09/Co-signed-letter-MEP-Metz.pdf</w:t>
        </w:r>
      </w:hyperlink>
      <w:r w:rsidRPr="00C00F17">
        <w:rPr>
          <w:sz w:val="24"/>
          <w:shd w:val="clear" w:color="auto" w:fill="FFFFFF"/>
          <w:lang w:val="ro-RO"/>
        </w:rPr>
        <w:t>.</w:t>
      </w:r>
    </w:p>
  </w:footnote>
  <w:footnote w:id="21">
    <w:p w:rsidR="00E66213" w:rsidRPr="00C00F17" w:rsidP="00C00F17" w14:paraId="7C198ACB" w14:textId="34DB03EA">
      <w:pPr>
        <w:pStyle w:val="FootnoteText"/>
        <w:ind w:left="567" w:hanging="567"/>
        <w:rPr>
          <w:sz w:val="24"/>
          <w:lang w:val="ro-RO"/>
        </w:rPr>
      </w:pPr>
      <w:r w:rsidRPr="00C00F17">
        <w:rPr>
          <w:rStyle w:val="FootnoteReference"/>
          <w:sz w:val="24"/>
          <w:lang w:val="ro-RO"/>
        </w:rPr>
        <w:footnoteRef/>
      </w:r>
      <w:r w:rsidRPr="00C00F17" w:rsidR="00C00F17">
        <w:rPr>
          <w:sz w:val="24"/>
          <w:shd w:val="clear" w:color="auto" w:fill="FFFFFF"/>
          <w:lang w:val="ro-RO"/>
        </w:rPr>
        <w:t xml:space="preserve"> </w:t>
      </w:r>
      <w:r w:rsidRPr="00C00F17" w:rsidR="00C00F17">
        <w:rPr>
          <w:sz w:val="24"/>
          <w:shd w:val="clear" w:color="auto" w:fill="FFFFFF"/>
          <w:lang w:val="ro-RO"/>
        </w:rPr>
        <w:tab/>
      </w:r>
      <w:r w:rsidRPr="00C00F17">
        <w:rPr>
          <w:sz w:val="24"/>
          <w:shd w:val="clear" w:color="auto" w:fill="FFFFFF"/>
          <w:lang w:val="ro-RO"/>
        </w:rPr>
        <w:t>Rezoluția Parlamentului European din 15 ianuarie 2020 referitoare la Pactul ecologic european (JO C 270, 7.7.2021, p. 2), punctul 102.</w:t>
      </w:r>
    </w:p>
  </w:footnote>
  <w:footnote w:id="22">
    <w:p w:rsidR="00E66213" w:rsidRPr="00C00F17" w:rsidP="00C00F17" w14:paraId="7AEE955D" w14:textId="3461A342">
      <w:pPr>
        <w:pStyle w:val="FootnoteText"/>
        <w:ind w:left="567" w:hanging="567"/>
        <w:rPr>
          <w:sz w:val="24"/>
          <w:szCs w:val="24"/>
          <w:lang w:val="ro-RO"/>
        </w:rPr>
      </w:pPr>
      <w:r w:rsidRPr="00C00F17">
        <w:rPr>
          <w:rStyle w:val="FootnoteReference"/>
          <w:sz w:val="24"/>
          <w:lang w:val="ro-RO"/>
        </w:rPr>
        <w:footnoteRef/>
      </w:r>
      <w:r w:rsidRPr="00C00F17" w:rsidR="00C00F17">
        <w:rPr>
          <w:sz w:val="24"/>
          <w:shd w:val="clear" w:color="auto" w:fill="FFFFFF"/>
          <w:lang w:val="ro-RO"/>
        </w:rPr>
        <w:t xml:space="preserve"> </w:t>
      </w:r>
      <w:r w:rsidRPr="00C00F17" w:rsidR="00C00F17">
        <w:rPr>
          <w:sz w:val="24"/>
          <w:shd w:val="clear" w:color="auto" w:fill="FFFFFF"/>
          <w:lang w:val="ro-RO"/>
        </w:rPr>
        <w:tab/>
      </w:r>
      <w:r w:rsidRPr="00C00F17">
        <w:rPr>
          <w:sz w:val="24"/>
          <w:shd w:val="clear" w:color="auto" w:fill="FFFFFF"/>
          <w:lang w:val="ro-RO"/>
        </w:rPr>
        <w:t xml:space="preserve">JO C 445, 29.10.2021, p. </w:t>
      </w:r>
      <w:r w:rsidRPr="00C00F17">
        <w:rPr>
          <w:sz w:val="24"/>
          <w:shd w:val="clear" w:color="auto" w:fill="FFFFFF"/>
          <w:lang w:val="ro-RO"/>
        </w:rPr>
        <w:t>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F17" w14:paraId="328AA3F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F17" w14:paraId="1833CA7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F17" w14:paraId="1EB568B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158168">
    <w:abstractNumId w:val="9"/>
  </w:num>
  <w:num w:numId="2" w16cid:durableId="66459023">
    <w:abstractNumId w:val="9"/>
  </w:num>
  <w:num w:numId="3" w16cid:durableId="981889398">
    <w:abstractNumId w:val="7"/>
  </w:num>
  <w:num w:numId="4" w16cid:durableId="1491286162">
    <w:abstractNumId w:val="7"/>
  </w:num>
  <w:num w:numId="5" w16cid:durableId="840924243">
    <w:abstractNumId w:val="6"/>
  </w:num>
  <w:num w:numId="6" w16cid:durableId="673845212">
    <w:abstractNumId w:val="6"/>
  </w:num>
  <w:num w:numId="7" w16cid:durableId="1390150018">
    <w:abstractNumId w:val="5"/>
  </w:num>
  <w:num w:numId="8" w16cid:durableId="681787597">
    <w:abstractNumId w:val="5"/>
  </w:num>
  <w:num w:numId="9" w16cid:durableId="472259887">
    <w:abstractNumId w:val="4"/>
  </w:num>
  <w:num w:numId="10" w16cid:durableId="180241480">
    <w:abstractNumId w:val="4"/>
  </w:num>
  <w:num w:numId="11" w16cid:durableId="1328286536">
    <w:abstractNumId w:val="8"/>
  </w:num>
  <w:num w:numId="12" w16cid:durableId="340161411">
    <w:abstractNumId w:val="8"/>
  </w:num>
  <w:num w:numId="13" w16cid:durableId="262223907">
    <w:abstractNumId w:val="3"/>
  </w:num>
  <w:num w:numId="14" w16cid:durableId="999388490">
    <w:abstractNumId w:val="3"/>
  </w:num>
  <w:num w:numId="15" w16cid:durableId="1636569283">
    <w:abstractNumId w:val="2"/>
  </w:num>
  <w:num w:numId="16" w16cid:durableId="1044401946">
    <w:abstractNumId w:val="2"/>
  </w:num>
  <w:num w:numId="17" w16cid:durableId="192155983">
    <w:abstractNumId w:val="1"/>
  </w:num>
  <w:num w:numId="18" w16cid:durableId="1408720964">
    <w:abstractNumId w:val="1"/>
  </w:num>
  <w:num w:numId="19" w16cid:durableId="1879508401">
    <w:abstractNumId w:val="0"/>
  </w:num>
  <w:num w:numId="20" w16cid:durableId="780034042">
    <w:abstractNumId w:val="0"/>
  </w:num>
  <w:num w:numId="21" w16cid:durableId="1762530166">
    <w:abstractNumId w:val="9"/>
  </w:num>
  <w:num w:numId="22" w16cid:durableId="2068608341">
    <w:abstractNumId w:val="7"/>
  </w:num>
  <w:num w:numId="23" w16cid:durableId="1396968486">
    <w:abstractNumId w:val="6"/>
  </w:num>
  <w:num w:numId="24" w16cid:durableId="113645025">
    <w:abstractNumId w:val="5"/>
  </w:num>
  <w:num w:numId="25" w16cid:durableId="299770404">
    <w:abstractNumId w:val="4"/>
  </w:num>
  <w:num w:numId="26" w16cid:durableId="1871870577">
    <w:abstractNumId w:val="8"/>
  </w:num>
  <w:num w:numId="27" w16cid:durableId="342904326">
    <w:abstractNumId w:val="3"/>
  </w:num>
  <w:num w:numId="28" w16cid:durableId="791484743">
    <w:abstractNumId w:val="2"/>
  </w:num>
  <w:num w:numId="29" w16cid:durableId="1072238479">
    <w:abstractNumId w:val="1"/>
  </w:num>
  <w:num w:numId="30" w16cid:durableId="1912277294">
    <w:abstractNumId w:val="0"/>
  </w:num>
  <w:num w:numId="31" w16cid:durableId="990520745">
    <w:abstractNumId w:val="9"/>
  </w:num>
  <w:num w:numId="32" w16cid:durableId="674067201">
    <w:abstractNumId w:val="7"/>
  </w:num>
  <w:num w:numId="33" w16cid:durableId="1768651664">
    <w:abstractNumId w:val="6"/>
  </w:num>
  <w:num w:numId="34" w16cid:durableId="1553615708">
    <w:abstractNumId w:val="5"/>
  </w:num>
  <w:num w:numId="35" w16cid:durableId="1645811187">
    <w:abstractNumId w:val="4"/>
  </w:num>
  <w:num w:numId="36" w16cid:durableId="2046174725">
    <w:abstractNumId w:val="8"/>
  </w:num>
  <w:num w:numId="37" w16cid:durableId="487014697">
    <w:abstractNumId w:val="3"/>
  </w:num>
  <w:num w:numId="38" w16cid:durableId="442529875">
    <w:abstractNumId w:val="2"/>
  </w:num>
  <w:num w:numId="39" w16cid:durableId="1520654678">
    <w:abstractNumId w:val="1"/>
  </w:num>
  <w:num w:numId="40" w16cid:durableId="1522207822">
    <w:abstractNumId w:val="0"/>
  </w:num>
  <w:num w:numId="41" w16cid:durableId="1146167059">
    <w:abstractNumId w:val="10"/>
  </w:num>
  <w:num w:numId="42" w16cid:durableId="691883089">
    <w:abstractNumId w:val="10"/>
  </w:num>
  <w:num w:numId="43" w16cid:durableId="1378167205">
    <w:abstractNumId w:val="10"/>
  </w:num>
  <w:num w:numId="44" w16cid:durableId="6765416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63"/>
    <w:rsid w:val="00002272"/>
    <w:rsid w:val="00064002"/>
    <w:rsid w:val="000677B9"/>
    <w:rsid w:val="000831BA"/>
    <w:rsid w:val="000A42CC"/>
    <w:rsid w:val="000E6C61"/>
    <w:rsid w:val="000E7DD9"/>
    <w:rsid w:val="0010095E"/>
    <w:rsid w:val="00104CAB"/>
    <w:rsid w:val="00125B37"/>
    <w:rsid w:val="00131153"/>
    <w:rsid w:val="00155681"/>
    <w:rsid w:val="00187494"/>
    <w:rsid w:val="001F32AE"/>
    <w:rsid w:val="002767FF"/>
    <w:rsid w:val="002B18FE"/>
    <w:rsid w:val="002B5493"/>
    <w:rsid w:val="00324EDA"/>
    <w:rsid w:val="00331CE6"/>
    <w:rsid w:val="00343214"/>
    <w:rsid w:val="00361C00"/>
    <w:rsid w:val="00395FA1"/>
    <w:rsid w:val="003E15D4"/>
    <w:rsid w:val="00411CCE"/>
    <w:rsid w:val="0041666E"/>
    <w:rsid w:val="00421060"/>
    <w:rsid w:val="004330ED"/>
    <w:rsid w:val="00471C19"/>
    <w:rsid w:val="004867E3"/>
    <w:rsid w:val="00494A28"/>
    <w:rsid w:val="004C0004"/>
    <w:rsid w:val="004C5D52"/>
    <w:rsid w:val="004E454A"/>
    <w:rsid w:val="0050519A"/>
    <w:rsid w:val="005072A1"/>
    <w:rsid w:val="00514517"/>
    <w:rsid w:val="00516099"/>
    <w:rsid w:val="00545827"/>
    <w:rsid w:val="00560270"/>
    <w:rsid w:val="005C2568"/>
    <w:rsid w:val="005D0FC8"/>
    <w:rsid w:val="005F1B17"/>
    <w:rsid w:val="006037C0"/>
    <w:rsid w:val="006631B6"/>
    <w:rsid w:val="00680577"/>
    <w:rsid w:val="006A316B"/>
    <w:rsid w:val="006E1726"/>
    <w:rsid w:val="006F74FA"/>
    <w:rsid w:val="0072294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C1A"/>
    <w:rsid w:val="00B558F0"/>
    <w:rsid w:val="00B75CB6"/>
    <w:rsid w:val="00BD48FE"/>
    <w:rsid w:val="00BD7BD8"/>
    <w:rsid w:val="00BE6ADC"/>
    <w:rsid w:val="00C00F17"/>
    <w:rsid w:val="00C05BFE"/>
    <w:rsid w:val="00C23CD4"/>
    <w:rsid w:val="00C53751"/>
    <w:rsid w:val="00C61C0C"/>
    <w:rsid w:val="00C941CB"/>
    <w:rsid w:val="00CC2357"/>
    <w:rsid w:val="00CF071A"/>
    <w:rsid w:val="00D00710"/>
    <w:rsid w:val="00D007FB"/>
    <w:rsid w:val="00D058B8"/>
    <w:rsid w:val="00D56C11"/>
    <w:rsid w:val="00D834A0"/>
    <w:rsid w:val="00D872DF"/>
    <w:rsid w:val="00D91E21"/>
    <w:rsid w:val="00DA7FCD"/>
    <w:rsid w:val="00E365E1"/>
    <w:rsid w:val="00E66213"/>
    <w:rsid w:val="00E726D9"/>
    <w:rsid w:val="00E820A4"/>
    <w:rsid w:val="00EB006A"/>
    <w:rsid w:val="00EB4772"/>
    <w:rsid w:val="00ED169E"/>
    <w:rsid w:val="00ED4235"/>
    <w:rsid w:val="00F04346"/>
    <w:rsid w:val="00F075DC"/>
    <w:rsid w:val="00F149E9"/>
    <w:rsid w:val="00F5134D"/>
    <w:rsid w:val="00F74202"/>
    <w:rsid w:val="00F87713"/>
    <w:rsid w:val="00FB4360"/>
    <w:rsid w:val="00FB7A63"/>
    <w:rsid w:val="00FD0C70"/>
  </w:rsids>
  <w:docVars>
    <w:docVar w:name="dvdocse" w:val="B10-0334/2026"/>
    <w:docVar w:name="dvlangue" w:val="RO"/>
    <w:docVar w:name="dvnumam" w:val="0"/>
    <w:docVar w:name="dvpe" w:val="789.024"/>
    <w:docVar w:name="dvtitre" w:val="Rezoluția Parlamentului European din 8 iulie 2026 referitoare la proiectul de decizie de punere în aplicare a Comisiei privind reînnoirea autorizației pentru introducerea pe piață a produselor care conțin, sunt compuse sau fabricate din soia modificată genetic MON 87705, în temeiul Regulamentului (CE) nr. 1829/2003 al Parlamentului European și al Consiliului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257CBF"/>
  <w15:chartTrackingRefBased/>
  <w15:docId w15:val="{CBFAD7FA-4F77-4F43-9D1A-D9309FD9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6213"/>
    <w:pPr>
      <w:spacing w:before="480" w:after="240"/>
    </w:pPr>
  </w:style>
  <w:style w:type="paragraph" w:customStyle="1" w:styleId="NormalHanging12a">
    <w:name w:val="NormalHanging12a"/>
    <w:basedOn w:val="Normal"/>
    <w:qFormat/>
    <w:rsid w:val="00E66213"/>
    <w:pPr>
      <w:spacing w:after="240"/>
      <w:ind w:left="567" w:hanging="567"/>
    </w:pPr>
  </w:style>
  <w:style w:type="character" w:styleId="Hyperlink">
    <w:name w:val="Hyperlink"/>
    <w:basedOn w:val="DefaultParagraphFont"/>
    <w:uiPriority w:val="99"/>
    <w:rsid w:val="00E66213"/>
    <w:rPr>
      <w:color w:val="0563C1" w:themeColor="hyperlink"/>
      <w:u w:val="single"/>
    </w:rPr>
  </w:style>
  <w:style w:type="character" w:customStyle="1" w:styleId="Funotenzeichen">
    <w:name w:val="Fußnotenzeichen"/>
    <w:basedOn w:val="DefaultParagraphFont"/>
    <w:uiPriority w:val="99"/>
    <w:qFormat/>
    <w:rsid w:val="00E66213"/>
    <w:rPr>
      <w:rFonts w:cs="Times New Roman"/>
      <w:vertAlign w:val="superscript"/>
    </w:rPr>
  </w:style>
  <w:style w:type="paragraph" w:styleId="Revision">
    <w:name w:val="Revision"/>
    <w:hidden/>
    <w:uiPriority w:val="99"/>
    <w:semiHidden/>
    <w:rsid w:val="00D00710"/>
    <w:rPr>
      <w:sz w:val="24"/>
      <w:lang w:val="ro-RO"/>
    </w:rPr>
  </w:style>
  <w:style w:type="character" w:styleId="FollowedHyperlink">
    <w:name w:val="FollowedHyperlink"/>
    <w:basedOn w:val="DefaultParagraphFont"/>
    <w:rsid w:val="00D007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ro/ip_22_7834" TargetMode="External" /><Relationship Id="rId37" Type="http://schemas.openxmlformats.org/officeDocument/2006/relationships/hyperlink" Target="https://commission.europa.eu/topics/agriculture-and-rural-development/strategic-dialogue-future-eu-agriculture_ro"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2260</Words>
  <Characters>13229</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2026-08-06T09:10:00Z</dcterms:created>
  <dcterms:modified xsi:type="dcterms:W3CDTF">2026-08-06T09:10:00Z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B10-0334/2026</vt:lpwstr>
  </property>
  <property fmtid="{D5CDD505-2E9C-101B-9397-08002B2CF9AE}" pid="4" name="&lt;Type&gt;">
    <vt:lpwstr>RR</vt:lpwstr>
  </property>
</Properties>
</file>