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C446642" w14:textId="77777777" w:rsidTr="0010095E">
        <w:tblPrEx>
          <w:tblW w:w="9072" w:type="dxa"/>
          <w:tblLook w:val="01E0"/>
        </w:tblPrEx>
        <w:trPr>
          <w:trHeight w:hRule="exact" w:val="1418"/>
        </w:trPr>
        <w:tc>
          <w:tcPr>
            <w:tcW w:w="6804" w:type="dxa"/>
            <w:shd w:val="clear" w:color="auto" w:fill="auto"/>
            <w:vAlign w:val="center"/>
          </w:tcPr>
          <w:p w:rsidR="00751A4A" w:rsidRPr="001724FE" w:rsidP="0010095E" w14:paraId="46FE30F5" w14:textId="77777777">
            <w:pPr>
              <w:pStyle w:val="EPName"/>
            </w:pPr>
            <w:r w:rsidRPr="001724FE">
              <w:t>Európsky parlament</w:t>
            </w:r>
          </w:p>
          <w:p w:rsidR="00751A4A" w:rsidRPr="001724FE" w:rsidP="005F1B17" w14:paraId="20A9142D" w14:textId="77777777">
            <w:pPr>
              <w:pStyle w:val="EPTerm"/>
              <w:rPr>
                <w:rStyle w:val="HideTWBExt"/>
                <w:noProof w:val="0"/>
                <w:vanish w:val="0"/>
                <w:color w:val="auto"/>
              </w:rPr>
            </w:pPr>
            <w:r w:rsidRPr="001724FE">
              <w:t>2024</w:t>
            </w:r>
            <w:r w:rsidRPr="001724FE" w:rsidR="00817416">
              <w:t>-202</w:t>
            </w:r>
            <w:r w:rsidRPr="001724FE">
              <w:t>9</w:t>
            </w:r>
          </w:p>
        </w:tc>
        <w:tc>
          <w:tcPr>
            <w:tcW w:w="2268" w:type="dxa"/>
            <w:shd w:val="clear" w:color="auto" w:fill="auto"/>
          </w:tcPr>
          <w:p w:rsidR="00751A4A" w:rsidRPr="001724FE" w:rsidP="0010095E" w14:paraId="1177CEC7" w14:textId="77777777">
            <w:pPr>
              <w:pStyle w:val="EPLogo"/>
            </w:pPr>
            <w:r w:rsidRPr="001724F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724FE" w:rsidP="004C5D52" w14:paraId="2713D422" w14:textId="77777777">
      <w:pPr>
        <w:pStyle w:val="LineTop"/>
      </w:pPr>
    </w:p>
    <w:p w:rsidR="00680577" w:rsidRPr="001724FE" w:rsidP="00680577" w14:paraId="3EBDF43E" w14:textId="77777777">
      <w:pPr>
        <w:pStyle w:val="EPBodyTA1"/>
      </w:pPr>
      <w:r w:rsidRPr="001724FE">
        <w:t>PRIJATÉ TEXTY</w:t>
      </w:r>
    </w:p>
    <w:p w:rsidR="00D058B8" w:rsidRPr="001724FE" w:rsidP="00D058B8" w14:paraId="184FCAD6" w14:textId="77777777">
      <w:pPr>
        <w:pStyle w:val="LineBottom"/>
      </w:pPr>
    </w:p>
    <w:p w:rsidR="00B90C86" w:rsidRPr="001724FE" w:rsidP="00B90C86" w14:paraId="48254530" w14:textId="294F2C2C">
      <w:pPr>
        <w:pStyle w:val="ATHeading1"/>
      </w:pPr>
      <w:bookmarkStart w:id="0" w:name="TANumber"/>
      <w:r w:rsidRPr="001724FE">
        <w:t>P10_TA(2026)</w:t>
      </w:r>
      <w:r w:rsidRPr="001724FE" w:rsidR="004E3E31">
        <w:t>026</w:t>
      </w:r>
      <w:bookmarkEnd w:id="0"/>
      <w:r w:rsidRPr="001724FE" w:rsidR="00AA1358">
        <w:t>4</w:t>
      </w:r>
    </w:p>
    <w:p w:rsidR="00B90C86" w:rsidRPr="001724FE" w:rsidP="00B90C86" w14:paraId="58DC2D49" w14:textId="1AD1B678">
      <w:pPr>
        <w:pStyle w:val="ATHeading2"/>
      </w:pPr>
      <w:bookmarkStart w:id="1" w:name="title"/>
      <w:r w:rsidRPr="001724FE">
        <w:t>Geneticky modifikovaná sója MON 87705</w:t>
      </w:r>
      <w:bookmarkEnd w:id="1"/>
    </w:p>
    <w:p w:rsidR="00B90C86" w:rsidRPr="001724FE" w:rsidP="00B90C86" w14:paraId="11C2241C" w14:textId="77777777">
      <w:pPr>
        <w:rPr>
          <w:i/>
          <w:vanish/>
        </w:rPr>
      </w:pPr>
      <w:r>
        <w:rPr>
          <w:i/>
        </w:rPr>
        <w:fldChar w:fldCharType="begin"/>
      </w:r>
      <w:r w:rsidRPr="001724FE">
        <w:rPr>
          <w:i/>
        </w:rPr>
        <w:instrText xml:space="preserve"> TC"(</w:instrText>
      </w:r>
      <w:bookmarkStart w:id="2" w:name="DocNumber"/>
      <w:r w:rsidRPr="001724FE">
        <w:rPr>
          <w:i/>
        </w:rPr>
        <w:instrText>B10-0334/2026</w:instrText>
      </w:r>
      <w:bookmarkEnd w:id="2"/>
      <w:r w:rsidRPr="001724FE">
        <w:rPr>
          <w:i/>
        </w:rPr>
        <w:instrText xml:space="preserve">)"\l3 \n&gt; \* MERGEFORMAT </w:instrText>
      </w:r>
      <w:r>
        <w:rPr>
          <w:i/>
        </w:rPr>
        <w:fldChar w:fldCharType="end"/>
      </w:r>
    </w:p>
    <w:p w:rsidR="00B90C86" w:rsidRPr="001724FE" w:rsidP="00B90C86" w14:paraId="5FF010CD" w14:textId="77777777">
      <w:pPr>
        <w:rPr>
          <w:vanish/>
        </w:rPr>
      </w:pPr>
      <w:bookmarkStart w:id="3" w:name="PE"/>
      <w:r w:rsidRPr="001724FE">
        <w:rPr>
          <w:vanish/>
        </w:rPr>
        <w:t>PE789.024</w:t>
      </w:r>
      <w:bookmarkEnd w:id="3"/>
    </w:p>
    <w:p w:rsidR="00B90C86" w:rsidRPr="001724FE" w:rsidP="00B90C86" w14:paraId="17C15F05" w14:textId="174F5783">
      <w:pPr>
        <w:pStyle w:val="ATHeading3"/>
      </w:pPr>
      <w:bookmarkStart w:id="4" w:name="Sujet"/>
      <w:r w:rsidRPr="001724FE">
        <w:t xml:space="preserve">Uznesenie Európskeho parlamentu z </w:t>
      </w:r>
      <w:r w:rsidRPr="001724FE" w:rsidR="00D7555C">
        <w:t>8</w:t>
      </w:r>
      <w:r w:rsidRPr="001724FE">
        <w:t xml:space="preserve">. </w:t>
      </w:r>
      <w:r w:rsidRPr="001724FE" w:rsidR="00D7555C">
        <w:t>júla</w:t>
      </w:r>
      <w:r w:rsidRPr="001724FE">
        <w:t xml:space="preserve"> 2026 o vykonávac</w:t>
      </w:r>
      <w:r w:rsidRPr="001724FE" w:rsidR="00AD6F46">
        <w:t>om</w:t>
      </w:r>
      <w:r w:rsidRPr="001724FE">
        <w:t xml:space="preserve"> rozhodnut</w:t>
      </w:r>
      <w:r w:rsidRPr="001724FE" w:rsidR="00AD6F46">
        <w:t>í</w:t>
      </w:r>
      <w:r w:rsidRPr="001724FE">
        <w:t xml:space="preserve"> Komisie</w:t>
      </w:r>
      <w:r w:rsidRPr="001724FE" w:rsidR="00AD6F46">
        <w:t xml:space="preserve"> (EÚ) 2026/1419 </w:t>
      </w:r>
      <w:r w:rsidRPr="001724FE" w:rsidR="006C5A9A">
        <w:t>z 29. júna 2026</w:t>
      </w:r>
      <w:r w:rsidRPr="001724FE">
        <w:t xml:space="preserve">, ktorým sa podľa nariadenia Európskeho parlamentu a Rady (ES) č. 1829/2003 obnovuje povolenie umiestniť na trh produkty, ktoré obsahujú geneticky modifikovanú sóju MON 87705, sú z nej zložené alebo vyrobené </w:t>
      </w:r>
      <w:bookmarkStart w:id="5" w:name="References"/>
      <w:bookmarkEnd w:id="4"/>
      <w:r w:rsidRPr="001724FE">
        <w:t>(2026/2747(RSP))</w:t>
      </w:r>
      <w:bookmarkEnd w:id="5"/>
    </w:p>
    <w:p w:rsidR="00AE1AAB" w:rsidRPr="001724FE" w:rsidP="00AE1AAB" w14:paraId="20BF59BC" w14:textId="77777777">
      <w:pPr>
        <w:pStyle w:val="EPComma"/>
      </w:pPr>
      <w:bookmarkStart w:id="6" w:name="TextBodyBegin"/>
      <w:bookmarkEnd w:id="6"/>
      <w:r w:rsidRPr="001724FE">
        <w:rPr>
          <w:i/>
        </w:rPr>
        <w:t>Európsky parlament</w:t>
      </w:r>
      <w:r w:rsidRPr="001724FE">
        <w:t>,</w:t>
      </w:r>
    </w:p>
    <w:p w:rsidR="00AE1AAB" w:rsidRPr="001724FE" w:rsidP="00AE1AAB" w14:paraId="67E2379E" w14:textId="7A57F85B">
      <w:pPr>
        <w:pStyle w:val="NormalHanging12a"/>
      </w:pPr>
      <w:r w:rsidRPr="001724FE">
        <w:t>–</w:t>
      </w:r>
      <w:r w:rsidRPr="001724FE">
        <w:tab/>
        <w:t>so zreteľom na vykonávacie rozhodnuti</w:t>
      </w:r>
      <w:r w:rsidRPr="001724FE" w:rsidR="00D7555C">
        <w:t>e</w:t>
      </w:r>
      <w:r w:rsidRPr="001724FE">
        <w:t xml:space="preserve"> Komisie</w:t>
      </w:r>
      <w:r w:rsidRPr="001724FE" w:rsidR="00D7555C">
        <w:t xml:space="preserve"> (EÚ) 2026/1419 z 2</w:t>
      </w:r>
      <w:r w:rsidRPr="001724FE" w:rsidR="0008024E">
        <w:t>9</w:t>
      </w:r>
      <w:r w:rsidRPr="001724FE" w:rsidR="00D7555C">
        <w:t>. júna 2026</w:t>
      </w:r>
      <w:r w:rsidRPr="001724FE">
        <w:t>, ktorým sa podľa nariadenia Európskeho parlamentu a Rady (ES) č. 1829/2003 obnovuje povolenie umiestniť na trh produkty, ktoré obsahujú geneticky modifikovanú sóju MON 87705, sú z nej zložené alebo vyrobené</w:t>
      </w:r>
      <w:r>
        <w:rPr>
          <w:rStyle w:val="FootnoteReference"/>
        </w:rPr>
        <w:footnoteReference w:id="2"/>
      </w:r>
      <w:r w:rsidRPr="001724FE">
        <w:t>,</w:t>
      </w:r>
    </w:p>
    <w:p w:rsidR="00AE1AAB" w:rsidRPr="001724FE" w:rsidP="00AE1AAB" w14:paraId="6C7C9CAF" w14:textId="77777777">
      <w:pPr>
        <w:pStyle w:val="NormalHanging12a"/>
      </w:pPr>
      <w:r w:rsidRPr="001724FE">
        <w:t>–</w:t>
      </w:r>
      <w:r w:rsidRPr="001724FE">
        <w:tab/>
        <w:t>so zreteľom na nariadenie Európskeho parlamentu a Rady (ES) č. 1829/2003 z 22. septembra 2003 o geneticky modifikovaných potravinách a krmivách</w:t>
      </w:r>
      <w:r>
        <w:rPr>
          <w:rStyle w:val="FootnoteReference"/>
        </w:rPr>
        <w:footnoteReference w:id="3"/>
      </w:r>
      <w:r w:rsidRPr="001724FE">
        <w:t>, a najmä na jeho článok 11 ods. 3 a článok 23 ods. 3,</w:t>
      </w:r>
    </w:p>
    <w:p w:rsidR="00AE1AAB" w:rsidRPr="001724FE" w:rsidP="00AE1AAB" w14:paraId="0393E22F" w14:textId="77777777">
      <w:pPr>
        <w:pStyle w:val="NormalHanging12a"/>
      </w:pPr>
      <w:r w:rsidRPr="001724FE">
        <w:t>–</w:t>
      </w:r>
      <w:r w:rsidRPr="001724FE">
        <w:tab/>
        <w:t>so zreteľom na hlasovanie Stáleho výboru pre rastliny, zvieratá, potraviny a krmivá podľa článku 35 nariadenia (ES) č. 1829/2003, ktoré sa konalo 27. apríla 2026 a na ktorom sa rozhodlo, že sa nevydá žiadne stanovisko, a na hlasovanie odvolacieho výboru z 2. júna 2026, počas ktorého opätovne nebolo prijaté žiadne stanovisko,</w:t>
      </w:r>
    </w:p>
    <w:p w:rsidR="00AE1AAB" w:rsidRPr="001724FE" w:rsidP="00AE1AAB" w14:paraId="5B58DB3F" w14:textId="77777777">
      <w:pPr>
        <w:pStyle w:val="NormalHanging12a"/>
      </w:pPr>
      <w:r w:rsidRPr="001724FE">
        <w:t>–</w:t>
      </w:r>
      <w:r w:rsidRPr="001724FE">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Pr>
          <w:rStyle w:val="FootnoteReference"/>
        </w:rPr>
        <w:footnoteReference w:id="4"/>
      </w:r>
      <w:r w:rsidRPr="001724FE">
        <w:t>,</w:t>
      </w:r>
    </w:p>
    <w:p w:rsidR="00AE1AAB" w:rsidRPr="001724FE" w:rsidP="00AE1AAB" w14:paraId="7ADFE63C" w14:textId="77777777">
      <w:pPr>
        <w:pStyle w:val="NormalHanging12a"/>
      </w:pPr>
      <w:r w:rsidRPr="001724FE">
        <w:t>–</w:t>
      </w:r>
      <w:r w:rsidRPr="001724FE">
        <w:tab/>
        <w:t xml:space="preserve">so zreteľom na stanovisko, ktoré prijal Európsky úrad pre bezpečnosť potravín (ďalej </w:t>
      </w:r>
      <w:r w:rsidRPr="001724FE">
        <w:t>len „EFSA“) 10. decembra 2025 a ktoré bolo uverejnené 12. januára 2026</w:t>
      </w:r>
      <w:r>
        <w:rPr>
          <w:rStyle w:val="FootnoteReference"/>
        </w:rPr>
        <w:footnoteReference w:id="5"/>
      </w:r>
      <w:r w:rsidRPr="001724FE">
        <w:t>,</w:t>
      </w:r>
    </w:p>
    <w:p w:rsidR="00AE1AAB" w:rsidRPr="001724FE" w:rsidP="00AE1AAB" w14:paraId="7A9090A4" w14:textId="77777777">
      <w:pPr>
        <w:pStyle w:val="NormalHanging12a"/>
      </w:pPr>
      <w:r w:rsidRPr="001724FE">
        <w:t>–</w:t>
      </w:r>
      <w:r w:rsidRPr="001724FE">
        <w:tab/>
        <w:t>so zreteľom na svoje predchádzajúce uznesenia, v ktorých namieta proti povoľovaniu geneticky modifikovaných organizmov</w:t>
      </w:r>
      <w:r>
        <w:rPr>
          <w:rStyle w:val="FootnoteReference"/>
        </w:rPr>
        <w:footnoteReference w:id="6"/>
      </w:r>
      <w:r w:rsidRPr="001724FE">
        <w:t>,</w:t>
      </w:r>
    </w:p>
    <w:p w:rsidR="00AE1AAB" w:rsidRPr="001724FE" w:rsidP="00AE1AAB" w14:paraId="1709E5BB" w14:textId="77777777">
      <w:pPr>
        <w:pStyle w:val="NormalHanging12a"/>
      </w:pPr>
      <w:r w:rsidRPr="001724FE">
        <w:t>–</w:t>
      </w:r>
      <w:r w:rsidRPr="001724FE">
        <w:tab/>
        <w:t>so zreteľom na článok 115 ods. 2 a 3 rokovacieho poriadku,</w:t>
      </w:r>
    </w:p>
    <w:p w:rsidR="00AE1AAB" w:rsidRPr="001724FE" w:rsidP="00AE1AAB" w14:paraId="71BEFE0A" w14:textId="77777777">
      <w:pPr>
        <w:pStyle w:val="NormalHanging12a"/>
      </w:pPr>
      <w:r w:rsidRPr="001724FE">
        <w:t>–</w:t>
      </w:r>
      <w:r w:rsidRPr="001724FE">
        <w:tab/>
        <w:t xml:space="preserve">so zreteľom na návrh uznesenia Výboru pre životné prostredie, klímu a bezpečnosť </w:t>
      </w:r>
      <w:r w:rsidRPr="001724FE">
        <w:t>potravín,</w:t>
      </w:r>
    </w:p>
    <w:p w:rsidR="00AE1AAB" w:rsidRPr="001724FE" w:rsidP="00AE1AAB" w14:paraId="4724ADEF" w14:textId="77777777">
      <w:pPr>
        <w:spacing w:after="240"/>
        <w:ind w:left="567" w:hanging="567"/>
      </w:pPr>
      <w:r w:rsidRPr="001724FE">
        <w:t>A.</w:t>
      </w:r>
      <w:r w:rsidRPr="001724FE">
        <w:tab/>
        <w:t>keďže vykonávacím rozhodnutím Komisie (EÚ) 2015/696</w:t>
      </w:r>
      <w:r>
        <w:rPr>
          <w:rStyle w:val="FootnoteReference"/>
        </w:rPr>
        <w:footnoteReference w:id="7"/>
      </w:r>
      <w:r w:rsidRPr="001724FE">
        <w:t xml:space="preserve"> sa povolilo umiestňovať na trh potraviny a krmivá, ktoré obsahujú geneticky modifikovanú sóju MON 87705, sú z nej zložené alebo vyrobené. keďže rozsah pôsobnosti uvedeného povolenia sa vzťahoval aj na umiestňovanie na trh iných produktov, ako sú potraviny a krmivá, ktoré obsahujú geneticky modifikovanú sóju alebo sú z nej zložené, na účely rovnakých použití ako akúkoľvek inú sóju, s výnimkou pestovania;</w:t>
      </w:r>
    </w:p>
    <w:p w:rsidR="00AE1AAB" w:rsidRPr="001724FE" w:rsidP="00AE1AAB" w14:paraId="65317DAB" w14:textId="77777777">
      <w:pPr>
        <w:spacing w:after="240"/>
        <w:ind w:left="567" w:hanging="567"/>
      </w:pPr>
      <w:r w:rsidRPr="001724FE">
        <w:t>B.</w:t>
      </w:r>
      <w:r w:rsidRPr="001724FE">
        <w:tab/>
        <w:t xml:space="preserve">keďže spoločnosť Bayer </w:t>
      </w:r>
      <w:r w:rsidRPr="001724FE">
        <w:t>Agriculture</w:t>
      </w:r>
      <w:r w:rsidRPr="001724FE">
        <w:t xml:space="preserve"> BV so sídlom v Belgicku predložila 8. marca 2024 Komisii v mene spoločnosti Bayer </w:t>
      </w:r>
      <w:r w:rsidRPr="001724FE">
        <w:t>CropScience</w:t>
      </w:r>
      <w:r w:rsidRPr="001724FE">
        <w:t xml:space="preserve"> LP so sídlom v Spojených štátoch žiadosť o obnovenie tohto povolenia;</w:t>
      </w:r>
    </w:p>
    <w:p w:rsidR="00AE1AAB" w:rsidRPr="001724FE" w:rsidP="00AE1AAB" w14:paraId="36AEECC7" w14:textId="77777777">
      <w:pPr>
        <w:spacing w:after="240"/>
        <w:ind w:left="567" w:hanging="567"/>
      </w:pPr>
      <w:r w:rsidRPr="001724FE">
        <w:t>C.</w:t>
      </w:r>
      <w:r w:rsidRPr="001724FE">
        <w:tab/>
        <w:t>keďže úrad EFSA vydal 12. januára 2026 v súlade s článkami 6 a 18 nariadenia (ES) č. 1829/2003 priaznivé vedecké stanovisko o geneticky modifikovanej sóji</w:t>
      </w:r>
      <w:r>
        <w:rPr>
          <w:rStyle w:val="FootnoteReference"/>
        </w:rPr>
        <w:footnoteReference w:id="8"/>
      </w:r>
      <w:r w:rsidRPr="001724FE">
        <w:t>; keďže úrad EFSA dospel k záveru, že žiadosť o obnovenie povolenia neobsahovala dôkazy o nových nebezpečenstvách, modifikovanej expozícii či vedeckých pochybnostiach, ktoré by zmenili závery pôvodného posúdenia rizika geneticky modifikovanej sóje, ktoré úrad EFSA vydal v roku 2012</w:t>
      </w:r>
      <w:r>
        <w:rPr>
          <w:rStyle w:val="FootnoteReference"/>
        </w:rPr>
        <w:footnoteReference w:id="9"/>
      </w:r>
      <w:r w:rsidRPr="001724FE">
        <w:t xml:space="preserve"> a 2013</w:t>
      </w:r>
      <w:r>
        <w:rPr>
          <w:rStyle w:val="FootnoteReference"/>
        </w:rPr>
        <w:footnoteReference w:id="10"/>
      </w:r>
      <w:r w:rsidRPr="001724FE">
        <w:t>. keďže uvedené stanoviská sa nezaoberali viacerými širšími environmentálnymi, sociálno-ekonomickými a kumulatívnymi vplyvmi, ktoré podľa EFSA nepatria do jeho právomoci;</w:t>
      </w:r>
    </w:p>
    <w:p w:rsidR="00AE1AAB" w:rsidRPr="001724FE" w:rsidP="00AE1AAB" w14:paraId="6FBE5818" w14:textId="77777777">
      <w:pPr>
        <w:pStyle w:val="NormalHanging12a"/>
      </w:pPr>
      <w:r w:rsidRPr="001724FE">
        <w:t>D.</w:t>
      </w:r>
      <w:r w:rsidRPr="001724FE">
        <w:tab/>
        <w:t xml:space="preserve">keďže geneticky modifikovaná sója má zvýšený obsah kyseliny olejovej a vykazuje toleranciu voči herbicídom obsahujúcim </w:t>
      </w:r>
      <w:r w:rsidRPr="001724FE">
        <w:t>glyfosát</w:t>
      </w:r>
      <w:r w:rsidRPr="001724FE">
        <w:t>;</w:t>
      </w:r>
    </w:p>
    <w:p w:rsidR="00AE1AAB" w:rsidRPr="001724FE" w:rsidP="00AE1AAB" w14:paraId="74468DB2" w14:textId="77777777">
      <w:pPr>
        <w:pStyle w:val="NormalHanging12a"/>
      </w:pPr>
      <w:r w:rsidRPr="001724FE">
        <w:t>E.</w:t>
      </w:r>
      <w:r w:rsidRPr="001724FE">
        <w:tab/>
        <w:t>keďže posúdenia rizika, ktoré vykonal EFSA, nezahŕňalo dlhodobé toxikologické štúdie ani podrobnú analýzu kumulatívnych a kombinovaných účinkov vrátane možných interakcií s rezíduami pesticídov bežne používaných pri pestovaní sóje;</w:t>
      </w:r>
    </w:p>
    <w:p w:rsidR="00AE1AAB" w:rsidRPr="001724FE" w:rsidP="00AE1AAB" w14:paraId="51B6E4F7" w14:textId="77777777">
      <w:pPr>
        <w:pStyle w:val="NormalHanging12a"/>
      </w:pPr>
      <w:r w:rsidRPr="001724FE">
        <w:t>F.</w:t>
      </w:r>
      <w:r w:rsidRPr="001724FE">
        <w:tab/>
        <w:t xml:space="preserve">keďže veľká väčšina geneticky modifikovaných plodín vrátane geneticky modifikovanej sóje je geneticky modifikovaná tak, aby dané plodiny boli odolné voči jednému alebo viacerým „doplnkovým“ herbicídom, ktoré sa môžu používať počas pestovania geneticky modifikovanej plodiny bez toho, aby uhynula, ako by to bolo </w:t>
      </w:r>
      <w:r w:rsidRPr="001724FE">
        <w:t>v prípade plodiny, ktorá nie je odolná voči herbicídom; keďže viaceré štúdie preukázali, že geneticky modifikované plodiny odolné voči herbicídom vedú k vyššiemu používaniu doplnkových herbicídov, čo je z veľkej časti spôsobené výskytom buriny odolnej voči herbicídom;</w:t>
      </w:r>
    </w:p>
    <w:p w:rsidR="00AE1AAB" w:rsidRPr="001724FE" w:rsidP="00AE1AAB" w14:paraId="707AC8F2" w14:textId="77777777">
      <w:pPr>
        <w:pStyle w:val="NormalHanging12a"/>
      </w:pPr>
      <w:r w:rsidRPr="001724FE">
        <w:t>G.</w:t>
      </w:r>
      <w:r w:rsidRPr="001724FE">
        <w:tab/>
        <w:t>keďže geneticky modifikované plodiny odolné voči herbicídom nútia poľnohospodárov používať systém ochrany proti burinám, ktorý je vo veľkej miere alebo úplne závislý od herbicídov, a to tak, že za geneticky modifikované osivo sa účtuje príplatok, pričom vzniká závislosť od používania doplnkových herbicídov ako neoddeliteľná súčasť výrobného systému; keďže zvýšená závislosť od doplnkových herbicídov v poľnohospodárskych podnikoch, v ktorých sa sadí geneticky modifikovaná sója, urýchli vznik a šírenie buriny rezistentnej voči týmto herbicídom, čo vyvoláva potrebu ešte väčšieho používania herbicídov, čo je začarovaný kruh neustáleho používania čoraz väčšieho množstva herbicídov; keďže nepriaznivé vplyvy vyplývajúce z nadmerného používania herbicídov následne zhoršujú zdravie pôdy, kvalitu vody a biodiverzitu nad zemou a pod ňou a vedú k zvýšenej expozícii ľudí a zvierat herbicídom, a to potenciálne aj prostredníctvom zvýšeného množstva rezíduí herbicídov v potravinách a krmivách;</w:t>
      </w:r>
    </w:p>
    <w:p w:rsidR="00AE1AAB" w:rsidRPr="001724FE" w:rsidP="00AE1AAB" w14:paraId="317BD75D" w14:textId="77777777">
      <w:pPr>
        <w:pStyle w:val="NormalHanging12a"/>
      </w:pPr>
      <w:r w:rsidRPr="001724FE">
        <w:t>H.</w:t>
      </w:r>
      <w:r w:rsidRPr="001724FE">
        <w:tab/>
        <w:t>keďže viaceré štúdie preukázali, že geneticky modifikované plodiny odolné voči herbicídom vedú k vyššiemu používaniu doplnkových herbicídov, čo je z veľkej časti spôsobené výskytom buriny odolnej voči herbicídom</w:t>
      </w:r>
      <w:r>
        <w:rPr>
          <w:vertAlign w:val="superscript"/>
        </w:rPr>
        <w:footnoteReference w:id="11"/>
      </w:r>
      <w:r w:rsidRPr="001724FE">
        <w:t xml:space="preserve">; keďže sa preto predpokladá, že geneticky modifikovaná sója bude vystavená vyšším, ako aj opakovaným dávkam </w:t>
      </w:r>
      <w:r w:rsidRPr="001724FE">
        <w:t>glyfosátu</w:t>
      </w:r>
      <w:r w:rsidRPr="001724FE">
        <w:t>, a preto sa v úrode môže vyskytovať väčšie množstvo rezíduí a produktov ich rozkladu (tzv. metabolitov);</w:t>
      </w:r>
    </w:p>
    <w:p w:rsidR="00AE1AAB" w:rsidRPr="001724FE" w:rsidP="00AE1AAB" w14:paraId="7701D08A" w14:textId="77777777">
      <w:pPr>
        <w:pStyle w:val="NormalHanging12a"/>
      </w:pPr>
      <w:r w:rsidRPr="001724FE">
        <w:t>I.</w:t>
      </w:r>
      <w:r w:rsidRPr="001724FE">
        <w:tab/>
        <w:t xml:space="preserve">keďže naďalej pretrvávajú značné vedecké neistoty týkajúce sa bezpečnosti </w:t>
      </w:r>
      <w:r w:rsidRPr="001724FE">
        <w:t>glyfosátu</w:t>
      </w:r>
      <w:r w:rsidRPr="001724FE">
        <w:t xml:space="preserve"> pre ľudské zdravie a životné prostredie; keďže EFSA v novembri 2015 dospel k záveru, že </w:t>
      </w:r>
      <w:r w:rsidRPr="001724FE">
        <w:t>glyfosát</w:t>
      </w:r>
      <w:r w:rsidRPr="001724FE">
        <w:t xml:space="preserve"> pravdepodobne nie je karcinogénny, a Európska chemická agentúra v marci 2017 dospela k záveru, že klasifikácia nie je odôvodnená; keďže Medzinárodná agentúra pre výskum rakoviny, špecializovaná agentúra Svetovej zdravotníckej organizácie pre rakovinu, v roku 2015 klasifikovala </w:t>
      </w:r>
      <w:r w:rsidRPr="001724FE">
        <w:t>glyfosát</w:t>
      </w:r>
      <w:r w:rsidRPr="001724FE">
        <w:t xml:space="preserve"> ako pravdepodobný karcinogén pre ľudí; keďže viaceré ďalšie nedávne vedecké recenzované štúdie potvrdzujú karcinogénny potenciál </w:t>
      </w:r>
      <w:r w:rsidRPr="001724FE">
        <w:t>glyfosátu</w:t>
      </w:r>
      <w:r>
        <w:rPr>
          <w:vertAlign w:val="superscript"/>
        </w:rPr>
        <w:footnoteReference w:id="12"/>
      </w:r>
      <w:r w:rsidRPr="001724FE">
        <w:t xml:space="preserve">; </w:t>
      </w:r>
      <w:bookmarkStart w:id="9" w:name="_Hlk218688545"/>
      <w:r w:rsidRPr="001724FE">
        <w:t xml:space="preserve">keďže časopis </w:t>
      </w:r>
      <w:r w:rsidRPr="001724FE">
        <w:t>Regulatory</w:t>
      </w:r>
      <w:r w:rsidRPr="001724FE">
        <w:t xml:space="preserve"> </w:t>
      </w:r>
      <w:r w:rsidRPr="001724FE">
        <w:t>Toxicology</w:t>
      </w:r>
      <w:r w:rsidRPr="001724FE">
        <w:t xml:space="preserve"> and </w:t>
      </w:r>
      <w:r w:rsidRPr="001724FE">
        <w:t>Pharmacology</w:t>
      </w:r>
      <w:r w:rsidRPr="001724FE">
        <w:t xml:space="preserve"> formálne stiahol vedeckú prácu </w:t>
      </w:r>
      <w:r w:rsidRPr="001724FE">
        <w:rPr>
          <w:shd w:val="clear" w:color="auto" w:fill="FFFFFF"/>
        </w:rPr>
        <w:t>„</w:t>
      </w:r>
      <w:r w:rsidRPr="001724FE">
        <w:t>Safety</w:t>
      </w:r>
      <w:r w:rsidRPr="001724FE">
        <w:t xml:space="preserve"> </w:t>
      </w:r>
      <w:r w:rsidRPr="001724FE">
        <w:t>Evaluation</w:t>
      </w:r>
      <w:r w:rsidRPr="001724FE">
        <w:t xml:space="preserve"> and Risk </w:t>
      </w:r>
      <w:r w:rsidRPr="001724FE">
        <w:t>Assessment</w:t>
      </w:r>
      <w:r w:rsidRPr="001724FE">
        <w:t xml:space="preserve"> of </w:t>
      </w:r>
      <w:r w:rsidRPr="001724FE">
        <w:t>the</w:t>
      </w:r>
      <w:r w:rsidRPr="001724FE">
        <w:t xml:space="preserve"> </w:t>
      </w:r>
      <w:r w:rsidRPr="001724FE">
        <w:t>Herbicide</w:t>
      </w:r>
      <w:r w:rsidRPr="001724FE">
        <w:t xml:space="preserve"> </w:t>
      </w:r>
      <w:r w:rsidRPr="001724FE">
        <w:t>Roundup</w:t>
      </w:r>
      <w:r w:rsidRPr="001724FE">
        <w:t xml:space="preserve"> and </w:t>
      </w:r>
      <w:r w:rsidRPr="001724FE">
        <w:t>Its</w:t>
      </w:r>
      <w:r w:rsidRPr="001724FE">
        <w:t xml:space="preserve"> </w:t>
      </w:r>
      <w:r w:rsidRPr="001724FE">
        <w:t>Active</w:t>
      </w:r>
      <w:r w:rsidRPr="001724FE">
        <w:t xml:space="preserve"> </w:t>
      </w:r>
      <w:r w:rsidRPr="001724FE">
        <w:t>Ingredient</w:t>
      </w:r>
      <w:r w:rsidRPr="001724FE">
        <w:t xml:space="preserve">, </w:t>
      </w:r>
      <w:r w:rsidRPr="001724FE">
        <w:t>Glyphosate</w:t>
      </w:r>
      <w:r w:rsidRPr="001724FE">
        <w:t xml:space="preserve">, </w:t>
      </w:r>
      <w:r w:rsidRPr="001724FE">
        <w:t>for</w:t>
      </w:r>
      <w:r w:rsidRPr="001724FE">
        <w:t xml:space="preserve"> </w:t>
      </w:r>
      <w:r w:rsidRPr="001724FE">
        <w:t>Humans</w:t>
      </w:r>
      <w:r w:rsidRPr="001724FE">
        <w:rPr>
          <w:shd w:val="clear" w:color="auto" w:fill="FFFFFF"/>
        </w:rPr>
        <w:t>“</w:t>
      </w:r>
      <w:r w:rsidRPr="001724FE">
        <w:t xml:space="preserve"> (Hodnotenie bezpečnosti a hodnotenie rizík herbicídu </w:t>
      </w:r>
      <w:r w:rsidRPr="001724FE">
        <w:t>Roundup</w:t>
      </w:r>
      <w:r w:rsidRPr="001724FE">
        <w:t xml:space="preserve"> a jeho účinnej látky </w:t>
      </w:r>
      <w:r w:rsidRPr="001724FE">
        <w:t>glyfosátu</w:t>
      </w:r>
      <w:r w:rsidRPr="001724FE">
        <w:t xml:space="preserve"> pre ľudí), ktorá bola uverejnená v roku 2000 a ktorá sa používala na obhajobu bezpečnosti </w:t>
      </w:r>
      <w:r w:rsidRPr="001724FE">
        <w:t>glyfosátu</w:t>
      </w:r>
      <w:r w:rsidRPr="001724FE">
        <w:t xml:space="preserve"> v mnohých posúdeniach rizík, keďže </w:t>
      </w:r>
      <w:r w:rsidRPr="001724FE">
        <w:rPr>
          <w:shd w:val="clear" w:color="auto" w:fill="FFFFFF"/>
        </w:rPr>
        <w:t>„</w:t>
      </w:r>
      <w:r w:rsidRPr="001724FE">
        <w:t xml:space="preserve">boli vyjadrené obavy týkajúce sa jej autorstva, platnosti výsledkov výskumu v kontexte skresľovania </w:t>
      </w:r>
      <w:r w:rsidRPr="001724FE">
        <w:t>príspevkov autorov a zadávateľa štúdie a možného konfliktu záujmov autorov“</w:t>
      </w:r>
      <w:r>
        <w:rPr>
          <w:rStyle w:val="FootnoteReference"/>
        </w:rPr>
        <w:footnoteReference w:id="13"/>
      </w:r>
      <w:r w:rsidRPr="001724FE">
        <w:t>;</w:t>
      </w:r>
      <w:bookmarkEnd w:id="9"/>
    </w:p>
    <w:p w:rsidR="00AE1AAB" w:rsidRPr="001724FE" w:rsidP="00AE1AAB" w14:paraId="1BAA4275" w14:textId="77777777">
      <w:pPr>
        <w:pStyle w:val="NormalHanging12a"/>
      </w:pPr>
      <w:r w:rsidRPr="001724FE">
        <w:t>J.</w:t>
      </w:r>
      <w:r w:rsidRPr="001724FE">
        <w:tab/>
        <w:t>keďže posudzovanie rezíduí herbicídov a ich metabolitov v geneticky modifikovaných rastlinách je mimo pôsobnosti panelu EFSA pre geneticky modifikované organizmy, a preto sa v rámci postupu povoľovania GMO nevykonáva; keďže tento stav je problematický, pretože v prípade GM rastlín môže byť samotná genetická modifikácia ovplyvnená tým, ako rastlina metabolizuje doplnkové herbicídy, a zložením, a teda aj toxicitou metabolitov</w:t>
      </w:r>
      <w:r>
        <w:rPr>
          <w:vertAlign w:val="superscript"/>
        </w:rPr>
        <w:footnoteReference w:id="14"/>
      </w:r>
      <w:r w:rsidRPr="001724FE">
        <w:t>;</w:t>
      </w:r>
    </w:p>
    <w:p w:rsidR="00AE1AAB" w:rsidRPr="001724FE" w:rsidP="00AE1AAB" w14:paraId="6DC453F3" w14:textId="77777777">
      <w:pPr>
        <w:pStyle w:val="NormalHanging12a"/>
      </w:pPr>
      <w:r w:rsidRPr="001724FE">
        <w:t>K.</w:t>
      </w:r>
      <w:r w:rsidRPr="001724FE">
        <w:tab/>
        <w:t xml:space="preserve">keďže analýza zloženia ukázala, že geneticky modifikovaná sója má v porovnaní so svojím konvenčným ekvivalentom výrazne zmenený profil mastných kyselín, a to s nárastom obsahu kyseliny olejovej a súvisiacim poklesom obsahu kyseliny </w:t>
      </w:r>
      <w:r w:rsidRPr="001724FE">
        <w:t>linolovej</w:t>
      </w:r>
      <w:r w:rsidRPr="001724FE">
        <w:t xml:space="preserve"> a kyseliny palmitovej; keďže vedecké obavy sa sústreďujú na dlhodobé výživové dôsledky širšej expozície obyvateľstva tomuto zmenenému profilu, najmä v prípade spotrebiteľov, ktorí vo veľkej miere využívajú sójový olej; keďže úrad EFSA pri posudzovaní výživového významu týchto zmien vychádzal z odhadov príjmu v strave, pričom použil rôzne predpoklady týkajúce sa spotreby a scenáre nahradenia; keďže úrad EFSA na základe týchto predpokladov odporučil iba plán monitorovania po uvedení na trh zameraný na zber údajov o dovoze do Únie a na vykonanie aktualizovaného výživového posúdenia v prípade, ak by sa dostupné informácie o spotrebiteľských návykoch líšili od tých, ktoré boli použité pri pôvodnom posúdení rizika;</w:t>
      </w:r>
    </w:p>
    <w:p w:rsidR="00AE1AAB" w:rsidRPr="001724FE" w:rsidP="00AE1AAB" w14:paraId="1FD57C21" w14:textId="77777777">
      <w:pPr>
        <w:pStyle w:val="NormalHanging12a"/>
      </w:pPr>
      <w:r w:rsidRPr="001724FE">
        <w:t>L.</w:t>
      </w:r>
      <w:r w:rsidRPr="001724FE">
        <w:tab/>
        <w:t>keďže v nariadení (ES) č. 1829/2003 sa vyžaduje, že GM potraviny alebo krmivá nesmú mať nepriaznivé účinky na ľudské zdravie, zdravie zvierat alebo životné prostredie a že Komisia pri príprave svojho rozhodnutia zohľadní všetky relevantné ustanovenia práva Únie a ostatné legitímne faktory týkajúce sa posudzovanej záležitosti; keďže medzi tieto legitímne faktory by mali patriť záväzky Únie v rámci cieľov OSN v oblasti udržateľného rozvoja, Parížskej dohody o zmene klímy</w:t>
      </w:r>
      <w:r>
        <w:rPr>
          <w:rStyle w:val="FootnoteReference"/>
        </w:rPr>
        <w:footnoteReference w:id="15"/>
      </w:r>
      <w:r w:rsidRPr="001724FE">
        <w:t xml:space="preserve"> a Dohovoru OSN o biologickej diverzite</w:t>
      </w:r>
      <w:r>
        <w:rPr>
          <w:rStyle w:val="FootnoteReference"/>
        </w:rPr>
        <w:footnoteReference w:id="16"/>
      </w:r>
      <w:r w:rsidRPr="001724FE">
        <w:t>;</w:t>
      </w:r>
    </w:p>
    <w:p w:rsidR="00AE1AAB" w:rsidRPr="001724FE" w:rsidP="00AE1AAB" w14:paraId="5C07B25D" w14:textId="77777777">
      <w:pPr>
        <w:pStyle w:val="NormalHanging12a"/>
      </w:pPr>
      <w:r w:rsidRPr="001724FE">
        <w:t>M.</w:t>
      </w:r>
      <w:r w:rsidRPr="001724FE">
        <w:tab/>
        <w:t>keďže nie je dostatočne zaručené nezávislé monitorovanie možných nepriaznivých účinkov na biodiverzitu, zdravie pôdy, opeľovače a necieľové organizmy a dohľad nad nimi;</w:t>
      </w:r>
    </w:p>
    <w:p w:rsidR="00AE1AAB" w:rsidRPr="001724FE" w:rsidP="00AE1AAB" w14:paraId="2E52725A" w14:textId="77777777">
      <w:pPr>
        <w:pStyle w:val="NormalHanging12a"/>
      </w:pPr>
      <w:r w:rsidRPr="001724FE">
        <w:t>N.</w:t>
      </w:r>
      <w:r w:rsidRPr="001724FE">
        <w:tab/>
        <w:t>keďže v prípadoch vedeckej neistoty by sa mala uplatňovať zásada predbežnej opatrnosti ustanovená v článku 191 Zmluvy o fungovaní Európskej únie;</w:t>
      </w:r>
    </w:p>
    <w:p w:rsidR="00AE1AAB" w:rsidRPr="001724FE" w:rsidP="00AE1AAB" w14:paraId="2BF9B4FF" w14:textId="77777777">
      <w:pPr>
        <w:pStyle w:val="NormalHanging12a"/>
      </w:pPr>
      <w:r w:rsidRPr="001724FE">
        <w:t>O.</w:t>
      </w:r>
      <w:r w:rsidRPr="001724FE">
        <w:tab/>
        <w:t>keďže Únia ako zmluvná strana Dohovoru OSN o biologickej diverzite a v súlade s jeho článkom 3 je zodpovedná za to, aby činnosti v rámci jej jurisdikcie alebo kontroly nespôsobovali škody na životnom prostredí iných štátov;</w:t>
      </w:r>
    </w:p>
    <w:p w:rsidR="00AE1AAB" w:rsidRPr="001724FE" w:rsidP="00AE1AAB" w14:paraId="25A16D5C" w14:textId="77777777">
      <w:pPr>
        <w:pStyle w:val="NormalHanging12a"/>
      </w:pPr>
      <w:r w:rsidRPr="001724FE">
        <w:t>P.</w:t>
      </w:r>
      <w:r w:rsidRPr="001724FE">
        <w:tab/>
        <w:t xml:space="preserve">keďže obnovenie povolenia geneticky modifikovanej sóje v Únii by nebolo v súlade </w:t>
      </w:r>
      <w:r w:rsidRPr="001724FE">
        <w:t>s medzinárodnými záväzkami v oblasti znižovania pesticídov</w:t>
      </w:r>
      <w:r>
        <w:rPr>
          <w:vertAlign w:val="superscript"/>
        </w:rPr>
        <w:footnoteReference w:id="17"/>
      </w:r>
      <w:r w:rsidRPr="001724FE">
        <w:t xml:space="preserve"> vzhľadom na zvýšenú expozíciu ľudí, zvierat a životného prostredia </w:t>
      </w:r>
      <w:r w:rsidRPr="001724FE">
        <w:t>glyfosátu</w:t>
      </w:r>
      <w:r w:rsidRPr="001724FE">
        <w:t xml:space="preserve"> v krajinách, v ktorých sa pestuje táto geneticky modifikovaná plodina tolerantná voči herbicídom, spolu s potenciálne závažnými súvisiacimi zdravotnými výsledkami;</w:t>
      </w:r>
    </w:p>
    <w:p w:rsidR="00AE1AAB" w:rsidRPr="001724FE" w:rsidP="00AE1AAB" w14:paraId="3CED2A47" w14:textId="77777777">
      <w:pPr>
        <w:pStyle w:val="NormalHanging12a"/>
      </w:pPr>
      <w:r w:rsidRPr="001724FE">
        <w:t>Q.</w:t>
      </w:r>
      <w:r w:rsidRPr="001724FE">
        <w:tab/>
        <w:t>keďže pestovanie geneticky modifikovanej sóje nie je v Únii povolené;</w:t>
      </w:r>
    </w:p>
    <w:p w:rsidR="00AE1AAB" w:rsidRPr="001724FE" w:rsidP="00AE1AAB" w14:paraId="717BC70C" w14:textId="4BED9EDD">
      <w:pPr>
        <w:pStyle w:val="NormalHanging12a"/>
      </w:pPr>
      <w:r w:rsidRPr="001724FE">
        <w:t>R.</w:t>
      </w:r>
      <w:r w:rsidRPr="001724FE">
        <w:tab/>
        <w:t>keďže vykonávacie rozhodnuti</w:t>
      </w:r>
      <w:r w:rsidRPr="001724FE" w:rsidR="00AD6F46">
        <w:t>e</w:t>
      </w:r>
      <w:r w:rsidRPr="001724FE">
        <w:t xml:space="preserve"> Komisie </w:t>
      </w:r>
      <w:r w:rsidRPr="001724FE" w:rsidR="00AD6F46">
        <w:t xml:space="preserve">(EÚ) 2026/1419 </w:t>
      </w:r>
      <w:r w:rsidRPr="001724FE">
        <w:t>by umožnil</w:t>
      </w:r>
      <w:r w:rsidRPr="001724FE" w:rsidR="00AD6F46">
        <w:t>o</w:t>
      </w:r>
      <w:r w:rsidRPr="001724FE">
        <w:t xml:space="preserve"> dovoz do Únie, ktorý nie je v súlade s normami, ktoré dodržiavajú poľnohospodári Únie, čím by sa dostali do konkurenčnej nevýhody;</w:t>
      </w:r>
    </w:p>
    <w:p w:rsidR="00AE1AAB" w:rsidRPr="001724FE" w:rsidP="00AE1AAB" w14:paraId="34900EB9" w14:textId="77777777">
      <w:pPr>
        <w:pStyle w:val="NormalHanging12a"/>
      </w:pPr>
      <w:r w:rsidRPr="001724FE">
        <w:t>S.</w:t>
      </w:r>
      <w:r w:rsidRPr="001724FE">
        <w:tab/>
        <w:t>keďže v záveroch strategického dialógu o budúcnosti poľnohospodárstva v EÚ</w:t>
      </w:r>
      <w:r>
        <w:rPr>
          <w:vertAlign w:val="superscript"/>
        </w:rPr>
        <w:footnoteReference w:id="18"/>
      </w:r>
      <w:r w:rsidRPr="001724FE">
        <w:t xml:space="preserve"> sa Komisia vyzýva, aby prehodnotila prístup, pokiaľ ide o prístup na trh pre </w:t>
      </w:r>
      <w:r w:rsidRPr="001724FE">
        <w:t>agropotravinový</w:t>
      </w:r>
      <w:r w:rsidRPr="001724FE">
        <w:t xml:space="preserve"> dovoz a vývoz, a to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2024 a 2025;</w:t>
      </w:r>
    </w:p>
    <w:p w:rsidR="00AE1AAB" w:rsidRPr="001724FE" w:rsidP="00AE1AAB" w14:paraId="15919053" w14:textId="75F45594">
      <w:pPr>
        <w:pStyle w:val="NormalHanging12a"/>
      </w:pPr>
      <w:r w:rsidRPr="001724FE">
        <w:t>T.</w:t>
      </w:r>
      <w:r w:rsidRPr="001724FE">
        <w:tab/>
        <w:t xml:space="preserve">keďže </w:t>
      </w:r>
      <w:r w:rsidRPr="001724FE" w:rsidR="000A1C87">
        <w:t>Európsky p</w:t>
      </w:r>
      <w:r w:rsidRPr="001724FE">
        <w:t>arlament opakovane zdôraznil, že Komisia by nemala povoľovať GMO v prípadoch, keď členské štáty nedosiahnu kvalifikovanú väčšinu v Stálom výbore pre rastliny, zvieratá, potraviny a krmivá alebo v odvolacom výbore, aby sa vyriešil pretrvávajúci demokratický deficit;</w:t>
      </w:r>
    </w:p>
    <w:p w:rsidR="00AE1AAB" w:rsidRPr="001724FE" w:rsidP="00AE1AAB" w14:paraId="0C5A6DB6" w14:textId="77777777">
      <w:pPr>
        <w:pStyle w:val="NormalHanging12a"/>
      </w:pPr>
      <w:r w:rsidRPr="001724FE">
        <w:t>U.</w:t>
      </w:r>
      <w:r w:rsidRPr="001724FE">
        <w:tab/>
        <w:t>keďže Komisia naďalej povoľuje geneticky modifikované organizmy, hoci si sama uvedomuje nedostatky z hľadiska demokracie, nízku podporu členských štátov a námietky Európskeho parlamentu;</w:t>
      </w:r>
    </w:p>
    <w:p w:rsidR="00AE1AAB" w:rsidRPr="001724FE" w:rsidP="00AE1AAB" w14:paraId="042FA361" w14:textId="77777777">
      <w:pPr>
        <w:pStyle w:val="NormalHanging12a"/>
      </w:pPr>
      <w:r w:rsidRPr="001724FE">
        <w:t>V.</w:t>
      </w:r>
      <w:r w:rsidRPr="001724FE">
        <w:tab/>
        <w:t>keďže na základe prístupu „jedno zdravie“ sa vyžaduje, aby sa pri hodnotení dlhodobej udržateľnosti a bezpečnosti geneticky modifikovaných organizmov zohľadňovala vzájomná závislosť medzi zdravím ľudí, zvierat, rastlín a životného prostredia;</w:t>
      </w:r>
    </w:p>
    <w:p w:rsidR="00AE1AAB" w:rsidRPr="001724FE" w:rsidP="00AE1AAB" w14:paraId="329B85EC" w14:textId="29E05B1D">
      <w:pPr>
        <w:pStyle w:val="NormalHanging12a"/>
      </w:pPr>
      <w:r w:rsidRPr="001724FE">
        <w:t>1.</w:t>
      </w:r>
      <w:r w:rsidRPr="001724FE">
        <w:tab/>
        <w:t>domnieva sa, že vykonávacie rozhodnuti</w:t>
      </w:r>
      <w:r w:rsidRPr="001724FE" w:rsidR="00AD6F46">
        <w:t>e</w:t>
      </w:r>
      <w:r w:rsidRPr="001724FE">
        <w:t xml:space="preserve"> Komisie </w:t>
      </w:r>
      <w:r w:rsidRPr="001724FE" w:rsidR="00AD6F46">
        <w:t xml:space="preserve">(EÚ) 2026/1419 </w:t>
      </w:r>
      <w:r w:rsidRPr="001724FE">
        <w:t>prekračuje rámec vykonávacích právomocí stanovených v nariadení (ES) č. 1829/2003;</w:t>
      </w:r>
    </w:p>
    <w:p w:rsidR="00AE1AAB" w:rsidRPr="001724FE" w:rsidP="00AE1AAB" w14:paraId="136D85BB" w14:textId="548CA7C3">
      <w:pPr>
        <w:pStyle w:val="NormalHanging12a"/>
      </w:pPr>
      <w:r w:rsidRPr="001724FE">
        <w:t>2.</w:t>
      </w:r>
      <w:r w:rsidRPr="001724FE">
        <w:tab/>
        <w:t>domnieva sa, že vykonávacie rozhodnuti</w:t>
      </w:r>
      <w:r w:rsidRPr="001724FE" w:rsidR="00AD6F46">
        <w:t>e</w:t>
      </w:r>
      <w:r w:rsidRPr="001724FE">
        <w:t xml:space="preserve"> Komisie </w:t>
      </w:r>
      <w:r w:rsidRPr="001724FE" w:rsidR="00AD6F46">
        <w:t xml:space="preserve">(EÚ) 2026/1419 </w:t>
      </w:r>
      <w:r w:rsidRPr="001724FE">
        <w:t>nie je v súlade s právom Únie, pretože nie je zlučiteľný s cieľom nariadenia (ES) č. 1829/2003, ktorým je podľa všeobecných zásad uvedených v nariadení Európskeho parlamentu a Rady (ES) č. 178/2002</w:t>
      </w:r>
      <w:r>
        <w:rPr>
          <w:vertAlign w:val="superscript"/>
        </w:rPr>
        <w:footnoteReference w:id="19"/>
      </w:r>
      <w:r w:rsidRPr="001724FE">
        <w:t xml:space="preserve"> poskytovať základ na zabezpečenie vysokej miery ochrany ľudského života a zdravia, zdravia a dobrých životných podmienok zvierat, životného prostredia a záujmov spotrebiteľov v súvislosti s geneticky modifikovanými potravinami </w:t>
      </w:r>
      <w:r w:rsidRPr="001724FE">
        <w:t>a krmivami a súčasne zabezpečovať efektívne fungovanie vnútorného trhu;</w:t>
      </w:r>
    </w:p>
    <w:p w:rsidR="00AE1AAB" w:rsidRPr="001724FE" w:rsidP="00AE1AAB" w14:paraId="6BB005FC" w14:textId="0158A344">
      <w:pPr>
        <w:pStyle w:val="NormalHanging12a"/>
      </w:pPr>
      <w:r w:rsidRPr="001724FE">
        <w:t>3.</w:t>
      </w:r>
      <w:r w:rsidRPr="001724FE">
        <w:tab/>
        <w:t xml:space="preserve">žiada Komisiu, aby </w:t>
      </w:r>
      <w:r w:rsidRPr="001724FE" w:rsidR="00AD6F46">
        <w:t xml:space="preserve">zrušila </w:t>
      </w:r>
      <w:r w:rsidRPr="001724FE">
        <w:t>vykonávacie rozhodnuti</w:t>
      </w:r>
      <w:r w:rsidRPr="001724FE" w:rsidR="00AD6F46">
        <w:t xml:space="preserve">e </w:t>
      </w:r>
      <w:r w:rsidRPr="001724FE" w:rsidR="00DE157D">
        <w:t xml:space="preserve">Komisie </w:t>
      </w:r>
      <w:r w:rsidRPr="001724FE" w:rsidR="00AD6F46">
        <w:t>(EÚ) 2026/1419</w:t>
      </w:r>
      <w:r w:rsidRPr="001724FE">
        <w:t>;</w:t>
      </w:r>
    </w:p>
    <w:p w:rsidR="00AE1AAB" w:rsidRPr="001724FE" w:rsidP="00AE1AAB" w14:paraId="5AE29772" w14:textId="77777777">
      <w:pPr>
        <w:pStyle w:val="NormalHanging12a"/>
      </w:pPr>
      <w:r w:rsidRPr="001724FE">
        <w:t>4.</w:t>
      </w:r>
      <w:r w:rsidRPr="001724FE">
        <w:tab/>
        <w:t>vyzýva Komisiu, aby nepovolila dovoz geneticky modifikovaných plodín odolných voči herbicídom z dôvodu súvisiaceho zvýšeného používania doplnkových herbicídov, a teda zvýšeného rizika pre biodiverzitu, bezpečnosť potravín a zdravie pracovníkov;</w:t>
      </w:r>
    </w:p>
    <w:p w:rsidR="00AE1AAB" w:rsidRPr="001724FE" w:rsidP="00AE1AAB" w14:paraId="41D8D6D7" w14:textId="77777777">
      <w:pPr>
        <w:pStyle w:val="NormalHanging12a"/>
      </w:pPr>
      <w:r w:rsidRPr="001724FE">
        <w:t>5.</w:t>
      </w:r>
      <w:r w:rsidRPr="001724FE">
        <w:tab/>
        <w:t>víta, že Komisia v liste z 11. septembra 2020 adresovanom poslancom uznala, že pri rozhodovaní o povoleniach pre geneticky modifikované organizmy treba zohľadňovať otázku udržateľnosti</w:t>
      </w:r>
      <w:r>
        <w:rPr>
          <w:vertAlign w:val="superscript"/>
        </w:rPr>
        <w:footnoteReference w:id="20"/>
      </w:r>
      <w:r w:rsidRPr="001724FE">
        <w:t>; vyjadruje však hlboké sklamanie nad tým, že Komisia naďalej povoľuje dovoz geneticky modifikovaných organizmov do Únie napriek neprestajným námietkam Európskeho parlamentu a väčšiny členských štátov hlasujúcich proti;</w:t>
      </w:r>
    </w:p>
    <w:p w:rsidR="00AE1AAB" w:rsidRPr="001724FE" w:rsidP="00AE1AAB" w14:paraId="36B6DB8F" w14:textId="77777777">
      <w:pPr>
        <w:pStyle w:val="NormalHanging12a"/>
      </w:pPr>
      <w:r w:rsidRPr="001724FE">
        <w:t>6.</w:t>
      </w:r>
      <w:r w:rsidRPr="001724FE">
        <w:tab/>
        <w:t>opätovne naliehavo vyzýva Komisiu, aby zohľadnila záväzky Únie vyplývajúce z medzinárodných dohôd, ako sú Parížska dohoda o zmene klímy, Dohovor OSN o biologickej diverzite a ciele OSN v oblasti udržateľného rozvoja; opakuje svoju výzvu, aby bola k návrhom vykonávacích aktov priložená dôvodová správa, v ktorej sa vysvetlí, ako sa v nich dodržiava zásada „nespôsobovať škodu“</w:t>
      </w:r>
      <w:r>
        <w:rPr>
          <w:vertAlign w:val="superscript"/>
        </w:rPr>
        <w:footnoteReference w:id="21"/>
      </w:r>
      <w:r w:rsidRPr="001724FE">
        <w:t>;</w:t>
      </w:r>
    </w:p>
    <w:p w:rsidR="00AE1AAB" w:rsidRPr="001724FE" w:rsidP="00AE1AAB" w14:paraId="2011D48B" w14:textId="77777777">
      <w:pPr>
        <w:pStyle w:val="NormalHanging12a"/>
      </w:pPr>
      <w:r w:rsidRPr="001724FE">
        <w:t>7.</w:t>
      </w:r>
      <w:r w:rsidRPr="001724FE">
        <w:tab/>
        <w:t>zdôrazňuje, že v pozmeňujúcich návrhoch prijatých Európskym parlamentom 17. decembra 2020 k návrhu nariadenia Európskeho parlamentu a Rady, ktorým sa mení nariadenie (EÚ) č. 182/2011</w:t>
      </w:r>
      <w:r>
        <w:rPr>
          <w:vertAlign w:val="superscript"/>
        </w:rPr>
        <w:footnoteReference w:id="22"/>
      </w:r>
      <w:r w:rsidRPr="001724FE">
        <w:t>, ktoré boli prijaté v Európskom parlamente ako základ na rokovania s Radou, sa uvádza, že Komisia nepovolí GMO, ak kvalifikovaná väčšina členských štátov nebude hlasovať za; trvá na tom, aby Komisia rešpektovala túto pozíciu, a vyzýva Radu, aby pokračovala vo svojej práci a urýchlene prijala všeobecný prístup k tomuto spisu;</w:t>
      </w:r>
    </w:p>
    <w:p w:rsidR="00F86A68" w:rsidRPr="001724FE" w:rsidP="00F86A68" w14:paraId="671398EF" w14:textId="734B1C17">
      <w:pPr>
        <w:pStyle w:val="NormalHanging12a"/>
      </w:pPr>
      <w:r w:rsidRPr="001724FE">
        <w:t>8.</w:t>
      </w:r>
      <w:r w:rsidRPr="001724FE">
        <w:tab/>
        <w:t>poveruje svoju predsedníčku, aby postúpila toto uznesenie Rade, Komisii a vládam a parlamentom členských štátov.</w:t>
      </w:r>
    </w:p>
    <w:p w:rsidR="00E365E1" w:rsidRPr="001724FE" w:rsidP="00B90C86" w14:paraId="1894DE52" w14:textId="6679B485"/>
    <w:sectPr w:rsidSect="00F86A6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8" w14:paraId="23A2005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8" w14:paraId="6B47B56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8" w14:paraId="6670516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90C86" w:rsidRPr="00F86A68" w14:paraId="37DD7F50" w14:textId="77777777">
      <w:r w:rsidRPr="00F86A68">
        <w:separator/>
      </w:r>
    </w:p>
  </w:footnote>
  <w:footnote w:type="continuationSeparator" w:id="1">
    <w:p w:rsidR="00B90C86" w:rsidRPr="00F86A68" w14:paraId="44C225D4" w14:textId="77777777">
      <w:r w:rsidRPr="00F86A68">
        <w:continuationSeparator/>
      </w:r>
    </w:p>
  </w:footnote>
  <w:footnote w:id="2">
    <w:p w:rsidR="00D7555C" w:rsidRPr="004E3E31" w:rsidP="004E3E31" w14:paraId="3F98F4B8" w14:textId="3AC6614B">
      <w:pPr>
        <w:pStyle w:val="FootnoteText"/>
        <w:ind w:left="567" w:hanging="567"/>
        <w:rPr>
          <w:sz w:val="24"/>
          <w:szCs w:val="24"/>
          <w:lang w:val="es-ES"/>
        </w:rPr>
      </w:pPr>
      <w:r>
        <w:rPr>
          <w:rStyle w:val="FootnoteReference"/>
        </w:rPr>
        <w:footnoteRef/>
      </w:r>
      <w:r w:rsidRPr="004E3E31">
        <w:rPr>
          <w:lang w:val="es-ES"/>
        </w:rPr>
        <w:t xml:space="preserve"> </w:t>
      </w:r>
      <w:r w:rsidRPr="00D7555C">
        <w:rPr>
          <w:lang w:val="es-ES"/>
        </w:rPr>
        <w:tab/>
      </w:r>
      <w:r w:rsidRPr="00F86A68">
        <w:rPr>
          <w:sz w:val="24"/>
          <w:lang w:val="sk-SK"/>
        </w:rPr>
        <w:t>Ú. v. EÚ</w:t>
      </w:r>
      <w:r w:rsidRPr="004E3E31">
        <w:rPr>
          <w:sz w:val="24"/>
          <w:szCs w:val="24"/>
          <w:lang w:val="es-ES"/>
        </w:rPr>
        <w:t xml:space="preserve"> L, 2026/1419, 3.7.2026, ELI: </w:t>
      </w:r>
      <w:hyperlink r:id="rId1" w:tgtFrame="_blank" w:tooltip="Dà accesso al documento attraverso il suo URI dell'ELI." w:history="1">
        <w:r w:rsidRPr="004E3E31">
          <w:rPr>
            <w:rStyle w:val="Hyperlink"/>
            <w:sz w:val="24"/>
            <w:szCs w:val="24"/>
            <w:lang w:val="es-ES"/>
          </w:rPr>
          <w:t>http://data.europa.eu/eli/dec_impl/2026/1419/oj</w:t>
        </w:r>
      </w:hyperlink>
      <w:r w:rsidRPr="004E3E31">
        <w:rPr>
          <w:sz w:val="24"/>
          <w:szCs w:val="24"/>
          <w:lang w:val="es-ES"/>
        </w:rPr>
        <w:t>.</w:t>
      </w:r>
    </w:p>
  </w:footnote>
  <w:footnote w:id="3">
    <w:p w:rsidR="00AE1AAB" w:rsidRPr="00F86A68" w:rsidP="00F86A68" w14:paraId="03E0D777" w14:textId="17DFFFE5">
      <w:pPr>
        <w:pStyle w:val="FootnoteText"/>
        <w:ind w:left="567" w:hanging="567"/>
        <w:rPr>
          <w:sz w:val="24"/>
          <w:lang w:val="sk-SK"/>
        </w:rPr>
      </w:pPr>
      <w:r w:rsidRPr="00F86A68">
        <w:rPr>
          <w:rStyle w:val="Funotenzeichen"/>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Ú. v. EÚ L 268, 18.10.2003, s. 1, ELI: </w:t>
      </w:r>
      <w:hyperlink r:id="rId2" w:tooltip="Umožňuje prístup k tomuto dokumentu prostredníctvom identifikátora URI používaného v rámci ELI." w:history="1">
        <w:r w:rsidRPr="00F86A68">
          <w:rPr>
            <w:rStyle w:val="Hyperlink"/>
            <w:sz w:val="24"/>
            <w:lang w:val="sk-SK"/>
          </w:rPr>
          <w:t>http://data.europa.eu/eli/reg/2003/1829/oj</w:t>
        </w:r>
      </w:hyperlink>
      <w:r w:rsidRPr="00F86A68">
        <w:rPr>
          <w:sz w:val="24"/>
          <w:lang w:val="sk-SK"/>
        </w:rPr>
        <w:t>.</w:t>
      </w:r>
    </w:p>
  </w:footnote>
  <w:footnote w:id="4">
    <w:p w:rsidR="00AE1AAB" w:rsidRPr="00F86A68" w:rsidP="00F86A68" w14:paraId="63B6B2B1" w14:textId="5F96A8E6">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 xml:space="preserve">Ú. v. EÚ L 55, 28.2.2011, s. 13, ELI: </w:t>
      </w:r>
      <w:hyperlink r:id="rId3" w:tooltip="http://data.europa.eu/eli/reg/2011/182/oj" w:history="1">
        <w:r w:rsidRPr="00F86A68">
          <w:rPr>
            <w:rStyle w:val="Hyperlink"/>
            <w:sz w:val="24"/>
            <w:lang w:val="sk-SK"/>
          </w:rPr>
          <w:t>http://data.europa.eu/eli/reg/2011/182/oj</w:t>
        </w:r>
      </w:hyperlink>
      <w:r w:rsidRPr="00F86A68">
        <w:rPr>
          <w:sz w:val="24"/>
          <w:lang w:val="sk-SK"/>
        </w:rPr>
        <w:t>.</w:t>
      </w:r>
    </w:p>
  </w:footnote>
  <w:footnote w:id="5">
    <w:p w:rsidR="00AE1AAB" w:rsidRPr="00F86A68" w:rsidP="00F86A68" w14:paraId="72F20E8F" w14:textId="407C17CF">
      <w:pPr>
        <w:pStyle w:val="FootnoteText"/>
        <w:ind w:left="567" w:hanging="567"/>
        <w:rPr>
          <w:sz w:val="24"/>
          <w:lang w:val="sk-SK"/>
        </w:rPr>
      </w:pPr>
      <w:r w:rsidRPr="00F86A68">
        <w:rPr>
          <w:rStyle w:val="Funotenzeichen"/>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 xml:space="preserve">Vedecké stanovisko pracovnej skupiny EFSA pre geneticky modifikované organizmy k „posúdeniu geneticky modifikovanej sóje MON 87705 (žiadosť GMFF-2023-21236)“, </w:t>
      </w:r>
      <w:r w:rsidRPr="00F86A68">
        <w:rPr>
          <w:i/>
          <w:sz w:val="24"/>
          <w:lang w:val="sk-SK"/>
        </w:rPr>
        <w:t>Vestník EFSA</w:t>
      </w:r>
      <w:r w:rsidRPr="00F86A68">
        <w:rPr>
          <w:sz w:val="24"/>
          <w:lang w:val="sk-SK"/>
        </w:rPr>
        <w:t xml:space="preserve"> 2026</w:t>
      </w:r>
      <w:r w:rsidR="00D7555C">
        <w:rPr>
          <w:sz w:val="24"/>
          <w:lang w:val="sk-SK"/>
        </w:rPr>
        <w:t>,</w:t>
      </w:r>
      <w:r w:rsidRPr="00F86A68">
        <w:rPr>
          <w:sz w:val="24"/>
          <w:lang w:val="sk-SK"/>
        </w:rPr>
        <w:t xml:space="preserve"> 24(1):e9846, </w:t>
      </w:r>
      <w:hyperlink r:id="rId4" w:history="1">
        <w:r w:rsidRPr="00F86A68">
          <w:rPr>
            <w:rStyle w:val="Hyperlink"/>
            <w:sz w:val="24"/>
            <w:lang w:val="sk-SK"/>
          </w:rPr>
          <w:t>https://doi.org/10.2903/j.efsa.2026.9846</w:t>
        </w:r>
      </w:hyperlink>
      <w:r w:rsidRPr="00F86A68">
        <w:rPr>
          <w:rStyle w:val="Hyperlink"/>
          <w:sz w:val="24"/>
          <w:lang w:val="sk-SK"/>
        </w:rPr>
        <w:t>.</w:t>
      </w:r>
    </w:p>
  </w:footnote>
  <w:footnote w:id="6">
    <w:p w:rsidR="00AE1AAB" w:rsidRPr="00F86A68" w:rsidP="00F86A68" w14:paraId="4B25711F" w14:textId="6951D491">
      <w:pPr>
        <w:pStyle w:val="FootnoteText"/>
        <w:ind w:left="567" w:hanging="567"/>
        <w:rPr>
          <w:color w:val="000000" w:themeColor="text1"/>
          <w:sz w:val="24"/>
          <w:vertAlign w:val="superscript"/>
          <w:lang w:val="sk-SK"/>
        </w:rPr>
      </w:pPr>
      <w:r w:rsidRPr="00F86A68">
        <w:rPr>
          <w:rStyle w:val="Funotenzeichen"/>
          <w:sz w:val="24"/>
          <w:lang w:val="sk-SK"/>
        </w:rPr>
        <w:footnoteRef/>
      </w:r>
      <w:r w:rsidRPr="00F86A68" w:rsidR="00F86A68">
        <w:rPr>
          <w:color w:val="000000" w:themeColor="text1"/>
          <w:sz w:val="24"/>
          <w:lang w:val="sk-SK"/>
        </w:rPr>
        <w:t xml:space="preserve"> </w:t>
      </w:r>
      <w:r w:rsidRPr="00F86A68" w:rsidR="00F86A68">
        <w:rPr>
          <w:color w:val="000000" w:themeColor="text1"/>
          <w:sz w:val="24"/>
          <w:lang w:val="sk-SK"/>
        </w:rPr>
        <w:tab/>
      </w:r>
      <w:r w:rsidRPr="00F86A68">
        <w:rPr>
          <w:color w:val="000000" w:themeColor="text1"/>
          <w:sz w:val="24"/>
          <w:lang w:val="sk-SK"/>
        </w:rPr>
        <w:t>Európsky parlament prijal vo svojom ôsmom volebnom období 36 uznesení a v deviatom volebnom období 38 uznesení,</w:t>
      </w:r>
      <w:r w:rsidRPr="00F86A68">
        <w:rPr>
          <w:sz w:val="24"/>
          <w:lang w:val="sk-SK"/>
        </w:rPr>
        <w:t xml:space="preserve"> v ktorých namieta proti </w:t>
      </w:r>
      <w:r w:rsidRPr="00F86A68">
        <w:rPr>
          <w:color w:val="000000" w:themeColor="text1"/>
          <w:sz w:val="24"/>
          <w:lang w:val="sk-SK"/>
        </w:rPr>
        <w:t>povoľovaniu geneticky modifikovaných organizmov. Okrem toho Európsky parlament počas desiateho volebného obdobia prijal tieto uznesenia:</w:t>
      </w:r>
    </w:p>
    <w:p w:rsidR="00AE1AAB" w:rsidRPr="00F86A68" w:rsidP="004E3E31" w14:paraId="76717EC3" w14:textId="62484860">
      <w:pPr>
        <w:pStyle w:val="FootnoteText"/>
        <w:ind w:left="1134" w:hanging="567"/>
        <w:rPr>
          <w:color w:val="000000" w:themeColor="text1"/>
          <w:sz w:val="24"/>
          <w:vertAlign w:val="superscript"/>
          <w:lang w:val="sk-SK"/>
        </w:rPr>
      </w:pPr>
      <w:r w:rsidRPr="00F86A68">
        <w:rPr>
          <w:color w:val="000000" w:themeColor="text1"/>
          <w:sz w:val="24"/>
          <w:lang w:val="sk-SK"/>
        </w:rPr>
        <w:t>–</w:t>
      </w:r>
      <w:r w:rsidRPr="00F86A68">
        <w:rPr>
          <w:color w:val="000000" w:themeColor="text1"/>
          <w:sz w:val="24"/>
          <w:lang w:val="sk-SK"/>
        </w:rPr>
        <w:tab/>
        <w:t>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EÚ C, C/2025/1797, 4.4.2025, ELI: </w:t>
      </w:r>
      <w:hyperlink r:id="rId5" w:history="1">
        <w:r w:rsidRPr="00F86A68">
          <w:rPr>
            <w:rStyle w:val="Hyperlink"/>
            <w:sz w:val="24"/>
            <w:lang w:val="sk-SK"/>
          </w:rPr>
          <w:t>http://data.europa.eu/eli/C/2025/1797/oj</w:t>
        </w:r>
      </w:hyperlink>
      <w:r w:rsidRPr="00F86A68">
        <w:rPr>
          <w:color w:val="000000" w:themeColor="text1"/>
          <w:sz w:val="24"/>
          <w:lang w:val="sk-SK"/>
        </w:rPr>
        <w:t>).</w:t>
      </w:r>
    </w:p>
    <w:p w:rsidR="00AE1AAB" w:rsidRPr="00F86A68" w:rsidP="004E3E31" w14:paraId="7B18EA22" w14:textId="0A0D66AA">
      <w:pPr>
        <w:pStyle w:val="FootnoteText"/>
        <w:ind w:left="1134" w:hanging="567"/>
        <w:rPr>
          <w:color w:val="000000" w:themeColor="text1"/>
          <w:sz w:val="24"/>
          <w:vertAlign w:val="superscript"/>
          <w:lang w:val="sk-SK"/>
        </w:rPr>
      </w:pPr>
      <w:r w:rsidRPr="00F86A68">
        <w:rPr>
          <w:color w:val="000000" w:themeColor="text1"/>
          <w:sz w:val="24"/>
          <w:lang w:val="sk-SK"/>
        </w:rPr>
        <w:t>–</w:t>
      </w:r>
      <w:r w:rsidRPr="00F86A68">
        <w:rPr>
          <w:color w:val="000000" w:themeColor="text1"/>
          <w:sz w:val="24"/>
          <w:lang w:val="sk-SK"/>
        </w:rPr>
        <w:tab/>
        <w:t>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6" w:history="1">
        <w:r w:rsidRPr="00F86A68">
          <w:rPr>
            <w:rStyle w:val="Hyperlink"/>
            <w:sz w:val="24"/>
            <w:lang w:val="sk-SK"/>
          </w:rPr>
          <w:t>http://data.europa.eu/eli/C/2025/1798/oj</w:t>
        </w:r>
      </w:hyperlink>
      <w:r w:rsidRPr="00F86A68">
        <w:rPr>
          <w:color w:val="000000" w:themeColor="text1"/>
          <w:sz w:val="24"/>
          <w:lang w:val="sk-SK"/>
        </w:rPr>
        <w:t>).</w:t>
      </w:r>
    </w:p>
    <w:p w:rsidR="00AE1AAB" w:rsidRPr="00F86A68" w:rsidP="004E3E31" w14:paraId="05DB1EC1" w14:textId="3F284ECA">
      <w:pPr>
        <w:pStyle w:val="FootnoteText"/>
        <w:ind w:left="1134" w:hanging="567"/>
        <w:rPr>
          <w:color w:val="000000" w:themeColor="text1"/>
          <w:sz w:val="24"/>
          <w:vertAlign w:val="superscript"/>
          <w:lang w:val="sk-SK"/>
        </w:rPr>
      </w:pPr>
      <w:r w:rsidRPr="00F86A68">
        <w:rPr>
          <w:color w:val="000000" w:themeColor="text1"/>
          <w:sz w:val="24"/>
          <w:lang w:val="sk-SK"/>
        </w:rPr>
        <w:t>–</w:t>
      </w:r>
      <w:r w:rsidRPr="00F86A68">
        <w:rPr>
          <w:color w:val="000000" w:themeColor="text1"/>
          <w:sz w:val="24"/>
          <w:lang w:val="sk-SK"/>
        </w:rPr>
        <w:tab/>
        <w:t>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7" w:history="1">
        <w:r w:rsidRPr="00F86A68">
          <w:rPr>
            <w:rStyle w:val="Hyperlink"/>
            <w:sz w:val="24"/>
            <w:lang w:val="sk-SK"/>
          </w:rPr>
          <w:t>http://data.europa.eu/eli/C/2025/1799/oj</w:t>
        </w:r>
      </w:hyperlink>
      <w:r w:rsidRPr="00F86A68">
        <w:rPr>
          <w:color w:val="000000" w:themeColor="text1"/>
          <w:sz w:val="24"/>
          <w:lang w:val="sk-SK"/>
        </w:rPr>
        <w:t>).</w:t>
      </w:r>
    </w:p>
    <w:p w:rsidR="00AE1AAB" w:rsidRPr="00F86A68" w:rsidP="004E3E31" w14:paraId="42378417" w14:textId="08637CB8">
      <w:pPr>
        <w:pStyle w:val="FootnoteText"/>
        <w:ind w:left="1134" w:hanging="567"/>
        <w:rPr>
          <w:color w:val="000000" w:themeColor="text1"/>
          <w:sz w:val="24"/>
          <w:vertAlign w:val="superscript"/>
          <w:lang w:val="sk-SK"/>
        </w:rPr>
      </w:pPr>
      <w:r w:rsidRPr="00F86A68">
        <w:rPr>
          <w:color w:val="000000" w:themeColor="text1"/>
          <w:sz w:val="24"/>
          <w:lang w:val="sk-SK"/>
        </w:rPr>
        <w:t>–</w:t>
      </w:r>
      <w:r w:rsidRPr="00F86A68">
        <w:rPr>
          <w:color w:val="000000" w:themeColor="text1"/>
          <w:sz w:val="24"/>
          <w:lang w:val="sk-SK"/>
        </w:rPr>
        <w:tab/>
        <w:t>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8" w:history="1">
        <w:r w:rsidRPr="00F86A68">
          <w:rPr>
            <w:rStyle w:val="Hyperlink"/>
            <w:sz w:val="24"/>
            <w:lang w:val="sk-SK"/>
          </w:rPr>
          <w:t>http://data.europa.eu/eli/C/2025/1800/oj</w:t>
        </w:r>
      </w:hyperlink>
      <w:r w:rsidRPr="00F86A68">
        <w:rPr>
          <w:color w:val="000000" w:themeColor="text1"/>
          <w:sz w:val="24"/>
          <w:lang w:val="sk-SK"/>
        </w:rPr>
        <w:t>).</w:t>
      </w:r>
    </w:p>
    <w:p w:rsidR="00AE1AAB" w:rsidRPr="00F86A68" w:rsidP="004E3E31" w14:paraId="66D3461D" w14:textId="6BB45072">
      <w:pPr>
        <w:pStyle w:val="FootnoteText"/>
        <w:ind w:left="1134" w:hanging="567"/>
        <w:rPr>
          <w:color w:val="000000" w:themeColor="text1"/>
          <w:sz w:val="24"/>
          <w:vertAlign w:val="superscript"/>
          <w:lang w:val="sk-SK"/>
        </w:rPr>
      </w:pPr>
      <w:r w:rsidRPr="00F86A68">
        <w:rPr>
          <w:color w:val="000000" w:themeColor="text1"/>
          <w:sz w:val="24"/>
          <w:lang w:val="sk-SK"/>
        </w:rPr>
        <w:t>–</w:t>
      </w:r>
      <w:r w:rsidRPr="00F86A68">
        <w:rPr>
          <w:color w:val="000000" w:themeColor="text1"/>
          <w:sz w:val="24"/>
          <w:lang w:val="sk-SK"/>
        </w:rPr>
        <w:tab/>
        <w:t>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9" w:history="1">
        <w:r w:rsidRPr="00F86A68">
          <w:rPr>
            <w:rStyle w:val="Hyperlink"/>
            <w:sz w:val="24"/>
            <w:lang w:val="sk-SK"/>
          </w:rPr>
          <w:t>http://data.europa.eu/eli/C/2025/1801/oj</w:t>
        </w:r>
      </w:hyperlink>
      <w:r w:rsidRPr="00F86A68">
        <w:rPr>
          <w:color w:val="000000" w:themeColor="text1"/>
          <w:sz w:val="24"/>
          <w:lang w:val="sk-SK"/>
        </w:rPr>
        <w:t>).</w:t>
      </w:r>
    </w:p>
    <w:p w:rsidR="00AE1AAB" w:rsidRPr="00F86A68" w:rsidP="004E3E31" w14:paraId="5235A59E" w14:textId="7F7F08B1">
      <w:pPr>
        <w:pStyle w:val="FootnoteText"/>
        <w:ind w:left="1134" w:hanging="567"/>
        <w:rPr>
          <w:color w:val="000000" w:themeColor="text1"/>
          <w:sz w:val="24"/>
          <w:vertAlign w:val="superscript"/>
          <w:lang w:val="sk-SK"/>
        </w:rPr>
      </w:pPr>
      <w:r w:rsidRPr="00F86A68">
        <w:rPr>
          <w:color w:val="000000" w:themeColor="text1"/>
          <w:sz w:val="24"/>
          <w:lang w:val="sk-SK"/>
        </w:rPr>
        <w:t>–</w:t>
      </w:r>
      <w:r w:rsidRPr="00F86A68">
        <w:rPr>
          <w:color w:val="000000" w:themeColor="text1"/>
          <w:sz w:val="24"/>
          <w:lang w:val="sk-SK"/>
        </w:rPr>
        <w:tab/>
        <w:t>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10" w:history="1">
        <w:r w:rsidRPr="00F86A68">
          <w:rPr>
            <w:rStyle w:val="Hyperlink"/>
            <w:sz w:val="24"/>
            <w:lang w:val="sk-SK"/>
          </w:rPr>
          <w:t>http://data.europa.eu/eli/C/2025/1802/oj</w:t>
        </w:r>
      </w:hyperlink>
      <w:r w:rsidRPr="00F86A68">
        <w:rPr>
          <w:color w:val="000000" w:themeColor="text1"/>
          <w:sz w:val="24"/>
          <w:lang w:val="sk-SK"/>
        </w:rPr>
        <w:t>).</w:t>
      </w:r>
    </w:p>
    <w:p w:rsidR="00AE1AAB" w:rsidRPr="00F86A68" w:rsidP="004E3E31" w14:paraId="6F1F8B7E" w14:textId="477D6211">
      <w:pPr>
        <w:pStyle w:val="FootnoteText"/>
        <w:ind w:left="1134" w:hanging="567"/>
        <w:rPr>
          <w:color w:val="000000" w:themeColor="text1"/>
          <w:sz w:val="24"/>
          <w:vertAlign w:val="superscript"/>
          <w:lang w:val="sk-SK"/>
        </w:rPr>
      </w:pPr>
      <w:r w:rsidRPr="00F86A68">
        <w:rPr>
          <w:color w:val="000000" w:themeColor="text1"/>
          <w:sz w:val="24"/>
          <w:lang w:val="sk-SK"/>
        </w:rPr>
        <w:t>–</w:t>
      </w:r>
      <w:r w:rsidRPr="00F86A68">
        <w:rPr>
          <w:color w:val="000000" w:themeColor="text1"/>
          <w:sz w:val="24"/>
          <w:lang w:val="sk-SK"/>
        </w:rPr>
        <w:tab/>
        <w:t>Uznesenie Európskeho parlamentu z 26. novembra 2024 o vykonávacom rozhodnutí Komisie (EÚ) 2024/2618, ktorým sa podľa nariadenia Európskeho parlamentu a Rady (ES) č. 1829/2003 povoľuje umiestniť na trh výrobky, ktoré obsahujú geneticky modifikovanú kukuricu DP202216, sú z nej zložené alebo vyrobené (Ú. v. EÚ C, C/2025/1803, 4.4.2025, ELI: </w:t>
      </w:r>
      <w:hyperlink r:id="rId11" w:history="1">
        <w:r w:rsidRPr="00F86A68">
          <w:rPr>
            <w:rStyle w:val="Hyperlink"/>
            <w:sz w:val="24"/>
            <w:lang w:val="sk-SK"/>
          </w:rPr>
          <w:t>http://data.europa.eu/eli/C/2025/1803/oj</w:t>
        </w:r>
      </w:hyperlink>
      <w:r w:rsidRPr="00F86A68">
        <w:rPr>
          <w:color w:val="000000" w:themeColor="text1"/>
          <w:sz w:val="24"/>
          <w:lang w:val="sk-SK"/>
        </w:rPr>
        <w:t>).</w:t>
      </w:r>
    </w:p>
    <w:p w:rsidR="00AE1AAB" w:rsidRPr="00F86A68" w:rsidP="004E3E31" w14:paraId="28374C99" w14:textId="3027F214">
      <w:pPr>
        <w:pStyle w:val="FootnoteText"/>
        <w:ind w:left="1134" w:hanging="567"/>
        <w:rPr>
          <w:color w:val="000000" w:themeColor="text1"/>
          <w:sz w:val="24"/>
          <w:vertAlign w:val="superscript"/>
          <w:lang w:val="sk-SK"/>
        </w:rPr>
      </w:pPr>
      <w:r w:rsidRPr="00F86A68">
        <w:rPr>
          <w:color w:val="000000" w:themeColor="text1"/>
          <w:sz w:val="24"/>
          <w:lang w:val="sk-SK"/>
        </w:rPr>
        <w:t>–</w:t>
      </w:r>
      <w:r w:rsidRPr="00F86A68">
        <w:rPr>
          <w:color w:val="000000" w:themeColor="text1"/>
          <w:sz w:val="24"/>
          <w:lang w:val="sk-SK"/>
        </w:rPr>
        <w:tab/>
        <w:t>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2" w:history="1">
        <w:r w:rsidRPr="00F86A68">
          <w:rPr>
            <w:rStyle w:val="Hyperlink"/>
            <w:sz w:val="24"/>
            <w:lang w:val="sk-SK"/>
          </w:rPr>
          <w:t>http://data.europa.eu/eli/C/2025/1804/oj</w:t>
        </w:r>
      </w:hyperlink>
      <w:r w:rsidRPr="00F86A68">
        <w:rPr>
          <w:color w:val="000000" w:themeColor="text1"/>
          <w:sz w:val="24"/>
          <w:lang w:val="sk-SK"/>
        </w:rPr>
        <w:t>).</w:t>
      </w:r>
    </w:p>
    <w:p w:rsidR="00AE1AAB" w:rsidRPr="00F86A68" w:rsidP="004E3E31" w14:paraId="6C824BBE" w14:textId="077EC32F">
      <w:pPr>
        <w:pStyle w:val="FootnoteText"/>
        <w:ind w:left="1134" w:hanging="567"/>
        <w:rPr>
          <w:sz w:val="24"/>
          <w:vertAlign w:val="superscript"/>
          <w:lang w:val="sk-SK"/>
        </w:rPr>
      </w:pPr>
      <w:r w:rsidRPr="00F86A68">
        <w:rPr>
          <w:color w:val="000000" w:themeColor="text1"/>
          <w:sz w:val="24"/>
          <w:lang w:val="sk-SK"/>
        </w:rPr>
        <w:t>–</w:t>
      </w:r>
      <w:r w:rsidRPr="00F86A68">
        <w:rPr>
          <w:color w:val="000000" w:themeColor="text1"/>
          <w:sz w:val="24"/>
          <w:lang w:val="sk-SK"/>
        </w:rPr>
        <w:tab/>
      </w:r>
      <w:r w:rsidRPr="00F86A68">
        <w:rPr>
          <w:sz w:val="24"/>
          <w:lang w:val="sk-SK"/>
        </w:rPr>
        <w:t>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(Ú. v. EÚ C, C/2025/2246, 29.4.2025, ELI: </w:t>
      </w:r>
      <w:hyperlink r:id="rId13" w:tooltip="Umožňuje prístup k tomuto dokumentu prostredníctvom identifikátora URI používaného v rámci ELI." w:history="1">
        <w:r w:rsidRPr="00F86A68">
          <w:rPr>
            <w:rStyle w:val="Hyperlink"/>
            <w:sz w:val="24"/>
            <w:lang w:val="sk-SK"/>
          </w:rPr>
          <w:t>http://data.europa.eu/eli/C/2025/2246/oj</w:t>
        </w:r>
      </w:hyperlink>
      <w:r w:rsidRPr="00F86A68">
        <w:rPr>
          <w:sz w:val="24"/>
          <w:lang w:val="sk-SK"/>
        </w:rPr>
        <w:t>).</w:t>
      </w:r>
    </w:p>
    <w:p w:rsidR="00AE1AAB" w:rsidRPr="00F86A68" w:rsidP="004E3E31" w14:paraId="5DA0A0C6" w14:textId="2512945A">
      <w:pPr>
        <w:pStyle w:val="FootnoteText"/>
        <w:ind w:left="1134" w:hanging="567"/>
        <w:rPr>
          <w:sz w:val="24"/>
          <w:vertAlign w:val="superscript"/>
          <w:lang w:val="sk-SK"/>
        </w:rPr>
      </w:pPr>
      <w:r w:rsidRPr="00F86A68">
        <w:rPr>
          <w:sz w:val="24"/>
          <w:lang w:val="sk-SK"/>
        </w:rPr>
        <w:t>–</w:t>
      </w:r>
      <w:r w:rsidRPr="00F86A68">
        <w:rPr>
          <w:sz w:val="24"/>
          <w:lang w:val="sk-SK"/>
        </w:rPr>
        <w:tab/>
        <w:t>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(Ú. v. EÚ C, C/2025/2247, 29.4.2025, ELI: </w:t>
      </w:r>
      <w:hyperlink r:id="rId14" w:tooltip="Umožňuje prístup k tomuto dokumentu prostredníctvom identifikátora URI používaného v rámci ELI." w:history="1">
        <w:r w:rsidRPr="00F86A68">
          <w:rPr>
            <w:rStyle w:val="Hyperlink"/>
            <w:sz w:val="24"/>
            <w:lang w:val="sk-SK"/>
          </w:rPr>
          <w:t>http://data.europa.eu/eli/C/2025/2247/oj</w:t>
        </w:r>
      </w:hyperlink>
      <w:r w:rsidRPr="00F86A68">
        <w:rPr>
          <w:sz w:val="24"/>
          <w:lang w:val="sk-SK"/>
        </w:rPr>
        <w:t>).</w:t>
      </w:r>
    </w:p>
    <w:p w:rsidR="00AE1AAB" w:rsidRPr="00F86A68" w:rsidP="004E3E31" w14:paraId="7644A35E" w14:textId="54D215F6">
      <w:pPr>
        <w:pStyle w:val="FootnoteText"/>
        <w:ind w:left="1134" w:hanging="567"/>
        <w:rPr>
          <w:sz w:val="24"/>
          <w:vertAlign w:val="superscript"/>
          <w:lang w:val="sk-SK"/>
        </w:rPr>
      </w:pPr>
      <w:r w:rsidRPr="00F86A68">
        <w:rPr>
          <w:sz w:val="24"/>
          <w:lang w:val="sk-SK"/>
        </w:rPr>
        <w:t>–</w:t>
      </w:r>
      <w:r w:rsidRPr="00F86A68">
        <w:rPr>
          <w:sz w:val="24"/>
          <w:lang w:val="sk-SK"/>
        </w:rPr>
        <w:tab/>
        <w:t>Uznesenie Európskeho parlamentu z 8.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 (Ú. v. EÚ C, C/2026/586, 24.2.2026, ELI: </w:t>
      </w:r>
      <w:hyperlink r:id="rId15" w:tooltip="Umožňuje prístup k tomuto dokumentu prostredníctvom identifikátora URI používaného v rámci ELI." w:history="1">
        <w:r w:rsidRPr="00F86A68">
          <w:rPr>
            <w:rStyle w:val="Hyperlink"/>
            <w:sz w:val="24"/>
            <w:lang w:val="sk-SK"/>
          </w:rPr>
          <w:t>http://data.europa.eu/eli/C/2026/586/oj</w:t>
        </w:r>
      </w:hyperlink>
      <w:r w:rsidRPr="00F86A68">
        <w:rPr>
          <w:sz w:val="24"/>
          <w:lang w:val="sk-SK"/>
        </w:rPr>
        <w:t>).</w:t>
      </w:r>
    </w:p>
    <w:p w:rsidR="00AE1AAB" w:rsidRPr="00F86A68" w:rsidP="004E3E31" w14:paraId="423C4C60" w14:textId="1AA17355">
      <w:pPr>
        <w:pStyle w:val="FootnoteText"/>
        <w:ind w:left="1134" w:hanging="567"/>
        <w:rPr>
          <w:sz w:val="24"/>
          <w:vertAlign w:val="superscript"/>
          <w:lang w:val="sk-SK"/>
        </w:rPr>
      </w:pPr>
      <w:r w:rsidRPr="00F86A68">
        <w:rPr>
          <w:sz w:val="24"/>
          <w:lang w:val="sk-SK"/>
        </w:rPr>
        <w:t>–</w:t>
      </w:r>
      <w:r w:rsidRPr="00F86A68">
        <w:rPr>
          <w:sz w:val="24"/>
          <w:lang w:val="sk-SK"/>
        </w:rPr>
        <w:tab/>
        <w:t>Uznesenie Európskeho parlamentu z 8. októbra 2025 o vykonávacom rozhodnutí Komisie (EÚ) 2025/1898 z 22. septembra 2025, ktorým sa podľa nariadenia Európskeho parlamentu a Rady (ES) č. 1829/2003 povoľuje umiestniť na trh výrobky, ktoré obsahujú geneticky modifikovanú kukuricu DP51291, sú z nej zložené alebo vyrobené (Ú. v. EÚ C, C/2026/1523, 15.4.2026, ELI: </w:t>
      </w:r>
      <w:hyperlink r:id="rId16" w:history="1">
        <w:r w:rsidRPr="00F86A68">
          <w:rPr>
            <w:rStyle w:val="Hyperlink"/>
            <w:sz w:val="24"/>
            <w:lang w:val="sk-SK"/>
          </w:rPr>
          <w:t>http://data.europa.eu/eli/C/2026/1523/oj</w:t>
        </w:r>
      </w:hyperlink>
      <w:r w:rsidRPr="00F86A68">
        <w:rPr>
          <w:sz w:val="24"/>
          <w:lang w:val="sk-SK"/>
        </w:rPr>
        <w:t>).</w:t>
      </w:r>
    </w:p>
    <w:p w:rsidR="00AE1AAB" w:rsidRPr="00F86A68" w:rsidP="004E3E31" w14:paraId="1E4AE933" w14:textId="3ED24C1C">
      <w:pPr>
        <w:pStyle w:val="FootnoteText"/>
        <w:ind w:left="1134" w:hanging="567"/>
        <w:rPr>
          <w:sz w:val="24"/>
          <w:vertAlign w:val="superscript"/>
          <w:lang w:val="sk-SK"/>
        </w:rPr>
      </w:pPr>
      <w:r w:rsidRPr="00F86A68">
        <w:rPr>
          <w:sz w:val="24"/>
          <w:lang w:val="sk-SK"/>
        </w:rPr>
        <w:t>–</w:t>
      </w:r>
      <w:r w:rsidRPr="00F86A68">
        <w:rPr>
          <w:sz w:val="24"/>
          <w:lang w:val="sk-SK"/>
        </w:rPr>
        <w:tab/>
        <w:t>Uznesenie Európskeho parlamentu z 25. novembra 2025 o návrhu vykonávacieho rozhodnutia Komisie, ktorým sa podľa nariadenia Európskeho parlamentu a Rady (ES) č. 1829/2003 povoľuje umiestniť na trh produkty, ktoré obsahujú geneticky modifikovanú kukuricu DAS1131, sú z nej zložené alebo vyrobené (Ú. v. EÚ C, C/2026/1703, 24.4.2026, ELI: </w:t>
      </w:r>
      <w:hyperlink r:id="rId17" w:history="1">
        <w:r w:rsidRPr="00F86A68">
          <w:rPr>
            <w:rStyle w:val="Hyperlink"/>
            <w:sz w:val="24"/>
            <w:lang w:val="sk-SK"/>
          </w:rPr>
          <w:t>http://data.europa.eu/eli/C/2026/1703/oj</w:t>
        </w:r>
      </w:hyperlink>
      <w:r w:rsidRPr="00F86A68">
        <w:rPr>
          <w:sz w:val="24"/>
          <w:lang w:val="sk-SK"/>
        </w:rPr>
        <w:t>).</w:t>
      </w:r>
    </w:p>
    <w:p w:rsidR="00AE1AAB" w:rsidRPr="00F86A68" w:rsidP="004E3E31" w14:paraId="3AE119B4" w14:textId="24BEABE9">
      <w:pPr>
        <w:pStyle w:val="FootnoteText"/>
        <w:ind w:left="1134" w:hanging="567"/>
        <w:rPr>
          <w:sz w:val="24"/>
          <w:vertAlign w:val="superscript"/>
          <w:lang w:val="sk-SK"/>
        </w:rPr>
      </w:pPr>
      <w:r w:rsidRPr="00F86A68">
        <w:rPr>
          <w:sz w:val="24"/>
          <w:lang w:val="sk-SK"/>
        </w:rPr>
        <w:t>–</w:t>
      </w:r>
      <w:r w:rsidRPr="00F86A68">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bavlnu MON 88913 (MON-88913-8), sú z nej zložené alebo vyrobené (Ú. v. EÚ C, C/2026/1704, 24.4.2026, ELI: </w:t>
      </w:r>
      <w:hyperlink r:id="rId18" w:history="1">
        <w:r w:rsidRPr="00F86A68">
          <w:rPr>
            <w:rStyle w:val="Hyperlink"/>
            <w:sz w:val="24"/>
            <w:lang w:val="sk-SK"/>
          </w:rPr>
          <w:t>http://data.europa.eu/eli/C/2026/1704/oj</w:t>
        </w:r>
      </w:hyperlink>
      <w:r w:rsidRPr="00F86A68">
        <w:rPr>
          <w:sz w:val="24"/>
          <w:lang w:val="sk-SK"/>
        </w:rPr>
        <w:t>).</w:t>
      </w:r>
    </w:p>
    <w:p w:rsidR="00AE1AAB" w:rsidRPr="00F86A68" w:rsidP="004E3E31" w14:paraId="68A3CF80" w14:textId="41D5C609">
      <w:pPr>
        <w:pStyle w:val="FootnoteText"/>
        <w:ind w:left="1134" w:hanging="567"/>
        <w:rPr>
          <w:sz w:val="24"/>
          <w:vertAlign w:val="superscript"/>
          <w:lang w:val="sk-SK"/>
        </w:rPr>
      </w:pPr>
      <w:r w:rsidRPr="00F86A68">
        <w:rPr>
          <w:sz w:val="24"/>
          <w:lang w:val="sk-SK"/>
        </w:rPr>
        <w:t>–</w:t>
      </w:r>
      <w:r w:rsidRPr="00F86A68">
        <w:rPr>
          <w:sz w:val="24"/>
          <w:lang w:val="sk-SK"/>
        </w:rPr>
        <w:tab/>
        <w:t xml:space="preserve">Uznesenie Európskeho parlamentu z 25. novembra 2025 o návrhu vykonávacieho rozhodnutia Komisie, ktorým sa podľa nariadenia Európskeho parlamentu a Rady (ES) č. 1829/2003 obnovuje povolenie umiestniť na trh produkty, ktoré obsahujú geneticky modifikovanú repku </w:t>
      </w:r>
      <w:r w:rsidRPr="00F86A68">
        <w:rPr>
          <w:sz w:val="24"/>
          <w:lang w:val="sk-SK"/>
        </w:rPr>
        <w:t>olejku</w:t>
      </w:r>
      <w:r w:rsidRPr="00F86A68">
        <w:rPr>
          <w:sz w:val="24"/>
          <w:lang w:val="sk-SK"/>
        </w:rPr>
        <w:t xml:space="preserve"> MON 88302, sú z nej zložené alebo vyrobené (Ú. v. EÚ C, C/2026/1705, 24.4.2026, ELI: </w:t>
      </w:r>
      <w:hyperlink r:id="rId19" w:history="1">
        <w:r w:rsidRPr="00F86A68">
          <w:rPr>
            <w:rStyle w:val="Hyperlink"/>
            <w:sz w:val="24"/>
            <w:lang w:val="sk-SK"/>
          </w:rPr>
          <w:t>http://data.europa.eu/eli/C/2026/1705/oj</w:t>
        </w:r>
      </w:hyperlink>
      <w:r w:rsidRPr="00F86A68">
        <w:rPr>
          <w:sz w:val="24"/>
          <w:lang w:val="sk-SK"/>
        </w:rPr>
        <w:t>).</w:t>
      </w:r>
    </w:p>
    <w:p w:rsidR="00AE1AAB" w:rsidRPr="00F86A68" w:rsidP="004E3E31" w14:paraId="6F5C5BC8" w14:textId="411B308B">
      <w:pPr>
        <w:pStyle w:val="FootnoteText"/>
        <w:ind w:left="1134" w:hanging="567"/>
        <w:rPr>
          <w:sz w:val="24"/>
          <w:vertAlign w:val="superscript"/>
          <w:lang w:val="sk-SK"/>
        </w:rPr>
      </w:pPr>
      <w:r w:rsidRPr="00F86A68">
        <w:rPr>
          <w:sz w:val="24"/>
          <w:lang w:val="sk-SK"/>
        </w:rPr>
        <w:t>–</w:t>
      </w:r>
      <w:r w:rsidRPr="00F86A68">
        <w:rPr>
          <w:sz w:val="24"/>
          <w:lang w:val="sk-SK"/>
        </w:rPr>
        <w:tab/>
      </w:r>
      <w:r w:rsidRPr="004E3E31">
        <w:rPr>
          <w:color w:val="000000" w:themeColor="text1"/>
          <w:sz w:val="24"/>
          <w:lang w:val="sk-SK"/>
        </w:rPr>
        <w:t>Uznesenie</w:t>
      </w:r>
      <w:r w:rsidRPr="00F86A68">
        <w:rPr>
          <w:sz w:val="24"/>
          <w:lang w:val="sk-SK"/>
        </w:rPr>
        <w:t xml:space="preserve"> Európskeho parlamentu z 25. novembra 2025 o návrhu vykonávacieho rozhodnutia Komisie, ktorým sa podľa nariadenia Európskeho parlamentu a Rady (ES) č. 1829/2003 obnovuje povolenie umiestniť na trh produkty, ktoré obsahujú geneticky modifikovanú sóju MON 87708, sú z nej zložené alebo vyrobené (Ú. v. EÚ C, C/2026/1706, 24.4.2026, ELI: </w:t>
      </w:r>
      <w:hyperlink r:id="rId20" w:history="1">
        <w:r w:rsidRPr="00F86A68">
          <w:rPr>
            <w:rStyle w:val="Hyperlink"/>
            <w:sz w:val="24"/>
            <w:lang w:val="sk-SK"/>
          </w:rPr>
          <w:t>http://data.europa.eu/eli/C/2026/1706/oj</w:t>
        </w:r>
      </w:hyperlink>
      <w:r w:rsidRPr="00F86A68">
        <w:rPr>
          <w:sz w:val="24"/>
          <w:lang w:val="sk-SK"/>
        </w:rPr>
        <w:t>).</w:t>
      </w:r>
    </w:p>
    <w:p w:rsidR="00AE1AAB" w:rsidRPr="00F86A68" w:rsidP="004E3E31" w14:paraId="4539F247" w14:textId="4B222634">
      <w:pPr>
        <w:pStyle w:val="FootnoteText"/>
        <w:ind w:left="1134" w:hanging="567"/>
        <w:rPr>
          <w:sz w:val="24"/>
          <w:vertAlign w:val="superscript"/>
          <w:lang w:val="sk-SK"/>
        </w:rPr>
      </w:pPr>
      <w:r w:rsidRPr="00F86A68">
        <w:rPr>
          <w:sz w:val="24"/>
          <w:lang w:val="sk-SK"/>
        </w:rPr>
        <w:t>–</w:t>
      </w:r>
      <w:r w:rsidRPr="00F86A68">
        <w:rPr>
          <w:sz w:val="24"/>
          <w:lang w:val="sk-SK"/>
        </w:rPr>
        <w:tab/>
      </w:r>
      <w:r w:rsidRPr="004E3E31">
        <w:rPr>
          <w:color w:val="000000" w:themeColor="text1"/>
          <w:sz w:val="24"/>
          <w:lang w:val="sk-SK"/>
        </w:rPr>
        <w:t>Uznesenie</w:t>
      </w:r>
      <w:r w:rsidRPr="00F86A68">
        <w:rPr>
          <w:sz w:val="24"/>
          <w:lang w:val="sk-SK"/>
        </w:rPr>
        <w:t xml:space="preserve"> Európskeho parlamentu z 25. novembra 2025 o návrhu vykonávacieho rozhodnutia Komisie, ktorým sa podľa nariadenia Európskeho parlamentu a Rady (ES) č. 1829/2003 obnovuje povolenie umiestniť na trh produkty, ktoré obsahujú geneticky modifikovanú kukuricu MON 87427, sú z nej zložené alebo vyrobené (Ú. v. EÚ C, C/2026/1707, 24.4.2026, ELI: </w:t>
      </w:r>
      <w:hyperlink r:id="rId21" w:history="1">
        <w:r w:rsidRPr="00F86A68">
          <w:rPr>
            <w:rStyle w:val="Hyperlink"/>
            <w:sz w:val="24"/>
            <w:lang w:val="sk-SK"/>
          </w:rPr>
          <w:t>http://data.europa.eu/eli/C/2026/1707/oj</w:t>
        </w:r>
      </w:hyperlink>
      <w:r w:rsidRPr="00F86A68">
        <w:rPr>
          <w:sz w:val="24"/>
          <w:lang w:val="sk-SK"/>
        </w:rPr>
        <w:t>).</w:t>
      </w:r>
    </w:p>
    <w:p w:rsidR="00AE1AAB" w:rsidRPr="00F86A68" w:rsidP="004E3E31" w14:paraId="5B1079EA" w14:textId="78206D55">
      <w:pPr>
        <w:pStyle w:val="FootnoteText"/>
        <w:ind w:left="1134" w:hanging="567"/>
        <w:rPr>
          <w:sz w:val="24"/>
          <w:vertAlign w:val="superscript"/>
          <w:lang w:val="sk-SK"/>
        </w:rPr>
      </w:pPr>
      <w:r w:rsidRPr="00F86A68">
        <w:rPr>
          <w:sz w:val="24"/>
          <w:lang w:val="sk-SK"/>
        </w:rPr>
        <w:t>–</w:t>
      </w:r>
      <w:r w:rsidRPr="00F86A68">
        <w:rPr>
          <w:sz w:val="24"/>
          <w:lang w:val="sk-SK"/>
        </w:rPr>
        <w:tab/>
        <w:t>Uznesenie Európskeho parlamentu zo 16. decembra 2025 o návrhu vykonávacieho rozhodnutia Komisie, ktorým sa podľa nariadenia Európskeho parlamentu a Rady (ES) č. 1829/2003 obnovuje povolenie umiestniť na trh produkty, ktoré obsahujú geneticky modifikovanú kukuricu NK603, sú z nej zložené alebo vyrobené (Ú. v. EÚ C, C/2026/2150, 6.5.2026, ELI: </w:t>
      </w:r>
      <w:hyperlink r:id="rId22" w:history="1">
        <w:r w:rsidRPr="00F86A68">
          <w:rPr>
            <w:rStyle w:val="Hyperlink"/>
            <w:sz w:val="24"/>
            <w:lang w:val="sk-SK"/>
          </w:rPr>
          <w:t>http://data.europa.eu/eli/C/2026/2150/oj</w:t>
        </w:r>
      </w:hyperlink>
      <w:r w:rsidRPr="00F86A68">
        <w:rPr>
          <w:sz w:val="24"/>
          <w:lang w:val="sk-SK"/>
        </w:rPr>
        <w:t>).</w:t>
      </w:r>
    </w:p>
    <w:p w:rsidR="00AE1AAB" w:rsidRPr="00F86A68" w:rsidP="004E3E31" w14:paraId="2221E3F8" w14:textId="0F0F4AEC">
      <w:pPr>
        <w:pStyle w:val="FootnoteText"/>
        <w:ind w:left="1134" w:hanging="567"/>
        <w:rPr>
          <w:sz w:val="24"/>
          <w:vertAlign w:val="superscript"/>
          <w:lang w:val="sk-SK"/>
        </w:rPr>
      </w:pPr>
      <w:r w:rsidRPr="00F86A68">
        <w:rPr>
          <w:sz w:val="24"/>
          <w:lang w:val="sk-SK"/>
        </w:rPr>
        <w:t>–</w:t>
      </w:r>
      <w:r w:rsidRPr="00F86A68">
        <w:rPr>
          <w:sz w:val="24"/>
          <w:lang w:val="sk-SK"/>
        </w:rPr>
        <w:tab/>
        <w:t>Uznesenie Európskeho parlamentu z 16. decembra 2025 o návrhu vykonávacieho rozhodnutia Komisie, ktorým sa podľa nariadenia Európskeho parlamentu a Rady (ES) č. 1829/2003 povoľuje umiestniť na trh potraviny, potravinové zložky a krmivá, ktoré obsahujú geneticky modifikovanú cukrovú repu KWS20-1, sú z nej zložené alebo vyrobené (Ú. v. EÚ C, C/2026/2151, 6.5.2026, ELI: </w:t>
      </w:r>
      <w:hyperlink r:id="rId23" w:history="1">
        <w:r w:rsidRPr="00F86A68">
          <w:rPr>
            <w:rStyle w:val="Hyperlink"/>
            <w:sz w:val="24"/>
            <w:lang w:val="sk-SK"/>
          </w:rPr>
          <w:t>http://data.europa.eu/eli/C/2026/2151/oj</w:t>
        </w:r>
      </w:hyperlink>
      <w:r w:rsidRPr="00F86A68">
        <w:rPr>
          <w:sz w:val="24"/>
          <w:lang w:val="sk-SK"/>
        </w:rPr>
        <w:t>).</w:t>
      </w:r>
    </w:p>
    <w:p w:rsidR="00AE1AAB" w:rsidRPr="00F86A68" w:rsidP="004E3E31" w14:paraId="09337265" w14:textId="58B9E8B8">
      <w:pPr>
        <w:pStyle w:val="FootnoteText"/>
        <w:ind w:left="1134" w:hanging="567"/>
        <w:rPr>
          <w:sz w:val="24"/>
          <w:vertAlign w:val="superscript"/>
          <w:lang w:val="sk-SK"/>
        </w:rPr>
      </w:pPr>
      <w:r w:rsidRPr="00F86A68">
        <w:rPr>
          <w:sz w:val="24"/>
          <w:lang w:val="sk-SK"/>
        </w:rPr>
        <w:t>–</w:t>
      </w:r>
      <w:r w:rsidRPr="00F86A68">
        <w:rPr>
          <w:sz w:val="24"/>
          <w:lang w:val="sk-SK"/>
        </w:rPr>
        <w:tab/>
        <w:t>Uznesenie Európskeho parlamentu z 11. februára 2026 o návrhu vykonávacieho rozhodnutia Komisie, ktorým sa podľa nariadenia Európskeho parlamentu a Rady (ES) č. 1829/2003 povoľuje umiestniť na trh produkty, ktoré obsahujú geneticky modifikovanú sóju DBN-09004-6, sú z nej zložené alebo vyrobené (Prijaté texty, P10_TA(2026)0041).</w:t>
      </w:r>
    </w:p>
    <w:p w:rsidR="00AE1AAB" w:rsidRPr="00F86A68" w:rsidP="004E3E31" w14:paraId="15B8433E" w14:textId="6F21C264">
      <w:pPr>
        <w:pStyle w:val="FootnoteText"/>
        <w:ind w:left="1134" w:hanging="567"/>
        <w:rPr>
          <w:sz w:val="24"/>
          <w:vertAlign w:val="superscript"/>
          <w:lang w:val="sk-SK"/>
        </w:rPr>
      </w:pPr>
      <w:r w:rsidRPr="00F86A68">
        <w:rPr>
          <w:sz w:val="24"/>
          <w:lang w:val="sk-SK"/>
        </w:rPr>
        <w:t>–</w:t>
      </w:r>
      <w:r w:rsidRPr="00F86A68">
        <w:rPr>
          <w:sz w:val="24"/>
          <w:lang w:val="sk-SK"/>
        </w:rPr>
        <w:tab/>
      </w:r>
      <w:r w:rsidRPr="004E3E31">
        <w:rPr>
          <w:color w:val="000000" w:themeColor="text1"/>
          <w:sz w:val="24"/>
          <w:lang w:val="sk-SK"/>
        </w:rPr>
        <w:t>Uznesenie</w:t>
      </w:r>
      <w:r w:rsidRPr="00F86A68">
        <w:rPr>
          <w:sz w:val="24"/>
          <w:lang w:val="sk-SK"/>
        </w:rPr>
        <w:t xml:space="preserve"> Európskeho parlamentu z 11. februára 2026 o návrhu vykonávacieho rozhodnutia Komisie, ktorým sa podľa nariadenia Európskeho parlamentu a Rady (ES) č. 1829/2003 obnovuje povolenie umiestniť na trh produkty, ktoré obsahujú geneticky modifikovanú kukuricu T25 (ACS-ZMØØ3-2), sú z nej zložené alebo vyrobené (Prijaté texty, P10_TA(2026)0042).</w:t>
      </w:r>
    </w:p>
    <w:p w:rsidR="00AE1AAB" w:rsidRPr="00F86A68" w:rsidP="004E3E31" w14:paraId="58F85DFD" w14:textId="7D2B7793">
      <w:pPr>
        <w:pStyle w:val="FootnoteText"/>
        <w:ind w:left="1134" w:hanging="567"/>
        <w:rPr>
          <w:sz w:val="24"/>
          <w:vertAlign w:val="superscript"/>
          <w:lang w:val="sk-SK"/>
        </w:rPr>
      </w:pPr>
      <w:r w:rsidRPr="00F86A68">
        <w:rPr>
          <w:sz w:val="24"/>
          <w:lang w:val="sk-SK"/>
        </w:rPr>
        <w:t>–</w:t>
      </w:r>
      <w:r w:rsidRPr="00F86A68">
        <w:rPr>
          <w:sz w:val="24"/>
          <w:lang w:val="sk-SK"/>
        </w:rPr>
        <w:tab/>
      </w:r>
      <w:r w:rsidRPr="004E3E31">
        <w:rPr>
          <w:color w:val="000000" w:themeColor="text1"/>
          <w:sz w:val="24"/>
          <w:lang w:val="sk-SK"/>
        </w:rPr>
        <w:t>Uznesenie</w:t>
      </w:r>
      <w:r w:rsidRPr="00F86A68">
        <w:rPr>
          <w:sz w:val="24"/>
          <w:lang w:val="sk-SK"/>
        </w:rPr>
        <w:t xml:space="preserve"> Európskeho parlamentu z 11. februára 2026 o návrhu vykonávacieho rozhodnutia Komisie, ktorým sa podľa nariadenia Európskeho parlamentu a Rady (ES) č. 1829/2003 obnovuje povolenie umiestniť na trh produkty, ktoré obsahujú geneticky modifikovanú bavlnu GHB614 × LLCotton25, sú z nej zložené alebo vyrobené (Prijaté texty, P10_TA(2026)0043).</w:t>
      </w:r>
    </w:p>
    <w:p w:rsidR="00AE1AAB" w:rsidRPr="00F86A68" w:rsidP="004E3E31" w14:paraId="4B3AA327" w14:textId="07974F59">
      <w:pPr>
        <w:pStyle w:val="FootnoteText"/>
        <w:ind w:left="1134" w:hanging="567"/>
        <w:rPr>
          <w:sz w:val="24"/>
          <w:vertAlign w:val="superscript"/>
          <w:lang w:val="sk-SK"/>
        </w:rPr>
      </w:pPr>
      <w:r w:rsidRPr="00F86A68">
        <w:rPr>
          <w:sz w:val="24"/>
          <w:lang w:val="sk-SK"/>
        </w:rPr>
        <w:t>–</w:t>
      </w:r>
      <w:r w:rsidRPr="00F86A68">
        <w:rPr>
          <w:sz w:val="24"/>
          <w:lang w:val="sk-SK"/>
        </w:rPr>
        <w:tab/>
      </w:r>
      <w:r w:rsidRPr="004E3E31">
        <w:rPr>
          <w:color w:val="000000" w:themeColor="text1"/>
          <w:sz w:val="24"/>
          <w:lang w:val="sk-SK"/>
        </w:rPr>
        <w:t>Uznesenie</w:t>
      </w:r>
      <w:r w:rsidRPr="00F86A68">
        <w:rPr>
          <w:sz w:val="24"/>
          <w:lang w:val="sk-SK"/>
        </w:rPr>
        <w:t xml:space="preserve"> Európskeho parlamentu z 11. februára 2026 o návrhu vykonávacieho rozhodnutia Komisie, ktorým sa podľa nariadenia Európskeho parlamentu a Rady (ES) č. 1829/2003 obnovuje povolenie umiestniť na trh produkty, ktoré obsahujú geneticky modifikovanú bavlnu T304-40, sú z nej zložené alebo vyrobené (Prijaté texty, P10_TA(2026)0044).</w:t>
      </w:r>
    </w:p>
    <w:p w:rsidR="00AE1AAB" w:rsidRPr="00F86A68" w:rsidP="004E3E31" w14:paraId="2391ECC1" w14:textId="52CBB012">
      <w:pPr>
        <w:pStyle w:val="FootnoteText"/>
        <w:ind w:left="1134" w:hanging="567"/>
        <w:rPr>
          <w:sz w:val="24"/>
          <w:lang w:val="sk-SK"/>
        </w:rPr>
      </w:pPr>
      <w:r w:rsidRPr="00F86A68">
        <w:rPr>
          <w:sz w:val="24"/>
          <w:lang w:val="sk-SK"/>
        </w:rPr>
        <w:t>–</w:t>
      </w:r>
      <w:r w:rsidRPr="00F86A68">
        <w:rPr>
          <w:sz w:val="24"/>
          <w:lang w:val="sk-SK"/>
        </w:rPr>
        <w:tab/>
        <w:t xml:space="preserve">Uznesenie Európskeho parlamentu z 29. apríla 2026 o návrhu vykonávacieho </w:t>
      </w:r>
      <w:r w:rsidRPr="004E3E31">
        <w:rPr>
          <w:color w:val="000000" w:themeColor="text1"/>
          <w:sz w:val="24"/>
          <w:lang w:val="sk-SK"/>
        </w:rPr>
        <w:t>rozhodnutia</w:t>
      </w:r>
      <w:r w:rsidRPr="00F86A68">
        <w:rPr>
          <w:sz w:val="24"/>
          <w:lang w:val="sk-SK"/>
        </w:rPr>
        <w:t xml:space="preserve"> Komisie, ktorým sa podľa nariadenia Európskeho parlamentu a Rady (ES) č. 1829/2003 povoľuje umiestniť na trh produkty, ktoré obsahujú geneticky modifikovanú sóju MON 94637, sú z nej zložené alebo vyrobené (Prijaté texty, P10_TA(2026)0150).</w:t>
      </w:r>
    </w:p>
  </w:footnote>
  <w:footnote w:id="7">
    <w:p w:rsidR="00AE1AAB" w:rsidRPr="00F86A68" w:rsidP="00F86A68" w14:paraId="30347CEF" w14:textId="20E1E5DC">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Vykonávacie rozhodnutie Komisie (EÚ) 2015/696 z 24. apríla 2015, ktorým sa v zmysle nariadenia Európskeho parlamentu a Rady (ES) č. 1829/2003 povoľuje umiestniť na trh výrobky, ktoré obsahujú geneticky modifikovanú sóju MON 87705 (MON-877Ø5-6), sú z nej zložené alebo vyrobené (Ú. v. EÚ L 112, 30.4.2015, s. 60, ELI: </w:t>
      </w:r>
      <w:hyperlink r:id="rId24" w:history="1">
        <w:r w:rsidRPr="00F86A68">
          <w:rPr>
            <w:rStyle w:val="Hyperlink"/>
            <w:sz w:val="24"/>
            <w:lang w:val="sk-SK"/>
          </w:rPr>
          <w:t>http://data.europa.eu/eli/dec_impl/2015/696/2021-02-16</w:t>
        </w:r>
      </w:hyperlink>
      <w:r w:rsidRPr="00F86A68">
        <w:rPr>
          <w:sz w:val="24"/>
          <w:lang w:val="sk-SK"/>
        </w:rPr>
        <w:t>).</w:t>
      </w:r>
    </w:p>
  </w:footnote>
  <w:footnote w:id="8">
    <w:p w:rsidR="00AE1AAB" w:rsidRPr="00F86A68" w:rsidP="00F86A68" w14:paraId="68A9A7FA" w14:textId="389397E9">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 xml:space="preserve">Vedecké stanovisko pracovnej skupiny EFSA pre geneticky modifikované organizmy k „posúdeniu geneticky modifikovanej sóje MON 87705 na účely obnovenia povolenia v zmysle nariadenia (ES) č. 1829/2003) (žiadosť GMFF-2023-21236)“, </w:t>
      </w:r>
      <w:r w:rsidRPr="00F86A68">
        <w:rPr>
          <w:i/>
          <w:sz w:val="24"/>
          <w:lang w:val="sk-SK"/>
        </w:rPr>
        <w:t>Vestník EFSA</w:t>
      </w:r>
      <w:r w:rsidRPr="00F86A68">
        <w:rPr>
          <w:sz w:val="24"/>
          <w:lang w:val="sk-SK"/>
        </w:rPr>
        <w:t xml:space="preserve">, 2026, 24(1):e9846, </w:t>
      </w:r>
      <w:hyperlink r:id="rId4" w:history="1">
        <w:r w:rsidRPr="00F86A68">
          <w:rPr>
            <w:rStyle w:val="Hyperlink"/>
            <w:sz w:val="24"/>
            <w:lang w:val="sk-SK"/>
          </w:rPr>
          <w:t>https://doi.org/10.2903/j.efsa.2026.9846</w:t>
        </w:r>
      </w:hyperlink>
      <w:r w:rsidRPr="00F86A68">
        <w:rPr>
          <w:sz w:val="24"/>
          <w:lang w:val="sk-SK"/>
        </w:rPr>
        <w:t>.</w:t>
      </w:r>
    </w:p>
  </w:footnote>
  <w:footnote w:id="9">
    <w:p w:rsidR="00AE1AAB" w:rsidRPr="00F86A68" w:rsidP="00F86A68" w14:paraId="4F9E02C7" w14:textId="1E83A2FF">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 xml:space="preserve">„Vedecké stanovisko panelu pre geneticky modifikované organizmy k žiadosti EFSA-GMO-NL-2010-78 o umiestnení na trh geneticky modifikovanej sóje MON 87705 odolnej voči herbicídom na použitie v potravinách a krmivách, dovoz a spracovanie podľa nariadenia (ES) č. 1829/2003, ktorú predložila spoločnosť </w:t>
      </w:r>
      <w:r w:rsidRPr="00F86A68">
        <w:rPr>
          <w:sz w:val="24"/>
          <w:lang w:val="sk-SK"/>
        </w:rPr>
        <w:t>Monsanto</w:t>
      </w:r>
      <w:r w:rsidRPr="00F86A68">
        <w:rPr>
          <w:sz w:val="24"/>
          <w:lang w:val="sk-SK"/>
        </w:rPr>
        <w:t xml:space="preserve">“, </w:t>
      </w:r>
      <w:r w:rsidRPr="00F86A68">
        <w:rPr>
          <w:i/>
          <w:sz w:val="24"/>
          <w:lang w:val="sk-SK"/>
        </w:rPr>
        <w:t>Vestník EFSA</w:t>
      </w:r>
      <w:r w:rsidRPr="00F86A68">
        <w:rPr>
          <w:sz w:val="24"/>
          <w:lang w:val="sk-SK"/>
        </w:rPr>
        <w:t xml:space="preserve">, 2012, 10(10):2909, </w:t>
      </w:r>
      <w:hyperlink r:id="rId25" w:history="1">
        <w:r w:rsidRPr="00F86A68">
          <w:rPr>
            <w:rStyle w:val="Hyperlink"/>
            <w:sz w:val="24"/>
            <w:lang w:val="sk-SK"/>
          </w:rPr>
          <w:t>https://doi.org/10.2903/j.efsa.2012.2909</w:t>
        </w:r>
      </w:hyperlink>
      <w:r w:rsidRPr="00F86A68">
        <w:rPr>
          <w:sz w:val="24"/>
          <w:lang w:val="sk-SK"/>
        </w:rPr>
        <w:t>.</w:t>
      </w:r>
    </w:p>
  </w:footnote>
  <w:footnote w:id="10">
    <w:p w:rsidR="00AE1AAB" w:rsidRPr="00F86A68" w:rsidP="00F86A68" w14:paraId="7BDD67C7" w14:textId="0F908392">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 xml:space="preserve">Panel EFSA pre geneticky modifikované organizmy, „Vyhlásenie dopĺňajúce vedecké stanovisko k žiadosti EFSA-GMO-NL-2010-78 týkajúce sa bezpečnosti sójového oleja MON 87705 určeného na komerčné vyprážanie“, </w:t>
      </w:r>
      <w:r w:rsidRPr="00F86A68">
        <w:rPr>
          <w:i/>
          <w:sz w:val="24"/>
          <w:lang w:val="sk-SK"/>
        </w:rPr>
        <w:t>Vestník EFSA</w:t>
      </w:r>
      <w:r w:rsidRPr="00F86A68">
        <w:rPr>
          <w:sz w:val="24"/>
          <w:lang w:val="sk-SK"/>
        </w:rPr>
        <w:t xml:space="preserve">, 2013, 11(12):3507, </w:t>
      </w:r>
      <w:hyperlink r:id="rId26" w:history="1">
        <w:r w:rsidRPr="00F86A68">
          <w:rPr>
            <w:rStyle w:val="Hyperlink"/>
            <w:sz w:val="24"/>
            <w:lang w:val="sk-SK"/>
          </w:rPr>
          <w:t>https://doi.org/10.2903/j.efsa.2013.3507</w:t>
        </w:r>
      </w:hyperlink>
      <w:r w:rsidRPr="00F86A68">
        <w:rPr>
          <w:sz w:val="24"/>
          <w:lang w:val="sk-SK"/>
        </w:rPr>
        <w:t>.</w:t>
      </w:r>
    </w:p>
  </w:footnote>
  <w:footnote w:id="11">
    <w:p w:rsidR="00AE1AAB" w:rsidRPr="00F86A68" w:rsidP="00F86A68" w14:paraId="77E3352D" w14:textId="37796363">
      <w:pPr>
        <w:pStyle w:val="FootnoteText"/>
        <w:ind w:left="567" w:hanging="567"/>
        <w:rPr>
          <w:sz w:val="24"/>
          <w:lang w:val="sk-SK"/>
        </w:rPr>
      </w:pPr>
      <w:r w:rsidRPr="00F86A68">
        <w:rPr>
          <w:rStyle w:val="FootnoteReference"/>
          <w:sz w:val="24"/>
          <w:lang w:val="sk-SK"/>
        </w:rPr>
        <w:footnoteRef/>
      </w:r>
      <w:r w:rsidRPr="00F86A68" w:rsidR="00F86A68">
        <w:rPr>
          <w:sz w:val="24"/>
          <w:shd w:val="clear" w:color="auto" w:fill="FFFFFF"/>
          <w:lang w:val="sk-SK"/>
        </w:rPr>
        <w:t xml:space="preserve"> </w:t>
      </w:r>
      <w:r w:rsidRPr="00F86A68" w:rsidR="00F86A68">
        <w:rPr>
          <w:sz w:val="24"/>
          <w:shd w:val="clear" w:color="auto" w:fill="FFFFFF"/>
          <w:lang w:val="sk-SK"/>
        </w:rPr>
        <w:tab/>
      </w:r>
      <w:r w:rsidRPr="00F86A68">
        <w:rPr>
          <w:sz w:val="24"/>
          <w:shd w:val="clear" w:color="auto" w:fill="FFFFFF"/>
          <w:lang w:val="sk-SK"/>
        </w:rPr>
        <w:t xml:space="preserve">Pozri napríklad </w:t>
      </w:r>
      <w:r w:rsidRPr="00F86A68">
        <w:rPr>
          <w:sz w:val="24"/>
          <w:shd w:val="clear" w:color="auto" w:fill="FFFFFF"/>
          <w:lang w:val="sk-SK"/>
        </w:rPr>
        <w:t>Bonny</w:t>
      </w:r>
      <w:r w:rsidRPr="00F86A68">
        <w:rPr>
          <w:sz w:val="24"/>
          <w:shd w:val="clear" w:color="auto" w:fill="FFFFFF"/>
          <w:lang w:val="sk-SK"/>
        </w:rPr>
        <w:t xml:space="preserve">, S., </w:t>
      </w:r>
      <w:r w:rsidRPr="00F86A68">
        <w:rPr>
          <w:sz w:val="24"/>
          <w:shd w:val="clear" w:color="auto" w:fill="FFFFFF"/>
          <w:lang w:val="sk-SK"/>
        </w:rPr>
        <w:t>Genetically</w:t>
      </w:r>
      <w:r w:rsidRPr="00F86A68">
        <w:rPr>
          <w:sz w:val="24"/>
          <w:shd w:val="clear" w:color="auto" w:fill="FFFFFF"/>
          <w:lang w:val="sk-SK"/>
        </w:rPr>
        <w:t xml:space="preserve"> </w:t>
      </w:r>
      <w:r w:rsidRPr="00F86A68">
        <w:rPr>
          <w:sz w:val="24"/>
          <w:shd w:val="clear" w:color="auto" w:fill="FFFFFF"/>
          <w:lang w:val="sk-SK"/>
        </w:rPr>
        <w:t>Modified</w:t>
      </w:r>
      <w:r w:rsidRPr="00F86A68">
        <w:rPr>
          <w:sz w:val="24"/>
          <w:shd w:val="clear" w:color="auto" w:fill="FFFFFF"/>
          <w:lang w:val="sk-SK"/>
        </w:rPr>
        <w:t xml:space="preserve"> </w:t>
      </w:r>
      <w:r w:rsidRPr="00F86A68">
        <w:rPr>
          <w:sz w:val="24"/>
          <w:shd w:val="clear" w:color="auto" w:fill="FFFFFF"/>
          <w:lang w:val="sk-SK"/>
        </w:rPr>
        <w:t>Herbicide-Tolerable</w:t>
      </w:r>
      <w:r w:rsidRPr="00F86A68">
        <w:rPr>
          <w:sz w:val="24"/>
          <w:shd w:val="clear" w:color="auto" w:fill="FFFFFF"/>
          <w:lang w:val="sk-SK"/>
        </w:rPr>
        <w:t xml:space="preserve"> </w:t>
      </w:r>
      <w:r w:rsidRPr="00F86A68">
        <w:rPr>
          <w:sz w:val="24"/>
          <w:shd w:val="clear" w:color="auto" w:fill="FFFFFF"/>
          <w:lang w:val="sk-SK"/>
        </w:rPr>
        <w:t>Crops</w:t>
      </w:r>
      <w:r w:rsidRPr="00F86A68">
        <w:rPr>
          <w:sz w:val="24"/>
          <w:shd w:val="clear" w:color="auto" w:fill="FFFFFF"/>
          <w:lang w:val="sk-SK"/>
        </w:rPr>
        <w:t xml:space="preserve">, </w:t>
      </w:r>
      <w:r w:rsidRPr="00F86A68">
        <w:rPr>
          <w:sz w:val="24"/>
          <w:shd w:val="clear" w:color="auto" w:fill="FFFFFF"/>
          <w:lang w:val="sk-SK"/>
        </w:rPr>
        <w:t>Weeds</w:t>
      </w:r>
      <w:r w:rsidRPr="00F86A68">
        <w:rPr>
          <w:sz w:val="24"/>
          <w:shd w:val="clear" w:color="auto" w:fill="FFFFFF"/>
          <w:lang w:val="sk-SK"/>
        </w:rPr>
        <w:t xml:space="preserve">, and </w:t>
      </w:r>
      <w:r w:rsidRPr="00F86A68">
        <w:rPr>
          <w:sz w:val="24"/>
          <w:shd w:val="clear" w:color="auto" w:fill="FFFFFF"/>
          <w:lang w:val="sk-SK"/>
        </w:rPr>
        <w:t>Herbicides</w:t>
      </w:r>
      <w:r w:rsidRPr="00F86A68">
        <w:rPr>
          <w:sz w:val="24"/>
          <w:shd w:val="clear" w:color="auto" w:fill="FFFFFF"/>
          <w:lang w:val="sk-SK"/>
        </w:rPr>
        <w:t xml:space="preserve">: </w:t>
      </w:r>
      <w:r w:rsidRPr="00F86A68">
        <w:rPr>
          <w:sz w:val="24"/>
          <w:shd w:val="clear" w:color="auto" w:fill="FFFFFF"/>
          <w:lang w:val="sk-SK"/>
        </w:rPr>
        <w:t>Overview</w:t>
      </w:r>
      <w:r w:rsidRPr="00F86A68">
        <w:rPr>
          <w:sz w:val="24"/>
          <w:shd w:val="clear" w:color="auto" w:fill="FFFFFF"/>
          <w:lang w:val="sk-SK"/>
        </w:rPr>
        <w:t xml:space="preserve"> and </w:t>
      </w:r>
      <w:r w:rsidRPr="00F86A68">
        <w:rPr>
          <w:sz w:val="24"/>
          <w:shd w:val="clear" w:color="auto" w:fill="FFFFFF"/>
          <w:lang w:val="sk-SK"/>
        </w:rPr>
        <w:t>Impact</w:t>
      </w:r>
      <w:r w:rsidRPr="00F86A68">
        <w:rPr>
          <w:sz w:val="24"/>
          <w:shd w:val="clear" w:color="auto" w:fill="FFFFFF"/>
          <w:lang w:val="sk-SK"/>
        </w:rPr>
        <w:t xml:space="preserve">, (Geneticky modifikované plodiny odolné voči herbicídom, burina a herbicídy: prehľad a vplyv), </w:t>
      </w:r>
      <w:r w:rsidRPr="00F86A68">
        <w:rPr>
          <w:i/>
          <w:sz w:val="24"/>
          <w:shd w:val="clear" w:color="auto" w:fill="FFFFFF"/>
          <w:lang w:val="sk-SK"/>
        </w:rPr>
        <w:t>Environmental</w:t>
      </w:r>
      <w:r w:rsidRPr="00F86A68">
        <w:rPr>
          <w:i/>
          <w:sz w:val="24"/>
          <w:shd w:val="clear" w:color="auto" w:fill="FFFFFF"/>
          <w:lang w:val="sk-SK"/>
        </w:rPr>
        <w:t xml:space="preserve"> Management</w:t>
      </w:r>
      <w:r w:rsidRPr="00F86A68">
        <w:rPr>
          <w:sz w:val="24"/>
          <w:shd w:val="clear" w:color="auto" w:fill="FFFFFF"/>
          <w:lang w:val="sk-SK"/>
        </w:rPr>
        <w:t xml:space="preserve">, január 2016, 57(1), s. 31 – 48, </w:t>
      </w:r>
      <w:bookmarkStart w:id="7" w:name="_Hlk104996594"/>
      <w:hyperlink r:id="rId27" w:history="1">
        <w:r w:rsidRPr="00F86A68">
          <w:rPr>
            <w:rStyle w:val="Hyperlink"/>
            <w:sz w:val="24"/>
            <w:shd w:val="clear" w:color="auto" w:fill="FFFFFF"/>
            <w:lang w:val="sk-SK"/>
          </w:rPr>
          <w:t>https://doi.org/10.1007/s00267-015-0589-7</w:t>
        </w:r>
      </w:hyperlink>
      <w:r w:rsidRPr="00F86A68">
        <w:rPr>
          <w:sz w:val="24"/>
          <w:shd w:val="clear" w:color="auto" w:fill="FFFFFF"/>
          <w:lang w:val="sk-SK"/>
        </w:rPr>
        <w:t xml:space="preserve"> a </w:t>
      </w:r>
      <w:bookmarkEnd w:id="7"/>
      <w:r w:rsidRPr="00F86A68">
        <w:rPr>
          <w:sz w:val="24"/>
          <w:shd w:val="clear" w:color="auto" w:fill="FFFFFF"/>
          <w:lang w:val="sk-SK"/>
        </w:rPr>
        <w:t>Benbrook</w:t>
      </w:r>
      <w:r w:rsidRPr="00F86A68">
        <w:rPr>
          <w:sz w:val="24"/>
          <w:shd w:val="clear" w:color="auto" w:fill="FFFFFF"/>
          <w:lang w:val="sk-SK"/>
        </w:rPr>
        <w:t xml:space="preserve">, C.M., </w:t>
      </w:r>
      <w:r w:rsidRPr="00F86A68">
        <w:rPr>
          <w:sz w:val="24"/>
          <w:shd w:val="clear" w:color="auto" w:fill="FFFFFF"/>
          <w:lang w:val="sk-SK"/>
        </w:rPr>
        <w:t>Impacts</w:t>
      </w:r>
      <w:r w:rsidRPr="00F86A68">
        <w:rPr>
          <w:sz w:val="24"/>
          <w:shd w:val="clear" w:color="auto" w:fill="FFFFFF"/>
          <w:lang w:val="sk-SK"/>
        </w:rPr>
        <w:t xml:space="preserve"> of </w:t>
      </w:r>
      <w:r w:rsidRPr="00F86A68">
        <w:rPr>
          <w:sz w:val="24"/>
          <w:shd w:val="clear" w:color="auto" w:fill="FFFFFF"/>
          <w:lang w:val="sk-SK"/>
        </w:rPr>
        <w:t>genetically</w:t>
      </w:r>
      <w:r w:rsidRPr="00F86A68">
        <w:rPr>
          <w:sz w:val="24"/>
          <w:shd w:val="clear" w:color="auto" w:fill="FFFFFF"/>
          <w:lang w:val="sk-SK"/>
        </w:rPr>
        <w:t xml:space="preserve"> </w:t>
      </w:r>
      <w:r w:rsidRPr="00F86A68">
        <w:rPr>
          <w:sz w:val="24"/>
          <w:shd w:val="clear" w:color="auto" w:fill="FFFFFF"/>
          <w:lang w:val="sk-SK"/>
        </w:rPr>
        <w:t>engineered</w:t>
      </w:r>
      <w:r w:rsidRPr="00F86A68">
        <w:rPr>
          <w:sz w:val="24"/>
          <w:shd w:val="clear" w:color="auto" w:fill="FFFFFF"/>
          <w:lang w:val="sk-SK"/>
        </w:rPr>
        <w:t xml:space="preserve"> </w:t>
      </w:r>
      <w:r w:rsidRPr="00F86A68">
        <w:rPr>
          <w:sz w:val="24"/>
          <w:shd w:val="clear" w:color="auto" w:fill="FFFFFF"/>
          <w:lang w:val="sk-SK"/>
        </w:rPr>
        <w:t>crops</w:t>
      </w:r>
      <w:r w:rsidRPr="00F86A68">
        <w:rPr>
          <w:sz w:val="24"/>
          <w:shd w:val="clear" w:color="auto" w:fill="FFFFFF"/>
          <w:lang w:val="sk-SK"/>
        </w:rPr>
        <w:t xml:space="preserve"> on </w:t>
      </w:r>
      <w:r w:rsidRPr="00F86A68">
        <w:rPr>
          <w:sz w:val="24"/>
          <w:shd w:val="clear" w:color="auto" w:fill="FFFFFF"/>
          <w:lang w:val="sk-SK"/>
        </w:rPr>
        <w:t>pesticide</w:t>
      </w:r>
      <w:r w:rsidRPr="00F86A68">
        <w:rPr>
          <w:sz w:val="24"/>
          <w:shd w:val="clear" w:color="auto" w:fill="FFFFFF"/>
          <w:lang w:val="sk-SK"/>
        </w:rPr>
        <w:t xml:space="preserve"> </w:t>
      </w:r>
      <w:r w:rsidRPr="00F86A68">
        <w:rPr>
          <w:sz w:val="24"/>
          <w:shd w:val="clear" w:color="auto" w:fill="FFFFFF"/>
          <w:lang w:val="sk-SK"/>
        </w:rPr>
        <w:t>use</w:t>
      </w:r>
      <w:r w:rsidRPr="00F86A68">
        <w:rPr>
          <w:sz w:val="24"/>
          <w:shd w:val="clear" w:color="auto" w:fill="FFFFFF"/>
          <w:lang w:val="sk-SK"/>
        </w:rPr>
        <w:t xml:space="preserve"> in </w:t>
      </w:r>
      <w:r w:rsidRPr="00F86A68">
        <w:rPr>
          <w:sz w:val="24"/>
          <w:shd w:val="clear" w:color="auto" w:fill="FFFFFF"/>
          <w:lang w:val="sk-SK"/>
        </w:rPr>
        <w:t>the</w:t>
      </w:r>
      <w:r w:rsidRPr="00F86A68">
        <w:rPr>
          <w:sz w:val="24"/>
          <w:shd w:val="clear" w:color="auto" w:fill="FFFFFF"/>
          <w:lang w:val="sk-SK"/>
        </w:rPr>
        <w:t xml:space="preserve"> U.S. – </w:t>
      </w:r>
      <w:r w:rsidRPr="00F86A68">
        <w:rPr>
          <w:sz w:val="24"/>
          <w:shd w:val="clear" w:color="auto" w:fill="FFFFFF"/>
          <w:lang w:val="sk-SK"/>
        </w:rPr>
        <w:t>the</w:t>
      </w:r>
      <w:r w:rsidRPr="00F86A68">
        <w:rPr>
          <w:sz w:val="24"/>
          <w:shd w:val="clear" w:color="auto" w:fill="FFFFFF"/>
          <w:lang w:val="sk-SK"/>
        </w:rPr>
        <w:t xml:space="preserve"> </w:t>
      </w:r>
      <w:r w:rsidRPr="00F86A68">
        <w:rPr>
          <w:sz w:val="24"/>
          <w:shd w:val="clear" w:color="auto" w:fill="FFFFFF"/>
          <w:lang w:val="sk-SK"/>
        </w:rPr>
        <w:t>first</w:t>
      </w:r>
      <w:r w:rsidRPr="00F86A68">
        <w:rPr>
          <w:sz w:val="24"/>
          <w:shd w:val="clear" w:color="auto" w:fill="FFFFFF"/>
          <w:lang w:val="sk-SK"/>
        </w:rPr>
        <w:t xml:space="preserve"> </w:t>
      </w:r>
      <w:r w:rsidRPr="00F86A68">
        <w:rPr>
          <w:sz w:val="24"/>
          <w:shd w:val="clear" w:color="auto" w:fill="FFFFFF"/>
          <w:lang w:val="sk-SK"/>
        </w:rPr>
        <w:t>sixteen</w:t>
      </w:r>
      <w:r w:rsidRPr="00F86A68">
        <w:rPr>
          <w:sz w:val="24"/>
          <w:shd w:val="clear" w:color="auto" w:fill="FFFFFF"/>
          <w:lang w:val="sk-SK"/>
        </w:rPr>
        <w:t xml:space="preserve"> </w:t>
      </w:r>
      <w:r w:rsidRPr="00F86A68">
        <w:rPr>
          <w:sz w:val="24"/>
          <w:shd w:val="clear" w:color="auto" w:fill="FFFFFF"/>
          <w:lang w:val="sk-SK"/>
        </w:rPr>
        <w:t>years</w:t>
      </w:r>
      <w:r w:rsidRPr="00F86A68">
        <w:rPr>
          <w:sz w:val="24"/>
          <w:shd w:val="clear" w:color="auto" w:fill="FFFFFF"/>
          <w:lang w:val="sk-SK"/>
        </w:rPr>
        <w:t xml:space="preserve"> (Vplyv geneticky modifikovaných plodín na používanie pesticídov v USA – prvých šestnásť rokov), </w:t>
      </w:r>
      <w:r w:rsidRPr="00F86A68">
        <w:rPr>
          <w:i/>
          <w:sz w:val="24"/>
          <w:shd w:val="clear" w:color="auto" w:fill="FFFFFF"/>
          <w:lang w:val="sk-SK"/>
        </w:rPr>
        <w:t>Environmental</w:t>
      </w:r>
      <w:r w:rsidRPr="00F86A68">
        <w:rPr>
          <w:i/>
          <w:sz w:val="24"/>
          <w:shd w:val="clear" w:color="auto" w:fill="FFFFFF"/>
          <w:lang w:val="sk-SK"/>
        </w:rPr>
        <w:t xml:space="preserve"> </w:t>
      </w:r>
      <w:r w:rsidRPr="00F86A68">
        <w:rPr>
          <w:i/>
          <w:sz w:val="24"/>
          <w:shd w:val="clear" w:color="auto" w:fill="FFFFFF"/>
          <w:lang w:val="sk-SK"/>
        </w:rPr>
        <w:t>Sciences</w:t>
      </w:r>
      <w:r w:rsidRPr="00F86A68">
        <w:rPr>
          <w:i/>
          <w:sz w:val="24"/>
          <w:shd w:val="clear" w:color="auto" w:fill="FFFFFF"/>
          <w:lang w:val="sk-SK"/>
        </w:rPr>
        <w:t xml:space="preserve"> </w:t>
      </w:r>
      <w:r w:rsidRPr="00F86A68">
        <w:rPr>
          <w:i/>
          <w:sz w:val="24"/>
          <w:shd w:val="clear" w:color="auto" w:fill="FFFFFF"/>
          <w:lang w:val="sk-SK"/>
        </w:rPr>
        <w:t>Europe</w:t>
      </w:r>
      <w:r w:rsidRPr="00F86A68">
        <w:rPr>
          <w:sz w:val="24"/>
          <w:shd w:val="clear" w:color="auto" w:fill="FFFFFF"/>
          <w:lang w:val="sk-SK"/>
        </w:rPr>
        <w:t xml:space="preserve">, 28. septembra 2012, diel 24(1), </w:t>
      </w:r>
      <w:hyperlink r:id="rId28" w:history="1">
        <w:r w:rsidRPr="00F86A68">
          <w:rPr>
            <w:rStyle w:val="Hyperlink"/>
            <w:sz w:val="24"/>
            <w:lang w:val="sk-SK"/>
          </w:rPr>
          <w:t>https://doi.org/10.1186/2190-4715-24-24</w:t>
        </w:r>
      </w:hyperlink>
      <w:r w:rsidRPr="00F86A68">
        <w:rPr>
          <w:sz w:val="24"/>
          <w:shd w:val="clear" w:color="auto" w:fill="FFFFFF"/>
          <w:lang w:val="sk-SK"/>
        </w:rPr>
        <w:t>.</w:t>
      </w:r>
    </w:p>
  </w:footnote>
  <w:footnote w:id="12">
    <w:p w:rsidR="00AE1AAB" w:rsidRPr="00F86A68" w:rsidP="00F86A68" w14:paraId="627BF129" w14:textId="78F25CF1">
      <w:pPr>
        <w:pStyle w:val="FootnoteText"/>
        <w:ind w:left="567" w:hanging="567"/>
        <w:rPr>
          <w:sz w:val="24"/>
          <w:lang w:val="sk-SK"/>
        </w:rPr>
      </w:pPr>
      <w:r w:rsidRPr="00F86A68">
        <w:rPr>
          <w:rStyle w:val="FootnoteReference"/>
          <w:sz w:val="24"/>
          <w:lang w:val="sk-SK"/>
        </w:rPr>
        <w:footnoteRef/>
      </w:r>
      <w:r w:rsidRPr="00F86A68" w:rsidR="00F86A68">
        <w:rPr>
          <w:sz w:val="24"/>
          <w:shd w:val="clear" w:color="auto" w:fill="FFFFFF"/>
          <w:lang w:val="sk-SK"/>
        </w:rPr>
        <w:t xml:space="preserve"> </w:t>
      </w:r>
      <w:r w:rsidRPr="00F86A68" w:rsidR="00F86A68">
        <w:rPr>
          <w:sz w:val="24"/>
          <w:shd w:val="clear" w:color="auto" w:fill="FFFFFF"/>
          <w:lang w:val="sk-SK"/>
        </w:rPr>
        <w:tab/>
      </w:r>
      <w:r w:rsidRPr="00F86A68">
        <w:rPr>
          <w:sz w:val="24"/>
          <w:shd w:val="clear" w:color="auto" w:fill="FFFFFF"/>
          <w:lang w:val="sk-SK"/>
        </w:rPr>
        <w:t xml:space="preserve">Pozri napríklad </w:t>
      </w:r>
      <w:bookmarkStart w:id="8" w:name="_Hlk104996780"/>
      <w:hyperlink r:id="rId29" w:history="1">
        <w:r w:rsidRPr="00F86A68">
          <w:rPr>
            <w:rStyle w:val="Hyperlink"/>
            <w:sz w:val="24"/>
            <w:lang w:val="sk-SK"/>
          </w:rPr>
          <w:t>https://doi.org/10.1016/j.mrrev.2019.02.001</w:t>
        </w:r>
      </w:hyperlink>
      <w:bookmarkEnd w:id="8"/>
      <w:r w:rsidRPr="00F86A68">
        <w:rPr>
          <w:sz w:val="24"/>
          <w:shd w:val="clear" w:color="auto" w:fill="FFFFFF"/>
          <w:lang w:val="sk-SK"/>
        </w:rPr>
        <w:t xml:space="preserve">, </w:t>
      </w:r>
      <w:hyperlink r:id="rId30" w:history="1">
        <w:r w:rsidRPr="00F86A68">
          <w:rPr>
            <w:rStyle w:val="Hyperlink"/>
            <w:sz w:val="24"/>
            <w:lang w:val="sk-SK"/>
          </w:rPr>
          <w:t>https://doi.org/10.1093/ije/dyz017</w:t>
        </w:r>
      </w:hyperlink>
      <w:r w:rsidRPr="00F86A68">
        <w:rPr>
          <w:sz w:val="24"/>
          <w:shd w:val="clear" w:color="auto" w:fill="FFFFFF"/>
          <w:lang w:val="sk-SK"/>
        </w:rPr>
        <w:t xml:space="preserve">, </w:t>
      </w:r>
      <w:hyperlink r:id="rId31" w:history="1">
        <w:r w:rsidRPr="00F86A68">
          <w:rPr>
            <w:rStyle w:val="Hyperlink"/>
            <w:sz w:val="24"/>
            <w:lang w:val="sk-SK"/>
          </w:rPr>
          <w:t>https://doi.org/10.1371/journal.pone.0219610</w:t>
        </w:r>
      </w:hyperlink>
      <w:r w:rsidRPr="00F86A68">
        <w:rPr>
          <w:sz w:val="24"/>
          <w:shd w:val="clear" w:color="auto" w:fill="FFFFFF"/>
          <w:lang w:val="sk-SK"/>
        </w:rPr>
        <w:t xml:space="preserve"> a </w:t>
      </w:r>
      <w:hyperlink r:id="rId32" w:history="1">
        <w:r w:rsidRPr="00F86A68">
          <w:rPr>
            <w:rStyle w:val="Hyperlink"/>
            <w:sz w:val="24"/>
            <w:lang w:val="sk-SK"/>
          </w:rPr>
          <w:t>https://doi.org/10.1186/s13045-019-0767-9</w:t>
        </w:r>
      </w:hyperlink>
      <w:r w:rsidRPr="00F86A68">
        <w:rPr>
          <w:sz w:val="24"/>
          <w:shd w:val="clear" w:color="auto" w:fill="FFFFFF"/>
          <w:lang w:val="sk-SK"/>
        </w:rPr>
        <w:t>.</w:t>
      </w:r>
    </w:p>
  </w:footnote>
  <w:footnote w:id="13">
    <w:p w:rsidR="00AE1AAB" w:rsidRPr="00F86A68" w:rsidP="00F86A68" w14:paraId="47DFAECD" w14:textId="3837C0DE">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hyperlink r:id="rId33" w:tgtFrame="_blank" w:tooltip="Trvalý odkaz s využitím identifikátora digitálneho objektu" w:history="1">
        <w:r w:rsidRPr="00F86A68">
          <w:rPr>
            <w:rStyle w:val="Hyperlink"/>
            <w:sz w:val="24"/>
            <w:lang w:val="sk-SK"/>
          </w:rPr>
          <w:t>https://doi.org/10.1006/rtph.1999.1371</w:t>
        </w:r>
      </w:hyperlink>
      <w:r w:rsidRPr="00F86A68">
        <w:rPr>
          <w:sz w:val="24"/>
          <w:lang w:val="sk-SK"/>
        </w:rPr>
        <w:t>.</w:t>
      </w:r>
    </w:p>
  </w:footnote>
  <w:footnote w:id="14">
    <w:p w:rsidR="00AE1AAB" w:rsidRPr="00F86A68" w:rsidP="00F86A68" w14:paraId="6B41C071" w14:textId="4EFFA1F4">
      <w:pPr>
        <w:pStyle w:val="FootnoteText"/>
        <w:ind w:left="567" w:hanging="567"/>
        <w:rPr>
          <w:sz w:val="24"/>
          <w:szCs w:val="24"/>
          <w:lang w:val="sk-SK"/>
        </w:rPr>
      </w:pPr>
      <w:r w:rsidRPr="00F86A68">
        <w:rPr>
          <w:rStyle w:val="FootnoteReference"/>
          <w:sz w:val="24"/>
          <w:lang w:val="sk-SK"/>
        </w:rPr>
        <w:footnoteRef/>
      </w:r>
      <w:r w:rsidRPr="00F86A68" w:rsidR="00F86A68">
        <w:rPr>
          <w:sz w:val="24"/>
          <w:shd w:val="clear" w:color="auto" w:fill="FFFFFF"/>
          <w:lang w:val="sk-SK"/>
        </w:rPr>
        <w:t xml:space="preserve"> </w:t>
      </w:r>
      <w:r w:rsidRPr="00F86A68" w:rsidR="00F86A68">
        <w:rPr>
          <w:sz w:val="24"/>
          <w:shd w:val="clear" w:color="auto" w:fill="FFFFFF"/>
          <w:lang w:val="sk-SK"/>
        </w:rPr>
        <w:tab/>
      </w:r>
      <w:r w:rsidRPr="00F86A68">
        <w:rPr>
          <w:sz w:val="24"/>
          <w:shd w:val="clear" w:color="auto" w:fill="FFFFFF"/>
          <w:lang w:val="sk-SK"/>
        </w:rPr>
        <w:t xml:space="preserve">Určite to platí v prípade </w:t>
      </w:r>
      <w:r w:rsidRPr="00F86A68">
        <w:rPr>
          <w:sz w:val="24"/>
          <w:shd w:val="clear" w:color="auto" w:fill="FFFFFF"/>
          <w:lang w:val="sk-SK"/>
        </w:rPr>
        <w:t>glyfosátu</w:t>
      </w:r>
      <w:r w:rsidRPr="00F86A68">
        <w:rPr>
          <w:sz w:val="24"/>
          <w:shd w:val="clear" w:color="auto" w:fill="FFFFFF"/>
          <w:lang w:val="sk-SK"/>
        </w:rPr>
        <w:t xml:space="preserve">, ako sa uvádza v odôvodnenom stanovisku EFSA o preskúmaní týkajúcom sa existujúcich maximálnych hladín rezíduí pre </w:t>
      </w:r>
      <w:r w:rsidRPr="00F86A68">
        <w:rPr>
          <w:sz w:val="24"/>
          <w:shd w:val="clear" w:color="auto" w:fill="FFFFFF"/>
          <w:lang w:val="sk-SK"/>
        </w:rPr>
        <w:t>glyfosát</w:t>
      </w:r>
      <w:r w:rsidRPr="00F86A68">
        <w:rPr>
          <w:sz w:val="24"/>
          <w:shd w:val="clear" w:color="auto" w:fill="FFFFFF"/>
          <w:lang w:val="sk-SK"/>
        </w:rPr>
        <w:t xml:space="preserve"> podľa článku 12 nariadenia (ES) č. 396/2005, </w:t>
      </w:r>
      <w:r w:rsidRPr="00F86A68">
        <w:rPr>
          <w:i/>
          <w:sz w:val="24"/>
          <w:shd w:val="clear" w:color="auto" w:fill="FFFFFF"/>
          <w:lang w:val="sk-SK"/>
        </w:rPr>
        <w:t>Vestník EFSA</w:t>
      </w:r>
      <w:r w:rsidRPr="00F86A68">
        <w:rPr>
          <w:sz w:val="24"/>
          <w:shd w:val="clear" w:color="auto" w:fill="FFFFFF"/>
          <w:lang w:val="sk-SK"/>
        </w:rPr>
        <w:t xml:space="preserve">, 2018, 16(5):e5263, s. 12, </w:t>
      </w:r>
      <w:hyperlink r:id="rId34" w:history="1">
        <w:r w:rsidRPr="00F86A68">
          <w:rPr>
            <w:rStyle w:val="Hyperlink"/>
            <w:color w:val="123D80"/>
            <w:sz w:val="24"/>
            <w:shd w:val="clear" w:color="auto" w:fill="FFFFFF"/>
            <w:lang w:val="sk-SK"/>
          </w:rPr>
          <w:t>https://doi.org/10.2903/j.efsa.2018.5263</w:t>
        </w:r>
      </w:hyperlink>
      <w:r w:rsidRPr="00F86A68">
        <w:rPr>
          <w:sz w:val="24"/>
          <w:shd w:val="clear" w:color="auto" w:fill="FFFFFF"/>
          <w:lang w:val="sk-SK"/>
        </w:rPr>
        <w:t>.</w:t>
      </w:r>
    </w:p>
  </w:footnote>
  <w:footnote w:id="15">
    <w:p w:rsidR="00AE1AAB" w:rsidRPr="00F86A68" w:rsidP="00F86A68" w14:paraId="5480A450" w14:textId="36785219">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Ú. v. EÚ L 282, 19.10.2016, s. 4.</w:t>
      </w:r>
    </w:p>
  </w:footnote>
  <w:footnote w:id="16">
    <w:p w:rsidR="00AE1AAB" w:rsidRPr="00F86A68" w:rsidP="00F86A68" w14:paraId="662C753D" w14:textId="0C62D852">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Ú. v. EÚ L 309, 13.12.1993, s. 3, ELI: </w:t>
      </w:r>
      <w:hyperlink r:id="rId35" w:tooltip="Umožňuje prístup k tomuto dokumentu prostredníctvom identifikátora URI používaného v rámci ELI." w:history="1">
        <w:r w:rsidRPr="00F86A68">
          <w:rPr>
            <w:rStyle w:val="Hyperlink"/>
            <w:sz w:val="24"/>
            <w:lang w:val="sk-SK"/>
          </w:rPr>
          <w:t>http://data.europa.eu/eli/convention/1993/626/oj</w:t>
        </w:r>
      </w:hyperlink>
      <w:r w:rsidRPr="00F86A68">
        <w:rPr>
          <w:sz w:val="24"/>
          <w:lang w:val="sk-SK"/>
        </w:rPr>
        <w:t>.</w:t>
      </w:r>
    </w:p>
  </w:footnote>
  <w:footnote w:id="17">
    <w:p w:rsidR="00AE1AAB" w:rsidRPr="00F86A68" w:rsidP="00F86A68" w14:paraId="529A9FBE" w14:textId="015E0300">
      <w:pPr>
        <w:pStyle w:val="FootnoteText"/>
        <w:ind w:left="567" w:hanging="567"/>
        <w:rPr>
          <w:sz w:val="24"/>
          <w:lang w:val="sk-SK"/>
        </w:rPr>
      </w:pPr>
      <w:r w:rsidRPr="00F86A68">
        <w:rPr>
          <w:rStyle w:val="FootnoteReference"/>
          <w:sz w:val="24"/>
          <w:lang w:val="sk-SK"/>
        </w:rPr>
        <w:footnoteRef/>
      </w:r>
      <w:r w:rsidRPr="00F86A68" w:rsidR="00F86A68">
        <w:rPr>
          <w:color w:val="000000" w:themeColor="text1"/>
          <w:sz w:val="24"/>
          <w:lang w:val="sk-SK"/>
        </w:rPr>
        <w:t xml:space="preserve"> </w:t>
      </w:r>
      <w:r w:rsidRPr="00F86A68" w:rsidR="00F86A68">
        <w:rPr>
          <w:color w:val="000000" w:themeColor="text1"/>
          <w:sz w:val="24"/>
          <w:lang w:val="sk-SK"/>
        </w:rPr>
        <w:tab/>
      </w:r>
      <w:r w:rsidRPr="00F86A68">
        <w:rPr>
          <w:color w:val="000000" w:themeColor="text1"/>
          <w:sz w:val="24"/>
          <w:lang w:val="sk-SK"/>
        </w:rPr>
        <w:t>V decembri 2022 bol na 15. konferencii zmluvných strán Dohovoru OSN o biologickej diverzite schválený globálny rámec pre biodiverzitu, ktorý zahŕňa globálny cieľ znížiť riziko používania pesticídov do roku 2030 aspoň o 50</w:t>
      </w:r>
      <w:r w:rsidRPr="00F86A68">
        <w:rPr>
          <w:sz w:val="24"/>
          <w:lang w:val="sk-SK"/>
        </w:rPr>
        <w:t> </w:t>
      </w:r>
      <w:r w:rsidRPr="00F86A68">
        <w:rPr>
          <w:color w:val="000000" w:themeColor="text1"/>
          <w:sz w:val="24"/>
          <w:lang w:val="sk-SK"/>
        </w:rPr>
        <w:t xml:space="preserve">% (pozri: </w:t>
      </w:r>
      <w:hyperlink r:id="rId36" w:history="1">
        <w:r w:rsidRPr="00F86A68">
          <w:rPr>
            <w:rStyle w:val="Hyperlink"/>
            <w:sz w:val="24"/>
            <w:lang w:val="sk-SK"/>
          </w:rPr>
          <w:t>https://ec.europa.eu/commission/presscorner/detail/sk/ip_22_7834</w:t>
        </w:r>
      </w:hyperlink>
      <w:r w:rsidRPr="00F86A68">
        <w:rPr>
          <w:sz w:val="24"/>
          <w:lang w:val="sk-SK"/>
        </w:rPr>
        <w:t>).</w:t>
      </w:r>
    </w:p>
  </w:footnote>
  <w:footnote w:id="18">
    <w:p w:rsidR="00AE1AAB" w:rsidRPr="00F86A68" w:rsidP="00F86A68" w14:paraId="10EF1C29" w14:textId="4AC07118">
      <w:pPr>
        <w:pStyle w:val="FootnoteText"/>
        <w:ind w:left="567" w:hanging="567"/>
        <w:rPr>
          <w:sz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hyperlink r:id="rId37" w:history="1">
        <w:r w:rsidRPr="00F86A68">
          <w:rPr>
            <w:rStyle w:val="Hyperlink"/>
            <w:sz w:val="24"/>
            <w:lang w:val="sk-SK"/>
          </w:rPr>
          <w:t>https://commission.europa.eu/strategy-and-policy/priorities-2019-2024/european-green-deal/agriculture-and-green-deal/strategic-dialogue-future-eu-agriculture_sk</w:t>
        </w:r>
      </w:hyperlink>
      <w:r w:rsidRPr="00F86A68">
        <w:rPr>
          <w:rStyle w:val="Hyperlink"/>
          <w:sz w:val="24"/>
          <w:lang w:val="sk-SK"/>
        </w:rPr>
        <w:t>.</w:t>
      </w:r>
    </w:p>
  </w:footnote>
  <w:footnote w:id="19">
    <w:p w:rsidR="00AE1AAB" w:rsidRPr="00F86A68" w:rsidP="00F86A68" w14:paraId="40180618" w14:textId="53BA9EDC">
      <w:pPr>
        <w:pStyle w:val="FootnoteText"/>
        <w:ind w:left="567" w:hanging="567"/>
        <w:rPr>
          <w:sz w:val="24"/>
          <w:szCs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r w:rsidRPr="00F86A68">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1, ELI: </w:t>
      </w:r>
      <w:hyperlink r:id="rId38" w:tgtFrame="Gives access to this document through its ELI URI." w:history="1">
        <w:r w:rsidRPr="00F86A68">
          <w:rPr>
            <w:rStyle w:val="Hyperlink"/>
            <w:color w:val="0070C0"/>
            <w:sz w:val="24"/>
            <w:lang w:val="sk-SK"/>
          </w:rPr>
          <w:t>http://data.europa.eu/eli/reg/2002/178/oj</w:t>
        </w:r>
      </w:hyperlink>
      <w:r w:rsidRPr="00F86A68">
        <w:rPr>
          <w:sz w:val="24"/>
          <w:lang w:val="sk-SK"/>
        </w:rPr>
        <w:t>).</w:t>
      </w:r>
    </w:p>
  </w:footnote>
  <w:footnote w:id="20">
    <w:p w:rsidR="00AE1AAB" w:rsidRPr="00F86A68" w:rsidP="00F86A68" w14:paraId="74AE9F35" w14:textId="3524BBAC">
      <w:pPr>
        <w:pStyle w:val="FootnoteText"/>
        <w:ind w:left="567" w:hanging="567"/>
        <w:rPr>
          <w:sz w:val="24"/>
          <w:szCs w:val="24"/>
          <w:lang w:val="sk-SK"/>
        </w:rPr>
      </w:pPr>
      <w:r w:rsidRPr="00F86A68">
        <w:rPr>
          <w:rStyle w:val="FootnoteReference"/>
          <w:sz w:val="24"/>
          <w:lang w:val="sk-SK"/>
        </w:rPr>
        <w:footnoteRef/>
      </w:r>
      <w:r w:rsidRPr="00F86A68" w:rsidR="00F86A68">
        <w:rPr>
          <w:sz w:val="24"/>
          <w:lang w:val="sk-SK"/>
        </w:rPr>
        <w:t xml:space="preserve"> </w:t>
      </w:r>
      <w:r w:rsidRPr="00F86A68" w:rsidR="00F86A68">
        <w:rPr>
          <w:sz w:val="24"/>
          <w:lang w:val="sk-SK"/>
        </w:rPr>
        <w:tab/>
      </w:r>
      <w:hyperlink r:id="rId39" w:history="1">
        <w:r w:rsidRPr="00F86A68">
          <w:rPr>
            <w:rStyle w:val="Hyperlink"/>
            <w:sz w:val="24"/>
            <w:shd w:val="clear" w:color="auto" w:fill="FFFFFF"/>
            <w:lang w:val="sk-SK"/>
          </w:rPr>
          <w:t>https://tillymetz.lu/wp-content/uploads/2020/09/Co-signed-letter-MEP-Metz.pdf</w:t>
        </w:r>
      </w:hyperlink>
      <w:r w:rsidRPr="00F86A68">
        <w:rPr>
          <w:sz w:val="24"/>
          <w:shd w:val="clear" w:color="auto" w:fill="FFFFFF"/>
          <w:lang w:val="sk-SK"/>
        </w:rPr>
        <w:t>.</w:t>
      </w:r>
    </w:p>
  </w:footnote>
  <w:footnote w:id="21">
    <w:p w:rsidR="00AE1AAB" w:rsidRPr="00F86A68" w:rsidP="00F86A68" w14:paraId="6A1EA1F2" w14:textId="2451A56C">
      <w:pPr>
        <w:pStyle w:val="FootnoteText"/>
        <w:ind w:left="567" w:hanging="567"/>
        <w:rPr>
          <w:sz w:val="24"/>
          <w:lang w:val="sk-SK"/>
        </w:rPr>
      </w:pPr>
      <w:r w:rsidRPr="00F86A68">
        <w:rPr>
          <w:rStyle w:val="FootnoteReference"/>
          <w:sz w:val="24"/>
          <w:lang w:val="sk-SK"/>
        </w:rPr>
        <w:footnoteRef/>
      </w:r>
      <w:r w:rsidRPr="00F86A68" w:rsidR="00F86A68">
        <w:rPr>
          <w:sz w:val="24"/>
          <w:shd w:val="clear" w:color="auto" w:fill="FFFFFF"/>
          <w:lang w:val="sk-SK"/>
        </w:rPr>
        <w:t xml:space="preserve"> </w:t>
      </w:r>
      <w:r w:rsidRPr="00F86A68" w:rsidR="00F86A68">
        <w:rPr>
          <w:sz w:val="24"/>
          <w:shd w:val="clear" w:color="auto" w:fill="FFFFFF"/>
          <w:lang w:val="sk-SK"/>
        </w:rPr>
        <w:tab/>
      </w:r>
      <w:r w:rsidRPr="00F86A68">
        <w:rPr>
          <w:sz w:val="24"/>
          <w:shd w:val="clear" w:color="auto" w:fill="FFFFFF"/>
          <w:lang w:val="sk-SK"/>
        </w:rPr>
        <w:t>Uznesenie Európskeho parlamentu z 15. januára 2020 o Európskej zelenej dohode (Ú. v. EÚ C 270, 7.7.2021, s. 2), odsek 102.</w:t>
      </w:r>
    </w:p>
  </w:footnote>
  <w:footnote w:id="22">
    <w:p w:rsidR="00AE1AAB" w:rsidRPr="00F86A68" w:rsidP="00F86A68" w14:paraId="3437BE1F" w14:textId="6E2696B2">
      <w:pPr>
        <w:pStyle w:val="FootnoteText"/>
        <w:ind w:left="567" w:hanging="567"/>
        <w:rPr>
          <w:sz w:val="24"/>
          <w:szCs w:val="24"/>
          <w:lang w:val="sk-SK"/>
        </w:rPr>
      </w:pPr>
      <w:r w:rsidRPr="00F86A68">
        <w:rPr>
          <w:rStyle w:val="FootnoteReference"/>
          <w:sz w:val="24"/>
          <w:lang w:val="sk-SK"/>
        </w:rPr>
        <w:footnoteRef/>
      </w:r>
      <w:r w:rsidRPr="00F86A68" w:rsidR="00F86A68">
        <w:rPr>
          <w:sz w:val="24"/>
          <w:shd w:val="clear" w:color="auto" w:fill="FFFFFF"/>
          <w:lang w:val="sk-SK"/>
        </w:rPr>
        <w:t xml:space="preserve"> </w:t>
      </w:r>
      <w:r w:rsidRPr="00F86A68" w:rsidR="00F86A68">
        <w:rPr>
          <w:sz w:val="24"/>
          <w:shd w:val="clear" w:color="auto" w:fill="FFFFFF"/>
          <w:lang w:val="sk-SK"/>
        </w:rPr>
        <w:tab/>
      </w:r>
      <w:r w:rsidRPr="00F86A68">
        <w:rPr>
          <w:sz w:val="24"/>
          <w:shd w:val="clear" w:color="auto" w:fill="FFFFFF"/>
          <w:lang w:val="sk-SK"/>
        </w:rPr>
        <w:t>Ú. v. EÚ C 445,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8" w14:paraId="01835D1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8" w14:paraId="12C33C4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8" w14:paraId="49AEE34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5569890">
    <w:abstractNumId w:val="9"/>
  </w:num>
  <w:num w:numId="2" w16cid:durableId="393429432">
    <w:abstractNumId w:val="9"/>
  </w:num>
  <w:num w:numId="3" w16cid:durableId="1898125557">
    <w:abstractNumId w:val="7"/>
  </w:num>
  <w:num w:numId="4" w16cid:durableId="425466323">
    <w:abstractNumId w:val="7"/>
  </w:num>
  <w:num w:numId="5" w16cid:durableId="2030719917">
    <w:abstractNumId w:val="6"/>
  </w:num>
  <w:num w:numId="6" w16cid:durableId="407961986">
    <w:abstractNumId w:val="6"/>
  </w:num>
  <w:num w:numId="7" w16cid:durableId="762726544">
    <w:abstractNumId w:val="5"/>
  </w:num>
  <w:num w:numId="8" w16cid:durableId="1956013422">
    <w:abstractNumId w:val="5"/>
  </w:num>
  <w:num w:numId="9" w16cid:durableId="1708405965">
    <w:abstractNumId w:val="4"/>
  </w:num>
  <w:num w:numId="10" w16cid:durableId="191841546">
    <w:abstractNumId w:val="4"/>
  </w:num>
  <w:num w:numId="11" w16cid:durableId="480850931">
    <w:abstractNumId w:val="8"/>
  </w:num>
  <w:num w:numId="12" w16cid:durableId="986086189">
    <w:abstractNumId w:val="8"/>
  </w:num>
  <w:num w:numId="13" w16cid:durableId="1799907542">
    <w:abstractNumId w:val="3"/>
  </w:num>
  <w:num w:numId="14" w16cid:durableId="281229580">
    <w:abstractNumId w:val="3"/>
  </w:num>
  <w:num w:numId="15" w16cid:durableId="1292444873">
    <w:abstractNumId w:val="2"/>
  </w:num>
  <w:num w:numId="16" w16cid:durableId="1550065832">
    <w:abstractNumId w:val="2"/>
  </w:num>
  <w:num w:numId="17" w16cid:durableId="1742672859">
    <w:abstractNumId w:val="1"/>
  </w:num>
  <w:num w:numId="18" w16cid:durableId="1446729201">
    <w:abstractNumId w:val="1"/>
  </w:num>
  <w:num w:numId="19" w16cid:durableId="650594680">
    <w:abstractNumId w:val="0"/>
  </w:num>
  <w:num w:numId="20" w16cid:durableId="966617698">
    <w:abstractNumId w:val="0"/>
  </w:num>
  <w:num w:numId="21" w16cid:durableId="801580363">
    <w:abstractNumId w:val="9"/>
  </w:num>
  <w:num w:numId="22" w16cid:durableId="1830899387">
    <w:abstractNumId w:val="7"/>
  </w:num>
  <w:num w:numId="23" w16cid:durableId="755175595">
    <w:abstractNumId w:val="6"/>
  </w:num>
  <w:num w:numId="24" w16cid:durableId="766343240">
    <w:abstractNumId w:val="5"/>
  </w:num>
  <w:num w:numId="25" w16cid:durableId="1801071982">
    <w:abstractNumId w:val="4"/>
  </w:num>
  <w:num w:numId="26" w16cid:durableId="343047319">
    <w:abstractNumId w:val="8"/>
  </w:num>
  <w:num w:numId="27" w16cid:durableId="235239796">
    <w:abstractNumId w:val="3"/>
  </w:num>
  <w:num w:numId="28" w16cid:durableId="1844199950">
    <w:abstractNumId w:val="2"/>
  </w:num>
  <w:num w:numId="29" w16cid:durableId="1449277040">
    <w:abstractNumId w:val="1"/>
  </w:num>
  <w:num w:numId="30" w16cid:durableId="985816104">
    <w:abstractNumId w:val="0"/>
  </w:num>
  <w:num w:numId="31" w16cid:durableId="1503085377">
    <w:abstractNumId w:val="9"/>
  </w:num>
  <w:num w:numId="32" w16cid:durableId="1566186859">
    <w:abstractNumId w:val="7"/>
  </w:num>
  <w:num w:numId="33" w16cid:durableId="1611278566">
    <w:abstractNumId w:val="6"/>
  </w:num>
  <w:num w:numId="34" w16cid:durableId="702245474">
    <w:abstractNumId w:val="5"/>
  </w:num>
  <w:num w:numId="35" w16cid:durableId="2007779580">
    <w:abstractNumId w:val="4"/>
  </w:num>
  <w:num w:numId="36" w16cid:durableId="360669085">
    <w:abstractNumId w:val="8"/>
  </w:num>
  <w:num w:numId="37" w16cid:durableId="1313483480">
    <w:abstractNumId w:val="3"/>
  </w:num>
  <w:num w:numId="38" w16cid:durableId="971906160">
    <w:abstractNumId w:val="2"/>
  </w:num>
  <w:num w:numId="39" w16cid:durableId="313998338">
    <w:abstractNumId w:val="1"/>
  </w:num>
  <w:num w:numId="40" w16cid:durableId="2057925552">
    <w:abstractNumId w:val="0"/>
  </w:num>
  <w:num w:numId="41" w16cid:durableId="2011985393">
    <w:abstractNumId w:val="10"/>
  </w:num>
  <w:num w:numId="42" w16cid:durableId="1391536154">
    <w:abstractNumId w:val="10"/>
  </w:num>
  <w:num w:numId="43" w16cid:durableId="1817449276">
    <w:abstractNumId w:val="10"/>
  </w:num>
  <w:num w:numId="44" w16cid:durableId="423038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C86"/>
    <w:rsid w:val="00002272"/>
    <w:rsid w:val="00064002"/>
    <w:rsid w:val="000677B9"/>
    <w:rsid w:val="0008024E"/>
    <w:rsid w:val="000831BA"/>
    <w:rsid w:val="000A1C87"/>
    <w:rsid w:val="000A42CC"/>
    <w:rsid w:val="000E7DD9"/>
    <w:rsid w:val="0010095E"/>
    <w:rsid w:val="00125B37"/>
    <w:rsid w:val="001724FE"/>
    <w:rsid w:val="00187494"/>
    <w:rsid w:val="001F32AE"/>
    <w:rsid w:val="002767FF"/>
    <w:rsid w:val="002B18FE"/>
    <w:rsid w:val="002B5493"/>
    <w:rsid w:val="00343214"/>
    <w:rsid w:val="00361C00"/>
    <w:rsid w:val="00364C22"/>
    <w:rsid w:val="00373347"/>
    <w:rsid w:val="00395FA1"/>
    <w:rsid w:val="003E15D4"/>
    <w:rsid w:val="00411CCE"/>
    <w:rsid w:val="0041666E"/>
    <w:rsid w:val="00421060"/>
    <w:rsid w:val="00471C19"/>
    <w:rsid w:val="004867E3"/>
    <w:rsid w:val="00494A28"/>
    <w:rsid w:val="004C0004"/>
    <w:rsid w:val="004C5D52"/>
    <w:rsid w:val="004E3E31"/>
    <w:rsid w:val="0050519A"/>
    <w:rsid w:val="005072A1"/>
    <w:rsid w:val="00514517"/>
    <w:rsid w:val="00545827"/>
    <w:rsid w:val="00560270"/>
    <w:rsid w:val="005C2568"/>
    <w:rsid w:val="005F1B17"/>
    <w:rsid w:val="006037C0"/>
    <w:rsid w:val="006631B6"/>
    <w:rsid w:val="00680577"/>
    <w:rsid w:val="006C5A9A"/>
    <w:rsid w:val="006F74FA"/>
    <w:rsid w:val="00731ADD"/>
    <w:rsid w:val="00734777"/>
    <w:rsid w:val="00747932"/>
    <w:rsid w:val="00751A4A"/>
    <w:rsid w:val="00756632"/>
    <w:rsid w:val="00762C74"/>
    <w:rsid w:val="00775421"/>
    <w:rsid w:val="00786EC0"/>
    <w:rsid w:val="00792F8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358"/>
    <w:rsid w:val="00AB441E"/>
    <w:rsid w:val="00AB6293"/>
    <w:rsid w:val="00AD6F46"/>
    <w:rsid w:val="00AE0928"/>
    <w:rsid w:val="00AE1AAB"/>
    <w:rsid w:val="00AF3B82"/>
    <w:rsid w:val="00B12E95"/>
    <w:rsid w:val="00B22876"/>
    <w:rsid w:val="00B558F0"/>
    <w:rsid w:val="00B84BE0"/>
    <w:rsid w:val="00B85D7D"/>
    <w:rsid w:val="00B90C86"/>
    <w:rsid w:val="00BD48FE"/>
    <w:rsid w:val="00BD7BD8"/>
    <w:rsid w:val="00BE6ADC"/>
    <w:rsid w:val="00C05BFE"/>
    <w:rsid w:val="00C23CD4"/>
    <w:rsid w:val="00C61C0C"/>
    <w:rsid w:val="00C941CB"/>
    <w:rsid w:val="00CC2357"/>
    <w:rsid w:val="00CF071A"/>
    <w:rsid w:val="00D058B8"/>
    <w:rsid w:val="00D56C11"/>
    <w:rsid w:val="00D7555C"/>
    <w:rsid w:val="00D834A0"/>
    <w:rsid w:val="00D872DF"/>
    <w:rsid w:val="00D91E21"/>
    <w:rsid w:val="00DA7FCD"/>
    <w:rsid w:val="00DE157D"/>
    <w:rsid w:val="00E365E1"/>
    <w:rsid w:val="00E820A4"/>
    <w:rsid w:val="00EB006A"/>
    <w:rsid w:val="00EB4772"/>
    <w:rsid w:val="00ED169E"/>
    <w:rsid w:val="00ED4235"/>
    <w:rsid w:val="00F04346"/>
    <w:rsid w:val="00F075DC"/>
    <w:rsid w:val="00F149E9"/>
    <w:rsid w:val="00F5134D"/>
    <w:rsid w:val="00F74202"/>
    <w:rsid w:val="00F86A68"/>
    <w:rsid w:val="00F87713"/>
    <w:rsid w:val="00FB4360"/>
    <w:rsid w:val="00FD0C70"/>
  </w:rsids>
  <w:docVars>
    <w:docVar w:name="dvdocse" w:val="B10-0334/2026"/>
    <w:docVar w:name="dvlangue" w:val="SK"/>
    <w:docVar w:name="dvnumam" w:val="0"/>
    <w:docVar w:name="dvpe" w:val="789.024"/>
    <w:docVar w:name="dvtitre" w:val="Uznesenie Európskeho parlamentu z/zo xx. xxx 2026 o návrhu vykonávacieho rozhodnutia Komisie, ktorým sa podľa nariadenia Európskeho parlamentu a Rady (ES) č. 1829/2003 obnovuje povolenie umiestniť na trh produkty, ktoré obsahujú geneticky modifikovanú sóju MON 87705, sú z nej zložené alebo vyrobené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A90DFA"/>
  <w15:chartTrackingRefBased/>
  <w15:docId w15:val="{2FFF067F-FDF0-4264-9FDF-75ADEE71B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1AAB"/>
    <w:pPr>
      <w:spacing w:before="480" w:after="240"/>
    </w:pPr>
  </w:style>
  <w:style w:type="paragraph" w:customStyle="1" w:styleId="NormalHanging12a">
    <w:name w:val="NormalHanging12a"/>
    <w:basedOn w:val="Normal"/>
    <w:qFormat/>
    <w:rsid w:val="00AE1AAB"/>
    <w:pPr>
      <w:spacing w:after="240"/>
      <w:ind w:left="567" w:hanging="567"/>
    </w:pPr>
  </w:style>
  <w:style w:type="character" w:styleId="Hyperlink">
    <w:name w:val="Hyperlink"/>
    <w:basedOn w:val="DefaultParagraphFont"/>
    <w:uiPriority w:val="99"/>
    <w:rsid w:val="00AE1AAB"/>
    <w:rPr>
      <w:color w:val="0563C1" w:themeColor="hyperlink"/>
      <w:u w:val="single"/>
    </w:rPr>
  </w:style>
  <w:style w:type="character" w:customStyle="1" w:styleId="Funotenzeichen">
    <w:name w:val="Fußnotenzeichen"/>
    <w:basedOn w:val="DefaultParagraphFont"/>
    <w:uiPriority w:val="99"/>
    <w:qFormat/>
    <w:rsid w:val="00AE1AAB"/>
    <w:rPr>
      <w:rFonts w:cs="Times New Roman"/>
      <w:vertAlign w:val="superscript"/>
    </w:rPr>
  </w:style>
  <w:style w:type="paragraph" w:styleId="Revision">
    <w:name w:val="Revision"/>
    <w:hidden/>
    <w:uiPriority w:val="99"/>
    <w:semiHidden/>
    <w:rsid w:val="00D7555C"/>
    <w:rPr>
      <w:sz w:val="24"/>
      <w:lang w:val="sk-SK"/>
    </w:rPr>
  </w:style>
  <w:style w:type="character" w:styleId="UnresolvedMention">
    <w:name w:val="Unresolved Mention"/>
    <w:basedOn w:val="DefaultParagraphFont"/>
    <w:uiPriority w:val="99"/>
    <w:semiHidden/>
    <w:unhideWhenUsed/>
    <w:rsid w:val="00D755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sk/ip_22_7834" TargetMode="External" /><Relationship Id="rId37" Type="http://schemas.openxmlformats.org/officeDocument/2006/relationships/hyperlink" Target="https://commission.europa.eu/strategy-and-policy/priorities-2019-2024/european-green-deal/agriculture-and-green-deal/strategic-dialogue-future-eu-agriculture_sk"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1913</Words>
  <Characters>11780</Characters>
  <Application>Microsoft Office Word</Application>
  <DocSecurity>0</DocSecurity>
  <Lines>346</Lines>
  <Paragraphs>232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2026-07-08T13:06:00Z</dcterms:created>
  <dcterms:modified xsi:type="dcterms:W3CDTF">2026-07-08T13:06:00Z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B10-0334/2026</vt:lpwstr>
  </property>
  <property fmtid="{D5CDD505-2E9C-101B-9397-08002B2CF9AE}" pid="4" name="&lt;Type&gt;">
    <vt:lpwstr>RR</vt:lpwstr>
  </property>
</Properties>
</file>