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51F8E0" w14:textId="77777777" w:rsidTr="0010095E">
        <w:tblPrEx>
          <w:tblW w:w="9072" w:type="dxa"/>
          <w:tblLook w:val="01E0"/>
        </w:tblPrEx>
        <w:trPr>
          <w:trHeight w:hRule="exact" w:val="1418"/>
        </w:trPr>
        <w:tc>
          <w:tcPr>
            <w:tcW w:w="6804" w:type="dxa"/>
            <w:shd w:val="clear" w:color="auto" w:fill="auto"/>
            <w:vAlign w:val="center"/>
          </w:tcPr>
          <w:p w:rsidR="00751A4A" w:rsidRPr="00BE483E" w:rsidP="0010095E" w14:paraId="377D2CD8" w14:textId="05327BEC">
            <w:pPr>
              <w:pStyle w:val="EPName"/>
            </w:pPr>
            <w:r w:rsidRPr="00BE483E">
              <w:t>Europaparlamentet</w:t>
            </w:r>
          </w:p>
          <w:p w:rsidR="00751A4A" w:rsidRPr="00BE483E" w:rsidP="005F1B17" w14:paraId="582E37C1" w14:textId="77777777">
            <w:pPr>
              <w:pStyle w:val="EPTerm"/>
              <w:rPr>
                <w:rStyle w:val="HideTWBExt"/>
                <w:noProof w:val="0"/>
                <w:vanish w:val="0"/>
                <w:color w:val="auto"/>
              </w:rPr>
            </w:pPr>
            <w:r w:rsidRPr="00BE483E">
              <w:t>2024</w:t>
            </w:r>
            <w:r w:rsidRPr="00BE483E" w:rsidR="00817416">
              <w:t>-202</w:t>
            </w:r>
            <w:r w:rsidRPr="00BE483E">
              <w:t>9</w:t>
            </w:r>
          </w:p>
        </w:tc>
        <w:tc>
          <w:tcPr>
            <w:tcW w:w="2268" w:type="dxa"/>
            <w:shd w:val="clear" w:color="auto" w:fill="auto"/>
          </w:tcPr>
          <w:p w:rsidR="00751A4A" w:rsidRPr="00BE483E" w:rsidP="0010095E" w14:paraId="001DC66D" w14:textId="77777777">
            <w:pPr>
              <w:pStyle w:val="EPLogo"/>
            </w:pPr>
            <w:r w:rsidRPr="00BE48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483E" w:rsidP="004C5D52" w14:paraId="10C5627A" w14:textId="77777777">
      <w:pPr>
        <w:pStyle w:val="LineTop"/>
      </w:pPr>
    </w:p>
    <w:p w:rsidR="00680577" w:rsidRPr="00BE483E" w:rsidP="00680577" w14:paraId="7F5F8D88" w14:textId="3E5CF3F3">
      <w:pPr>
        <w:pStyle w:val="EPBodyTA1"/>
      </w:pPr>
      <w:r w:rsidRPr="00BE483E">
        <w:t>ANTAGNA TEXTER</w:t>
      </w:r>
    </w:p>
    <w:p w:rsidR="00D058B8" w:rsidRPr="00BE483E" w:rsidP="00D058B8" w14:paraId="0FC59B0B" w14:textId="77777777">
      <w:pPr>
        <w:pStyle w:val="LineBottom"/>
      </w:pPr>
    </w:p>
    <w:p w:rsidR="008F36FD" w:rsidRPr="00BE483E" w:rsidP="008F36FD" w14:paraId="06B79BEE" w14:textId="14F0CCA7">
      <w:pPr>
        <w:pStyle w:val="ATHeading1"/>
      </w:pPr>
      <w:bookmarkStart w:id="0" w:name="TANumber"/>
      <w:r w:rsidRPr="00BE483E">
        <w:t>P10_TA(2026)0</w:t>
      </w:r>
      <w:bookmarkEnd w:id="0"/>
      <w:r w:rsidR="00B96F48">
        <w:t>264</w:t>
      </w:r>
    </w:p>
    <w:p w:rsidR="008F36FD" w:rsidRPr="00BE483E" w:rsidP="008F36FD" w14:paraId="0B941915" w14:textId="4727BDF5">
      <w:pPr>
        <w:pStyle w:val="ATHeading2"/>
      </w:pPr>
      <w:bookmarkStart w:id="1" w:name="title"/>
      <w:r w:rsidRPr="00B320CC">
        <w:t>Den genetiskt modifierade sojabönan MON 87705</w:t>
      </w:r>
      <w:bookmarkEnd w:id="1"/>
    </w:p>
    <w:p w:rsidR="008F36FD" w:rsidRPr="00BE483E" w:rsidP="008F36FD" w14:paraId="308631D7" w14:textId="77777777">
      <w:pPr>
        <w:rPr>
          <w:i/>
          <w:vanish/>
        </w:rPr>
      </w:pPr>
      <w:r>
        <w:rPr>
          <w:i/>
        </w:rPr>
        <w:fldChar w:fldCharType="begin"/>
      </w:r>
      <w:r w:rsidRPr="00BE483E">
        <w:rPr>
          <w:i/>
        </w:rPr>
        <w:instrText xml:space="preserve"> TC"(</w:instrText>
      </w:r>
      <w:bookmarkStart w:id="2" w:name="DocNumber"/>
      <w:r w:rsidRPr="00BE483E">
        <w:rPr>
          <w:i/>
        </w:rPr>
        <w:instrText>B10-0334/2026</w:instrText>
      </w:r>
      <w:bookmarkEnd w:id="2"/>
      <w:r w:rsidRPr="00BE483E">
        <w:rPr>
          <w:i/>
        </w:rPr>
        <w:instrText xml:space="preserve">)"\l3 \n&gt; \* MERGEFORMAT </w:instrText>
      </w:r>
      <w:r>
        <w:rPr>
          <w:i/>
        </w:rPr>
        <w:fldChar w:fldCharType="end"/>
      </w:r>
    </w:p>
    <w:p w:rsidR="008F36FD" w:rsidRPr="00BE483E" w:rsidP="008F36FD" w14:paraId="59E8FD1F" w14:textId="77777777">
      <w:pPr>
        <w:rPr>
          <w:vanish/>
        </w:rPr>
      </w:pPr>
      <w:bookmarkStart w:id="3" w:name="PE"/>
      <w:r w:rsidRPr="00BE483E">
        <w:rPr>
          <w:vanish/>
        </w:rPr>
        <w:t>PE789.024</w:t>
      </w:r>
      <w:bookmarkEnd w:id="3"/>
    </w:p>
    <w:p w:rsidR="008F36FD" w:rsidRPr="00BE483E" w:rsidP="008F36FD" w14:paraId="7A2FBB23" w14:textId="7A5EF65D">
      <w:pPr>
        <w:pStyle w:val="ATHeading3"/>
      </w:pPr>
      <w:bookmarkStart w:id="4" w:name="Sujet"/>
      <w:r w:rsidRPr="00BE483E">
        <w:t xml:space="preserve">Europaparlamentets resolution av den </w:t>
      </w:r>
      <w:r w:rsidR="00461BF6">
        <w:t>8</w:t>
      </w:r>
      <w:r w:rsidRPr="00BE483E" w:rsidR="00461BF6">
        <w:t xml:space="preserve"> </w:t>
      </w:r>
      <w:r w:rsidR="00461BF6">
        <w:t>juli</w:t>
      </w:r>
      <w:r w:rsidRPr="00BE483E" w:rsidR="00461BF6">
        <w:t xml:space="preserve"> </w:t>
      </w:r>
      <w:r w:rsidRPr="00BE483E">
        <w:t xml:space="preserve">2026 om kommissionens genomförandebeslut </w:t>
      </w:r>
      <w:r w:rsidRPr="00461BF6" w:rsidR="00461BF6">
        <w:t xml:space="preserve">(EU) 2026/1419 </w:t>
      </w:r>
      <w:r w:rsidR="00461BF6">
        <w:t xml:space="preserve">av den </w:t>
      </w:r>
      <w:r w:rsidRPr="00461BF6" w:rsidR="00461BF6">
        <w:t xml:space="preserve">29 </w:t>
      </w:r>
      <w:r w:rsidR="00461BF6">
        <w:t>juni</w:t>
      </w:r>
      <w:r w:rsidRPr="00461BF6" w:rsidR="00461BF6">
        <w:t xml:space="preserve"> 2026 </w:t>
      </w:r>
      <w:r w:rsidRPr="00BE483E">
        <w:t xml:space="preserve">om förlängning av godkännandet av utsläppande på marknaden av produkter som innehåller, består av eller har framställts av den genetiskt modifierade sojabönan MON 87705 i enlighet med Europaparlamentets och rådets förordning (EG) nr 1829/2003 </w:t>
      </w:r>
      <w:bookmarkStart w:id="5" w:name="References"/>
      <w:bookmarkEnd w:id="4"/>
      <w:r w:rsidR="00461BF6">
        <w:t>(</w:t>
      </w:r>
      <w:r w:rsidRPr="00BE483E">
        <w:t>2026/2747(RSP))</w:t>
      </w:r>
      <w:bookmarkEnd w:id="5"/>
    </w:p>
    <w:p w:rsidR="00114EFE" w:rsidRPr="00BE483E" w:rsidP="00114EFE" w14:paraId="171096C4" w14:textId="77777777">
      <w:pPr>
        <w:pStyle w:val="EPComma"/>
      </w:pPr>
      <w:bookmarkStart w:id="6" w:name="TextBodyBegin"/>
      <w:bookmarkEnd w:id="6"/>
      <w:r w:rsidRPr="00BE483E">
        <w:rPr>
          <w:i/>
          <w:iCs/>
        </w:rPr>
        <w:t>Europaparlamentet utfärdar denna resolution</w:t>
      </w:r>
    </w:p>
    <w:p w:rsidR="00114EFE" w:rsidRPr="00BE483E" w:rsidP="00114EFE" w14:paraId="72748A9B" w14:textId="47D315AD">
      <w:pPr>
        <w:pStyle w:val="NormalHanging12a"/>
      </w:pPr>
      <w:r w:rsidRPr="00BE483E">
        <w:t>–</w:t>
      </w:r>
      <w:r w:rsidRPr="00BE483E">
        <w:tab/>
        <w:t xml:space="preserve">med beaktande av kommissionens genomförandebeslut </w:t>
      </w:r>
      <w:r w:rsidRPr="00461BF6" w:rsidR="00461BF6">
        <w:t xml:space="preserve">(EU) 2026/1419 av den 29 juni 2026 </w:t>
      </w:r>
      <w:r w:rsidRPr="00BE483E">
        <w:t>om förlängning av godkännandet av utsläppande på marknaden av produkter som innehåller, består av eller har framställts av den genetiskt modifierade sojabönan MON 87705 i enlighet med Europaparlamentets och rådets förordning (EG) nr 1829/</w:t>
      </w:r>
      <w:r w:rsidRPr="002772C2">
        <w:t>2003</w:t>
      </w:r>
      <w:r>
        <w:rPr>
          <w:rStyle w:val="FootnoteReference"/>
        </w:rPr>
        <w:footnoteReference w:id="2"/>
      </w:r>
      <w:r w:rsidRPr="002772C2">
        <w:t>,</w:t>
      </w:r>
    </w:p>
    <w:p w:rsidR="00114EFE" w:rsidRPr="00BE483E" w:rsidP="00114EFE" w14:paraId="7BF65F5B" w14:textId="77777777">
      <w:pPr>
        <w:pStyle w:val="NormalHanging12a"/>
      </w:pPr>
      <w:r w:rsidRPr="00BE483E">
        <w:t>–</w:t>
      </w:r>
      <w:r w:rsidRPr="00BE483E">
        <w:tab/>
        <w:t>med beaktande av Europaparlamentets och rådets förordning (EG) nr 1829/2003 av den 22 september 2003 om genetiskt modifierade livsmedel och foder</w:t>
      </w:r>
      <w:r>
        <w:rPr>
          <w:rStyle w:val="FootnoteReference"/>
        </w:rPr>
        <w:footnoteReference w:id="3"/>
      </w:r>
      <w:r w:rsidRPr="00BE483E">
        <w:t>, särskilt artiklarna 11.3 och 23.3,</w:t>
      </w:r>
    </w:p>
    <w:p w:rsidR="00114EFE" w:rsidRPr="00BE483E" w:rsidP="00114EFE" w14:paraId="35B51A6C" w14:textId="77777777">
      <w:pPr>
        <w:pStyle w:val="NormalHanging12a"/>
      </w:pPr>
      <w:r w:rsidRPr="00BE483E">
        <w:t>–</w:t>
      </w:r>
      <w:r w:rsidRPr="00BE483E">
        <w:tab/>
        <w:t>med beaktande av omröstningen den 27 april 2026 i den ständiga kommitté för växter, djur, livsmedel och foder som avses i artikel 35 i förordning (EG) nr 1829/2003, där inget yttrande avgavs, samt omröstningen i omprövningskommittén den 2 juni 2026, där det inte heller avgavs något yttrande,</w:t>
      </w:r>
    </w:p>
    <w:p w:rsidR="00114EFE" w:rsidRPr="00BE483E" w:rsidP="00114EFE" w14:paraId="7FC37E84" w14:textId="77777777">
      <w:pPr>
        <w:pStyle w:val="NormalHanging12a"/>
      </w:pPr>
      <w:r w:rsidRPr="00BE483E">
        <w:t>–</w:t>
      </w:r>
      <w:r w:rsidRPr="00BE483E">
        <w:tab/>
        <w:t>med beaktande av artikel 11 i Europaparlamentets och rådets förordning (EU) nr 182/2011 av den 16 februari 2011 om fastställande av allmänna regler och principer för medlemsstaternas kontroll av kommissionens utövande av sina genomförandebefogenheter</w:t>
      </w:r>
      <w:r>
        <w:rPr>
          <w:rStyle w:val="FootnoteReference"/>
        </w:rPr>
        <w:footnoteReference w:id="4"/>
      </w:r>
      <w:r w:rsidRPr="00BE483E">
        <w:t>,</w:t>
      </w:r>
    </w:p>
    <w:p w:rsidR="00114EFE" w:rsidRPr="00BE483E" w:rsidP="00114EFE" w14:paraId="09D993A1" w14:textId="77777777">
      <w:pPr>
        <w:pStyle w:val="NormalHanging12a"/>
      </w:pPr>
      <w:r w:rsidRPr="00BE483E">
        <w:t>–</w:t>
      </w:r>
      <w:r w:rsidRPr="00BE483E">
        <w:tab/>
        <w:t>med beaktande av det yttrande som antogs av Europeiska myndigheten för livsmedelssäkerhet (</w:t>
      </w:r>
      <w:r w:rsidRPr="00BE483E">
        <w:t>Efsa</w:t>
      </w:r>
      <w:r w:rsidRPr="00BE483E">
        <w:t xml:space="preserve">) den 10 december 2025 och offentliggjordes den 12 januari </w:t>
      </w:r>
      <w:r w:rsidRPr="00BE483E">
        <w:t>2026</w:t>
      </w:r>
      <w:r>
        <w:rPr>
          <w:rStyle w:val="FootnoteReference"/>
        </w:rPr>
        <w:footnoteReference w:id="5"/>
      </w:r>
      <w:r w:rsidRPr="00BE483E">
        <w:t>,</w:t>
      </w:r>
    </w:p>
    <w:p w:rsidR="00114EFE" w:rsidRPr="00BE483E" w:rsidP="00114EFE" w14:paraId="7B013CC2" w14:textId="77777777">
      <w:pPr>
        <w:pStyle w:val="NormalHanging12a"/>
      </w:pPr>
      <w:r w:rsidRPr="00BE483E">
        <w:t>–</w:t>
      </w:r>
      <w:r w:rsidRPr="00BE483E">
        <w:tab/>
        <w:t>med beaktande av sina tidigare resolutioner där parlamentet har invänt mot godkännandet av genetiskt modifierade organismer</w:t>
      </w:r>
      <w:r>
        <w:rPr>
          <w:rStyle w:val="FootnoteReference"/>
        </w:rPr>
        <w:footnoteReference w:id="6"/>
      </w:r>
      <w:r w:rsidRPr="00BE483E">
        <w:t>,</w:t>
      </w:r>
    </w:p>
    <w:p w:rsidR="00114EFE" w:rsidRPr="00BE483E" w:rsidP="00114EFE" w14:paraId="7984E44C" w14:textId="77777777">
      <w:pPr>
        <w:pStyle w:val="NormalHanging12a"/>
      </w:pPr>
      <w:r w:rsidRPr="00BE483E">
        <w:t>–</w:t>
      </w:r>
      <w:r w:rsidRPr="00BE483E">
        <w:tab/>
        <w:t>med beaktande av artikel 115.2 och 115.3 i arbetsordningen,</w:t>
      </w:r>
    </w:p>
    <w:p w:rsidR="00114EFE" w:rsidRPr="00BE483E" w:rsidP="00114EFE" w14:paraId="7A372154" w14:textId="77777777">
      <w:pPr>
        <w:pStyle w:val="NormalHanging12a"/>
      </w:pPr>
      <w:r w:rsidRPr="00BE483E">
        <w:t>–</w:t>
      </w:r>
      <w:r w:rsidRPr="00BE483E">
        <w:tab/>
        <w:t>med beaktande av förslaget till resolution från utskottet för miljö, klimat och livsmedelssäkerhet, och av följande skäl:</w:t>
      </w:r>
    </w:p>
    <w:p w:rsidR="00114EFE" w:rsidRPr="00BE483E" w:rsidP="00114EFE" w14:paraId="30069F1C" w14:textId="77777777">
      <w:pPr>
        <w:spacing w:after="240"/>
        <w:ind w:left="567" w:hanging="567"/>
      </w:pPr>
      <w:r w:rsidRPr="00BE483E">
        <w:t>A.</w:t>
      </w:r>
      <w:r w:rsidRPr="00BE483E">
        <w:tab/>
        <w:t>Genom kommissionens genomförandebeslut (EU) 2015/696</w:t>
      </w:r>
      <w:r>
        <w:rPr>
          <w:rStyle w:val="FootnoteReference"/>
        </w:rPr>
        <w:footnoteReference w:id="7"/>
      </w:r>
      <w:r w:rsidRPr="00BE483E">
        <w:t xml:space="preserve"> godkändes utsläppande på marknaden av livsmedel och foder som innehåller, består av eller har framställts av den genetiskt modifierade sojabönan MON 87705 (den genetiskt modifierade sojabönan). Godkännandet gällde också utsläppande på marknaden av andra produkter (än livsmedel och foder) som innehåller eller består av den genetiskt modifierade sojabönan, för samma användningsområden som all annan slags sojaböna, med undantag av odling.</w:t>
      </w:r>
    </w:p>
    <w:p w:rsidR="00114EFE" w:rsidRPr="00BE483E" w:rsidP="00114EFE" w14:paraId="0912B7F0" w14:textId="77777777">
      <w:pPr>
        <w:spacing w:after="240"/>
        <w:ind w:left="567" w:hanging="567"/>
      </w:pPr>
      <w:r w:rsidRPr="00BE483E">
        <w:t>B.</w:t>
      </w:r>
      <w:r w:rsidRPr="00BE483E">
        <w:tab/>
        <w:t xml:space="preserve">Den 8 mars 2024 lämnade Bayer </w:t>
      </w:r>
      <w:r w:rsidRPr="00BE483E">
        <w:t>Agriculture</w:t>
      </w:r>
      <w:r w:rsidRPr="00BE483E">
        <w:t xml:space="preserve"> BV, baserat i Belgien, på uppdrag av Bayer </w:t>
      </w:r>
      <w:r w:rsidRPr="00BE483E">
        <w:t>CropScience</w:t>
      </w:r>
      <w:r w:rsidRPr="00BE483E">
        <w:t xml:space="preserve"> LP, baserat i Förenta staterna, in en ansökan om förlängning av godkännandet till kommissionen.</w:t>
      </w:r>
    </w:p>
    <w:p w:rsidR="00114EFE" w:rsidRPr="00BE483E" w:rsidP="00114EFE" w14:paraId="2E271F98" w14:textId="77777777">
      <w:pPr>
        <w:spacing w:after="240"/>
        <w:ind w:left="567" w:hanging="567"/>
      </w:pPr>
      <w:r w:rsidRPr="00BE483E">
        <w:t>C.</w:t>
      </w:r>
      <w:r w:rsidRPr="00BE483E">
        <w:tab/>
        <w:t xml:space="preserve">Den 12 januari 2026 lämnade </w:t>
      </w:r>
      <w:r w:rsidRPr="00BE483E">
        <w:t>Efsa</w:t>
      </w:r>
      <w:r w:rsidRPr="00BE483E">
        <w:t xml:space="preserve"> ett positivt vetenskapligt yttrande om den genetiskt modifierade sojabönan</w:t>
      </w:r>
      <w:r>
        <w:rPr>
          <w:rStyle w:val="FootnoteReference"/>
        </w:rPr>
        <w:footnoteReference w:id="8"/>
      </w:r>
      <w:r w:rsidRPr="00BE483E">
        <w:t xml:space="preserve"> i enlighet med artiklarna 6 och 18 i förordning (EG) nr 1829/2003. </w:t>
      </w:r>
      <w:r w:rsidRPr="00BE483E">
        <w:t>Efsa</w:t>
      </w:r>
      <w:r w:rsidRPr="00BE483E">
        <w:t xml:space="preserve"> konstaterade att det i ansökan om förlängning inte fanns några belägg för några nya faror eller någon modifierad exponering och inte heller för några vetenskapliga osäkerheter som ändrar de slutsatser som drogs vid den ursprungliga riskbedömning av den genetiskt modifierade sojabönan, som </w:t>
      </w:r>
      <w:r w:rsidRPr="00BE483E">
        <w:t>Efsa</w:t>
      </w:r>
      <w:r w:rsidRPr="00BE483E">
        <w:t xml:space="preserve"> antog 2012</w:t>
      </w:r>
      <w:r>
        <w:rPr>
          <w:rStyle w:val="FootnoteReference"/>
        </w:rPr>
        <w:footnoteReference w:id="9"/>
      </w:r>
      <w:r w:rsidRPr="00BE483E">
        <w:t xml:space="preserve"> och </w:t>
      </w:r>
      <w:r w:rsidRPr="00BE483E">
        <w:t>2013</w:t>
      </w:r>
      <w:r>
        <w:rPr>
          <w:rStyle w:val="FootnoteReference"/>
        </w:rPr>
        <w:footnoteReference w:id="10"/>
      </w:r>
      <w:r w:rsidRPr="00BE483E">
        <w:t xml:space="preserve">. Dessa yttranden tog inte upp ett antal bredare miljömässiga, samhällsekonomiska och kumulativa effekter som </w:t>
      </w:r>
      <w:r w:rsidRPr="00BE483E">
        <w:t>Efsa</w:t>
      </w:r>
      <w:r w:rsidRPr="00BE483E">
        <w:t xml:space="preserve"> anser ligger utanför dess ansvarsområde.</w:t>
      </w:r>
    </w:p>
    <w:p w:rsidR="00114EFE" w:rsidRPr="00BE483E" w:rsidP="00114EFE" w14:paraId="2DF3E6E8" w14:textId="77777777">
      <w:pPr>
        <w:pStyle w:val="NormalHanging12a"/>
      </w:pPr>
      <w:r w:rsidRPr="00BE483E">
        <w:t>D.</w:t>
      </w:r>
      <w:r w:rsidRPr="00BE483E">
        <w:tab/>
        <w:t xml:space="preserve">Den genetiskt modifierade sojabönan har en ökad halt av oljesyra och uppvisar tolerans mot herbicider som innehåller </w:t>
      </w:r>
      <w:r w:rsidRPr="00BE483E">
        <w:t>glyfosat</w:t>
      </w:r>
      <w:r w:rsidRPr="00BE483E">
        <w:t>.</w:t>
      </w:r>
    </w:p>
    <w:p w:rsidR="00114EFE" w:rsidRPr="00BE483E" w:rsidP="00114EFE" w14:paraId="00EE2036" w14:textId="77777777">
      <w:pPr>
        <w:pStyle w:val="NormalHanging12a"/>
      </w:pPr>
      <w:r w:rsidRPr="00BE483E">
        <w:t>E.</w:t>
      </w:r>
      <w:r w:rsidRPr="00BE483E">
        <w:tab/>
      </w:r>
      <w:r w:rsidRPr="00BE483E">
        <w:t>Efsas</w:t>
      </w:r>
      <w:r w:rsidRPr="00BE483E">
        <w:t xml:space="preserve"> riskbedömningar omfattade inte långsiktiga toxikologiska studier eller detaljerade analyser av kumulativa och kombinerade effekter, inbegripet potentiell interaktion med rester av bekämpningsmedel som vanligen används vid odling av sojabönor.</w:t>
      </w:r>
    </w:p>
    <w:p w:rsidR="00114EFE" w:rsidRPr="00BE483E" w:rsidP="00114EFE" w14:paraId="4A56677F" w14:textId="77777777">
      <w:pPr>
        <w:pStyle w:val="NormalHanging12a"/>
      </w:pPr>
      <w:r w:rsidRPr="00BE483E">
        <w:t>F.</w:t>
      </w:r>
      <w:r w:rsidRPr="00BE483E">
        <w:tab/>
        <w:t>De allra flesta genetiskt modifierade grödor, inbegripet den genetiskt modifierade sojabönan, har modifierats genetiskt så att de är toleranta mot en eller flera ”kompletterande” herbicider som kan användas under hela odlingen av den genetiskt modifierade grödan utan att grödan dör, vilket skulle vara fallet med icke</w:t>
      </w:r>
      <w:r w:rsidRPr="00BE483E">
        <w:noBreakHyphen/>
        <w:t>herbicidtoleranta grödor. Flera studier visar att herbicidtoleranta genetiskt modifierade grödor leder till en ökad användning av kompletterande herbicider, till stor del på grund av att det uppstår herbicidtolerant ogräs.</w:t>
      </w:r>
    </w:p>
    <w:p w:rsidR="00114EFE" w:rsidRPr="00BE483E" w:rsidP="00114EFE" w14:paraId="6FCD4F99" w14:textId="77777777">
      <w:pPr>
        <w:pStyle w:val="NormalHanging12a"/>
      </w:pPr>
      <w:r w:rsidRPr="00BE483E">
        <w:t>G.</w:t>
      </w:r>
      <w:r w:rsidRPr="00BE483E">
        <w:tab/>
        <w:t>Herbicidtoleranta genetiskt modifierade grödor låser in jordbrukare i ett ogräsbekämpningssystem som till stor del eller helt och hållet är beroende av herbicider, eftersom det genetiskt modifierade utsädet säljs för ett högre pris. Samtidigt gör det jordbrukarna beroende av att använda kompletterande herbicider som en integrerad del av produktionssystemet. Ett ökat beroende av kompletterande herbicider på gårdar som odlar den genetiskt modifierade sojabönan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p>
    <w:p w:rsidR="00114EFE" w:rsidRPr="00BE483E" w:rsidP="00114EFE" w14:paraId="32738B6E" w14:textId="77777777">
      <w:pPr>
        <w:pStyle w:val="NormalHanging12a"/>
      </w:pPr>
      <w:r w:rsidRPr="00BE483E">
        <w:t>H.</w:t>
      </w:r>
      <w:r w:rsidRPr="00BE483E">
        <w:tab/>
        <w:t>Flera studier visar att herbicidtoleranta genetiskt modifierade grödor leder till en ökad användning av kompletterande herbicider, till stor del på grund av att det uppstår herbicidtolerant ogräs</w:t>
      </w:r>
      <w:r>
        <w:rPr>
          <w:vertAlign w:val="superscript"/>
        </w:rPr>
        <w:footnoteReference w:id="11"/>
      </w:r>
      <w:r w:rsidRPr="00BE483E">
        <w:t xml:space="preserve">. Till följd av detta förväntas den genetiskt modifierade sojabönan att exponeras för både högre och upprepade doser av </w:t>
      </w:r>
      <w:r w:rsidRPr="00BE483E">
        <w:t>glyfosat</w:t>
      </w:r>
      <w:r w:rsidRPr="00BE483E">
        <w:t>, och således kan det finnas högre resthalter och nedbrytningsprodukter (metaboliter) i skörden.</w:t>
      </w:r>
    </w:p>
    <w:p w:rsidR="00114EFE" w:rsidRPr="00BE483E" w:rsidP="00114EFE" w14:paraId="15B8D5B4" w14:textId="77777777">
      <w:pPr>
        <w:pStyle w:val="NormalHanging12a"/>
        <w:widowControl/>
      </w:pPr>
      <w:r w:rsidRPr="00BE483E">
        <w:t>I.</w:t>
      </w:r>
      <w:r w:rsidRPr="00BE483E">
        <w:tab/>
        <w:t xml:space="preserve">Det råder fortfarande betydande vetenskaplig osäkerhet kring hur säkert </w:t>
      </w:r>
      <w:r w:rsidRPr="00BE483E">
        <w:t>glyfosat</w:t>
      </w:r>
      <w:r w:rsidRPr="00BE483E">
        <w:t xml:space="preserve"> är för människors hälsa och miljön. </w:t>
      </w:r>
      <w:r w:rsidRPr="00BE483E">
        <w:t>Efsa</w:t>
      </w:r>
      <w:r w:rsidRPr="00BE483E">
        <w:t xml:space="preserve"> kom i november 2015 fram till att </w:t>
      </w:r>
      <w:r w:rsidRPr="00BE483E">
        <w:t>glyfosat</w:t>
      </w:r>
      <w:r w:rsidRPr="00BE483E">
        <w:t xml:space="preserve"> sannolikt inte är cancerframkallande, och Europeiska kemikaliemyndigheten kom i mars 2017 fram till att det inte var motiverat med någon klassificering. Däremot klassificerade </w:t>
      </w:r>
      <w:r w:rsidRPr="00BE483E">
        <w:t xml:space="preserve">Internationella centret för cancerforskning, WHO:s särskilda cancerorgan, 2015 </w:t>
      </w:r>
      <w:r w:rsidRPr="00BE483E">
        <w:t>glyfosat</w:t>
      </w:r>
      <w:r w:rsidRPr="00BE483E">
        <w:t xml:space="preserve"> som troligtvis cancerframkallande för människor. Ett antal andra nyligen genomförda expertgranskade vetenskapliga studier bekräftar den cancerframkallande potentialen hos </w:t>
      </w:r>
      <w:r w:rsidRPr="00BE483E">
        <w:t>glyfosat</w:t>
      </w:r>
      <w:r>
        <w:rPr>
          <w:vertAlign w:val="superscript"/>
        </w:rPr>
        <w:footnoteReference w:id="12"/>
      </w:r>
      <w:r w:rsidRPr="00BE483E">
        <w:t xml:space="preserve">. </w:t>
      </w:r>
      <w:bookmarkStart w:id="9" w:name="_Hlk218688545"/>
      <w:r w:rsidRPr="00BE483E">
        <w:t xml:space="preserve">Tidskriften </w:t>
      </w:r>
      <w:r w:rsidRPr="00BE483E">
        <w:t>Regulatory</w:t>
      </w:r>
      <w:r w:rsidRPr="00BE483E">
        <w:t xml:space="preserve"> </w:t>
      </w:r>
      <w:r w:rsidRPr="00BE483E">
        <w:t>Toxicology</w:t>
      </w:r>
      <w:r w:rsidRPr="00BE483E">
        <w:t xml:space="preserve"> and </w:t>
      </w:r>
      <w:r w:rsidRPr="00BE483E">
        <w:t>Pharmacology</w:t>
      </w:r>
      <w:r w:rsidRPr="00BE483E">
        <w:t xml:space="preserve"> har formellt dragit tillbaka den vetenskapliga rapporten</w:t>
      </w:r>
      <w:r w:rsidRPr="00BE483E">
        <w:rPr>
          <w:shd w:val="clear" w:color="auto" w:fill="FFFFFF"/>
        </w:rPr>
        <w:t xml:space="preserve"> </w:t>
      </w:r>
      <w:r w:rsidRPr="00BE483E">
        <w:rPr>
          <w:i/>
          <w:iCs/>
        </w:rPr>
        <w:t>Safety</w:t>
      </w:r>
      <w:r w:rsidRPr="00BE483E">
        <w:rPr>
          <w:i/>
          <w:iCs/>
        </w:rPr>
        <w:t xml:space="preserve"> </w:t>
      </w:r>
      <w:r w:rsidRPr="00BE483E">
        <w:rPr>
          <w:i/>
          <w:iCs/>
        </w:rPr>
        <w:t>Evaluation</w:t>
      </w:r>
      <w:r w:rsidRPr="00BE483E">
        <w:rPr>
          <w:i/>
          <w:iCs/>
        </w:rPr>
        <w:t xml:space="preserve"> and Risk </w:t>
      </w:r>
      <w:r w:rsidRPr="00BE483E">
        <w:rPr>
          <w:i/>
          <w:iCs/>
        </w:rPr>
        <w:t>Assessment</w:t>
      </w:r>
      <w:r w:rsidRPr="00BE483E">
        <w:rPr>
          <w:i/>
          <w:iCs/>
        </w:rPr>
        <w:t xml:space="preserve"> </w:t>
      </w:r>
      <w:r w:rsidRPr="00BE483E">
        <w:rPr>
          <w:i/>
          <w:iCs/>
        </w:rPr>
        <w:t>of</w:t>
      </w:r>
      <w:r w:rsidRPr="00BE483E">
        <w:rPr>
          <w:i/>
          <w:iCs/>
        </w:rPr>
        <w:t xml:space="preserve"> the </w:t>
      </w:r>
      <w:r w:rsidRPr="00BE483E">
        <w:rPr>
          <w:i/>
          <w:iCs/>
        </w:rPr>
        <w:t>Herbicide</w:t>
      </w:r>
      <w:r w:rsidRPr="00BE483E">
        <w:rPr>
          <w:i/>
          <w:iCs/>
        </w:rPr>
        <w:t xml:space="preserve"> Roundup and </w:t>
      </w:r>
      <w:r w:rsidRPr="00BE483E">
        <w:rPr>
          <w:i/>
          <w:iCs/>
        </w:rPr>
        <w:t>Its</w:t>
      </w:r>
      <w:r w:rsidRPr="00BE483E">
        <w:rPr>
          <w:i/>
          <w:iCs/>
        </w:rPr>
        <w:t xml:space="preserve"> Active </w:t>
      </w:r>
      <w:r w:rsidRPr="00BE483E">
        <w:rPr>
          <w:i/>
          <w:iCs/>
        </w:rPr>
        <w:t>Ingredient</w:t>
      </w:r>
      <w:r w:rsidRPr="00BE483E">
        <w:rPr>
          <w:i/>
          <w:iCs/>
        </w:rPr>
        <w:t xml:space="preserve">, </w:t>
      </w:r>
      <w:r w:rsidRPr="00BE483E">
        <w:rPr>
          <w:i/>
          <w:iCs/>
        </w:rPr>
        <w:t>Glyphosate</w:t>
      </w:r>
      <w:r w:rsidRPr="00BE483E">
        <w:rPr>
          <w:i/>
          <w:iCs/>
        </w:rPr>
        <w:t>, for Humans</w:t>
      </w:r>
      <w:r w:rsidRPr="00BE483E">
        <w:rPr>
          <w:shd w:val="clear" w:color="auto" w:fill="FFFFFF"/>
        </w:rPr>
        <w:t>,</w:t>
      </w:r>
      <w:r w:rsidRPr="00BE483E">
        <w:t xml:space="preserve"> som offentliggjordes 2000 och som har använts för att försvara </w:t>
      </w:r>
      <w:r w:rsidRPr="00BE483E">
        <w:t>glyfosats</w:t>
      </w:r>
      <w:r w:rsidRPr="00BE483E">
        <w:t xml:space="preserve"> säkerhet i många riskbedömningar,</w:t>
      </w:r>
      <w:r w:rsidRPr="00BE483E">
        <w:rPr>
          <w:shd w:val="clear" w:color="auto" w:fill="FFFFFF"/>
        </w:rPr>
        <w:t xml:space="preserve"> </w:t>
      </w:r>
      <w:r w:rsidRPr="00BE483E">
        <w:t xml:space="preserve">eftersom farhågor uttryckts om rapportens </w:t>
      </w:r>
      <w:r w:rsidRPr="00BE483E">
        <w:t>upphovsmannaskap</w:t>
      </w:r>
      <w:r w:rsidRPr="00BE483E">
        <w:t>, forskningsresultatens giltighet i samband med förvrängning av bidragen från författarna och studiens sponsor och potentiella intressekonflikter hos författarna</w:t>
      </w:r>
      <w:r>
        <w:rPr>
          <w:rStyle w:val="FootnoteReference"/>
        </w:rPr>
        <w:footnoteReference w:id="13"/>
      </w:r>
      <w:r w:rsidRPr="00BE483E">
        <w:t>.</w:t>
      </w:r>
      <w:bookmarkEnd w:id="9"/>
    </w:p>
    <w:p w:rsidR="00114EFE" w:rsidRPr="00BE483E" w:rsidP="00114EFE" w14:paraId="6EEB0C97" w14:textId="77777777">
      <w:pPr>
        <w:pStyle w:val="NormalHanging12a"/>
      </w:pPr>
      <w:r w:rsidRPr="00BE483E">
        <w:t>J.</w:t>
      </w:r>
      <w:r w:rsidRPr="00BE483E">
        <w:tab/>
        <w:t xml:space="preserve">Bedömningen av herbicidrester och metaboliter på genetiskt modifierade växter anses ligga utanför behörighetsområdet för </w:t>
      </w:r>
      <w:r w:rsidRPr="00BE483E">
        <w:t>Efsas</w:t>
      </w:r>
      <w:r w:rsidRPr="00BE483E">
        <w:t xml:space="preserve"> panel för genetiskt modifierade organismer och utförs därför inte som en del i godkännandeförfarandet för genetiskt modifierade organismer. Detta är problematiskt, eftersom det sätt på vilket kompletterande herbicider bryts ned av den genetiskt modifierade växten i fråga samt metaboliternas sammansättning och därmed deras toxicitet kan påverkas av själva den genetiska modifieringen</w:t>
      </w:r>
      <w:r>
        <w:rPr>
          <w:vertAlign w:val="superscript"/>
        </w:rPr>
        <w:footnoteReference w:id="14"/>
      </w:r>
      <w:r w:rsidRPr="00BE483E">
        <w:t>.</w:t>
      </w:r>
    </w:p>
    <w:p w:rsidR="00114EFE" w:rsidRPr="00BE483E" w:rsidP="00114EFE" w14:paraId="4A4EF185" w14:textId="77777777">
      <w:pPr>
        <w:pStyle w:val="NormalHanging12a"/>
      </w:pPr>
      <w:r w:rsidRPr="00BE483E">
        <w:t>K.</w:t>
      </w:r>
      <w:r w:rsidRPr="00BE483E">
        <w:tab/>
        <w:t xml:space="preserve">Enligt sammansättningsanalysen skiljer sig den genetiskt modifierade sojabönans fettsyraprofilering betydligt från dess konventionella motsvarighet, med en ökad halt av oljesyra och åtföljande minskningar av linolsyra och palmitinsyra. De vetenskapliga farhågorna handlar främst om de långsiktiga näringskonsekvenserna av befolkningens ökade exponering för denna förändrade profilering, särskilt för konsumenter som är starkt beroende av sojaolja. </w:t>
      </w:r>
      <w:r w:rsidRPr="00BE483E">
        <w:t>Efsa</w:t>
      </w:r>
      <w:r w:rsidRPr="00BE483E">
        <w:t xml:space="preserve"> övervägde att göra uppskattningar av intaget via kosten för att bedöma förändringarnas näringsmässiga relevans, med hjälp av olika antaganden om konsumtions- och ersättningsscenarier. På grundval av dessa antaganden rekommenderade </w:t>
      </w:r>
      <w:r w:rsidRPr="00BE483E">
        <w:t>Efsa</w:t>
      </w:r>
      <w:r w:rsidRPr="00BE483E">
        <w:t xml:space="preserve"> endast en plan för övervakning efter utsläppande på marknaden inriktad på att samla in importuppgifter till unionen och genomförande av en uppdaterad näringsmässig bedömning om den tillgängliga informationen om konsumtionsmönster skilde sig från dem som användes vid den ursprungliga riskbedömningen.</w:t>
      </w:r>
    </w:p>
    <w:p w:rsidR="00114EFE" w:rsidRPr="00BE483E" w:rsidP="00114EFE" w14:paraId="51944E1D" w14:textId="77777777">
      <w:pPr>
        <w:pStyle w:val="NormalHanging12a"/>
      </w:pPr>
      <w:r w:rsidRPr="00BE483E">
        <w:t>L.</w:t>
      </w:r>
      <w:r w:rsidRPr="00BE483E">
        <w:tab/>
        <w:t>I förordning (EG) nr 1829/2003 fastställs krav på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skyldigheter enligt FN:s mål för hållbar utveckling, Parisavtalet om klimatförändringar</w:t>
      </w:r>
      <w:r>
        <w:rPr>
          <w:rStyle w:val="FootnoteReference"/>
        </w:rPr>
        <w:footnoteReference w:id="15"/>
      </w:r>
      <w:r w:rsidRPr="00BE483E">
        <w:t xml:space="preserve"> och FN:s konvention om biologisk mångfald</w:t>
      </w:r>
      <w:r>
        <w:rPr>
          <w:rStyle w:val="FootnoteReference"/>
        </w:rPr>
        <w:footnoteReference w:id="16"/>
      </w:r>
      <w:r w:rsidRPr="00BE483E">
        <w:t>.</w:t>
      </w:r>
    </w:p>
    <w:p w:rsidR="00114EFE" w:rsidRPr="00BE483E" w:rsidP="00114EFE" w14:paraId="41857D5C" w14:textId="77777777">
      <w:pPr>
        <w:pStyle w:val="NormalHanging12a"/>
      </w:pPr>
      <w:r w:rsidRPr="00BE483E">
        <w:t>M.</w:t>
      </w:r>
      <w:r w:rsidRPr="00BE483E">
        <w:tab/>
        <w:t>Oberoende övervakning och kontroll av potentiella negativa effekter på den biologiska mångfalden, markhälsan, pollinerare och icke-målorganismer är fortfarande inte tillräckligt garanterad.</w:t>
      </w:r>
    </w:p>
    <w:p w:rsidR="00114EFE" w:rsidRPr="00BE483E" w:rsidP="00114EFE" w14:paraId="39270F8F" w14:textId="77777777">
      <w:pPr>
        <w:pStyle w:val="NormalHanging12a"/>
      </w:pPr>
      <w:r w:rsidRPr="00BE483E">
        <w:t>N.</w:t>
      </w:r>
      <w:r w:rsidRPr="00BE483E">
        <w:tab/>
        <w:t>Försiktighetsprincipen, som stadfästs i artikel 191 i fördraget om Europeiska unionens funktionssätt, bör tillämpas när det råder vetenskaplig osäkerhet.</w:t>
      </w:r>
    </w:p>
    <w:p w:rsidR="00114EFE" w:rsidRPr="00BE483E" w:rsidP="00114EFE" w14:paraId="2A8CB253" w14:textId="77777777">
      <w:pPr>
        <w:pStyle w:val="NormalHanging12a"/>
      </w:pPr>
      <w:r w:rsidRPr="00BE483E">
        <w:t>O.</w:t>
      </w:r>
      <w:r w:rsidRPr="00BE483E">
        <w:tab/>
        <w:t>Unionen är en avtalsslutande part i FN:s konvention om biologisk mångfald och har i enlighet med artikel 3 i denna ansvar för att säkerställa att verksamhet inom dess jurisdiktion eller under dess kontroll inte vållar skada på miljön i andra stater.</w:t>
      </w:r>
    </w:p>
    <w:p w:rsidR="00114EFE" w:rsidRPr="00BE483E" w:rsidP="00114EFE" w14:paraId="72A1D7AA" w14:textId="77777777">
      <w:pPr>
        <w:pStyle w:val="NormalHanging12a"/>
      </w:pPr>
      <w:r w:rsidRPr="00BE483E">
        <w:t>P.</w:t>
      </w:r>
      <w:r w:rsidRPr="00BE483E">
        <w:tab/>
        <w:t>En förlängning av godkännandet av den genetiskt modifierade sojabönan från unionens sida skulle inte vara förenlig med internationella åtaganden om att minska användningen av bekämpningsmedel</w:t>
      </w:r>
      <w:r>
        <w:rPr>
          <w:vertAlign w:val="superscript"/>
        </w:rPr>
        <w:footnoteReference w:id="17"/>
      </w:r>
      <w:r w:rsidRPr="00BE483E">
        <w:t xml:space="preserve">, med tanke på människors, djurs och miljöns ökade exponering för </w:t>
      </w:r>
      <w:r w:rsidRPr="00BE483E">
        <w:t>glyfosat</w:t>
      </w:r>
      <w:r w:rsidRPr="00BE483E">
        <w:t xml:space="preserve"> och </w:t>
      </w:r>
      <w:r w:rsidRPr="00BE483E">
        <w:t>glufosinat</w:t>
      </w:r>
      <w:r w:rsidRPr="00BE483E">
        <w:t xml:space="preserve"> i länder som odlar denna herbicidtoleranta genetiskt modifierade gröda och de potentiellt allvarliga hälsoutfall som hänger samman med detta.</w:t>
      </w:r>
    </w:p>
    <w:p w:rsidR="00114EFE" w:rsidRPr="00BE483E" w:rsidP="00114EFE" w14:paraId="45DB99D5" w14:textId="77777777">
      <w:pPr>
        <w:pStyle w:val="NormalHanging12a"/>
      </w:pPr>
      <w:r w:rsidRPr="00BE483E">
        <w:t>Q.</w:t>
      </w:r>
      <w:r w:rsidRPr="00BE483E">
        <w:tab/>
        <w:t>Odling av den genetiskt modifierade sojabönan är inte tillåten i unionen.</w:t>
      </w:r>
    </w:p>
    <w:p w:rsidR="00114EFE" w:rsidRPr="00BE483E" w:rsidP="00114EFE" w14:paraId="14A94AA3" w14:textId="07F37986">
      <w:pPr>
        <w:pStyle w:val="NormalHanging12a"/>
      </w:pPr>
      <w:r w:rsidRPr="00BE483E">
        <w:t>R.</w:t>
      </w:r>
      <w:r w:rsidRPr="00BE483E">
        <w:tab/>
      </w:r>
      <w:r w:rsidR="00B9701D">
        <w:t>K</w:t>
      </w:r>
      <w:r w:rsidRPr="00BE483E">
        <w:t xml:space="preserve">ommissionens genomförandebeslut </w:t>
      </w:r>
      <w:r w:rsidRPr="00B9701D" w:rsidR="00B9701D">
        <w:t xml:space="preserve">(EU) 2026/1419 </w:t>
      </w:r>
      <w:r w:rsidRPr="00BE483E">
        <w:t>skulle möjliggöra import till unionen som inte uppfyller de normer som unionens jordbrukare iakttar, vilket skulle medföra en konkurrensnackdel för dem.</w:t>
      </w:r>
    </w:p>
    <w:p w:rsidR="00114EFE" w:rsidRPr="00BE483E" w:rsidP="00114EFE" w14:paraId="3DA102EA" w14:textId="77777777">
      <w:pPr>
        <w:pStyle w:val="NormalHanging12a"/>
      </w:pPr>
      <w:r w:rsidRPr="00BE483E">
        <w:t>S.</w:t>
      </w:r>
      <w:r w:rsidRPr="00BE483E">
        <w:tab/>
        <w:t>I slutsatserna från den strategiska dialogen om framtiden för EU:s jordbruk</w:t>
      </w:r>
      <w:r>
        <w:rPr>
          <w:vertAlign w:val="superscript"/>
        </w:rPr>
        <w:footnoteReference w:id="18"/>
      </w:r>
      <w:r w:rsidRPr="00BE483E">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rsidR="00114EFE" w:rsidRPr="00BE483E" w:rsidP="00114EFE" w14:paraId="64F9B195" w14:textId="77777777">
      <w:pPr>
        <w:pStyle w:val="NormalHanging12a"/>
      </w:pPr>
      <w:r w:rsidRPr="00BE483E">
        <w:t>T.</w:t>
      </w:r>
      <w:r w:rsidRPr="00BE483E">
        <w:tab/>
        <w:t>Parlamentet har upprepade gånger betonat att kommissionen, för att komma till rätta med det bestående demokratiska underskottet, bör låta bli att godkänna genetiskt modifierade organismer i fall där medlemsstaterna inte uppnår kvalificerad majoritet i ständiga kommittén för växter, djur, livsmedel och foder eller i omprövningskommittén.</w:t>
      </w:r>
    </w:p>
    <w:p w:rsidR="00114EFE" w:rsidRPr="00BE483E" w:rsidP="00114EFE" w14:paraId="5A1E9484" w14:textId="77777777">
      <w:pPr>
        <w:pStyle w:val="NormalHanging12a"/>
      </w:pPr>
      <w:r w:rsidRPr="00BE483E">
        <w:t>U.</w:t>
      </w:r>
      <w:r w:rsidRPr="00BE483E">
        <w:tab/>
        <w:t>Trots att kommissionen själv erkänner de demokratiska bristerna, och trots det bristande stödet från medlemsstaterna och parlamentets invändningar, fortsätter den att godkänna genetiskt modifierade organismer.</w:t>
      </w:r>
    </w:p>
    <w:p w:rsidR="00114EFE" w:rsidRPr="00BE483E" w:rsidP="00114EFE" w14:paraId="623481AA" w14:textId="77777777">
      <w:pPr>
        <w:pStyle w:val="NormalHanging12a"/>
      </w:pPr>
      <w:r w:rsidRPr="00BE483E">
        <w:t>V.</w:t>
      </w:r>
      <w:r w:rsidRPr="00BE483E">
        <w:tab/>
      </w:r>
      <w:r w:rsidRPr="00BE483E">
        <w:t>One</w:t>
      </w:r>
      <w:r w:rsidRPr="00BE483E">
        <w:t xml:space="preserve"> Health-modellen förutsätter att man tar hänsyn till det ömsesidiga beroendet mellan människors, djurs, växters och miljöns hälsa vid bedömningen av genetiskt modifierade organismers långsiktiga hållbarhet och säkerhet.</w:t>
      </w:r>
    </w:p>
    <w:p w:rsidR="00114EFE" w:rsidRPr="00BE483E" w:rsidP="00114EFE" w14:paraId="135F3E50" w14:textId="2289BDD5">
      <w:pPr>
        <w:pStyle w:val="NormalHanging12a"/>
      </w:pPr>
      <w:r w:rsidRPr="00BE483E">
        <w:t>1.</w:t>
      </w:r>
      <w:r w:rsidRPr="00BE483E">
        <w:tab/>
        <w:t xml:space="preserve">Europaparlamentet anser att kommissionens genomförandebeslut </w:t>
      </w:r>
      <w:r w:rsidRPr="00B9701D" w:rsidR="00B9701D">
        <w:t xml:space="preserve">(EU) 2026/1419 </w:t>
      </w:r>
      <w:r w:rsidRPr="00BE483E">
        <w:t>överskrider de genomförandebefogenheter som fastställs i förordning (EG) nr 1829/2003.</w:t>
      </w:r>
    </w:p>
    <w:p w:rsidR="00114EFE" w:rsidRPr="00BE483E" w:rsidP="00114EFE" w14:paraId="47E63796" w14:textId="1944580B">
      <w:pPr>
        <w:pStyle w:val="NormalHanging12a"/>
      </w:pPr>
      <w:r w:rsidRPr="00BE483E">
        <w:t>2.</w:t>
      </w:r>
      <w:r w:rsidRPr="00BE483E">
        <w:tab/>
        <w:t xml:space="preserve">Europaparlamentet anser att </w:t>
      </w:r>
      <w:r w:rsidR="00B9701D">
        <w:t>k</w:t>
      </w:r>
      <w:r w:rsidRPr="00BE483E">
        <w:t xml:space="preserve">ommissionens genomförandebeslut </w:t>
      </w:r>
      <w:r w:rsidRPr="00B9701D" w:rsidR="00B9701D">
        <w:t xml:space="preserve">(EU) 2026/1419 </w:t>
      </w:r>
      <w:r w:rsidRPr="00BE483E">
        <w:t>inte överensstämmer med unionsrätten, eftersom det är oförenligt med syftet med förordning (EG) nr 1829/2003, nämligen att, i enlighet med de allmänna principerna i Europaparlamentets och rådets förordning (EG) nr 178/2002</w:t>
      </w:r>
      <w:r>
        <w:rPr>
          <w:vertAlign w:val="superscript"/>
        </w:rPr>
        <w:footnoteReference w:id="19"/>
      </w:r>
      <w:r w:rsidRPr="00BE483E">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rsidR="00114EFE" w:rsidRPr="00BE483E" w:rsidP="00114EFE" w14:paraId="65EF5BFE" w14:textId="044BFF36">
      <w:pPr>
        <w:pStyle w:val="NormalHanging12a"/>
      </w:pPr>
      <w:r w:rsidRPr="00BE483E">
        <w:t>3.</w:t>
      </w:r>
      <w:r w:rsidRPr="00BE483E">
        <w:tab/>
        <w:t xml:space="preserve">Europaparlamentet uppmanar kommissionen att </w:t>
      </w:r>
      <w:r w:rsidR="00456500">
        <w:t>upphäva</w:t>
      </w:r>
      <w:r w:rsidRPr="00BE483E">
        <w:t xml:space="preserve"> </w:t>
      </w:r>
      <w:r w:rsidR="00456500">
        <w:t>k</w:t>
      </w:r>
      <w:r w:rsidRPr="00456500" w:rsidR="00456500">
        <w:t>ommissionens genomförandebeslut</w:t>
      </w:r>
      <w:r w:rsidR="00456500">
        <w:t xml:space="preserve"> </w:t>
      </w:r>
      <w:r w:rsidRPr="00456500" w:rsidR="00456500">
        <w:t>(EU) 2026/1419</w:t>
      </w:r>
      <w:r w:rsidR="00456500">
        <w:t>.</w:t>
      </w:r>
    </w:p>
    <w:p w:rsidR="00114EFE" w:rsidRPr="00BE483E" w:rsidP="00114EFE" w14:paraId="2AA90BB2" w14:textId="77777777">
      <w:pPr>
        <w:pStyle w:val="NormalHanging12a"/>
      </w:pPr>
      <w:r w:rsidRPr="00BE483E">
        <w:t>4.</w:t>
      </w:r>
      <w:r w:rsidRPr="00BE483E">
        <w:tab/>
        <w:t>Europaparlamentet uppmanar kommissionen att inte tillåta import av herbicidtoleranta genetiskt modifierade grödor på grund av den tillhörande ökade användningen av kompletterande herbicider och därmed de ökade riskerna för den biologiska mångfalden, livsmedelssäkerheten och arbetstagarnas hälsa.</w:t>
      </w:r>
    </w:p>
    <w:p w:rsidR="00114EFE" w:rsidRPr="00BE483E" w:rsidP="00114EFE" w14:paraId="32327F23" w14:textId="77777777">
      <w:pPr>
        <w:pStyle w:val="NormalHanging12a"/>
      </w:pPr>
      <w:r w:rsidRPr="00BE483E">
        <w:t>5.</w:t>
      </w:r>
      <w:r w:rsidRPr="00BE483E">
        <w:tab/>
        <w:t>Europaparlamentet välkomnar att kommissionen i en skrivelse till ledamöterna av den 11 september 2020 medgav att hållbarheten måste tas i beaktande i beslut om godkännande av genetiskt modifierade organismer</w:t>
      </w:r>
      <w:r>
        <w:rPr>
          <w:vertAlign w:val="superscript"/>
        </w:rPr>
        <w:footnoteReference w:id="20"/>
      </w:r>
      <w:r w:rsidRPr="00BE483E">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rsidR="00114EFE" w:rsidRPr="00BE483E" w:rsidP="00114EFE" w14:paraId="56442287" w14:textId="77777777">
      <w:pPr>
        <w:pStyle w:val="NormalHanging12a"/>
      </w:pPr>
      <w:r w:rsidRPr="00BE483E">
        <w:t>6.</w:t>
      </w:r>
      <w:r w:rsidRPr="00BE483E">
        <w:tab/>
        <w:t>Europaparlamentet uppmanar återigen och eftertryckligen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där det förklaras hur de upprätthåller principen att ”inte göra någon skada”</w:t>
      </w:r>
      <w:r>
        <w:rPr>
          <w:vertAlign w:val="superscript"/>
        </w:rPr>
        <w:footnoteReference w:id="21"/>
      </w:r>
      <w:r w:rsidRPr="00BE483E">
        <w:t>.</w:t>
      </w:r>
    </w:p>
    <w:p w:rsidR="00114EFE" w:rsidRPr="00BE483E" w:rsidP="00114EFE" w14:paraId="0EED7375" w14:textId="77777777">
      <w:pPr>
        <w:pStyle w:val="NormalHanging12a"/>
      </w:pPr>
      <w:r w:rsidRPr="00BE483E">
        <w:t>7.</w:t>
      </w:r>
      <w:r w:rsidRPr="00BE483E">
        <w:tab/>
        <w:t>Europaparlamentet framhåller att det i de ändringar som Europaparlamentet antog den 17 december 2020 om förslaget till Europaparlamentets och rådets förordning om ändring av förordning (EU) nr 182/2011</w:t>
      </w:r>
      <w:r>
        <w:rPr>
          <w:vertAlign w:val="superscript"/>
        </w:rPr>
        <w:footnoteReference w:id="22"/>
      </w:r>
      <w:r w:rsidRPr="00BE483E">
        <w:t>, som antogs i parlamentet som grund för förhandlingarna med rådet, anges att kommissionen inte ska godkänna genetiskt modifierade organismer om det inte finns stöd av en kvalificerad majoritet av medlemsstaterna för detta. Parlamentet insisterar på att kommissionen respekterar denna ståndpunkt, och uppmanar rådet att fortsätta sitt arbete och snarast anta en allmän riktlinje i detta ärende.</w:t>
      </w:r>
    </w:p>
    <w:p w:rsidR="00BE483E" w:rsidRPr="00BE483E" w:rsidP="00BE483E" w14:paraId="4672FDE2" w14:textId="75EEFA1B">
      <w:pPr>
        <w:pStyle w:val="NormalHanging12a"/>
      </w:pPr>
      <w:r w:rsidRPr="00BE483E">
        <w:t>8.</w:t>
      </w:r>
      <w:r w:rsidRPr="00BE483E">
        <w:tab/>
        <w:t>Europaparlamentet uppdrar åt talmannen att översända denna resolution till rådet och kommissionen samt till medlemsstaternas regeringar och parlament.</w:t>
      </w:r>
    </w:p>
    <w:p w:rsidR="00E365E1" w:rsidRPr="00BE483E" w:rsidP="008F36FD" w14:paraId="5469FF33" w14:textId="71D5B312"/>
    <w:sectPr w:rsidSect="00BE483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0C5D7D9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1DB06E0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6818850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36FD" w:rsidRPr="00BE483E" w14:paraId="4CA99673" w14:textId="77777777">
      <w:r w:rsidRPr="00BE483E">
        <w:separator/>
      </w:r>
    </w:p>
  </w:footnote>
  <w:footnote w:type="continuationSeparator" w:id="1">
    <w:p w:rsidR="008F36FD" w:rsidRPr="00BE483E" w14:paraId="3DC9A6E7" w14:textId="77777777">
      <w:r w:rsidRPr="00BE483E">
        <w:continuationSeparator/>
      </w:r>
    </w:p>
  </w:footnote>
  <w:footnote w:id="2">
    <w:p w:rsidR="00461BF6" w:rsidRPr="00B320CC" w:rsidP="00461BF6" w14:paraId="38D8A679" w14:textId="2EC99114">
      <w:pPr>
        <w:pStyle w:val="FootnoteText"/>
        <w:ind w:left="567" w:hanging="567"/>
        <w:rPr>
          <w:sz w:val="24"/>
          <w:szCs w:val="24"/>
          <w:lang w:val="fr-BE"/>
        </w:rPr>
      </w:pPr>
      <w:r w:rsidRPr="00B320CC">
        <w:rPr>
          <w:rStyle w:val="FootnoteReference"/>
          <w:sz w:val="24"/>
          <w:szCs w:val="24"/>
        </w:rPr>
        <w:footnoteRef/>
      </w:r>
      <w:r w:rsidRPr="00B320CC">
        <w:rPr>
          <w:sz w:val="24"/>
          <w:szCs w:val="24"/>
          <w:lang w:val="fr-BE"/>
        </w:rPr>
        <w:t xml:space="preserve"> </w:t>
      </w:r>
      <w:r w:rsidRPr="00B320CC">
        <w:rPr>
          <w:sz w:val="24"/>
          <w:szCs w:val="24"/>
          <w:lang w:val="fr-BE"/>
        </w:rPr>
        <w:tab/>
      </w:r>
      <w:r w:rsidRPr="00B320CC">
        <w:rPr>
          <w:color w:val="333333"/>
          <w:sz w:val="24"/>
          <w:szCs w:val="24"/>
          <w:shd w:val="clear" w:color="auto" w:fill="FFFFFF"/>
          <w:lang w:val="fr-BE" w:eastAsia="en-GB"/>
        </w:rPr>
        <w:t xml:space="preserve">EUT L, 2026/1419, 3.7.2026, </w:t>
      </w:r>
      <w:r w:rsidRPr="00B320CC">
        <w:rPr>
          <w:color w:val="333333"/>
          <w:sz w:val="24"/>
          <w:szCs w:val="24"/>
          <w:shd w:val="clear" w:color="auto" w:fill="FFFFFF"/>
          <w:lang w:val="fr-BE" w:eastAsia="en-GB"/>
        </w:rPr>
        <w:t>ELI:</w:t>
      </w:r>
      <w:r w:rsidRPr="00B320CC">
        <w:rPr>
          <w:color w:val="333333"/>
          <w:sz w:val="24"/>
          <w:szCs w:val="24"/>
          <w:shd w:val="clear" w:color="auto" w:fill="FFFFFF"/>
          <w:lang w:val="fr-BE" w:eastAsia="en-GB"/>
        </w:rPr>
        <w:t> </w:t>
      </w:r>
      <w:hyperlink r:id="rId1" w:tgtFrame="_blank" w:tooltip="Dà accesso al documento attraverso il suo URI dell'ELI." w:history="1">
        <w:r w:rsidRPr="00B320CC">
          <w:rPr>
            <w:color w:val="0E47CB"/>
            <w:sz w:val="24"/>
            <w:szCs w:val="24"/>
            <w:u w:val="single"/>
            <w:lang w:val="fr-BE" w:eastAsia="en-GB"/>
          </w:rPr>
          <w:t>http://data.europa.eu/eli/dec_impl/2026/1419/oj</w:t>
        </w:r>
      </w:hyperlink>
      <w:r w:rsidRPr="00B320CC">
        <w:rPr>
          <w:color w:val="333333"/>
          <w:sz w:val="24"/>
          <w:szCs w:val="24"/>
          <w:shd w:val="clear" w:color="auto" w:fill="FFFFFF"/>
          <w:lang w:val="fr-BE" w:eastAsia="en-GB"/>
        </w:rPr>
        <w:t>.</w:t>
      </w:r>
    </w:p>
  </w:footnote>
  <w:footnote w:id="3">
    <w:p w:rsidR="00114EFE" w:rsidRPr="00B320CC" w:rsidP="00BE483E" w14:paraId="64E61262" w14:textId="7DD67317">
      <w:pPr>
        <w:pStyle w:val="FootnoteText"/>
        <w:ind w:left="567" w:hanging="567"/>
        <w:rPr>
          <w:sz w:val="24"/>
          <w:lang w:val="en-GB"/>
        </w:rPr>
      </w:pPr>
      <w:r w:rsidRPr="00BE483E">
        <w:rPr>
          <w:rStyle w:val="Funotenzeichen"/>
          <w:sz w:val="24"/>
          <w:lang w:val="sv-SE"/>
        </w:rPr>
        <w:footnoteRef/>
      </w:r>
      <w:r w:rsidRPr="00B320CC" w:rsidR="00BE483E">
        <w:rPr>
          <w:sz w:val="24"/>
          <w:lang w:val="en-GB"/>
        </w:rPr>
        <w:t xml:space="preserve"> </w:t>
      </w:r>
      <w:r w:rsidRPr="00B320CC" w:rsidR="00BE483E">
        <w:rPr>
          <w:sz w:val="24"/>
          <w:lang w:val="en-GB"/>
        </w:rPr>
        <w:tab/>
      </w:r>
      <w:r w:rsidRPr="00B320CC">
        <w:rPr>
          <w:sz w:val="24"/>
          <w:lang w:val="en-GB"/>
        </w:rPr>
        <w:t xml:space="preserve">EUT L 268, 18.10.2003, p. </w:t>
      </w:r>
      <w:r w:rsidR="00614315">
        <w:rPr>
          <w:sz w:val="24"/>
          <w:lang w:val="en-GB"/>
        </w:rPr>
        <w:t>1</w:t>
      </w:r>
      <w:r w:rsidRPr="00B320CC">
        <w:rPr>
          <w:sz w:val="24"/>
          <w:lang w:val="en-GB"/>
        </w:rPr>
        <w:t>, ELI: </w:t>
      </w:r>
      <w:hyperlink r:id="rId2" w:tooltip="Ger tillgång till detta dokument via dess ELI-URI-adress." w:history="1">
        <w:r w:rsidRPr="00B320CC">
          <w:rPr>
            <w:rStyle w:val="Hyperlink"/>
            <w:sz w:val="24"/>
            <w:lang w:val="en-GB"/>
          </w:rPr>
          <w:t>http://data.europa.eu/eli/reg/2003/1829/oj</w:t>
        </w:r>
      </w:hyperlink>
      <w:r w:rsidRPr="00B320CC">
        <w:rPr>
          <w:sz w:val="24"/>
          <w:lang w:val="en-GB"/>
        </w:rPr>
        <w:t>.</w:t>
      </w:r>
    </w:p>
  </w:footnote>
  <w:footnote w:id="4">
    <w:p w:rsidR="00114EFE" w:rsidRPr="00B320CC" w:rsidP="00BE483E" w14:paraId="695C14B6" w14:textId="02021364">
      <w:pPr>
        <w:pStyle w:val="FootnoteText"/>
        <w:ind w:left="567" w:hanging="567"/>
        <w:rPr>
          <w:sz w:val="24"/>
          <w:lang w:val="fi-FI"/>
        </w:rPr>
      </w:pPr>
      <w:r w:rsidRPr="00BE483E">
        <w:rPr>
          <w:rStyle w:val="FootnoteReference"/>
          <w:sz w:val="24"/>
          <w:lang w:val="sv-SE"/>
        </w:rPr>
        <w:footnoteRef/>
      </w:r>
      <w:r w:rsidRPr="00B320CC" w:rsidR="00BE483E">
        <w:rPr>
          <w:sz w:val="24"/>
          <w:lang w:val="fi-FI"/>
        </w:rPr>
        <w:t xml:space="preserve"> </w:t>
      </w:r>
      <w:r w:rsidRPr="00B320CC" w:rsidR="00BE483E">
        <w:rPr>
          <w:sz w:val="24"/>
          <w:lang w:val="fi-FI"/>
        </w:rPr>
        <w:tab/>
      </w:r>
      <w:r w:rsidRPr="00B320CC">
        <w:rPr>
          <w:sz w:val="24"/>
          <w:lang w:val="fi-FI"/>
        </w:rPr>
        <w:t xml:space="preserve">EUT L 55, 28.2.2011, s. 13, ELI: </w:t>
      </w:r>
      <w:hyperlink r:id="rId3" w:tooltip="http://data.europa.eu/eli/reg/2011/182/oj" w:history="1">
        <w:r w:rsidRPr="00B320CC">
          <w:rPr>
            <w:rStyle w:val="Hyperlink"/>
            <w:sz w:val="24"/>
            <w:lang w:val="fi-FI"/>
          </w:rPr>
          <w:t>http://data.europa.eu/eli/reg/2011/182/oj</w:t>
        </w:r>
      </w:hyperlink>
      <w:r w:rsidRPr="00B320CC">
        <w:rPr>
          <w:sz w:val="24"/>
          <w:lang w:val="fi-FI"/>
        </w:rPr>
        <w:t>.</w:t>
      </w:r>
    </w:p>
  </w:footnote>
  <w:footnote w:id="5">
    <w:p w:rsidR="00114EFE" w:rsidRPr="00BE483E" w:rsidP="00BE483E" w14:paraId="0C938587" w14:textId="57DF39E4">
      <w:pPr>
        <w:pStyle w:val="FootnoteText"/>
        <w:ind w:left="567" w:hanging="567"/>
        <w:rPr>
          <w:sz w:val="24"/>
          <w:lang w:val="sv-SE"/>
        </w:rPr>
      </w:pPr>
      <w:r w:rsidRPr="00BE483E">
        <w:rPr>
          <w:rStyle w:val="Funotenzeichen"/>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 xml:space="preserve">Vetenskapligt yttrande från </w:t>
      </w:r>
      <w:r w:rsidRPr="00BE483E">
        <w:rPr>
          <w:sz w:val="24"/>
          <w:lang w:val="sv-SE"/>
        </w:rPr>
        <w:t>Efsas</w:t>
      </w:r>
      <w:r w:rsidRPr="00BE483E">
        <w:rPr>
          <w:sz w:val="24"/>
          <w:lang w:val="sv-SE"/>
        </w:rPr>
        <w:t xml:space="preserve"> panel för genetiskt modifierade organismer över bedömningen av den genetiskt modifierade sojabönan MON 87705 (ansökan GMFF-2023-21236), </w:t>
      </w:r>
      <w:r w:rsidRPr="00BE483E">
        <w:rPr>
          <w:i/>
          <w:iCs/>
          <w:sz w:val="24"/>
          <w:lang w:val="sv-SE"/>
        </w:rPr>
        <w:t>EFSA Journal</w:t>
      </w:r>
      <w:r w:rsidRPr="00BE483E">
        <w:rPr>
          <w:sz w:val="24"/>
          <w:lang w:val="sv-SE"/>
        </w:rPr>
        <w:t xml:space="preserve">, 2026, 24(1):e9846, </w:t>
      </w:r>
      <w:hyperlink r:id="rId4" w:history="1">
        <w:r w:rsidRPr="00BE483E">
          <w:rPr>
            <w:rStyle w:val="Hyperlink"/>
            <w:sz w:val="24"/>
            <w:lang w:val="sv-SE"/>
          </w:rPr>
          <w:t>https://doi.org/10.2903/j.efsa.2026.9846</w:t>
        </w:r>
      </w:hyperlink>
      <w:r w:rsidRPr="00BE483E">
        <w:rPr>
          <w:rStyle w:val="Hyperlink"/>
          <w:sz w:val="24"/>
          <w:lang w:val="sv-SE"/>
        </w:rPr>
        <w:t>.</w:t>
      </w:r>
    </w:p>
  </w:footnote>
  <w:footnote w:id="6">
    <w:p w:rsidR="00114EFE" w:rsidRPr="00BE483E" w:rsidP="00BE483E" w14:paraId="127645BE" w14:textId="48680414">
      <w:pPr>
        <w:pStyle w:val="FootnoteText"/>
        <w:ind w:left="567" w:hanging="567"/>
        <w:rPr>
          <w:color w:val="000000" w:themeColor="text1"/>
          <w:sz w:val="24"/>
          <w:vertAlign w:val="superscript"/>
          <w:lang w:val="sv-SE"/>
        </w:rPr>
      </w:pPr>
      <w:r w:rsidRPr="00BE483E">
        <w:rPr>
          <w:rStyle w:val="Funotenzeichen"/>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Parlamentet antog under sin åttonde valperiod 36 resolutioner och under sin nionde valperiod 38 resolutioner med invändningar mot godkännandet av genetiskt modifierade organismer.</w:t>
      </w:r>
      <w:r w:rsidRPr="00BE483E">
        <w:rPr>
          <w:color w:val="000000" w:themeColor="text1"/>
          <w:sz w:val="24"/>
          <w:lang w:val="sv-SE"/>
        </w:rPr>
        <w:t xml:space="preserve"> Dessutom har parlamentet under sin tionde valperiod antagit följande resolutioner:</w:t>
      </w:r>
    </w:p>
    <w:p w:rsidR="00114EFE" w:rsidRPr="00BE483E" w:rsidP="00B320CC" w14:paraId="5E5E3841" w14:textId="4294AD11">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5"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/C/2025/1797/oj</w:t>
        </w:r>
      </w:hyperlink>
      <w:r w:rsidRPr="00BE483E">
        <w:rPr>
          <w:color w:val="000000" w:themeColor="text1"/>
          <w:sz w:val="24"/>
          <w:lang w:val="sv-SE"/>
        </w:rPr>
        <w:t>).</w:t>
      </w:r>
    </w:p>
    <w:p w:rsidR="00114EFE" w:rsidRPr="00BE483E" w:rsidP="00B320CC" w14:paraId="5FA0F239" w14:textId="53756E32">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6"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/C/2025/1798/oj</w:t>
        </w:r>
      </w:hyperlink>
      <w:r w:rsidRPr="00BE483E">
        <w:rPr>
          <w:color w:val="000000" w:themeColor="text1"/>
          <w:sz w:val="24"/>
          <w:lang w:val="sv-SE"/>
        </w:rPr>
        <w:t>).</w:t>
      </w:r>
    </w:p>
    <w:p w:rsidR="00114EFE" w:rsidRPr="00BE483E" w:rsidP="00B320CC" w14:paraId="3C796207" w14:textId="4587E464">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7"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/C/2025/1799/oj</w:t>
        </w:r>
      </w:hyperlink>
      <w:r w:rsidRPr="00BE483E">
        <w:rPr>
          <w:color w:val="000000" w:themeColor="text1"/>
          <w:sz w:val="24"/>
          <w:lang w:val="sv-SE"/>
        </w:rPr>
        <w:t>).</w:t>
      </w:r>
    </w:p>
    <w:p w:rsidR="00114EFE" w:rsidRPr="00BE483E" w:rsidP="00B320CC" w14:paraId="17B280E9" w14:textId="1F446AEA">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w:t>
      </w:r>
      <w:r w:rsidRPr="00456500">
        <w:rPr>
          <w:color w:val="000000" w:themeColor="text1"/>
          <w:sz w:val="24"/>
          <w:lang w:val="sv-SE"/>
        </w:rPr>
        <w:t>) nr 1829/2003 och om upphävande av kommissionens genomförandebeslut (EU) 2017/1207 (EUT C, C/2025/1800, 4.4.2025, ELI: </w:t>
      </w:r>
      <w:hyperlink r:id="rId8" w:history="1">
        <w:r w:rsidRPr="00456500">
          <w:rPr>
            <w:rStyle w:val="Hyperlink"/>
            <w:sz w:val="24"/>
            <w:lang w:val="sv-SE"/>
          </w:rPr>
          <w:t>http://data.europa.eu/</w:t>
        </w:r>
        <w:r w:rsidRPr="00456500">
          <w:rPr>
            <w:rStyle w:val="Hyperlink"/>
            <w:sz w:val="24"/>
            <w:lang w:val="sv-SE"/>
          </w:rPr>
          <w:t>eli</w:t>
        </w:r>
        <w:r w:rsidRPr="00456500">
          <w:rPr>
            <w:rStyle w:val="Hyperlink"/>
            <w:sz w:val="24"/>
            <w:lang w:val="sv-SE"/>
          </w:rPr>
          <w:t>/C/2025/1800/oj</w:t>
        </w:r>
      </w:hyperlink>
      <w:r w:rsidRPr="00BE483E">
        <w:rPr>
          <w:color w:val="000000" w:themeColor="text1"/>
          <w:sz w:val="24"/>
          <w:lang w:val="sv-SE"/>
        </w:rPr>
        <w:t>).</w:t>
      </w:r>
    </w:p>
    <w:p w:rsidR="00114EFE" w:rsidRPr="00BE483E" w:rsidP="00B320CC" w14:paraId="3608205E" w14:textId="37F80FCE">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9"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/C/2025/1801/oj</w:t>
        </w:r>
      </w:hyperlink>
      <w:r w:rsidRPr="00BE483E">
        <w:rPr>
          <w:color w:val="000000" w:themeColor="text1"/>
          <w:sz w:val="24"/>
          <w:lang w:val="sv-SE"/>
        </w:rPr>
        <w:t>).</w:t>
      </w:r>
    </w:p>
    <w:p w:rsidR="00114EFE" w:rsidRPr="00BE483E" w:rsidP="00B320CC" w14:paraId="70CE990D" w14:textId="3CA563BA">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10"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/C/2025/1802/oj</w:t>
        </w:r>
      </w:hyperlink>
      <w:r w:rsidRPr="00BE483E">
        <w:rPr>
          <w:color w:val="000000" w:themeColor="text1"/>
          <w:sz w:val="24"/>
          <w:lang w:val="sv-SE"/>
        </w:rPr>
        <w:t>).</w:t>
      </w:r>
    </w:p>
    <w:p w:rsidR="00114EFE" w:rsidRPr="00BE483E" w:rsidP="00B320CC" w14:paraId="40D27EEF" w14:textId="1A243440">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1"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/C/2025/1803/oj</w:t>
        </w:r>
      </w:hyperlink>
      <w:r w:rsidRPr="00BE483E">
        <w:rPr>
          <w:color w:val="000000" w:themeColor="text1"/>
          <w:sz w:val="24"/>
          <w:lang w:val="sv-SE"/>
        </w:rPr>
        <w:t>).</w:t>
      </w:r>
    </w:p>
    <w:p w:rsidR="00114EFE" w:rsidRPr="00BE483E" w:rsidP="00B320CC" w14:paraId="665C705D" w14:textId="4E47E4A8">
      <w:pPr>
        <w:pStyle w:val="FootnoteText"/>
        <w:ind w:left="1134" w:hanging="567"/>
        <w:rPr>
          <w:color w:val="000000" w:themeColor="text1"/>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color w:val="000000" w:themeColor="text1"/>
          <w:sz w:val="24"/>
          <w:lang w:val="sv-SE"/>
        </w:rPr>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2"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/C/2025/1804/oj</w:t>
        </w:r>
      </w:hyperlink>
      <w:r w:rsidRPr="00BE483E">
        <w:rPr>
          <w:color w:val="000000" w:themeColor="text1"/>
          <w:sz w:val="24"/>
          <w:lang w:val="sv-SE"/>
        </w:rPr>
        <w:t>).</w:t>
      </w:r>
    </w:p>
    <w:p w:rsidR="00114EFE" w:rsidRPr="00BE483E" w:rsidP="00B320CC" w14:paraId="034F7BF3" w14:textId="41C27908">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3" w:tooltip="Ger tillgång till detta dokument via dess ELI-URI-adress."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/C/2025/2246/oj</w:t>
        </w:r>
      </w:hyperlink>
      <w:r w:rsidRPr="00BE483E">
        <w:rPr>
          <w:sz w:val="24"/>
          <w:lang w:val="sv-SE"/>
        </w:rPr>
        <w:t>).</w:t>
      </w:r>
    </w:p>
    <w:p w:rsidR="00114EFE" w:rsidRPr="00BE483E" w:rsidP="00B320CC" w14:paraId="1B52DCCA" w14:textId="7EAAA9BB">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4" w:tooltip="Ger tillgång till detta dokument via dess ELI-URI-adress."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/C/2025/2247/oj</w:t>
        </w:r>
      </w:hyperlink>
      <w:r w:rsidRPr="00BE483E">
        <w:rPr>
          <w:sz w:val="24"/>
          <w:lang w:val="sv-SE"/>
        </w:rPr>
        <w:t>).</w:t>
      </w:r>
    </w:p>
    <w:p w:rsidR="00114EFE" w:rsidRPr="00BE483E" w:rsidP="00B320CC" w14:paraId="54ECFE1C" w14:textId="197E7104">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(EUT C, C/2026/586, 24.2.2026, ELI: </w:t>
      </w:r>
      <w:hyperlink r:id="rId15" w:tooltip="Ger tillgång till detta dokument via dess ELI-URI-adress."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/C/2026/586/oj</w:t>
        </w:r>
      </w:hyperlink>
      <w:r w:rsidRPr="00BE483E">
        <w:rPr>
          <w:sz w:val="24"/>
          <w:lang w:val="sv-SE"/>
        </w:rPr>
        <w:t>).</w:t>
      </w:r>
    </w:p>
    <w:p w:rsidR="00114EFE" w:rsidRPr="00BE483E" w:rsidP="00B320CC" w14:paraId="22DD6904" w14:textId="17A7329D">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(EUT C, C/2026/1523, 15.4.2026, ELI: </w:t>
      </w:r>
      <w:hyperlink r:id="rId16"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/C/2026/1523/oj</w:t>
        </w:r>
      </w:hyperlink>
      <w:r w:rsidRPr="00BE483E">
        <w:rPr>
          <w:sz w:val="24"/>
          <w:lang w:val="sv-SE"/>
        </w:rPr>
        <w:t>).</w:t>
      </w:r>
    </w:p>
    <w:p w:rsidR="00114EFE" w:rsidRPr="00BE483E" w:rsidP="00B320CC" w14:paraId="23128710" w14:textId="2BBEDD1A">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(EUT C, C/2026/1703, 24.4.2026, ELI: </w:t>
      </w:r>
      <w:hyperlink r:id="rId17"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/C/2026/1703/oj</w:t>
        </w:r>
      </w:hyperlink>
      <w:r w:rsidRPr="00BE483E">
        <w:rPr>
          <w:sz w:val="24"/>
          <w:lang w:val="sv-SE"/>
        </w:rPr>
        <w:t>).</w:t>
      </w:r>
    </w:p>
    <w:p w:rsidR="00114EFE" w:rsidRPr="00BE483E" w:rsidP="00B320CC" w14:paraId="18D424AA" w14:textId="115DAC44">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(EUT C, C/2026/1704, 24.4.2026, ELI: </w:t>
      </w:r>
      <w:hyperlink r:id="rId18"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/C/2026/1704/oj</w:t>
        </w:r>
      </w:hyperlink>
      <w:r w:rsidRPr="00BE483E">
        <w:rPr>
          <w:sz w:val="24"/>
          <w:lang w:val="sv-SE"/>
        </w:rPr>
        <w:t>).</w:t>
      </w:r>
    </w:p>
    <w:p w:rsidR="00114EFE" w:rsidRPr="00BE483E" w:rsidP="00B320CC" w14:paraId="1D8F5BE9" w14:textId="751569C7">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(EUT C, C/2026/1705, 24.4.2026, ELI: </w:t>
      </w:r>
      <w:hyperlink r:id="rId19"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/C/2026/1705/oj</w:t>
        </w:r>
      </w:hyperlink>
      <w:r w:rsidRPr="00BE483E">
        <w:rPr>
          <w:sz w:val="24"/>
          <w:lang w:val="sv-SE"/>
        </w:rPr>
        <w:t>).</w:t>
      </w:r>
    </w:p>
    <w:p w:rsidR="00114EFE" w:rsidRPr="00BE483E" w:rsidP="00B320CC" w14:paraId="1FC5BE6E" w14:textId="68C40E28">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(EUT C, C/2026/1706, 24.4.2026, ELI: </w:t>
      </w:r>
      <w:hyperlink r:id="rId20"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/C/2026/1706/oj</w:t>
        </w:r>
      </w:hyperlink>
      <w:r w:rsidRPr="00BE483E">
        <w:rPr>
          <w:sz w:val="24"/>
          <w:lang w:val="sv-SE"/>
        </w:rPr>
        <w:t>).</w:t>
      </w:r>
    </w:p>
    <w:p w:rsidR="00114EFE" w:rsidRPr="00BE483E" w:rsidP="00B320CC" w14:paraId="00275210" w14:textId="32A3FD84">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(EUT C, C/2026/1707, 24.4.2026, ELI: </w:t>
      </w:r>
      <w:hyperlink r:id="rId21"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/C/2026/1707/oj</w:t>
        </w:r>
      </w:hyperlink>
      <w:r w:rsidRPr="00BE483E">
        <w:rPr>
          <w:sz w:val="24"/>
          <w:lang w:val="sv-SE"/>
        </w:rPr>
        <w:t>).</w:t>
      </w:r>
    </w:p>
    <w:p w:rsidR="00114EFE" w:rsidRPr="00BE483E" w:rsidP="00B320CC" w14:paraId="7F83E9F4" w14:textId="64B5C815">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(EUT C, C/2026/2150, 6.5.2026, ELI: </w:t>
      </w:r>
      <w:hyperlink r:id="rId22"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/C/2026/2150/oj</w:t>
        </w:r>
      </w:hyperlink>
      <w:r w:rsidRPr="00BE483E">
        <w:rPr>
          <w:sz w:val="24"/>
          <w:lang w:val="sv-SE"/>
        </w:rPr>
        <w:t>).</w:t>
      </w:r>
    </w:p>
    <w:p w:rsidR="00114EFE" w:rsidRPr="00BE483E" w:rsidP="00B320CC" w14:paraId="02B3340D" w14:textId="503B8BFB">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(EUT C, C/2026/2151, 6.5.2026, ELI: </w:t>
      </w:r>
      <w:hyperlink r:id="rId23"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/C/2026/2151/oj</w:t>
        </w:r>
      </w:hyperlink>
      <w:r w:rsidRPr="00BE483E">
        <w:rPr>
          <w:sz w:val="24"/>
          <w:lang w:val="sv-SE"/>
        </w:rPr>
        <w:t>).</w:t>
      </w:r>
    </w:p>
    <w:p w:rsidR="00114EFE" w:rsidRPr="00BE483E" w:rsidP="00B320CC" w14:paraId="2FE082B5" w14:textId="222D0435">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 xml:space="preserve">Europaparlamentets resolution av den 11 februari 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(Antagna texter, </w:t>
      </w:r>
      <w:r w:rsidRPr="00456500">
        <w:rPr>
          <w:sz w:val="24"/>
          <w:lang w:val="sv-SE"/>
        </w:rPr>
        <w:t>P10_TA(2026)0041).</w:t>
      </w:r>
    </w:p>
    <w:p w:rsidR="00114EFE" w:rsidRPr="00BE483E" w:rsidP="00B320CC" w14:paraId="53032522" w14:textId="148AF337">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11 februari 2026 om utkastet till kommissionens genomförandebeslut om förlängning av godkännandet för utsläppande på marknaden av produkter som innehåller, består av eller har framställts av genetiskt modifierad majs T25 (ACS-ZMØØ3-2) i enlighet med Europaparlamentets och rådets förordning (EG) nr 1829/2003 (Antagna texter, P10_TA(2026)0042).</w:t>
      </w:r>
    </w:p>
    <w:p w:rsidR="00114EFE" w:rsidRPr="00BE483E" w:rsidP="00B320CC" w14:paraId="3AB46FDB" w14:textId="0FFA1DF3">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11 februari 2026 om utkastet till kommissionens genomförandebeslut om förlängning av godkännande för utsläppande på marknaden av produkter som innehåller, består av eller har framställts av genetiskt modifierad bomull GHB614 × LLCotton25 i enlighet med Europaparlamentets och rådets förordning (EG) nr 1829/2003 (Antagna texter, P10_TA(2026)0043).</w:t>
      </w:r>
    </w:p>
    <w:p w:rsidR="00114EFE" w:rsidRPr="00BE483E" w:rsidP="00B320CC" w14:paraId="3733EA9E" w14:textId="1ABD3B70">
      <w:pPr>
        <w:pStyle w:val="FootnoteText"/>
        <w:ind w:left="1134" w:hanging="567"/>
        <w:rPr>
          <w:sz w:val="24"/>
          <w:vertAlign w:val="superscript"/>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11 februari 2026 om utkastet till kommissionens genomförandebeslut om förlängning av godkännandet för utsläppande på marknaden av produkter som innehåller, består av eller har framställts av genetiskt modifierad bomull T304-40 i enlighet med Europaparlamentets och rådets förordning (EG) nr 1829/2003 (Antagna texter, P10_TA(2026)0044).</w:t>
      </w:r>
    </w:p>
    <w:p w:rsidR="00114EFE" w:rsidRPr="00BE483E" w:rsidP="00B320CC" w14:paraId="5DBC82DE" w14:textId="0D3F5CD7">
      <w:pPr>
        <w:pStyle w:val="FootnoteText"/>
        <w:ind w:left="1134" w:hanging="567"/>
        <w:rPr>
          <w:sz w:val="24"/>
          <w:lang w:val="sv-SE"/>
        </w:rPr>
      </w:pPr>
      <w:r w:rsidRPr="00B320CC">
        <w:rPr>
          <w:color w:val="000000" w:themeColor="text1"/>
          <w:sz w:val="24"/>
          <w:szCs w:val="24"/>
          <w:lang w:val="sv-SE"/>
        </w:rPr>
        <w:t>–</w:t>
      </w:r>
      <w:r w:rsidRPr="00B320CC">
        <w:rPr>
          <w:color w:val="000000" w:themeColor="text1"/>
          <w:sz w:val="24"/>
          <w:szCs w:val="24"/>
          <w:lang w:val="sv-SE"/>
        </w:rPr>
        <w:tab/>
      </w:r>
      <w:r w:rsidRPr="00BE483E">
        <w:rPr>
          <w:sz w:val="24"/>
          <w:lang w:val="sv-SE"/>
        </w:rPr>
        <w:t>Europaparlamentets resolution av den 29 april 2026 om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 (Antagna texter, P10_TA(2026)0150).</w:t>
      </w:r>
    </w:p>
  </w:footnote>
  <w:footnote w:id="7">
    <w:p w:rsidR="00114EFE" w:rsidRPr="00BE483E" w:rsidP="00BE483E" w14:paraId="23F565D4" w14:textId="6A91366C">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Kommissionens genomförandebeslut (EU) 2015/696 av den 24 april 2015 om godkännande för utsläppande på marknaden av produkter som innehåller, består av eller har framställts av den genetiskt modifierade sojabönan MON87705 (MON-877Ø5-6) i enlighet med Europaparlamentets och rådets förordning (EG) nr 1829/2003 (EUT L 112, 30.4.2015, s. 60, ELI: </w:t>
      </w:r>
      <w:hyperlink r:id="rId24" w:history="1">
        <w:r w:rsidRPr="00BE483E">
          <w:rPr>
            <w:rStyle w:val="Hyperlink"/>
            <w:sz w:val="24"/>
            <w:lang w:val="sv-SE"/>
          </w:rPr>
          <w:t>http://data.europa.eu/</w:t>
        </w:r>
        <w:r w:rsidRPr="00BE483E">
          <w:rPr>
            <w:rStyle w:val="Hyperlink"/>
            <w:sz w:val="24"/>
            <w:lang w:val="sv-SE"/>
          </w:rPr>
          <w:t>eli</w:t>
        </w:r>
        <w:r w:rsidRPr="00BE483E">
          <w:rPr>
            <w:rStyle w:val="Hyperlink"/>
            <w:sz w:val="24"/>
            <w:lang w:val="sv-SE"/>
          </w:rPr>
          <w:t>/</w:t>
        </w:r>
        <w:r w:rsidRPr="00BE483E">
          <w:rPr>
            <w:rStyle w:val="Hyperlink"/>
            <w:sz w:val="24"/>
            <w:lang w:val="sv-SE"/>
          </w:rPr>
          <w:t>dec_impl</w:t>
        </w:r>
        <w:r w:rsidRPr="00BE483E">
          <w:rPr>
            <w:rStyle w:val="Hyperlink"/>
            <w:sz w:val="24"/>
            <w:lang w:val="sv-SE"/>
          </w:rPr>
          <w:t>/2015/696/2021-02-16</w:t>
        </w:r>
      </w:hyperlink>
      <w:r w:rsidRPr="00BE483E">
        <w:rPr>
          <w:sz w:val="24"/>
          <w:lang w:val="sv-SE"/>
        </w:rPr>
        <w:t>).</w:t>
      </w:r>
    </w:p>
  </w:footnote>
  <w:footnote w:id="8">
    <w:p w:rsidR="00114EFE" w:rsidRPr="00BE483E" w:rsidP="00BE483E" w14:paraId="18502E11" w14:textId="6F51CFE2">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 xml:space="preserve">Vetenskapligt yttrande från </w:t>
      </w:r>
      <w:r w:rsidRPr="00BE483E">
        <w:rPr>
          <w:sz w:val="24"/>
          <w:lang w:val="sv-SE"/>
        </w:rPr>
        <w:t>Efsas</w:t>
      </w:r>
      <w:r w:rsidRPr="00BE483E">
        <w:rPr>
          <w:sz w:val="24"/>
          <w:lang w:val="sv-SE"/>
        </w:rPr>
        <w:t xml:space="preserve"> panel för genetiskt modifierade organismer över bedömningen av den genetiskt modifierade sojabönan MON 87705 för förlängt godkännande enligt förordning (EG) nr 1829/2003 (ärende GMFF-2023-21236), </w:t>
      </w:r>
      <w:r w:rsidRPr="00BE483E">
        <w:rPr>
          <w:i/>
          <w:iCs/>
          <w:sz w:val="24"/>
          <w:lang w:val="sv-SE"/>
        </w:rPr>
        <w:t>EFSA Journal</w:t>
      </w:r>
      <w:r w:rsidRPr="00BE483E">
        <w:rPr>
          <w:sz w:val="24"/>
          <w:lang w:val="sv-SE"/>
        </w:rPr>
        <w:t xml:space="preserve">, 2026, 24(1):e9846, </w:t>
      </w:r>
      <w:hyperlink r:id="rId4" w:history="1">
        <w:r w:rsidRPr="00BE483E">
          <w:rPr>
            <w:rStyle w:val="Hyperlink"/>
            <w:sz w:val="24"/>
            <w:lang w:val="sv-SE"/>
          </w:rPr>
          <w:t>https://doi.org/10.2903/j.efsa.2026.9846</w:t>
        </w:r>
      </w:hyperlink>
      <w:r w:rsidRPr="00BE483E">
        <w:rPr>
          <w:sz w:val="24"/>
          <w:lang w:val="sv-SE"/>
        </w:rPr>
        <w:t>.</w:t>
      </w:r>
    </w:p>
  </w:footnote>
  <w:footnote w:id="9">
    <w:p w:rsidR="00114EFE" w:rsidRPr="00BE483E" w:rsidP="00BE483E" w14:paraId="5703F08E" w14:textId="29E31FF8">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 xml:space="preserve">Vetenskapligt yttrande från </w:t>
      </w:r>
      <w:r w:rsidRPr="00BE483E">
        <w:rPr>
          <w:sz w:val="24"/>
          <w:lang w:val="sv-SE"/>
        </w:rPr>
        <w:t>Efsas</w:t>
      </w:r>
      <w:r w:rsidRPr="00BE483E">
        <w:rPr>
          <w:sz w:val="24"/>
          <w:lang w:val="sv-SE"/>
        </w:rPr>
        <w:t xml:space="preserve"> panel för genetiskt modifierade organismer över ansökan EFSA-GMO-NL-2010-78 om utsläppande på marknaden av den herbicidtoleranta genetiskt modifierade sojabönan MON 87705 för användning som livsmedel och foder och för import och bearbetning enligt förordning (EG) nr 1829/2003 från Monsanto, </w:t>
      </w:r>
      <w:r w:rsidRPr="00BE483E">
        <w:rPr>
          <w:i/>
          <w:iCs/>
          <w:sz w:val="24"/>
          <w:lang w:val="sv-SE"/>
        </w:rPr>
        <w:t>EFSA Journal</w:t>
      </w:r>
      <w:r w:rsidRPr="00BE483E">
        <w:rPr>
          <w:sz w:val="24"/>
          <w:lang w:val="sv-SE"/>
        </w:rPr>
        <w:t xml:space="preserve">, 2012, 10(10):2909, </w:t>
      </w:r>
      <w:hyperlink r:id="rId25" w:history="1">
        <w:r w:rsidRPr="00BE483E">
          <w:rPr>
            <w:rStyle w:val="Hyperlink"/>
            <w:sz w:val="24"/>
            <w:lang w:val="sv-SE"/>
          </w:rPr>
          <w:t>https://doi.org/10.2903/j.efsa.2012.2909</w:t>
        </w:r>
      </w:hyperlink>
      <w:r w:rsidRPr="00BE483E">
        <w:rPr>
          <w:sz w:val="24"/>
          <w:lang w:val="sv-SE"/>
        </w:rPr>
        <w:t>.</w:t>
      </w:r>
    </w:p>
  </w:footnote>
  <w:footnote w:id="10">
    <w:p w:rsidR="00114EFE" w:rsidRPr="00B320CC" w:rsidP="00BE483E" w14:paraId="4D306222" w14:textId="19B97F5F">
      <w:pPr>
        <w:pStyle w:val="FootnoteText"/>
        <w:ind w:left="567" w:hanging="567"/>
        <w:rPr>
          <w:sz w:val="24"/>
          <w:lang w:val="en-GB"/>
        </w:rPr>
      </w:pPr>
      <w:r w:rsidRPr="00BE483E">
        <w:rPr>
          <w:rStyle w:val="FootnoteReference"/>
          <w:sz w:val="24"/>
          <w:lang w:val="sv-SE"/>
        </w:rPr>
        <w:footnoteRef/>
      </w:r>
      <w:r w:rsidRPr="00B320CC" w:rsidR="00BE483E">
        <w:rPr>
          <w:sz w:val="24"/>
          <w:lang w:val="en-GB"/>
        </w:rPr>
        <w:t xml:space="preserve"> </w:t>
      </w:r>
      <w:r w:rsidRPr="00B320CC" w:rsidR="00BE483E">
        <w:rPr>
          <w:sz w:val="24"/>
          <w:lang w:val="en-GB"/>
        </w:rPr>
        <w:tab/>
      </w:r>
      <w:r w:rsidRPr="00B320CC">
        <w:rPr>
          <w:sz w:val="24"/>
          <w:lang w:val="en-GB"/>
        </w:rPr>
        <w:t>Efsas</w:t>
      </w:r>
      <w:r w:rsidRPr="00B320CC">
        <w:rPr>
          <w:sz w:val="24"/>
          <w:lang w:val="en-GB"/>
        </w:rPr>
        <w:t xml:space="preserve"> panel för </w:t>
      </w:r>
      <w:r w:rsidRPr="00B320CC">
        <w:rPr>
          <w:sz w:val="24"/>
          <w:lang w:val="en-GB"/>
        </w:rPr>
        <w:t>genetiskt</w:t>
      </w:r>
      <w:r w:rsidRPr="00B320CC">
        <w:rPr>
          <w:sz w:val="24"/>
          <w:lang w:val="en-GB"/>
        </w:rPr>
        <w:t xml:space="preserve"> </w:t>
      </w:r>
      <w:r w:rsidRPr="00B320CC">
        <w:rPr>
          <w:sz w:val="24"/>
          <w:lang w:val="en-GB"/>
        </w:rPr>
        <w:t>modifierade</w:t>
      </w:r>
      <w:r w:rsidRPr="00B320CC">
        <w:rPr>
          <w:sz w:val="24"/>
          <w:lang w:val="en-GB"/>
        </w:rPr>
        <w:t xml:space="preserve"> </w:t>
      </w:r>
      <w:r w:rsidRPr="00B320CC">
        <w:rPr>
          <w:sz w:val="24"/>
          <w:lang w:val="en-GB"/>
        </w:rPr>
        <w:t>organismer</w:t>
      </w:r>
      <w:r w:rsidRPr="00B320CC">
        <w:rPr>
          <w:sz w:val="24"/>
          <w:lang w:val="en-GB"/>
        </w:rPr>
        <w:t xml:space="preserve">, ”Statement complementing the scientific opinion on application EFSA-GMO-NL-2010-78 to cover the safety of soybean MON 87705 oil for commercial frying”, </w:t>
      </w:r>
      <w:r w:rsidRPr="00B320CC">
        <w:rPr>
          <w:i/>
          <w:sz w:val="24"/>
          <w:lang w:val="en-GB"/>
        </w:rPr>
        <w:t>EFSA Journal</w:t>
      </w:r>
      <w:r w:rsidRPr="00B320CC">
        <w:rPr>
          <w:sz w:val="24"/>
          <w:lang w:val="en-GB"/>
        </w:rPr>
        <w:t xml:space="preserve">, 2013, 11(12):3507, </w:t>
      </w:r>
      <w:hyperlink r:id="rId26" w:history="1">
        <w:r w:rsidRPr="00B320CC">
          <w:rPr>
            <w:rStyle w:val="Hyperlink"/>
            <w:sz w:val="24"/>
            <w:lang w:val="en-GB"/>
          </w:rPr>
          <w:t>https://doi.org/10.2903/j.efsa.2013.3507</w:t>
        </w:r>
      </w:hyperlink>
      <w:r w:rsidRPr="00B320CC">
        <w:rPr>
          <w:sz w:val="24"/>
          <w:lang w:val="en-GB"/>
        </w:rPr>
        <w:t>.</w:t>
      </w:r>
    </w:p>
  </w:footnote>
  <w:footnote w:id="11">
    <w:p w:rsidR="00114EFE" w:rsidRPr="00B96F48" w:rsidP="00BE483E" w14:paraId="5431976E" w14:textId="5BD44EF3">
      <w:pPr>
        <w:pStyle w:val="FootnoteText"/>
        <w:ind w:left="567" w:hanging="567"/>
        <w:rPr>
          <w:sz w:val="24"/>
          <w:lang w:val="en-GB"/>
        </w:rPr>
      </w:pPr>
      <w:r w:rsidRPr="00BE483E">
        <w:rPr>
          <w:rStyle w:val="FootnoteReference"/>
          <w:sz w:val="24"/>
          <w:lang w:val="sv-SE"/>
        </w:rPr>
        <w:footnoteRef/>
      </w:r>
      <w:r w:rsidRPr="00B96F48" w:rsidR="00BE483E">
        <w:rPr>
          <w:sz w:val="24"/>
          <w:shd w:val="clear" w:color="auto" w:fill="FFFFFF"/>
          <w:lang w:val="en-GB"/>
        </w:rPr>
        <w:t xml:space="preserve"> </w:t>
      </w:r>
      <w:r w:rsidRPr="00B96F48" w:rsidR="00BE483E">
        <w:rPr>
          <w:sz w:val="24"/>
          <w:shd w:val="clear" w:color="auto" w:fill="FFFFFF"/>
          <w:lang w:val="en-GB"/>
        </w:rPr>
        <w:tab/>
      </w:r>
      <w:r w:rsidRPr="00B96F48">
        <w:rPr>
          <w:sz w:val="24"/>
          <w:shd w:val="clear" w:color="auto" w:fill="FFFFFF"/>
          <w:lang w:val="en-GB"/>
        </w:rPr>
        <w:t xml:space="preserve">Se </w:t>
      </w:r>
      <w:r w:rsidRPr="00B96F48">
        <w:rPr>
          <w:sz w:val="24"/>
          <w:shd w:val="clear" w:color="auto" w:fill="FFFFFF"/>
          <w:lang w:val="en-GB"/>
        </w:rPr>
        <w:t>t.ex</w:t>
      </w:r>
      <w:r w:rsidRPr="00B96F48">
        <w:rPr>
          <w:sz w:val="24"/>
          <w:shd w:val="clear" w:color="auto" w:fill="FFFFFF"/>
          <w:lang w:val="en-GB"/>
        </w:rPr>
        <w:t xml:space="preserve">. </w:t>
      </w:r>
      <w:r w:rsidRPr="00B96F48">
        <w:rPr>
          <w:sz w:val="24"/>
          <w:lang w:val="en-GB"/>
        </w:rPr>
        <w:t>Bonny</w:t>
      </w:r>
      <w:r w:rsidRPr="00B96F48">
        <w:rPr>
          <w:sz w:val="24"/>
          <w:shd w:val="clear" w:color="auto" w:fill="FFFFFF"/>
          <w:lang w:val="en-GB"/>
        </w:rPr>
        <w:t xml:space="preserve">, S., ”Genetically Modified Herbicide-Tolerant Crops, Weeds, and Herbicides: Overview and Impact”, </w:t>
      </w:r>
      <w:r w:rsidRPr="00B96F48">
        <w:rPr>
          <w:i/>
          <w:iCs/>
          <w:sz w:val="24"/>
          <w:shd w:val="clear" w:color="auto" w:fill="FFFFFF"/>
          <w:lang w:val="en-GB"/>
        </w:rPr>
        <w:t>Environmental Management</w:t>
      </w:r>
      <w:r w:rsidRPr="00B96F48">
        <w:rPr>
          <w:sz w:val="24"/>
          <w:shd w:val="clear" w:color="auto" w:fill="FFFFFF"/>
          <w:lang w:val="en-GB"/>
        </w:rPr>
        <w:t xml:space="preserve">, </w:t>
      </w:r>
      <w:r w:rsidRPr="00B96F48">
        <w:rPr>
          <w:sz w:val="24"/>
          <w:shd w:val="clear" w:color="auto" w:fill="FFFFFF"/>
          <w:lang w:val="en-GB"/>
        </w:rPr>
        <w:t>januari</w:t>
      </w:r>
      <w:r w:rsidRPr="00B96F48">
        <w:rPr>
          <w:sz w:val="24"/>
          <w:shd w:val="clear" w:color="auto" w:fill="FFFFFF"/>
          <w:lang w:val="en-GB"/>
        </w:rPr>
        <w:t xml:space="preserve"> 2016/57(1), s. 31–48,</w:t>
      </w:r>
      <w:r w:rsidRPr="00B96F48">
        <w:rPr>
          <w:sz w:val="24"/>
          <w:lang w:val="en-GB"/>
        </w:rPr>
        <w:t xml:space="preserve"> </w:t>
      </w:r>
      <w:bookmarkStart w:id="7" w:name="_Hlk104996594"/>
      <w:hyperlink r:id="rId27" w:history="1">
        <w:r w:rsidRPr="00B96F48">
          <w:rPr>
            <w:rStyle w:val="Hyperlink"/>
            <w:sz w:val="24"/>
            <w:shd w:val="clear" w:color="auto" w:fill="FFFFFF"/>
            <w:lang w:val="en-GB"/>
          </w:rPr>
          <w:t>https://doi.org/10.1007/s00267-015-0589-7</w:t>
        </w:r>
      </w:hyperlink>
      <w:r w:rsidRPr="00B96F48">
        <w:rPr>
          <w:sz w:val="24"/>
          <w:shd w:val="clear" w:color="auto" w:fill="FFFFFF"/>
          <w:lang w:val="en-GB"/>
        </w:rPr>
        <w:t xml:space="preserve"> </w:t>
      </w:r>
      <w:bookmarkEnd w:id="7"/>
      <w:r w:rsidRPr="00B96F48">
        <w:rPr>
          <w:sz w:val="24"/>
          <w:shd w:val="clear" w:color="auto" w:fill="FFFFFF"/>
          <w:lang w:val="en-GB"/>
        </w:rPr>
        <w:t>och</w:t>
      </w:r>
      <w:r w:rsidRPr="00B96F48">
        <w:rPr>
          <w:sz w:val="24"/>
          <w:shd w:val="clear" w:color="auto" w:fill="FFFFFF"/>
          <w:lang w:val="en-GB"/>
        </w:rPr>
        <w:t xml:space="preserve"> Benbrook, C.M., ”Impacts of genetically engineered crops on pesticide use in the U.S. - the first sixteen years”, </w:t>
      </w:r>
      <w:r w:rsidRPr="00B96F48">
        <w:rPr>
          <w:i/>
          <w:iCs/>
          <w:sz w:val="24"/>
          <w:shd w:val="clear" w:color="auto" w:fill="FFFFFF"/>
          <w:lang w:val="en-GB"/>
        </w:rPr>
        <w:t>Environmental Sciences Europe</w:t>
      </w:r>
      <w:r w:rsidRPr="00B96F48">
        <w:rPr>
          <w:sz w:val="24"/>
          <w:shd w:val="clear" w:color="auto" w:fill="FFFFFF"/>
          <w:lang w:val="en-GB"/>
        </w:rPr>
        <w:t xml:space="preserve">, 28 </w:t>
      </w:r>
      <w:r w:rsidRPr="00B96F48">
        <w:rPr>
          <w:sz w:val="24"/>
          <w:shd w:val="clear" w:color="auto" w:fill="FFFFFF"/>
          <w:lang w:val="en-GB"/>
        </w:rPr>
        <w:t>september</w:t>
      </w:r>
      <w:r w:rsidRPr="00B96F48">
        <w:rPr>
          <w:sz w:val="24"/>
          <w:shd w:val="clear" w:color="auto" w:fill="FFFFFF"/>
          <w:lang w:val="en-GB"/>
        </w:rPr>
        <w:t xml:space="preserve"> 2012, vol. 24(1),</w:t>
      </w:r>
      <w:r w:rsidRPr="00B96F48">
        <w:rPr>
          <w:sz w:val="24"/>
          <w:lang w:val="en-GB"/>
        </w:rPr>
        <w:t xml:space="preserve"> </w:t>
      </w:r>
      <w:hyperlink r:id="rId28" w:history="1">
        <w:r w:rsidRPr="00B96F48">
          <w:rPr>
            <w:rStyle w:val="Hyperlink"/>
            <w:sz w:val="24"/>
            <w:lang w:val="en-GB"/>
          </w:rPr>
          <w:t>https://doi.org/10.1186/2190-4715-24-24</w:t>
        </w:r>
      </w:hyperlink>
      <w:r w:rsidRPr="00B96F48">
        <w:rPr>
          <w:sz w:val="24"/>
          <w:shd w:val="clear" w:color="auto" w:fill="FFFFFF"/>
          <w:lang w:val="en-GB"/>
        </w:rPr>
        <w:t>.</w:t>
      </w:r>
    </w:p>
  </w:footnote>
  <w:footnote w:id="12">
    <w:p w:rsidR="00114EFE" w:rsidRPr="00BE483E" w:rsidP="00BE483E" w14:paraId="0D8B3214" w14:textId="566FF5E5">
      <w:pPr>
        <w:pStyle w:val="FootnoteText"/>
        <w:ind w:left="567" w:hanging="567"/>
        <w:rPr>
          <w:sz w:val="24"/>
          <w:lang w:val="sv-SE"/>
        </w:rPr>
      </w:pPr>
      <w:r w:rsidRPr="00BE483E">
        <w:rPr>
          <w:rStyle w:val="FootnoteReference"/>
          <w:sz w:val="24"/>
          <w:lang w:val="sv-SE"/>
        </w:rPr>
        <w:footnoteRef/>
      </w:r>
      <w:r w:rsidRPr="00BE483E" w:rsidR="00BE483E">
        <w:rPr>
          <w:sz w:val="24"/>
          <w:shd w:val="clear" w:color="auto" w:fill="FFFFFF"/>
          <w:lang w:val="sv-SE"/>
        </w:rPr>
        <w:t xml:space="preserve"> </w:t>
      </w:r>
      <w:r w:rsidRPr="00BE483E" w:rsidR="00BE483E">
        <w:rPr>
          <w:sz w:val="24"/>
          <w:shd w:val="clear" w:color="auto" w:fill="FFFFFF"/>
          <w:lang w:val="sv-SE"/>
        </w:rPr>
        <w:tab/>
      </w:r>
      <w:r w:rsidRPr="00BE483E">
        <w:rPr>
          <w:sz w:val="24"/>
          <w:shd w:val="clear" w:color="auto" w:fill="FFFFFF"/>
          <w:lang w:val="sv-SE"/>
        </w:rPr>
        <w:t xml:space="preserve">Se </w:t>
      </w:r>
      <w:r w:rsidRPr="00BE483E">
        <w:rPr>
          <w:sz w:val="24"/>
          <w:shd w:val="clear" w:color="auto" w:fill="FFFFFF"/>
          <w:lang w:val="sv-SE"/>
        </w:rPr>
        <w:t>t.ex.</w:t>
      </w:r>
      <w:r w:rsidRPr="00BE483E">
        <w:rPr>
          <w:sz w:val="24"/>
          <w:lang w:val="sv-SE"/>
        </w:rPr>
        <w:t xml:space="preserve"> </w:t>
      </w:r>
      <w:bookmarkStart w:id="8" w:name="_Hlk104996780"/>
      <w:hyperlink r:id="rId29" w:history="1">
        <w:r w:rsidRPr="00BE483E">
          <w:rPr>
            <w:rStyle w:val="Hyperlink"/>
            <w:sz w:val="24"/>
            <w:lang w:val="sv-SE"/>
          </w:rPr>
          <w:t>https://doi.org/10.1016/j.mrrev.2019.02.001</w:t>
        </w:r>
      </w:hyperlink>
      <w:bookmarkEnd w:id="8"/>
      <w:r w:rsidRPr="00BE483E">
        <w:rPr>
          <w:sz w:val="24"/>
          <w:shd w:val="clear" w:color="auto" w:fill="FFFFFF"/>
          <w:lang w:val="sv-SE"/>
        </w:rPr>
        <w:t xml:space="preserve">, </w:t>
      </w:r>
      <w:hyperlink r:id="rId30" w:history="1">
        <w:r w:rsidRPr="00BE483E">
          <w:rPr>
            <w:rStyle w:val="Hyperlink"/>
            <w:sz w:val="24"/>
            <w:lang w:val="sv-SE"/>
          </w:rPr>
          <w:t>https://doi.org/10.1093/ije/dyz017</w:t>
        </w:r>
      </w:hyperlink>
      <w:r w:rsidRPr="00BE483E">
        <w:rPr>
          <w:sz w:val="24"/>
          <w:shd w:val="clear" w:color="auto" w:fill="FFFFFF"/>
          <w:lang w:val="sv-SE"/>
        </w:rPr>
        <w:t xml:space="preserve">, </w:t>
      </w:r>
      <w:hyperlink r:id="rId31" w:history="1">
        <w:r w:rsidRPr="00BE483E">
          <w:rPr>
            <w:rStyle w:val="Hyperlink"/>
            <w:sz w:val="24"/>
            <w:lang w:val="sv-SE"/>
          </w:rPr>
          <w:t>https://doi.org/10.1371/journal.pone.0219610</w:t>
        </w:r>
      </w:hyperlink>
      <w:r w:rsidRPr="00BE483E">
        <w:rPr>
          <w:sz w:val="24"/>
          <w:shd w:val="clear" w:color="auto" w:fill="FFFFFF"/>
          <w:lang w:val="sv-SE"/>
        </w:rPr>
        <w:t xml:space="preserve"> och </w:t>
      </w:r>
      <w:hyperlink r:id="rId32" w:history="1">
        <w:r w:rsidRPr="00BE483E">
          <w:rPr>
            <w:rStyle w:val="Hyperlink"/>
            <w:sz w:val="24"/>
            <w:lang w:val="sv-SE"/>
          </w:rPr>
          <w:t>https://doi.org/10.1186/s13045-019-0767-9</w:t>
        </w:r>
      </w:hyperlink>
      <w:r w:rsidRPr="00BE483E">
        <w:rPr>
          <w:sz w:val="24"/>
          <w:shd w:val="clear" w:color="auto" w:fill="FFFFFF"/>
          <w:lang w:val="sv-SE"/>
        </w:rPr>
        <w:t>.</w:t>
      </w:r>
    </w:p>
  </w:footnote>
  <w:footnote w:id="13">
    <w:p w:rsidR="00114EFE" w:rsidRPr="00BE483E" w:rsidP="00BE483E" w14:paraId="300CD7F2" w14:textId="4F01620E">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hyperlink r:id="rId33" w:tgtFrame="_blank" w:tooltip="Beständig länk med DOI" w:history="1">
        <w:r w:rsidRPr="00BE483E">
          <w:rPr>
            <w:rStyle w:val="Hyperlink"/>
            <w:sz w:val="24"/>
            <w:lang w:val="sv-SE"/>
          </w:rPr>
          <w:t>https://doi.org/10.1006/rtph.1999.1371</w:t>
        </w:r>
      </w:hyperlink>
      <w:r w:rsidRPr="00BE483E">
        <w:rPr>
          <w:sz w:val="24"/>
          <w:lang w:val="sv-SE"/>
        </w:rPr>
        <w:t>.</w:t>
      </w:r>
    </w:p>
  </w:footnote>
  <w:footnote w:id="14">
    <w:p w:rsidR="00114EFE" w:rsidRPr="00BE483E" w:rsidP="00BE483E" w14:paraId="77C53EF8" w14:textId="56A3479C">
      <w:pPr>
        <w:pStyle w:val="FootnoteText"/>
        <w:ind w:left="567" w:hanging="567"/>
        <w:rPr>
          <w:sz w:val="24"/>
          <w:szCs w:val="24"/>
          <w:lang w:val="sv-SE"/>
        </w:rPr>
      </w:pPr>
      <w:r w:rsidRPr="00BE483E">
        <w:rPr>
          <w:rStyle w:val="FootnoteReference"/>
          <w:sz w:val="24"/>
          <w:lang w:val="sv-SE"/>
        </w:rPr>
        <w:footnoteRef/>
      </w:r>
      <w:r w:rsidRPr="00BE483E" w:rsidR="00BE483E">
        <w:rPr>
          <w:sz w:val="24"/>
          <w:shd w:val="clear" w:color="auto" w:fill="FFFFFF"/>
          <w:lang w:val="sv-SE"/>
        </w:rPr>
        <w:t xml:space="preserve"> </w:t>
      </w:r>
      <w:r w:rsidRPr="00BE483E" w:rsidR="00BE483E">
        <w:rPr>
          <w:sz w:val="24"/>
          <w:shd w:val="clear" w:color="auto" w:fill="FFFFFF"/>
          <w:lang w:val="sv-SE"/>
        </w:rPr>
        <w:tab/>
      </w:r>
      <w:r w:rsidRPr="00BE483E">
        <w:rPr>
          <w:sz w:val="24"/>
          <w:shd w:val="clear" w:color="auto" w:fill="FFFFFF"/>
          <w:lang w:val="sv-SE"/>
        </w:rPr>
        <w:t xml:space="preserve">Detta är fallet med </w:t>
      </w:r>
      <w:r w:rsidRPr="00BE483E">
        <w:rPr>
          <w:sz w:val="24"/>
          <w:shd w:val="clear" w:color="auto" w:fill="FFFFFF"/>
          <w:lang w:val="sv-SE"/>
        </w:rPr>
        <w:t>glyfosat</w:t>
      </w:r>
      <w:r w:rsidRPr="00BE483E">
        <w:rPr>
          <w:sz w:val="24"/>
          <w:shd w:val="clear" w:color="auto" w:fill="FFFFFF"/>
          <w:lang w:val="sv-SE"/>
        </w:rPr>
        <w:t xml:space="preserve">, så som anges i </w:t>
      </w:r>
      <w:r w:rsidRPr="00BE483E">
        <w:rPr>
          <w:sz w:val="24"/>
          <w:shd w:val="clear" w:color="auto" w:fill="FFFFFF"/>
          <w:lang w:val="sv-SE"/>
        </w:rPr>
        <w:t>Efsas</w:t>
      </w:r>
      <w:r w:rsidRPr="00BE483E">
        <w:rPr>
          <w:sz w:val="24"/>
          <w:shd w:val="clear" w:color="auto" w:fill="FFFFFF"/>
          <w:lang w:val="sv-SE"/>
        </w:rPr>
        <w:t xml:space="preserve"> motiverade yttrande med granskning av de aktuella </w:t>
      </w:r>
      <w:r w:rsidRPr="00BE483E">
        <w:rPr>
          <w:sz w:val="24"/>
          <w:lang w:val="sv-SE"/>
        </w:rPr>
        <w:t>gränsvärdena</w:t>
      </w:r>
      <w:r w:rsidRPr="00BE483E">
        <w:rPr>
          <w:sz w:val="24"/>
          <w:shd w:val="clear" w:color="auto" w:fill="FFFFFF"/>
          <w:lang w:val="sv-SE"/>
        </w:rPr>
        <w:t xml:space="preserve"> för resthalter av </w:t>
      </w:r>
      <w:r w:rsidRPr="00BE483E">
        <w:rPr>
          <w:sz w:val="24"/>
          <w:shd w:val="clear" w:color="auto" w:fill="FFFFFF"/>
          <w:lang w:val="sv-SE"/>
        </w:rPr>
        <w:t>glyfosat</w:t>
      </w:r>
      <w:r w:rsidRPr="00BE483E">
        <w:rPr>
          <w:sz w:val="24"/>
          <w:shd w:val="clear" w:color="auto" w:fill="FFFFFF"/>
          <w:lang w:val="sv-SE"/>
        </w:rPr>
        <w:t xml:space="preserve"> enligt artikel 12 i förordning (EG) nr 396/2005, </w:t>
      </w:r>
      <w:r w:rsidRPr="00BE483E">
        <w:rPr>
          <w:i/>
          <w:iCs/>
          <w:sz w:val="24"/>
          <w:shd w:val="clear" w:color="auto" w:fill="FFFFFF"/>
          <w:lang w:val="sv-SE"/>
        </w:rPr>
        <w:t>EFSA Journal</w:t>
      </w:r>
      <w:r w:rsidRPr="00BE483E">
        <w:rPr>
          <w:sz w:val="24"/>
          <w:shd w:val="clear" w:color="auto" w:fill="FFFFFF"/>
          <w:lang w:val="sv-SE"/>
        </w:rPr>
        <w:t>, 2018,16(5):e5263, s. 12,</w:t>
      </w:r>
      <w:r w:rsidRPr="00BE483E">
        <w:rPr>
          <w:sz w:val="24"/>
          <w:lang w:val="sv-SE"/>
        </w:rPr>
        <w:t xml:space="preserve"> </w:t>
      </w:r>
      <w:hyperlink r:id="rId34" w:history="1">
        <w:r w:rsidRPr="00BE483E">
          <w:rPr>
            <w:rStyle w:val="Hyperlink"/>
            <w:color w:val="123D80"/>
            <w:sz w:val="24"/>
            <w:shd w:val="clear" w:color="auto" w:fill="FFFFFF"/>
            <w:lang w:val="sv-SE"/>
          </w:rPr>
          <w:t>https://doi.org/10.2903/j.efsa.2018.5263</w:t>
        </w:r>
      </w:hyperlink>
      <w:r w:rsidRPr="00BE483E">
        <w:rPr>
          <w:sz w:val="24"/>
          <w:shd w:val="clear" w:color="auto" w:fill="FFFFFF"/>
          <w:lang w:val="sv-SE"/>
        </w:rPr>
        <w:t>.</w:t>
      </w:r>
    </w:p>
  </w:footnote>
  <w:footnote w:id="15">
    <w:p w:rsidR="00114EFE" w:rsidRPr="00B320CC" w:rsidP="00BE483E" w14:paraId="650DAB0D" w14:textId="62555D55">
      <w:pPr>
        <w:pStyle w:val="FootnoteText"/>
        <w:ind w:left="567" w:hanging="567"/>
        <w:rPr>
          <w:sz w:val="24"/>
          <w:lang w:val="de-DE"/>
        </w:rPr>
      </w:pPr>
      <w:r w:rsidRPr="00BE483E">
        <w:rPr>
          <w:rStyle w:val="FootnoteReference"/>
          <w:sz w:val="24"/>
          <w:lang w:val="sv-SE"/>
        </w:rPr>
        <w:footnoteRef/>
      </w:r>
      <w:r w:rsidRPr="00B320CC" w:rsidR="00BE483E">
        <w:rPr>
          <w:sz w:val="24"/>
          <w:lang w:val="de-DE"/>
        </w:rPr>
        <w:t xml:space="preserve"> </w:t>
      </w:r>
      <w:r w:rsidRPr="00B320CC" w:rsidR="00BE483E">
        <w:rPr>
          <w:sz w:val="24"/>
          <w:lang w:val="de-DE"/>
        </w:rPr>
        <w:tab/>
      </w:r>
      <w:r w:rsidRPr="00B320CC">
        <w:rPr>
          <w:sz w:val="24"/>
          <w:lang w:val="de-DE"/>
        </w:rPr>
        <w:t>EUT L 282, 19.10.2016, s. 4.</w:t>
      </w:r>
    </w:p>
  </w:footnote>
  <w:footnote w:id="16">
    <w:p w:rsidR="00114EFE" w:rsidRPr="00B320CC" w:rsidP="00BE483E" w14:paraId="5867EE68" w14:textId="601BA859">
      <w:pPr>
        <w:pStyle w:val="FootnoteText"/>
        <w:ind w:left="567" w:hanging="567"/>
        <w:rPr>
          <w:sz w:val="24"/>
          <w:lang w:val="de-DE"/>
        </w:rPr>
      </w:pPr>
      <w:r w:rsidRPr="00BE483E">
        <w:rPr>
          <w:rStyle w:val="FootnoteReference"/>
          <w:sz w:val="24"/>
          <w:lang w:val="sv-SE"/>
        </w:rPr>
        <w:footnoteRef/>
      </w:r>
      <w:r w:rsidRPr="00B320CC" w:rsidR="00BE483E">
        <w:rPr>
          <w:sz w:val="24"/>
          <w:lang w:val="de-DE"/>
        </w:rPr>
        <w:t xml:space="preserve"> </w:t>
      </w:r>
      <w:r w:rsidRPr="00B320CC" w:rsidR="00BE483E">
        <w:rPr>
          <w:sz w:val="24"/>
          <w:lang w:val="de-DE"/>
        </w:rPr>
        <w:tab/>
      </w:r>
      <w:r w:rsidRPr="00B320CC">
        <w:rPr>
          <w:sz w:val="24"/>
          <w:lang w:val="de-DE"/>
        </w:rPr>
        <w:t>EGT L 309, 13.12.1993, s. 3, ELI: </w:t>
      </w:r>
      <w:hyperlink r:id="rId35" w:tooltip="Ger tillgång till detta dokument via dess ELI-URI-adress." w:history="1">
        <w:r w:rsidRPr="00B320CC">
          <w:rPr>
            <w:rStyle w:val="Hyperlink"/>
            <w:sz w:val="24"/>
            <w:lang w:val="de-DE"/>
          </w:rPr>
          <w:t>http://data.europa.eu/eli/convention/1993/626/oj</w:t>
        </w:r>
      </w:hyperlink>
      <w:r w:rsidRPr="00B320CC">
        <w:rPr>
          <w:sz w:val="24"/>
          <w:lang w:val="de-DE"/>
        </w:rPr>
        <w:t>.</w:t>
      </w:r>
    </w:p>
  </w:footnote>
  <w:footnote w:id="17">
    <w:p w:rsidR="00114EFE" w:rsidRPr="00BE483E" w:rsidP="00BE483E" w14:paraId="26320012" w14:textId="100B3AEF">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 xml:space="preserve">Vid COP15 i december 2022 enades man om en global ram för biologisk mångfald inom ramen för FN:s konvention om biologisk mångfald, som innehåller ett globalt mål om att minska riskerna med bekämpningsmedel med minst 50 % till 2030 (se </w:t>
      </w:r>
      <w:hyperlink r:id="rId36" w:history="1">
        <w:r w:rsidRPr="00BE483E">
          <w:rPr>
            <w:rStyle w:val="Hyperlink"/>
            <w:sz w:val="24"/>
            <w:lang w:val="sv-SE"/>
          </w:rPr>
          <w:t>https://ec.europa.eu/commission/presscorner/detail/sv/ip_22_7834</w:t>
        </w:r>
      </w:hyperlink>
      <w:r w:rsidRPr="00BE483E">
        <w:rPr>
          <w:sz w:val="24"/>
          <w:lang w:val="sv-SE"/>
        </w:rPr>
        <w:t>).</w:t>
      </w:r>
    </w:p>
  </w:footnote>
  <w:footnote w:id="18">
    <w:p w:rsidR="00114EFE" w:rsidRPr="00BE483E" w:rsidP="00BE483E" w14:paraId="673988C8" w14:textId="5A42FF01">
      <w:pPr>
        <w:pStyle w:val="FootnoteText"/>
        <w:ind w:left="567" w:hanging="567"/>
        <w:rPr>
          <w:sz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hyperlink r:id="rId37" w:history="1">
        <w:r w:rsidRPr="00BE483E">
          <w:rPr>
            <w:sz w:val="24"/>
            <w:lang w:val="sv-SE"/>
          </w:rPr>
          <w:t>https://commission.europa.eu/strategy-and-policy/priorities-2019-2024/european-green-deal/agriculture-and-green-deal/strategic-dialogue-future-eu-agriculture_sv</w:t>
        </w:r>
      </w:hyperlink>
      <w:r w:rsidRPr="00BE483E">
        <w:rPr>
          <w:sz w:val="24"/>
          <w:lang w:val="sv-SE"/>
        </w:rPr>
        <w:t>.</w:t>
      </w:r>
    </w:p>
  </w:footnote>
  <w:footnote w:id="19">
    <w:p w:rsidR="00114EFE" w:rsidRPr="00BE483E" w:rsidP="00BE483E" w14:paraId="25413D1F" w14:textId="71DBDCDF">
      <w:pPr>
        <w:pStyle w:val="FootnoteText"/>
        <w:ind w:left="567" w:hanging="567"/>
        <w:rPr>
          <w:sz w:val="24"/>
          <w:szCs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r w:rsidRPr="00BE483E">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38" w:tgtFrame="Gives access to this document through its ELI URI." w:history="1">
        <w:r w:rsidRPr="00BE483E">
          <w:rPr>
            <w:rStyle w:val="Hyperlink"/>
            <w:color w:val="0070C0"/>
            <w:sz w:val="24"/>
            <w:lang w:val="sv-SE"/>
          </w:rPr>
          <w:t>http://data.europa.eu/</w:t>
        </w:r>
        <w:r w:rsidRPr="00BE483E">
          <w:rPr>
            <w:rStyle w:val="Hyperlink"/>
            <w:color w:val="0070C0"/>
            <w:sz w:val="24"/>
            <w:lang w:val="sv-SE"/>
          </w:rPr>
          <w:t>eli</w:t>
        </w:r>
        <w:r w:rsidRPr="00BE483E">
          <w:rPr>
            <w:rStyle w:val="Hyperlink"/>
            <w:color w:val="0070C0"/>
            <w:sz w:val="24"/>
            <w:lang w:val="sv-SE"/>
          </w:rPr>
          <w:t>/</w:t>
        </w:r>
        <w:r w:rsidRPr="00BE483E">
          <w:rPr>
            <w:rStyle w:val="Hyperlink"/>
            <w:color w:val="0070C0"/>
            <w:sz w:val="24"/>
            <w:lang w:val="sv-SE"/>
          </w:rPr>
          <w:t>reg</w:t>
        </w:r>
        <w:r w:rsidRPr="00BE483E">
          <w:rPr>
            <w:rStyle w:val="Hyperlink"/>
            <w:color w:val="0070C0"/>
            <w:sz w:val="24"/>
            <w:lang w:val="sv-SE"/>
          </w:rPr>
          <w:t>/2002/178/oj</w:t>
        </w:r>
      </w:hyperlink>
      <w:r w:rsidRPr="00BE483E">
        <w:rPr>
          <w:sz w:val="24"/>
          <w:lang w:val="sv-SE"/>
        </w:rPr>
        <w:t>).</w:t>
      </w:r>
    </w:p>
  </w:footnote>
  <w:footnote w:id="20">
    <w:p w:rsidR="00114EFE" w:rsidRPr="00BE483E" w:rsidP="00BE483E" w14:paraId="52D28748" w14:textId="38477D18">
      <w:pPr>
        <w:pStyle w:val="FootnoteText"/>
        <w:ind w:left="567" w:hanging="567"/>
        <w:rPr>
          <w:sz w:val="24"/>
          <w:szCs w:val="24"/>
          <w:lang w:val="sv-SE"/>
        </w:rPr>
      </w:pPr>
      <w:r w:rsidRPr="00BE483E">
        <w:rPr>
          <w:rStyle w:val="FootnoteReference"/>
          <w:sz w:val="24"/>
          <w:lang w:val="sv-SE"/>
        </w:rPr>
        <w:footnoteRef/>
      </w:r>
      <w:r w:rsidRPr="00BE483E" w:rsidR="00BE483E">
        <w:rPr>
          <w:sz w:val="24"/>
          <w:lang w:val="sv-SE"/>
        </w:rPr>
        <w:t xml:space="preserve"> </w:t>
      </w:r>
      <w:r w:rsidRPr="00BE483E" w:rsidR="00BE483E">
        <w:rPr>
          <w:sz w:val="24"/>
          <w:lang w:val="sv-SE"/>
        </w:rPr>
        <w:tab/>
      </w:r>
      <w:hyperlink r:id="rId39" w:history="1">
        <w:r w:rsidRPr="00BE483E">
          <w:rPr>
            <w:rStyle w:val="Hyperlink"/>
            <w:sz w:val="24"/>
            <w:shd w:val="clear" w:color="auto" w:fill="FFFFFF"/>
            <w:lang w:val="sv-SE"/>
          </w:rPr>
          <w:t>https://tillymetz.lu/wp-content/uploads/2020/09/Co-signed-letter-MEP-Metz.pdf</w:t>
        </w:r>
      </w:hyperlink>
      <w:r w:rsidRPr="00BE483E">
        <w:rPr>
          <w:sz w:val="24"/>
          <w:shd w:val="clear" w:color="auto" w:fill="FFFFFF"/>
          <w:lang w:val="sv-SE"/>
        </w:rPr>
        <w:t>.</w:t>
      </w:r>
    </w:p>
  </w:footnote>
  <w:footnote w:id="21">
    <w:p w:rsidR="00114EFE" w:rsidRPr="00BE483E" w:rsidP="00BE483E" w14:paraId="719CB7C2" w14:textId="1821D4C6">
      <w:pPr>
        <w:pStyle w:val="FootnoteText"/>
        <w:ind w:left="567" w:hanging="567"/>
        <w:rPr>
          <w:sz w:val="24"/>
          <w:lang w:val="sv-SE"/>
        </w:rPr>
      </w:pPr>
      <w:r w:rsidRPr="00BE483E">
        <w:rPr>
          <w:rStyle w:val="FootnoteReference"/>
          <w:sz w:val="24"/>
          <w:lang w:val="sv-SE"/>
        </w:rPr>
        <w:footnoteRef/>
      </w:r>
      <w:r w:rsidRPr="00BE483E" w:rsidR="00BE483E">
        <w:rPr>
          <w:sz w:val="24"/>
          <w:shd w:val="clear" w:color="auto" w:fill="FFFFFF"/>
          <w:lang w:val="sv-SE"/>
        </w:rPr>
        <w:t xml:space="preserve"> </w:t>
      </w:r>
      <w:r w:rsidRPr="00BE483E" w:rsidR="00BE483E">
        <w:rPr>
          <w:sz w:val="24"/>
          <w:shd w:val="clear" w:color="auto" w:fill="FFFFFF"/>
          <w:lang w:val="sv-SE"/>
        </w:rPr>
        <w:tab/>
      </w:r>
      <w:r w:rsidRPr="00BE483E">
        <w:rPr>
          <w:sz w:val="24"/>
          <w:shd w:val="clear" w:color="auto" w:fill="FFFFFF"/>
          <w:lang w:val="sv-SE"/>
        </w:rPr>
        <w:t>Europaparlamentets resolution av den 15 januari 2020 om den europeiska gröna given (EUT C 270, 7.7.2021, s. 2), punkt 102.</w:t>
      </w:r>
    </w:p>
  </w:footnote>
  <w:footnote w:id="22">
    <w:p w:rsidR="00114EFE" w:rsidRPr="00BE483E" w:rsidP="00BE483E" w14:paraId="24428F2E" w14:textId="5F93D193">
      <w:pPr>
        <w:pStyle w:val="FootnoteText"/>
        <w:ind w:left="567" w:hanging="567"/>
        <w:rPr>
          <w:sz w:val="24"/>
          <w:szCs w:val="24"/>
          <w:lang w:val="sv-SE"/>
        </w:rPr>
      </w:pPr>
      <w:r w:rsidRPr="00BE483E">
        <w:rPr>
          <w:rStyle w:val="FootnoteReference"/>
          <w:sz w:val="24"/>
          <w:lang w:val="sv-SE"/>
        </w:rPr>
        <w:footnoteRef/>
      </w:r>
      <w:r w:rsidRPr="00BE483E" w:rsidR="00BE483E">
        <w:rPr>
          <w:sz w:val="24"/>
          <w:shd w:val="clear" w:color="auto" w:fill="FFFFFF"/>
          <w:lang w:val="sv-SE"/>
        </w:rPr>
        <w:t xml:space="preserve"> </w:t>
      </w:r>
      <w:r w:rsidRPr="00BE483E" w:rsidR="00BE483E">
        <w:rPr>
          <w:sz w:val="24"/>
          <w:shd w:val="clear" w:color="auto" w:fill="FFFFFF"/>
          <w:lang w:val="sv-SE"/>
        </w:rPr>
        <w:tab/>
      </w:r>
      <w:r w:rsidRPr="00BE483E">
        <w:rPr>
          <w:sz w:val="24"/>
          <w:shd w:val="clear" w:color="auto" w:fill="FFFFFF"/>
          <w:lang w:val="sv-SE"/>
        </w:rPr>
        <w:t>EUT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1959260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2030FA4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83E" w14:paraId="3D4033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4958348">
    <w:abstractNumId w:val="9"/>
  </w:num>
  <w:num w:numId="2" w16cid:durableId="1459491440">
    <w:abstractNumId w:val="9"/>
  </w:num>
  <w:num w:numId="3" w16cid:durableId="1628705287">
    <w:abstractNumId w:val="7"/>
  </w:num>
  <w:num w:numId="4" w16cid:durableId="1475486993">
    <w:abstractNumId w:val="7"/>
  </w:num>
  <w:num w:numId="5" w16cid:durableId="1486166431">
    <w:abstractNumId w:val="6"/>
  </w:num>
  <w:num w:numId="6" w16cid:durableId="1612204571">
    <w:abstractNumId w:val="6"/>
  </w:num>
  <w:num w:numId="7" w16cid:durableId="157160861">
    <w:abstractNumId w:val="5"/>
  </w:num>
  <w:num w:numId="8" w16cid:durableId="1404643840">
    <w:abstractNumId w:val="5"/>
  </w:num>
  <w:num w:numId="9" w16cid:durableId="695083297">
    <w:abstractNumId w:val="4"/>
  </w:num>
  <w:num w:numId="10" w16cid:durableId="1124956662">
    <w:abstractNumId w:val="4"/>
  </w:num>
  <w:num w:numId="11" w16cid:durableId="584848884">
    <w:abstractNumId w:val="8"/>
  </w:num>
  <w:num w:numId="12" w16cid:durableId="602689490">
    <w:abstractNumId w:val="8"/>
  </w:num>
  <w:num w:numId="13" w16cid:durableId="1803769004">
    <w:abstractNumId w:val="3"/>
  </w:num>
  <w:num w:numId="14" w16cid:durableId="494613405">
    <w:abstractNumId w:val="3"/>
  </w:num>
  <w:num w:numId="15" w16cid:durableId="2142917020">
    <w:abstractNumId w:val="2"/>
  </w:num>
  <w:num w:numId="16" w16cid:durableId="869681872">
    <w:abstractNumId w:val="2"/>
  </w:num>
  <w:num w:numId="17" w16cid:durableId="26680739">
    <w:abstractNumId w:val="1"/>
  </w:num>
  <w:num w:numId="18" w16cid:durableId="98380186">
    <w:abstractNumId w:val="1"/>
  </w:num>
  <w:num w:numId="19" w16cid:durableId="792599380">
    <w:abstractNumId w:val="0"/>
  </w:num>
  <w:num w:numId="20" w16cid:durableId="1005132888">
    <w:abstractNumId w:val="0"/>
  </w:num>
  <w:num w:numId="21" w16cid:durableId="571353003">
    <w:abstractNumId w:val="9"/>
  </w:num>
  <w:num w:numId="22" w16cid:durableId="58670108">
    <w:abstractNumId w:val="7"/>
  </w:num>
  <w:num w:numId="23" w16cid:durableId="1236938919">
    <w:abstractNumId w:val="6"/>
  </w:num>
  <w:num w:numId="24" w16cid:durableId="1318219331">
    <w:abstractNumId w:val="5"/>
  </w:num>
  <w:num w:numId="25" w16cid:durableId="1698853709">
    <w:abstractNumId w:val="4"/>
  </w:num>
  <w:num w:numId="26" w16cid:durableId="978609905">
    <w:abstractNumId w:val="8"/>
  </w:num>
  <w:num w:numId="27" w16cid:durableId="266010728">
    <w:abstractNumId w:val="3"/>
  </w:num>
  <w:num w:numId="28" w16cid:durableId="947590486">
    <w:abstractNumId w:val="2"/>
  </w:num>
  <w:num w:numId="29" w16cid:durableId="189150780">
    <w:abstractNumId w:val="1"/>
  </w:num>
  <w:num w:numId="30" w16cid:durableId="378018732">
    <w:abstractNumId w:val="0"/>
  </w:num>
  <w:num w:numId="31" w16cid:durableId="670448714">
    <w:abstractNumId w:val="9"/>
  </w:num>
  <w:num w:numId="32" w16cid:durableId="1497958080">
    <w:abstractNumId w:val="7"/>
  </w:num>
  <w:num w:numId="33" w16cid:durableId="932937451">
    <w:abstractNumId w:val="6"/>
  </w:num>
  <w:num w:numId="34" w16cid:durableId="1031760594">
    <w:abstractNumId w:val="5"/>
  </w:num>
  <w:num w:numId="35" w16cid:durableId="968588832">
    <w:abstractNumId w:val="4"/>
  </w:num>
  <w:num w:numId="36" w16cid:durableId="1950620860">
    <w:abstractNumId w:val="8"/>
  </w:num>
  <w:num w:numId="37" w16cid:durableId="1945111005">
    <w:abstractNumId w:val="3"/>
  </w:num>
  <w:num w:numId="38" w16cid:durableId="239214959">
    <w:abstractNumId w:val="2"/>
  </w:num>
  <w:num w:numId="39" w16cid:durableId="701326206">
    <w:abstractNumId w:val="1"/>
  </w:num>
  <w:num w:numId="40" w16cid:durableId="2136873782">
    <w:abstractNumId w:val="0"/>
  </w:num>
  <w:num w:numId="41" w16cid:durableId="1158424039">
    <w:abstractNumId w:val="10"/>
  </w:num>
  <w:num w:numId="42" w16cid:durableId="1564024226">
    <w:abstractNumId w:val="10"/>
  </w:num>
  <w:num w:numId="43" w16cid:durableId="205991006">
    <w:abstractNumId w:val="10"/>
  </w:num>
  <w:num w:numId="44" w16cid:durableId="1294142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6FD"/>
    <w:rsid w:val="00002272"/>
    <w:rsid w:val="00064002"/>
    <w:rsid w:val="000677B9"/>
    <w:rsid w:val="000831BA"/>
    <w:rsid w:val="000A42CC"/>
    <w:rsid w:val="000E7DD9"/>
    <w:rsid w:val="0010095E"/>
    <w:rsid w:val="00114EFE"/>
    <w:rsid w:val="00125B37"/>
    <w:rsid w:val="00187494"/>
    <w:rsid w:val="001F32AE"/>
    <w:rsid w:val="002417BE"/>
    <w:rsid w:val="002767FF"/>
    <w:rsid w:val="002772C2"/>
    <w:rsid w:val="002B18FE"/>
    <w:rsid w:val="002B5493"/>
    <w:rsid w:val="0033616B"/>
    <w:rsid w:val="00343214"/>
    <w:rsid w:val="00361C00"/>
    <w:rsid w:val="00395FA1"/>
    <w:rsid w:val="003E15D4"/>
    <w:rsid w:val="00411CCE"/>
    <w:rsid w:val="0041666E"/>
    <w:rsid w:val="00421060"/>
    <w:rsid w:val="00456500"/>
    <w:rsid w:val="00461BF6"/>
    <w:rsid w:val="00471C19"/>
    <w:rsid w:val="004867E3"/>
    <w:rsid w:val="00494A28"/>
    <w:rsid w:val="004C0004"/>
    <w:rsid w:val="004C5D52"/>
    <w:rsid w:val="0050519A"/>
    <w:rsid w:val="005072A1"/>
    <w:rsid w:val="00514517"/>
    <w:rsid w:val="00545827"/>
    <w:rsid w:val="00560270"/>
    <w:rsid w:val="005C2568"/>
    <w:rsid w:val="005F1B17"/>
    <w:rsid w:val="006037C0"/>
    <w:rsid w:val="0061431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6D4"/>
    <w:rsid w:val="008C2AC6"/>
    <w:rsid w:val="008F36FD"/>
    <w:rsid w:val="00930C23"/>
    <w:rsid w:val="0093193B"/>
    <w:rsid w:val="009509D8"/>
    <w:rsid w:val="00950B64"/>
    <w:rsid w:val="00981893"/>
    <w:rsid w:val="00A1687D"/>
    <w:rsid w:val="00A43E52"/>
    <w:rsid w:val="00A4678D"/>
    <w:rsid w:val="00A778C7"/>
    <w:rsid w:val="00AB441E"/>
    <w:rsid w:val="00AB5DEF"/>
    <w:rsid w:val="00AB6293"/>
    <w:rsid w:val="00AE0928"/>
    <w:rsid w:val="00AF3B82"/>
    <w:rsid w:val="00B12E95"/>
    <w:rsid w:val="00B22876"/>
    <w:rsid w:val="00B320CC"/>
    <w:rsid w:val="00B558F0"/>
    <w:rsid w:val="00B95BC5"/>
    <w:rsid w:val="00B96F48"/>
    <w:rsid w:val="00B9701D"/>
    <w:rsid w:val="00BD48FE"/>
    <w:rsid w:val="00BD7BD8"/>
    <w:rsid w:val="00BE483E"/>
    <w:rsid w:val="00BE6ADC"/>
    <w:rsid w:val="00C05BFE"/>
    <w:rsid w:val="00C23CD4"/>
    <w:rsid w:val="00C61C0C"/>
    <w:rsid w:val="00C65F3A"/>
    <w:rsid w:val="00C941CB"/>
    <w:rsid w:val="00CC2357"/>
    <w:rsid w:val="00CF071A"/>
    <w:rsid w:val="00D058B8"/>
    <w:rsid w:val="00D56C11"/>
    <w:rsid w:val="00D834A0"/>
    <w:rsid w:val="00D872DF"/>
    <w:rsid w:val="00D91E21"/>
    <w:rsid w:val="00DA06F0"/>
    <w:rsid w:val="00DA7FCD"/>
    <w:rsid w:val="00E365E1"/>
    <w:rsid w:val="00E820A4"/>
    <w:rsid w:val="00EB006A"/>
    <w:rsid w:val="00EB4772"/>
    <w:rsid w:val="00ED169E"/>
    <w:rsid w:val="00ED4235"/>
    <w:rsid w:val="00F04346"/>
    <w:rsid w:val="00F075DC"/>
    <w:rsid w:val="00F149E9"/>
    <w:rsid w:val="00F5134D"/>
    <w:rsid w:val="00F74202"/>
    <w:rsid w:val="00F82C70"/>
    <w:rsid w:val="00F87713"/>
    <w:rsid w:val="00FB4360"/>
    <w:rsid w:val="00FD0C70"/>
  </w:rsids>
  <w:docVars>
    <w:docVar w:name="dvdocse" w:val="B10-0334/2026"/>
    <w:docVar w:name="dvlangue" w:val="SV"/>
    <w:docVar w:name="dvnumam" w:val="0"/>
    <w:docVar w:name="dvpe" w:val="789.024"/>
    <w:docVar w:name="dvtitre" w:val="Europaparlamentets resolution av den xx xx 2026 om utkastet till kommissionens genomförandebeslut om förlängning av godkännandet av utsläppande på marknaden av produkter som innehåller, består av eller har framställts av den genetiskt modifierade sojabönan MON 87705 i enlighet med Europaparlamentets och rådets förordning (EG) nr 1829/2003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52F3FE"/>
  <w15:chartTrackingRefBased/>
  <w15:docId w15:val="{86036623-C380-4B8E-89B4-B65BBF26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4EFE"/>
    <w:pPr>
      <w:spacing w:before="480" w:after="240"/>
    </w:pPr>
  </w:style>
  <w:style w:type="paragraph" w:customStyle="1" w:styleId="NormalHanging12a">
    <w:name w:val="NormalHanging12a"/>
    <w:basedOn w:val="Normal"/>
    <w:qFormat/>
    <w:rsid w:val="00114EFE"/>
    <w:pPr>
      <w:spacing w:after="240"/>
      <w:ind w:left="567" w:hanging="567"/>
    </w:pPr>
  </w:style>
  <w:style w:type="character" w:styleId="Hyperlink">
    <w:name w:val="Hyperlink"/>
    <w:basedOn w:val="DefaultParagraphFont"/>
    <w:uiPriority w:val="99"/>
    <w:rsid w:val="00114EFE"/>
    <w:rPr>
      <w:color w:val="0563C1" w:themeColor="hyperlink"/>
      <w:u w:val="single"/>
    </w:rPr>
  </w:style>
  <w:style w:type="character" w:customStyle="1" w:styleId="Funotenzeichen">
    <w:name w:val="Fußnotenzeichen"/>
    <w:basedOn w:val="DefaultParagraphFont"/>
    <w:uiPriority w:val="99"/>
    <w:qFormat/>
    <w:rsid w:val="00114EFE"/>
    <w:rPr>
      <w:rFonts w:cs="Times New Roman"/>
      <w:vertAlign w:val="superscript"/>
    </w:rPr>
  </w:style>
  <w:style w:type="paragraph" w:styleId="Revision">
    <w:name w:val="Revision"/>
    <w:hidden/>
    <w:uiPriority w:val="99"/>
    <w:semiHidden/>
    <w:rsid w:val="00461BF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sv/ip_22_7834" TargetMode="External" /><Relationship Id="rId37" Type="http://schemas.openxmlformats.org/officeDocument/2006/relationships/hyperlink" Target="https://commission.europa.eu/strategy-and-policy/priorities-2019-2024/european-green-deal/agriculture-and-green-deal/strategic-dialogue-future-eu-agriculture_sv"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1947</Words>
  <Characters>12474</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2026-08-06T13:53:00Z</dcterms:created>
  <dcterms:modified xsi:type="dcterms:W3CDTF">2026-08-06T13:53:00Z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B10-0334/2026</vt:lpwstr>
  </property>
  <property fmtid="{D5CDD505-2E9C-101B-9397-08002B2CF9AE}" pid="4" name="&lt;Type&gt;">
    <vt:lpwstr>RR</vt:lpwstr>
  </property>
</Properties>
</file>