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631078" w14:textId="77777777" w:rsidTr="0010095E">
        <w:tblPrEx>
          <w:tblW w:w="9072" w:type="dxa"/>
          <w:tblLook w:val="01E0"/>
        </w:tblPrEx>
        <w:trPr>
          <w:trHeight w:hRule="exact" w:val="1418"/>
        </w:trPr>
        <w:tc>
          <w:tcPr>
            <w:tcW w:w="6804" w:type="dxa"/>
            <w:shd w:val="clear" w:color="auto" w:fill="auto"/>
            <w:vAlign w:val="center"/>
          </w:tcPr>
          <w:p w:rsidR="00751A4A" w:rsidRPr="004959AB" w:rsidP="0010095E" w14:paraId="20FC2059" w14:textId="21C879A1">
            <w:pPr>
              <w:pStyle w:val="EPName"/>
            </w:pPr>
            <w:r w:rsidRPr="004959AB">
              <w:t>Европейски</w:t>
            </w:r>
            <w:r w:rsidRPr="004959AB" w:rsidR="006D21C3">
              <w:t xml:space="preserve"> парламент</w:t>
            </w:r>
          </w:p>
          <w:p w:rsidR="00751A4A" w:rsidRPr="004959AB" w:rsidP="005F1B17" w14:paraId="0371B14E" w14:textId="7602A21E">
            <w:pPr>
              <w:pStyle w:val="EPTerm"/>
              <w:rPr>
                <w:rStyle w:val="HideTWBExt"/>
                <w:noProof w:val="0"/>
                <w:vanish w:val="0"/>
                <w:color w:val="auto"/>
              </w:rPr>
            </w:pPr>
            <w:r w:rsidRPr="004959AB">
              <w:t>2024</w:t>
            </w:r>
            <w:r w:rsidR="00D77792">
              <w:rPr>
                <w:lang w:val="en-GB"/>
              </w:rPr>
              <w:t> – </w:t>
            </w:r>
            <w:r w:rsidRPr="004959AB" w:rsidR="00817416">
              <w:t>202</w:t>
            </w:r>
            <w:r w:rsidRPr="004959AB">
              <w:t>9</w:t>
            </w:r>
          </w:p>
        </w:tc>
        <w:tc>
          <w:tcPr>
            <w:tcW w:w="2268" w:type="dxa"/>
            <w:shd w:val="clear" w:color="auto" w:fill="auto"/>
          </w:tcPr>
          <w:p w:rsidR="00751A4A" w:rsidRPr="004959AB" w:rsidP="0010095E" w14:paraId="3BABAEF0" w14:textId="77777777">
            <w:pPr>
              <w:pStyle w:val="EPLogo"/>
            </w:pPr>
            <w:r w:rsidRPr="004959A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959AB" w:rsidP="004C5D52" w14:paraId="277B98EC" w14:textId="77777777">
      <w:pPr>
        <w:pStyle w:val="LineTop"/>
      </w:pPr>
    </w:p>
    <w:p w:rsidR="00680577" w:rsidRPr="004959AB" w:rsidP="00680577" w14:paraId="4BA65A98" w14:textId="77777777">
      <w:pPr>
        <w:pStyle w:val="EPBodyTA1"/>
      </w:pPr>
      <w:r w:rsidRPr="004959AB">
        <w:t>ПРИЕТИ ТЕКСТОВЕ</w:t>
      </w:r>
    </w:p>
    <w:p w:rsidR="00D058B8" w:rsidRPr="004959AB" w:rsidP="00D058B8" w14:paraId="47EE5049" w14:textId="77777777">
      <w:pPr>
        <w:pStyle w:val="LineBottom"/>
      </w:pPr>
    </w:p>
    <w:p w:rsidR="006D21C3" w:rsidRPr="004959AB" w:rsidP="006D21C3" w14:paraId="1C8ADCE9" w14:textId="1A89E61F">
      <w:pPr>
        <w:pStyle w:val="ATHeading1"/>
      </w:pPr>
      <w:bookmarkStart w:id="0" w:name="TANumber"/>
      <w:r w:rsidRPr="004959AB">
        <w:t>P10_TA(2026)0</w:t>
      </w:r>
      <w:r w:rsidRPr="00F46525" w:rsidR="00383B3F">
        <w:rPr>
          <w:lang w:val="ru-RU"/>
        </w:rPr>
        <w:t>265</w:t>
      </w:r>
      <w:bookmarkEnd w:id="0"/>
    </w:p>
    <w:p w:rsidR="006D21C3" w:rsidRPr="004959AB" w:rsidP="006D21C3" w14:paraId="164988B3" w14:textId="362843A5">
      <w:pPr>
        <w:pStyle w:val="ATHeading2"/>
      </w:pPr>
      <w:bookmarkStart w:id="1" w:name="title"/>
      <w:r w:rsidRPr="004959AB">
        <w:t xml:space="preserve">Генетично модифицирана царевица DP202216 x NK603 x DAS-40278-9 и нейните </w:t>
      </w:r>
      <w:r w:rsidRPr="004959AB">
        <w:t>подкомбинации</w:t>
      </w:r>
      <w:r w:rsidRPr="004959AB">
        <w:t xml:space="preserve"> DP202216 x NK603, DP202216 x DAS-40278-9</w:t>
      </w:r>
      <w:bookmarkEnd w:id="1"/>
    </w:p>
    <w:p w:rsidR="006D21C3" w:rsidRPr="004959AB" w:rsidP="006D21C3" w14:paraId="1E0DFB65" w14:textId="77777777">
      <w:pPr>
        <w:rPr>
          <w:i/>
          <w:vanish/>
        </w:rPr>
      </w:pPr>
      <w:r>
        <w:rPr>
          <w:i/>
        </w:rPr>
        <w:fldChar w:fldCharType="begin"/>
      </w:r>
      <w:r w:rsidRPr="004959AB">
        <w:rPr>
          <w:i/>
        </w:rPr>
        <w:instrText xml:space="preserve"> TC"(</w:instrText>
      </w:r>
      <w:bookmarkStart w:id="2" w:name="DocNumber"/>
      <w:r w:rsidRPr="004959AB">
        <w:rPr>
          <w:i/>
        </w:rPr>
        <w:instrText>B10-0336/2026</w:instrText>
      </w:r>
      <w:bookmarkEnd w:id="2"/>
      <w:r w:rsidRPr="004959AB">
        <w:rPr>
          <w:i/>
        </w:rPr>
        <w:instrText xml:space="preserve">)"\l3 \n&gt; \* MERGEFORMAT </w:instrText>
      </w:r>
      <w:r>
        <w:rPr>
          <w:i/>
        </w:rPr>
        <w:fldChar w:fldCharType="end"/>
      </w:r>
    </w:p>
    <w:p w:rsidR="006D21C3" w:rsidRPr="004959AB" w:rsidP="006D21C3" w14:paraId="1972064B" w14:textId="77777777">
      <w:pPr>
        <w:rPr>
          <w:vanish/>
        </w:rPr>
      </w:pPr>
      <w:bookmarkStart w:id="3" w:name="PE"/>
      <w:r w:rsidRPr="004959AB">
        <w:rPr>
          <w:vanish/>
        </w:rPr>
        <w:t>PE789.025</w:t>
      </w:r>
      <w:bookmarkEnd w:id="3"/>
    </w:p>
    <w:p w:rsidR="006D21C3" w:rsidRPr="00F46525" w:rsidP="00383B3F" w14:paraId="26608EFF" w14:textId="2483711E">
      <w:pPr>
        <w:pStyle w:val="ATHeading3"/>
        <w:rPr>
          <w:lang w:val="ru-RU"/>
        </w:rPr>
      </w:pPr>
      <w:bookmarkStart w:id="4" w:name="Sujet"/>
      <w:bookmarkStart w:id="5" w:name="_Hlk234409421"/>
      <w:r w:rsidRPr="004959AB">
        <w:t xml:space="preserve">Резолюция на Европейския парламент от </w:t>
      </w:r>
      <w:r w:rsidRPr="00F46525" w:rsidR="00D77792">
        <w:rPr>
          <w:lang w:val="ru-RU"/>
        </w:rPr>
        <w:t xml:space="preserve">8 </w:t>
      </w:r>
      <w:r w:rsidR="00D77792">
        <w:t>юли</w:t>
      </w:r>
      <w:r w:rsidRPr="004959AB">
        <w:t xml:space="preserve"> 2026 г. относно </w:t>
      </w:r>
      <w:r w:rsidR="00D77792">
        <w:t>Р</w:t>
      </w:r>
      <w:r w:rsidRPr="004959AB">
        <w:t>ешение за изпълнение</w:t>
      </w:r>
      <w:r w:rsidR="00D77792">
        <w:t xml:space="preserve"> (ЕС) 2026/1443</w:t>
      </w:r>
      <w:r w:rsidRPr="004959AB">
        <w:t xml:space="preserve"> на Комисията </w:t>
      </w:r>
      <w:r w:rsidR="00D77792">
        <w:t xml:space="preserve">от 29 юни 2026 г. </w:t>
      </w:r>
      <w:r w:rsidRPr="004959AB">
        <w:t xml:space="preserve">за разрешаване на пускането на пазара на продукти, съдържащи, състоящи се или произведени от генетично модифицирана царевица DP202216 x NK603 x DAS-40278-9 и нейните </w:t>
      </w:r>
      <w:r w:rsidRPr="004959AB">
        <w:t>подкомбинации</w:t>
      </w:r>
      <w:r w:rsidRPr="004959AB">
        <w:t xml:space="preserve"> DP202216 x NK603, DP202216 x DAS-40278-9, </w:t>
      </w:r>
      <w:r w:rsidRPr="00D77792" w:rsidR="00D77792">
        <w:t>в съответствие с</w:t>
      </w:r>
      <w:r w:rsidRPr="004959AB">
        <w:t xml:space="preserve"> Регламент (ЕО) № 1829/2003 на Европейския парламент и на Съвета</w:t>
      </w:r>
      <w:bookmarkEnd w:id="4"/>
      <w:r w:rsidRPr="004959AB">
        <w:t xml:space="preserve"> </w:t>
      </w:r>
      <w:bookmarkStart w:id="6" w:name="References"/>
      <w:r w:rsidRPr="004959AB">
        <w:t>(2026/2746(RSP))</w:t>
      </w:r>
      <w:bookmarkEnd w:id="6"/>
      <w:bookmarkEnd w:id="5"/>
    </w:p>
    <w:p w:rsidR="00397725" w:rsidRPr="004959AB" w:rsidP="00397725" w14:paraId="753F55FB" w14:textId="77777777">
      <w:pPr>
        <w:pStyle w:val="NormalHanging12a"/>
        <w:tabs>
          <w:tab w:val="center" w:pos="4535"/>
        </w:tabs>
        <w:spacing w:before="240"/>
      </w:pPr>
      <w:bookmarkStart w:id="7" w:name="TextBodyBegin"/>
      <w:bookmarkEnd w:id="7"/>
      <w:r w:rsidRPr="004959AB">
        <w:rPr>
          <w:i/>
        </w:rPr>
        <w:t>Европейският парламент</w:t>
      </w:r>
      <w:r w:rsidRPr="004959AB">
        <w:t>,</w:t>
      </w:r>
    </w:p>
    <w:p w:rsidR="00397725" w:rsidRPr="004959AB" w:rsidP="00397725" w14:paraId="19D286A1" w14:textId="3422E506">
      <w:pPr>
        <w:pStyle w:val="NormalHanging12a"/>
      </w:pPr>
      <w:r w:rsidRPr="004959AB">
        <w:t>–</w:t>
      </w:r>
      <w:r w:rsidRPr="004959AB">
        <w:tab/>
        <w:t xml:space="preserve">като взе предвид </w:t>
      </w:r>
      <w:r w:rsidR="00D77792">
        <w:t>Р</w:t>
      </w:r>
      <w:r w:rsidRPr="004959AB">
        <w:t>ешение за изпълнение</w:t>
      </w:r>
      <w:r w:rsidR="00D77792">
        <w:t xml:space="preserve"> (ЕС) 2026/1443</w:t>
      </w:r>
      <w:r w:rsidRPr="004959AB">
        <w:t xml:space="preserve"> на Комисията </w:t>
      </w:r>
      <w:r w:rsidR="00D77792">
        <w:t xml:space="preserve">от 29 юни 2026 г. </w:t>
      </w:r>
      <w:r w:rsidRPr="004959AB">
        <w:t xml:space="preserve">за разрешаване на пускането на пазара на продукти, съдържащи, състоящи се или произведени от генетично модифицирана царевица DP202216 x NK603 x DAS-40278-9 и нейните </w:t>
      </w:r>
      <w:r w:rsidRPr="004959AB">
        <w:t>подкомбинации</w:t>
      </w:r>
      <w:r w:rsidRPr="004959AB">
        <w:t xml:space="preserve"> DP202216 x NK603, DP202216 x DAS-40278-9, </w:t>
      </w:r>
      <w:r w:rsidRPr="00D77792" w:rsidR="00D77792">
        <w:t>в съответствие с</w:t>
      </w:r>
      <w:r w:rsidRPr="004959AB">
        <w:t xml:space="preserve"> Регламент (ЕО) № 1829/2003 на Европейския парламент и на Съвета</w:t>
      </w:r>
      <w:r>
        <w:rPr>
          <w:rStyle w:val="FootnoteReference"/>
        </w:rPr>
        <w:footnoteReference w:id="2"/>
      </w:r>
      <w:r w:rsidRPr="004959AB">
        <w:t>,</w:t>
      </w:r>
    </w:p>
    <w:p w:rsidR="00397725" w:rsidRPr="004959AB" w:rsidP="00397725" w14:paraId="3C839F7C" w14:textId="77777777">
      <w:pPr>
        <w:pStyle w:val="NormalHanging12a"/>
      </w:pPr>
      <w:r w:rsidRPr="004959AB">
        <w:t>–</w:t>
      </w:r>
      <w:r w:rsidRPr="004959AB">
        <w:tab/>
        <w:t>като взе предвид Регламент (ЕО) № 1829/2003 на Европейския парламент и на Съвета от 22 септември 2003 г. относно генетично модифицираните храни и фуражи</w:t>
      </w:r>
      <w:r>
        <w:rPr>
          <w:rStyle w:val="FootnoteReference"/>
        </w:rPr>
        <w:footnoteReference w:id="3"/>
      </w:r>
      <w:r w:rsidRPr="004959AB">
        <w:t>, и по-специално член 7, параграф 3 и член 19, параграф 3 от него,</w:t>
      </w:r>
    </w:p>
    <w:p w:rsidR="00397725" w:rsidRPr="004959AB" w:rsidP="00397725" w14:paraId="208A3F73" w14:textId="77777777">
      <w:pPr>
        <w:pStyle w:val="NormalHanging12a"/>
      </w:pPr>
      <w:r w:rsidRPr="004959AB">
        <w:t>–</w:t>
      </w:r>
      <w:r w:rsidRPr="004959AB">
        <w:tab/>
        <w:t>като взе предвид гласуването на 27 април 2026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2 юни 2026 г., при което също не беше изразено становище,</w:t>
      </w:r>
    </w:p>
    <w:p w:rsidR="00397725" w:rsidRPr="004959AB" w:rsidP="00397725" w14:paraId="72B0EBBA" w14:textId="77777777">
      <w:pPr>
        <w:pStyle w:val="NormalHanging12a"/>
      </w:pPr>
      <w:r w:rsidRPr="004959AB">
        <w:t>–</w:t>
      </w:r>
      <w:r w:rsidRPr="004959AB">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Pr>
          <w:rStyle w:val="FootnoteReference"/>
        </w:rPr>
        <w:footnoteReference w:id="4"/>
      </w:r>
      <w:r w:rsidRPr="004959AB">
        <w:t>,</w:t>
      </w:r>
    </w:p>
    <w:p w:rsidR="00397725" w:rsidRPr="004959AB" w:rsidP="00397725" w14:paraId="08502D51" w14:textId="77777777">
      <w:pPr>
        <w:pStyle w:val="NormalHanging12a"/>
      </w:pPr>
      <w:r w:rsidRPr="004959AB">
        <w:t>–</w:t>
      </w:r>
      <w:r w:rsidRPr="004959AB">
        <w:tab/>
        <w:t xml:space="preserve">като взе предвид становището, прието от Европейския орган за безопасност на </w:t>
      </w:r>
      <w:r w:rsidRPr="004959AB">
        <w:t>храните (ЕОБХ) на 30 октомври 2025 г. и публикувано на 5 декември 2025 г.</w:t>
      </w:r>
      <w:r>
        <w:rPr>
          <w:rStyle w:val="FootnoteReference"/>
        </w:rPr>
        <w:footnoteReference w:id="5"/>
      </w:r>
      <w:r w:rsidRPr="004959AB">
        <w:t>,</w:t>
      </w:r>
    </w:p>
    <w:p w:rsidR="00397725" w:rsidRPr="004959AB" w:rsidP="00397725" w14:paraId="06E741E3" w14:textId="77777777">
      <w:pPr>
        <w:pStyle w:val="NormalHanging12a"/>
      </w:pPr>
      <w:r w:rsidRPr="004959AB">
        <w:t>–</w:t>
      </w:r>
      <w:r w:rsidRPr="004959AB">
        <w:tab/>
        <w:t>като взе предвид предишните си резолюции, в които възразява срещу разрешаването на генетично модифицирани организми (ГМО)</w:t>
      </w:r>
      <w:r>
        <w:rPr>
          <w:rStyle w:val="FootnoteReference"/>
        </w:rPr>
        <w:footnoteReference w:id="6"/>
      </w:r>
      <w:r w:rsidRPr="004959AB">
        <w:t>,</w:t>
      </w:r>
    </w:p>
    <w:p w:rsidR="00397725" w:rsidRPr="004959AB" w:rsidP="00397725" w14:paraId="70D7638D" w14:textId="77777777">
      <w:pPr>
        <w:pStyle w:val="NormalHanging12a"/>
      </w:pPr>
      <w:r w:rsidRPr="004959AB">
        <w:t>–</w:t>
      </w:r>
      <w:r w:rsidRPr="004959AB">
        <w:tab/>
        <w:t>като взе предвид член 115, параграфи 2 и 3 от своя Правилник за дейността,</w:t>
      </w:r>
    </w:p>
    <w:p w:rsidR="00397725" w:rsidRPr="004959AB" w:rsidP="00397725" w14:paraId="1212FA02" w14:textId="77777777">
      <w:pPr>
        <w:pStyle w:val="NormalHanging12a"/>
      </w:pPr>
      <w:r w:rsidRPr="004959AB">
        <w:t>–</w:t>
      </w:r>
      <w:r w:rsidRPr="004959AB">
        <w:tab/>
        <w:t>като взе предвид предложението за резолюция на комисията по околна среда, климат и безопасност на храните,</w:t>
      </w:r>
    </w:p>
    <w:p w:rsidR="00397725" w:rsidRPr="004959AB" w:rsidP="00383B3F" w14:paraId="7D0DD3D9" w14:textId="39B8F72A">
      <w:pPr>
        <w:pStyle w:val="Considrant"/>
        <w:numPr>
          <w:ilvl w:val="0"/>
          <w:numId w:val="0"/>
        </w:numPr>
        <w:spacing w:after="240"/>
        <w:ind w:left="567" w:hanging="567"/>
        <w:jc w:val="left"/>
        <w:rPr>
          <w:szCs w:val="24"/>
        </w:rPr>
      </w:pPr>
      <w:r w:rsidRPr="004959AB">
        <w:t>А.</w:t>
      </w:r>
      <w:r w:rsidRPr="004959AB">
        <w:tab/>
        <w:t xml:space="preserve">като има предвид, че на 10 март 2023 г. дружеството </w:t>
      </w:r>
      <w:r w:rsidRPr="004959AB">
        <w:rPr>
          <w:snapToGrid w:val="0"/>
        </w:rPr>
        <w:t>Corteva</w:t>
      </w:r>
      <w:r w:rsidRPr="004959AB">
        <w:rPr>
          <w:snapToGrid w:val="0"/>
        </w:rPr>
        <w:t xml:space="preserve"> </w:t>
      </w:r>
      <w:r w:rsidRPr="004959AB">
        <w:rPr>
          <w:snapToGrid w:val="0"/>
        </w:rPr>
        <w:t>Agriscience</w:t>
      </w:r>
      <w:r w:rsidRPr="004959AB">
        <w:rPr>
          <w:snapToGrid w:val="0"/>
        </w:rPr>
        <w:t xml:space="preserve"> </w:t>
      </w:r>
      <w:r w:rsidRPr="004959AB">
        <w:rPr>
          <w:snapToGrid w:val="0"/>
        </w:rPr>
        <w:t>Belgium</w:t>
      </w:r>
      <w:r w:rsidRPr="004959AB">
        <w:rPr>
          <w:snapToGrid w:val="0"/>
        </w:rPr>
        <w:t xml:space="preserve"> B.V., със седалище в Белгия, от името на </w:t>
      </w:r>
      <w:r w:rsidRPr="004959AB">
        <w:rPr>
          <w:snapToGrid w:val="0"/>
        </w:rPr>
        <w:t>Corteva</w:t>
      </w:r>
      <w:r w:rsidRPr="004959AB">
        <w:rPr>
          <w:snapToGrid w:val="0"/>
        </w:rPr>
        <w:t xml:space="preserve"> </w:t>
      </w:r>
      <w:r w:rsidRPr="004959AB">
        <w:rPr>
          <w:snapToGrid w:val="0"/>
        </w:rPr>
        <w:t>Agriscience</w:t>
      </w:r>
      <w:r w:rsidRPr="004959AB">
        <w:rPr>
          <w:snapToGrid w:val="0"/>
        </w:rPr>
        <w:t xml:space="preserve"> LLC, със седалище в Съединените щати, подаде заявление за</w:t>
      </w:r>
      <w:r w:rsidRPr="004959AB">
        <w:t xml:space="preserve"> пускане на пазара на храни, хранителни съставки и фуражи, съдържащи, състоящи се или произведени от генетично модифицирана царевица DP202216 × NK603 × DAS-40279-9 (</w:t>
      </w:r>
      <w:r w:rsidR="000973D9">
        <w:t xml:space="preserve">наричана по-нататък </w:t>
      </w:r>
      <w:r w:rsidRPr="004959AB">
        <w:t xml:space="preserve">„ГМ царевица“), в съответствие с членове 5 и 17 от Регламент (ЕО) № 1829/2003; като има предвид, че заявлението се отнася също и за пускането на пазара на продукти, съдържащи или състоящи се от </w:t>
      </w:r>
      <w:r w:rsidR="00526119">
        <w:t>ГМ</w:t>
      </w:r>
      <w:r w:rsidRPr="004959AB">
        <w:t xml:space="preserve"> царевица за употреба, различна от употребата като храни и фуражи, с изключение на отглеждането;</w:t>
      </w:r>
    </w:p>
    <w:p w:rsidR="00397725" w:rsidRPr="004959AB" w:rsidP="00383B3F" w14:paraId="168523B8" w14:textId="07EED3E3">
      <w:pPr>
        <w:widowControl/>
        <w:shd w:val="clear" w:color="auto" w:fill="FFFFFF"/>
        <w:spacing w:after="240"/>
        <w:ind w:left="567" w:hanging="567"/>
        <w:rPr>
          <w:szCs w:val="24"/>
        </w:rPr>
      </w:pPr>
      <w:r w:rsidRPr="004959AB">
        <w:t>Б.</w:t>
      </w:r>
      <w:r w:rsidRPr="004959AB">
        <w:tab/>
        <w:t xml:space="preserve">като има предвид, че на 30 октомври 2025 г. ЕОБХ прие положително научно становище във връзка с разрешението за </w:t>
      </w:r>
      <w:r w:rsidR="00526119">
        <w:t>ГМ</w:t>
      </w:r>
      <w:r w:rsidRPr="004959AB">
        <w:t xml:space="preserve"> царевица, което беше публикувано на </w:t>
      </w:r>
      <w:r w:rsidRPr="004959AB">
        <w:rPr>
          <w:shd w:val="clear" w:color="auto" w:fill="FFFFFF"/>
        </w:rPr>
        <w:t>5 декември 2025 г.</w:t>
      </w:r>
      <w:r w:rsidRPr="004959AB">
        <w:t>;</w:t>
      </w:r>
    </w:p>
    <w:p w:rsidR="00397725" w:rsidRPr="004959AB" w:rsidP="00383B3F" w14:paraId="0CB8154D" w14:textId="704365D5">
      <w:pPr>
        <w:widowControl/>
        <w:autoSpaceDE w:val="0"/>
        <w:autoSpaceDN w:val="0"/>
        <w:adjustRightInd w:val="0"/>
        <w:spacing w:after="240"/>
        <w:ind w:left="567" w:hanging="567"/>
        <w:rPr>
          <w:rFonts w:eastAsiaTheme="minorHAnsi"/>
          <w:szCs w:val="24"/>
        </w:rPr>
      </w:pPr>
      <w:r w:rsidRPr="004959AB">
        <w:t>В.</w:t>
      </w:r>
      <w:r w:rsidRPr="004959AB">
        <w:tab/>
        <w:t xml:space="preserve">като има предвид, че ЕОБХ стигна до заключението, че </w:t>
      </w:r>
      <w:r w:rsidR="00526119">
        <w:t>ГМ</w:t>
      </w:r>
      <w:r w:rsidRPr="004959AB">
        <w:t xml:space="preserve"> царевица и нейните </w:t>
      </w:r>
      <w:r w:rsidRPr="004959AB">
        <w:t>подкомбинации</w:t>
      </w:r>
      <w:r w:rsidRPr="004959AB">
        <w:t xml:space="preserve">, описани в заявлението, са също толкова безопасни, колкото и конвенционалното им съответствие и изпитаните генетично немодифицирани референтни сортове царевица, по отношение на евентуалното въздействие върху здравето на човека и на животните и върху околната среда; като има предвид, че ЕОБХ стигна до заключението, че консумацията на храни и фуражи от генетично модифицирана царевица и нейните </w:t>
      </w:r>
      <w:r w:rsidRPr="004959AB">
        <w:t>подкомбинации</w:t>
      </w:r>
      <w:r w:rsidRPr="004959AB">
        <w:t xml:space="preserve"> не поражда опасения, свързани с храненето на хората и животните; като има предвид, че в това становище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rsidR="00397725" w:rsidRPr="004959AB" w:rsidP="00383B3F" w14:paraId="0D15DB14" w14:textId="64A68953">
      <w:pPr>
        <w:widowControl/>
        <w:autoSpaceDE w:val="0"/>
        <w:autoSpaceDN w:val="0"/>
        <w:adjustRightInd w:val="0"/>
        <w:spacing w:after="240"/>
        <w:ind w:left="567" w:hanging="567"/>
        <w:rPr>
          <w:rFonts w:eastAsiaTheme="minorHAnsi"/>
          <w:szCs w:val="24"/>
        </w:rPr>
      </w:pPr>
      <w:r w:rsidRPr="004959AB">
        <w:t>Г.</w:t>
      </w:r>
      <w:r w:rsidRPr="004959AB">
        <w:tab/>
        <w:t xml:space="preserve">като има предвид, че </w:t>
      </w:r>
      <w:r w:rsidR="00526119">
        <w:t>ГМ</w:t>
      </w:r>
      <w:r w:rsidRPr="004959AB">
        <w:t xml:space="preserve"> царевица беше разработена чрез кръстосване, за да се съчетаят следните три отделни аспекта: DP202216, </w:t>
      </w:r>
      <w:r w:rsidRPr="004959AB">
        <w:t>експресиращ</w:t>
      </w:r>
      <w:r w:rsidRPr="004959AB">
        <w:t xml:space="preserve"> ензима </w:t>
      </w:r>
      <w:r w:rsidRPr="004959AB">
        <w:t>фосфинотрицин</w:t>
      </w:r>
      <w:r w:rsidRPr="004959AB">
        <w:t xml:space="preserve"> </w:t>
      </w:r>
      <w:r w:rsidRPr="004959AB">
        <w:t>ацетилтрансфераза</w:t>
      </w:r>
      <w:r w:rsidRPr="004959AB">
        <w:t xml:space="preserve"> (PAT) за придаване на поносимост към хербициди, съдържащи амониев </w:t>
      </w:r>
      <w:r w:rsidRPr="004959AB">
        <w:t>глуфосинат</w:t>
      </w:r>
      <w:r w:rsidRPr="004959AB">
        <w:t xml:space="preserve">, и ендогенния протеин на царевицата с променена експресия (EPAE) ZMM28 за осигуряване на потенциал за подобряване на добива (YE) при полеви условия; NK603, </w:t>
      </w:r>
      <w:r w:rsidRPr="004959AB">
        <w:t>експресиращ</w:t>
      </w:r>
      <w:r w:rsidRPr="004959AB">
        <w:t xml:space="preserve"> CP4 EPSPS и CP4 EPSPS L214P за придаване на поносимост към хербициди на основата на </w:t>
      </w:r>
      <w:r w:rsidRPr="004959AB">
        <w:t>глифосат</w:t>
      </w:r>
      <w:r w:rsidRPr="004959AB">
        <w:t xml:space="preserve">; и DAS-40278-9, </w:t>
      </w:r>
      <w:r w:rsidRPr="004959AB">
        <w:t>експресиращ</w:t>
      </w:r>
      <w:r w:rsidRPr="004959AB">
        <w:t xml:space="preserve"> </w:t>
      </w:r>
      <w:r w:rsidRPr="004959AB">
        <w:t>арилоксиалканоат</w:t>
      </w:r>
      <w:r w:rsidRPr="004959AB">
        <w:t xml:space="preserve"> </w:t>
      </w:r>
      <w:r w:rsidRPr="004959AB">
        <w:t>диоксигеназа</w:t>
      </w:r>
      <w:r w:rsidRPr="004959AB">
        <w:t xml:space="preserve"> (AAD-1) </w:t>
      </w:r>
      <w:r w:rsidRPr="004959AB">
        <w:t xml:space="preserve">за придаване на поносимост към хербициди от клас 2,4-D и </w:t>
      </w:r>
      <w:r w:rsidRPr="004959AB">
        <w:t>арилоксифеноксипропионат</w:t>
      </w:r>
      <w:r w:rsidRPr="004959AB">
        <w:t xml:space="preserve"> (AOPP)</w:t>
      </w:r>
      <w:r>
        <w:rPr>
          <w:rStyle w:val="FootnoteReference"/>
          <w:rFonts w:eastAsiaTheme="minorHAnsi"/>
          <w:szCs w:val="24"/>
        </w:rPr>
        <w:footnoteReference w:id="7"/>
      </w:r>
      <w:r w:rsidRPr="004959AB">
        <w:t>;</w:t>
      </w:r>
    </w:p>
    <w:p w:rsidR="00397725" w:rsidRPr="004959AB" w:rsidP="00383B3F" w14:paraId="1A825945" w14:textId="77777777">
      <w:pPr>
        <w:spacing w:after="240"/>
        <w:ind w:left="567" w:hanging="567"/>
        <w:rPr>
          <w:rFonts w:eastAsiaTheme="minorHAnsi"/>
          <w:szCs w:val="24"/>
        </w:rPr>
      </w:pPr>
      <w:r w:rsidRPr="004959AB">
        <w:t>Д.</w:t>
      </w:r>
      <w:r w:rsidRPr="004959AB">
        <w:tab/>
        <w:t xml:space="preserve">като има предвид, че само </w:t>
      </w:r>
      <w:r w:rsidRPr="004959AB">
        <w:t>подкомбинацията</w:t>
      </w:r>
      <w:r w:rsidRPr="004959AB">
        <w:t xml:space="preserve"> NK603 × DAS- 40278-9 вече е била оценена от ЕОБХ; като има предвид, че заявителят не е представил никакви експериментални данни за </w:t>
      </w:r>
      <w:r w:rsidRPr="004959AB">
        <w:t>подкомбинациите</w:t>
      </w:r>
      <w:r w:rsidRPr="004959AB">
        <w:t xml:space="preserve"> DP202216 x NK603 и DP202216 x DAS-40278-9, които не са оценявани преди това от ЕОБХ; като има предвид, че въпреки това ЕОБХ достигна до заключение, че тази </w:t>
      </w:r>
      <w:r w:rsidRPr="004959AB">
        <w:t>подкомбинация</w:t>
      </w:r>
      <w:r w:rsidRPr="004959AB">
        <w:t xml:space="preserve"> не поражда опасения за безопасността;</w:t>
      </w:r>
    </w:p>
    <w:p w:rsidR="00397725" w:rsidRPr="004959AB" w:rsidP="00383B3F" w14:paraId="15A77F17" w14:textId="77777777">
      <w:pPr>
        <w:spacing w:after="240"/>
        <w:ind w:left="567" w:hanging="567"/>
        <w:rPr>
          <w:rFonts w:eastAsiaTheme="minorHAnsi"/>
          <w:szCs w:val="24"/>
        </w:rPr>
      </w:pPr>
      <w:r w:rsidRPr="004959AB">
        <w:t>Е.</w:t>
      </w:r>
      <w:r w:rsidRPr="004959AB">
        <w:tab/>
        <w:t>като има предвид, че в оценките за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царевица;</w:t>
      </w:r>
    </w:p>
    <w:p w:rsidR="00397725" w:rsidRPr="004959AB" w:rsidP="00383B3F" w14:paraId="55C352B9" w14:textId="65BFF0B3">
      <w:pPr>
        <w:spacing w:after="240"/>
        <w:ind w:left="567" w:hanging="567"/>
        <w:rPr>
          <w:rFonts w:eastAsiaTheme="minorHAnsi"/>
          <w:szCs w:val="24"/>
        </w:rPr>
      </w:pPr>
      <w:r w:rsidRPr="004959AB">
        <w:t>Ж.</w:t>
      </w:r>
      <w:r w:rsidRPr="004959AB">
        <w:tab/>
        <w:t xml:space="preserve">като има предвид, че по-голямата част от генетично модифицираните култури, включително </w:t>
      </w:r>
      <w:r w:rsidR="00526119">
        <w:t>ГМ</w:t>
      </w:r>
      <w:r w:rsidRPr="004959AB">
        <w:t xml:space="preserve"> царевица, са били генетично модифицирани, за да бъдат устойчиви на един или повече „добавъчни“ хербициди, които могат да се използват при отглеждането на </w:t>
      </w:r>
      <w:r w:rsidR="00526119">
        <w:t>ГМ</w:t>
      </w:r>
      <w:r w:rsidRPr="004959AB">
        <w:t xml:space="preserve"> култура, без тя да загине, както би се случило с една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p>
    <w:p w:rsidR="00397725" w:rsidRPr="004959AB" w:rsidP="00383B3F" w14:paraId="414953FB" w14:textId="0F82022F">
      <w:pPr>
        <w:spacing w:after="240"/>
        <w:ind w:left="567" w:hanging="567"/>
        <w:rPr>
          <w:rFonts w:eastAsiaTheme="minorHAnsi"/>
          <w:szCs w:val="24"/>
        </w:rPr>
      </w:pPr>
      <w:r w:rsidRPr="004959AB">
        <w:t>З.</w:t>
      </w:r>
      <w:r w:rsidRPr="004959AB">
        <w:tab/>
        <w:t xml:space="preserve">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до голяма степен или изцяло е зависима от хербицидите, и същевременно се създава зависимост от използването на добавъчни хербициди, като неразделна част от производствената система; като има предвид, че засилената зависимост от добавъчните хербициди в земеделските стопанства, в които се засажда </w:t>
      </w:r>
      <w:r w:rsidR="00526119">
        <w:t>ГМ</w:t>
      </w:r>
      <w:r w:rsidRPr="004959AB">
        <w:t xml:space="preserve"> царевица,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и поради увеличаване на остатъчните вещества от хербициди в храните и фуражите;</w:t>
      </w:r>
    </w:p>
    <w:p w:rsidR="00397725" w:rsidRPr="004959AB" w:rsidP="00383B3F" w14:paraId="352796AE" w14:textId="099A81EB">
      <w:pPr>
        <w:autoSpaceDE w:val="0"/>
        <w:autoSpaceDN w:val="0"/>
        <w:adjustRightInd w:val="0"/>
        <w:spacing w:after="240"/>
        <w:ind w:left="567" w:hanging="567"/>
        <w:rPr>
          <w:rFonts w:eastAsiaTheme="minorHAnsi"/>
          <w:szCs w:val="24"/>
        </w:rPr>
      </w:pPr>
      <w:r w:rsidRPr="004959AB">
        <w:t>И.</w:t>
      </w:r>
      <w:r w:rsidRPr="004959AB">
        <w:tab/>
        <w:t xml:space="preserve">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w:t>
      </w:r>
      <w:r w:rsidRPr="004959AB">
        <w:t>устойчиви на хербициди</w:t>
      </w:r>
      <w:r>
        <w:rPr>
          <w:rFonts w:eastAsiaTheme="minorHAnsi"/>
          <w:vertAlign w:val="superscript"/>
        </w:rPr>
        <w:footnoteReference w:id="8"/>
      </w:r>
      <w:r w:rsidRPr="004959AB">
        <w:t xml:space="preserve">; като има предвид, че вследствие на това трябва да се очаква, че </w:t>
      </w:r>
      <w:r w:rsidR="00526119">
        <w:t>ГМ</w:t>
      </w:r>
      <w:r w:rsidRPr="004959AB">
        <w:t xml:space="preserve"> царевица ще бъде изложена на по-високи и многократни дози хербициди, съдържащи </w:t>
      </w:r>
      <w:r w:rsidRPr="004959AB">
        <w:t>глифосат</w:t>
      </w:r>
      <w:r w:rsidRPr="004959AB">
        <w:t xml:space="preserve">, </w:t>
      </w:r>
      <w:r w:rsidRPr="004959AB">
        <w:t>глуфосинат</w:t>
      </w:r>
      <w:r w:rsidRPr="004959AB">
        <w:t>, AOPP и 2,4-D, и че следователно в реколтите може да e налично по-голямо количество остатъчни вещества и продукти на тяхното разграждане („метаболити“);</w:t>
      </w:r>
    </w:p>
    <w:p w:rsidR="00397725" w:rsidRPr="004959AB" w:rsidP="00383B3F" w14:paraId="4ACC6A86" w14:textId="77777777">
      <w:pPr>
        <w:autoSpaceDE w:val="0"/>
        <w:autoSpaceDN w:val="0"/>
        <w:adjustRightInd w:val="0"/>
        <w:spacing w:after="240"/>
        <w:ind w:left="567" w:hanging="567"/>
        <w:rPr>
          <w:rFonts w:eastAsiaTheme="minorHAnsi"/>
          <w:szCs w:val="24"/>
        </w:rPr>
      </w:pPr>
      <w:r w:rsidRPr="004959AB">
        <w:t>Й.</w:t>
      </w:r>
      <w:r w:rsidRPr="004959AB">
        <w:tab/>
        <w:t xml:space="preserve">като има предвид, че </w:t>
      </w:r>
      <w:r w:rsidRPr="004959AB">
        <w:t>глуфосинатът</w:t>
      </w:r>
      <w:r w:rsidRPr="004959AB">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Pr>
          <w:rFonts w:eastAsiaTheme="minorHAnsi"/>
          <w:vertAlign w:val="superscript"/>
        </w:rPr>
        <w:footnoteReference w:id="9"/>
      </w:r>
      <w:r w:rsidRPr="004959AB">
        <w:t xml:space="preserve">; като има предвид, че одобрението за използване на </w:t>
      </w:r>
      <w:r w:rsidRPr="004959AB">
        <w:t>глуфосинат</w:t>
      </w:r>
      <w:r w:rsidRPr="004959AB">
        <w:t xml:space="preserve"> в Съюза изтече на 31 юли 2018 г.</w:t>
      </w:r>
      <w:r>
        <w:rPr>
          <w:rFonts w:eastAsiaTheme="minorHAnsi"/>
          <w:vertAlign w:val="superscript"/>
        </w:rPr>
        <w:footnoteReference w:id="10"/>
      </w:r>
      <w:r w:rsidRPr="004959AB">
        <w:t>;</w:t>
      </w:r>
    </w:p>
    <w:p w:rsidR="00397725" w:rsidRPr="004959AB" w:rsidP="00383B3F" w14:paraId="1F1F844D" w14:textId="77777777">
      <w:pPr>
        <w:autoSpaceDE w:val="0"/>
        <w:autoSpaceDN w:val="0"/>
        <w:adjustRightInd w:val="0"/>
        <w:spacing w:after="240"/>
        <w:ind w:left="567" w:hanging="567"/>
        <w:rPr>
          <w:rFonts w:eastAsiaTheme="minorHAnsi"/>
          <w:szCs w:val="24"/>
        </w:rPr>
      </w:pPr>
      <w:r w:rsidRPr="004959AB">
        <w:t>К.</w:t>
      </w:r>
      <w:r w:rsidRPr="004959AB">
        <w:tab/>
        <w:t xml:space="preserve">като има предвид, че все още има значителна научна несигурност по отношение на безопасността на </w:t>
      </w:r>
      <w:r w:rsidRPr="004959AB">
        <w:t>глифосата</w:t>
      </w:r>
      <w:r w:rsidRPr="004959AB">
        <w:t xml:space="preserve"> за човешкото здраве и околната среда; като има предвид, че през ноември 2015 г. ЕОБХ заключи, че е малко вероятно </w:t>
      </w:r>
      <w:r w:rsidRPr="004959AB">
        <w:t>глифосатът</w:t>
      </w:r>
      <w:r w:rsidRPr="004959AB">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r w:rsidRPr="004959AB">
        <w:t>глифосата</w:t>
      </w:r>
      <w:r w:rsidRPr="004959AB">
        <w:t xml:space="preserve"> като вещество, което вероятно е канцерогенно за хората; като има предвид, че редица други неотдавнашни рецензирани научни изследвания потвърждават канцерогенния потенциал на </w:t>
      </w:r>
      <w:r w:rsidRPr="004959AB">
        <w:t>глифосата</w:t>
      </w:r>
      <w:r>
        <w:rPr>
          <w:rFonts w:eastAsiaTheme="minorHAnsi"/>
          <w:vertAlign w:val="superscript"/>
        </w:rPr>
        <w:footnoteReference w:id="11"/>
      </w:r>
      <w:r w:rsidRPr="004959AB">
        <w:t>; като има предвид, че списанието „</w:t>
      </w:r>
      <w:r w:rsidRPr="004959AB">
        <w:t>Regulatory</w:t>
      </w:r>
      <w:r w:rsidRPr="004959AB">
        <w:t xml:space="preserve"> </w:t>
      </w:r>
      <w:r w:rsidRPr="004959AB">
        <w:t>Toxicology</w:t>
      </w:r>
      <w:r w:rsidRPr="004959AB">
        <w:t xml:space="preserve"> </w:t>
      </w:r>
      <w:r w:rsidRPr="004959AB">
        <w:t>and</w:t>
      </w:r>
      <w:r w:rsidRPr="004959AB">
        <w:t xml:space="preserve"> </w:t>
      </w:r>
      <w:r w:rsidRPr="004959AB">
        <w:t>Pharmacology</w:t>
      </w:r>
      <w:r w:rsidRPr="004959AB">
        <w:t xml:space="preserve">“ официално оттегли научния документ </w:t>
      </w:r>
      <w:r w:rsidRPr="004959AB">
        <w:rPr>
          <w:shd w:val="clear" w:color="auto" w:fill="FFFFFF"/>
        </w:rPr>
        <w:t>„</w:t>
      </w:r>
      <w:r w:rsidRPr="004959AB">
        <w:t xml:space="preserve">Safety </w:t>
      </w:r>
      <w:r w:rsidRPr="004959AB">
        <w:t>Evaluation</w:t>
      </w:r>
      <w:r w:rsidRPr="004959AB">
        <w:t xml:space="preserve"> </w:t>
      </w:r>
      <w:r w:rsidRPr="004959AB">
        <w:t>and</w:t>
      </w:r>
      <w:r w:rsidRPr="004959AB">
        <w:t xml:space="preserve"> </w:t>
      </w:r>
      <w:r w:rsidRPr="004959AB">
        <w:t>Risk</w:t>
      </w:r>
      <w:r w:rsidRPr="004959AB">
        <w:t xml:space="preserve"> </w:t>
      </w:r>
      <w:r w:rsidRPr="004959AB">
        <w:t>Assessment</w:t>
      </w:r>
      <w:r w:rsidRPr="004959AB">
        <w:t xml:space="preserve"> </w:t>
      </w:r>
      <w:r w:rsidRPr="004959AB">
        <w:t>of</w:t>
      </w:r>
      <w:r w:rsidRPr="004959AB">
        <w:t xml:space="preserve"> </w:t>
      </w:r>
      <w:r w:rsidRPr="004959AB">
        <w:t>the</w:t>
      </w:r>
      <w:r w:rsidRPr="004959AB">
        <w:t xml:space="preserve"> </w:t>
      </w:r>
      <w:r w:rsidRPr="004959AB">
        <w:t>Herbicide</w:t>
      </w:r>
      <w:r w:rsidRPr="004959AB">
        <w:t xml:space="preserve"> </w:t>
      </w:r>
      <w:r w:rsidRPr="004959AB">
        <w:t>Roundup</w:t>
      </w:r>
      <w:r w:rsidRPr="004959AB">
        <w:t xml:space="preserve"> </w:t>
      </w:r>
      <w:r w:rsidRPr="004959AB">
        <w:t>and</w:t>
      </w:r>
      <w:r w:rsidRPr="004959AB">
        <w:t xml:space="preserve"> </w:t>
      </w:r>
      <w:r w:rsidRPr="004959AB">
        <w:t>Its</w:t>
      </w:r>
      <w:r w:rsidRPr="004959AB">
        <w:t xml:space="preserve"> </w:t>
      </w:r>
      <w:r w:rsidRPr="004959AB">
        <w:t>Active</w:t>
      </w:r>
      <w:r w:rsidRPr="004959AB">
        <w:t xml:space="preserve"> </w:t>
      </w:r>
      <w:r w:rsidRPr="004959AB">
        <w:t>Ingredient</w:t>
      </w:r>
      <w:r w:rsidRPr="004959AB">
        <w:t xml:space="preserve">, </w:t>
      </w:r>
      <w:r w:rsidRPr="004959AB">
        <w:t>Glyphosate</w:t>
      </w:r>
      <w:r w:rsidRPr="004959AB">
        <w:t xml:space="preserve">, </w:t>
      </w:r>
      <w:r w:rsidRPr="004959AB">
        <w:t>for</w:t>
      </w:r>
      <w:r w:rsidRPr="004959AB">
        <w:t xml:space="preserve"> </w:t>
      </w:r>
      <w:r w:rsidRPr="004959AB">
        <w:t>Humans</w:t>
      </w:r>
      <w:r w:rsidRPr="004959AB">
        <w:rPr>
          <w:shd w:val="clear" w:color="auto" w:fill="FFFFFF"/>
        </w:rPr>
        <w:t>“</w:t>
      </w:r>
      <w:r w:rsidRPr="004959AB">
        <w:t xml:space="preserve"> (Оценка на безопасността и на риска за хората от хербицида </w:t>
      </w:r>
      <w:r w:rsidRPr="004959AB">
        <w:t>Roundup</w:t>
      </w:r>
      <w:r w:rsidRPr="004959AB">
        <w:t xml:space="preserve"> и неговата активна съставка </w:t>
      </w:r>
      <w:r w:rsidRPr="004959AB">
        <w:t>глифосат</w:t>
      </w:r>
      <w:r w:rsidRPr="004959AB">
        <w:t xml:space="preserve">), публикуван през 2000 г., който беше използван за защита на безопасността на </w:t>
      </w:r>
      <w:r w:rsidRPr="004959AB">
        <w:t>глифосата</w:t>
      </w:r>
      <w:r w:rsidRPr="004959AB">
        <w:t xml:space="preserve"> в много оценки на риска, тъй като „бяха изразени опасения относно неговото авторство, валидността на констатациите от научните изследвания в контекста на погрешното представяне на приноса на авторите и спонсора на проучването и потенциалните конфликти на </w:t>
      </w:r>
      <w:r w:rsidRPr="004959AB">
        <w:t>интереси на авторите“</w:t>
      </w:r>
      <w:r>
        <w:rPr>
          <w:rStyle w:val="FootnoteReference"/>
        </w:rPr>
        <w:footnoteReference w:id="12"/>
      </w:r>
      <w:r w:rsidRPr="004959AB">
        <w:t>;</w:t>
      </w:r>
    </w:p>
    <w:p w:rsidR="00397725" w:rsidRPr="004959AB" w:rsidP="00383B3F" w14:paraId="17234DD9" w14:textId="77777777">
      <w:pPr>
        <w:autoSpaceDE w:val="0"/>
        <w:autoSpaceDN w:val="0"/>
        <w:adjustRightInd w:val="0"/>
        <w:spacing w:after="240"/>
        <w:ind w:left="567" w:hanging="567"/>
        <w:rPr>
          <w:rFonts w:eastAsiaTheme="minorHAnsi"/>
          <w:szCs w:val="24"/>
        </w:rPr>
      </w:pPr>
      <w:r w:rsidRPr="004959AB">
        <w:t>Л.</w:t>
      </w:r>
      <w:r w:rsidRPr="004959AB">
        <w:tab/>
        <w:t xml:space="preserve">като има предвид, че в рецензирана научна статия от експерт, занимавал се с разработката на генетично модифицирани растения, се поставя под въпрос безопасността на генетично модифицираните култури, устойчиви на 2,4-D, поради неговото разграждане в </w:t>
      </w:r>
      <w:r w:rsidRPr="004959AB">
        <w:t>цитотоксични</w:t>
      </w:r>
      <w:r w:rsidRPr="004959AB">
        <w:t xml:space="preserve"> разпадни продукти</w:t>
      </w:r>
      <w:r>
        <w:rPr>
          <w:rFonts w:eastAsiaTheme="minorHAnsi"/>
          <w:vertAlign w:val="superscript"/>
        </w:rPr>
        <w:footnoteReference w:id="13"/>
      </w:r>
      <w:r w:rsidRPr="004959AB">
        <w:t>;</w:t>
      </w:r>
    </w:p>
    <w:p w:rsidR="00397725" w:rsidRPr="004959AB" w:rsidP="00383B3F" w14:paraId="406E496F" w14:textId="77777777">
      <w:pPr>
        <w:autoSpaceDE w:val="0"/>
        <w:autoSpaceDN w:val="0"/>
        <w:adjustRightInd w:val="0"/>
        <w:spacing w:after="240"/>
        <w:ind w:left="567" w:hanging="567"/>
        <w:rPr>
          <w:rFonts w:eastAsiaTheme="minorHAnsi"/>
          <w:szCs w:val="24"/>
        </w:rPr>
      </w:pPr>
      <w:r w:rsidRPr="004959AB">
        <w:t>М.</w:t>
      </w:r>
      <w:r w:rsidRPr="004959AB">
        <w:tab/>
        <w:t>като има предвид, че се счита, че оценката на остатъчните вещества от хербициди и техните метаболити, открити в генетично модифицираните растения, е извън правомощията на Експертната група на ЕОБХ по генетично модифицирани организми, и че следователно такава оценка не се извършва като част от процеса на разрешаване на генетично модифицирани организми; като има предвид, че това представлява проблем, защото начинът, по който добавъчните хербициди се разграждат в съответното генетично модифицирано растение, както и съставът, а оттам и токсичността на метаболитите, могат да бъдат повлияни от самата генетична модификация</w:t>
      </w:r>
      <w:r>
        <w:rPr>
          <w:rFonts w:eastAsiaTheme="minorHAnsi"/>
          <w:vertAlign w:val="superscript"/>
        </w:rPr>
        <w:footnoteReference w:id="14"/>
      </w:r>
      <w:r w:rsidRPr="004959AB">
        <w:t>;</w:t>
      </w:r>
    </w:p>
    <w:p w:rsidR="00397725" w:rsidRPr="004959AB" w:rsidP="00383B3F" w14:paraId="62040BBA" w14:textId="77777777">
      <w:pPr>
        <w:autoSpaceDE w:val="0"/>
        <w:autoSpaceDN w:val="0"/>
        <w:adjustRightInd w:val="0"/>
        <w:spacing w:after="240"/>
        <w:ind w:left="567" w:hanging="567"/>
        <w:rPr>
          <w:rFonts w:eastAsiaTheme="minorHAnsi"/>
          <w:szCs w:val="24"/>
        </w:rPr>
      </w:pPr>
      <w:r w:rsidRPr="004959AB">
        <w:t>Н.</w:t>
      </w:r>
      <w:r w:rsidRPr="004959AB">
        <w:tab/>
        <w:t>като има предвид, че в Регламент (ЕО) № 1829/2003 се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легитимни фактори, свързани с разглеждания въпрос; като има предвид, че такива основателни фактори следва да включват задълженията на Съюза по целите на ООН за устойчиво развитие, Парижкото споразумение относно изменението на климата</w:t>
      </w:r>
      <w:r>
        <w:rPr>
          <w:rStyle w:val="FootnoteReference"/>
          <w:rFonts w:eastAsiaTheme="minorHAnsi"/>
          <w:szCs w:val="24"/>
        </w:rPr>
        <w:footnoteReference w:id="15"/>
      </w:r>
      <w:r w:rsidRPr="004959AB">
        <w:t xml:space="preserve"> и Конвенцията на ООН за биологичното разнообразие</w:t>
      </w:r>
      <w:r>
        <w:rPr>
          <w:rStyle w:val="FootnoteReference"/>
          <w:rFonts w:eastAsiaTheme="minorHAnsi"/>
          <w:szCs w:val="24"/>
        </w:rPr>
        <w:footnoteReference w:id="16"/>
      </w:r>
      <w:r w:rsidRPr="004959AB">
        <w:t xml:space="preserve"> (КБР);</w:t>
      </w:r>
    </w:p>
    <w:p w:rsidR="00397725" w:rsidRPr="004959AB" w:rsidP="00383B3F" w14:paraId="5042C7B2" w14:textId="77777777">
      <w:pPr>
        <w:autoSpaceDE w:val="0"/>
        <w:autoSpaceDN w:val="0"/>
        <w:adjustRightInd w:val="0"/>
        <w:spacing w:after="240"/>
        <w:ind w:left="567" w:hanging="567"/>
        <w:rPr>
          <w:rFonts w:eastAsiaTheme="minorHAnsi"/>
          <w:szCs w:val="24"/>
        </w:rPr>
      </w:pPr>
      <w:r w:rsidRPr="004959AB">
        <w:t>О.</w:t>
      </w:r>
      <w:r w:rsidRPr="004959AB">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r w:rsidRPr="004959AB">
        <w:t>опрашителите</w:t>
      </w:r>
      <w:r w:rsidRPr="004959AB">
        <w:t xml:space="preserve"> и нецелевите организми продължава да бъде недостатъчно гарантиран;</w:t>
      </w:r>
    </w:p>
    <w:p w:rsidR="00397725" w:rsidRPr="004959AB" w:rsidP="00383B3F" w14:paraId="2CF3CB6F" w14:textId="77777777">
      <w:pPr>
        <w:autoSpaceDE w:val="0"/>
        <w:autoSpaceDN w:val="0"/>
        <w:adjustRightInd w:val="0"/>
        <w:spacing w:after="240"/>
        <w:ind w:left="567" w:hanging="567"/>
        <w:rPr>
          <w:rFonts w:eastAsiaTheme="minorHAnsi"/>
          <w:szCs w:val="24"/>
        </w:rPr>
      </w:pPr>
      <w:r w:rsidRPr="004959AB">
        <w:t>П.</w:t>
      </w:r>
      <w:r w:rsidRPr="004959AB">
        <w:tab/>
        <w:t>като има предвид, че при наличието на научна несигурност следва да се прилага принципът на предпазливост, установен в член 191 от Договора за функционирането на Европейския съюз;</w:t>
      </w:r>
    </w:p>
    <w:p w:rsidR="00397725" w:rsidRPr="004959AB" w:rsidP="00383B3F" w14:paraId="1FD03E03" w14:textId="77777777">
      <w:pPr>
        <w:autoSpaceDE w:val="0"/>
        <w:autoSpaceDN w:val="0"/>
        <w:adjustRightInd w:val="0"/>
        <w:spacing w:after="240"/>
        <w:ind w:left="567" w:hanging="567"/>
        <w:rPr>
          <w:rFonts w:eastAsiaTheme="minorHAnsi"/>
          <w:szCs w:val="24"/>
        </w:rPr>
      </w:pPr>
      <w:r w:rsidRPr="004959AB">
        <w:t>Р.</w:t>
      </w:r>
      <w:r w:rsidRPr="004959AB">
        <w:tab/>
        <w:t xml:space="preserve">като има предвид, че Съюзът, като договаряща страна по Конвенцията на ООН за биологичното разнообразие, и в съответствие с член 3 от нея, носи отговорност за това да гарантира, че дейностите в рамките на неговата юрисдикция или контрол </w:t>
      </w:r>
      <w:r w:rsidRPr="004959AB">
        <w:t>не причиняват вреди на околната среда на други държави;</w:t>
      </w:r>
    </w:p>
    <w:p w:rsidR="00397725" w:rsidRPr="004959AB" w:rsidP="00383B3F" w14:paraId="12E7C705" w14:textId="0776DABC">
      <w:pPr>
        <w:autoSpaceDE w:val="0"/>
        <w:autoSpaceDN w:val="0"/>
        <w:adjustRightInd w:val="0"/>
        <w:spacing w:after="240"/>
        <w:ind w:left="567" w:hanging="567"/>
        <w:rPr>
          <w:rFonts w:eastAsiaTheme="minorHAnsi"/>
          <w:szCs w:val="24"/>
        </w:rPr>
      </w:pPr>
      <w:r w:rsidRPr="004959AB">
        <w:t>С.</w:t>
      </w:r>
      <w:r w:rsidRPr="004959AB">
        <w:tab/>
        <w:t xml:space="preserve">като има предвид, че подновяването на разрешението за </w:t>
      </w:r>
      <w:r w:rsidR="00526119">
        <w:t>ГМ</w:t>
      </w:r>
      <w:r w:rsidRPr="004959AB">
        <w:t xml:space="preserve"> царевица от страна на Съюза не би било в съответствие с международните ангажименти за намаляване на пестицидите</w:t>
      </w:r>
      <w:r>
        <w:rPr>
          <w:rFonts w:eastAsiaTheme="minorHAnsi"/>
          <w:vertAlign w:val="superscript"/>
        </w:rPr>
        <w:footnoteReference w:id="17"/>
      </w:r>
      <w:r w:rsidRPr="004959AB">
        <w:t xml:space="preserve">, като се има предвид повишената експозиция на хората, животните и околната среда на </w:t>
      </w:r>
      <w:r w:rsidRPr="004959AB">
        <w:t>глифосат</w:t>
      </w:r>
      <w:r w:rsidRPr="004959AB">
        <w:t xml:space="preserve"> и </w:t>
      </w:r>
      <w:r w:rsidRPr="004959AB">
        <w:t>глуфосинат</w:t>
      </w:r>
      <w:r w:rsidRPr="004959AB">
        <w:t xml:space="preserve"> в държавите, в които се отглежда тази устойчива на хербициди генно модифицирана култура, наред с потенциално сериозните последици за здравето във връзка с това;</w:t>
      </w:r>
    </w:p>
    <w:p w:rsidR="00397725" w:rsidRPr="004959AB" w:rsidP="00383B3F" w14:paraId="60CABAB2" w14:textId="75B200E9">
      <w:pPr>
        <w:autoSpaceDE w:val="0"/>
        <w:autoSpaceDN w:val="0"/>
        <w:adjustRightInd w:val="0"/>
        <w:spacing w:after="240"/>
        <w:ind w:left="567" w:hanging="567"/>
        <w:rPr>
          <w:rFonts w:eastAsiaTheme="minorHAnsi"/>
          <w:szCs w:val="24"/>
        </w:rPr>
      </w:pPr>
      <w:r w:rsidRPr="004959AB">
        <w:t>Т.</w:t>
      </w:r>
      <w:r w:rsidRPr="004959AB">
        <w:tab/>
        <w:t xml:space="preserve">като има предвид, че отглеждането на </w:t>
      </w:r>
      <w:r w:rsidR="00526119">
        <w:t>ГМ</w:t>
      </w:r>
      <w:r w:rsidRPr="004959AB">
        <w:t xml:space="preserve"> царевица не е разрешено в Съюза;</w:t>
      </w:r>
    </w:p>
    <w:p w:rsidR="00397725" w:rsidRPr="004959AB" w:rsidP="00383B3F" w14:paraId="5C691B20" w14:textId="48D9E7B3">
      <w:pPr>
        <w:autoSpaceDE w:val="0"/>
        <w:autoSpaceDN w:val="0"/>
        <w:adjustRightInd w:val="0"/>
        <w:spacing w:after="240"/>
        <w:ind w:left="567" w:hanging="567"/>
        <w:rPr>
          <w:rFonts w:eastAsiaTheme="minorHAnsi"/>
          <w:szCs w:val="24"/>
        </w:rPr>
      </w:pPr>
      <w:r w:rsidRPr="004959AB">
        <w:t>У.</w:t>
      </w:r>
      <w:r w:rsidRPr="004959AB">
        <w:tab/>
        <w:t xml:space="preserve">като има предвид, че </w:t>
      </w:r>
      <w:r w:rsidR="00526119">
        <w:t>Р</w:t>
      </w:r>
      <w:r w:rsidRPr="004959AB">
        <w:t xml:space="preserve">ешение за изпълнение </w:t>
      </w:r>
      <w:r w:rsidR="00526119">
        <w:t>(ЕС</w:t>
      </w:r>
      <w:r w:rsidRPr="00526119" w:rsidR="00526119">
        <w:t xml:space="preserve">) 2026/1443 </w:t>
      </w:r>
      <w:r w:rsidRPr="004959AB">
        <w:t>на Комисията ще позволи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rsidR="00397725" w:rsidRPr="004959AB" w:rsidP="00383B3F" w14:paraId="47427A02" w14:textId="77777777">
      <w:pPr>
        <w:autoSpaceDE w:val="0"/>
        <w:autoSpaceDN w:val="0"/>
        <w:adjustRightInd w:val="0"/>
        <w:spacing w:after="240"/>
        <w:ind w:left="567" w:hanging="567"/>
        <w:rPr>
          <w:rFonts w:eastAsiaTheme="minorHAnsi"/>
          <w:szCs w:val="24"/>
        </w:rPr>
      </w:pPr>
      <w:r w:rsidRPr="004959AB">
        <w:t>Ф.</w:t>
      </w:r>
      <w:r w:rsidRPr="004959AB">
        <w:tab/>
        <w:t>като има предвид, че в заключенията на стратегическия диалог относно бъдещето на селското стопанство</w:t>
      </w:r>
      <w:r>
        <w:rPr>
          <w:rFonts w:eastAsiaTheme="minorHAnsi"/>
          <w:vertAlign w:val="superscript"/>
        </w:rPr>
        <w:footnoteReference w:id="18"/>
      </w:r>
      <w:r w:rsidRPr="004959AB">
        <w:t xml:space="preserve"> в ЕС Комисията се призовава да преразгледа своя подход към достъпа до пазара за внос и износ на селскостопански хранителни продукти предвид предизвикателството, свързано с различаващите се стандарти на Съюза и на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2024 и 2025 г.;</w:t>
      </w:r>
    </w:p>
    <w:p w:rsidR="00397725" w:rsidRPr="004959AB" w:rsidP="00383B3F" w14:paraId="5C4F8155" w14:textId="77777777">
      <w:pPr>
        <w:autoSpaceDE w:val="0"/>
        <w:autoSpaceDN w:val="0"/>
        <w:adjustRightInd w:val="0"/>
        <w:spacing w:after="360"/>
        <w:ind w:left="567" w:hanging="567"/>
        <w:rPr>
          <w:rFonts w:eastAsiaTheme="minorHAnsi"/>
          <w:szCs w:val="24"/>
        </w:rPr>
      </w:pPr>
      <w:r w:rsidRPr="004959AB">
        <w:t>Х.</w:t>
      </w:r>
      <w:r w:rsidRPr="004959AB">
        <w:tab/>
        <w:t xml:space="preserve">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 </w:t>
      </w:r>
    </w:p>
    <w:p w:rsidR="00397725" w:rsidRPr="004959AB" w:rsidP="00383B3F" w14:paraId="71217537" w14:textId="77777777">
      <w:pPr>
        <w:autoSpaceDE w:val="0"/>
        <w:autoSpaceDN w:val="0"/>
        <w:adjustRightInd w:val="0"/>
        <w:spacing w:after="360"/>
        <w:ind w:left="567" w:hanging="567"/>
        <w:rPr>
          <w:rFonts w:eastAsiaTheme="minorHAnsi"/>
          <w:szCs w:val="24"/>
        </w:rPr>
      </w:pPr>
      <w:r w:rsidRPr="004959AB">
        <w:t>Ц.</w:t>
      </w:r>
      <w:r w:rsidRPr="004959AB">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rsidR="00397725" w:rsidRPr="004959AB" w:rsidP="00383B3F" w14:paraId="2B9AA8EE" w14:textId="77777777">
      <w:pPr>
        <w:autoSpaceDE w:val="0"/>
        <w:autoSpaceDN w:val="0"/>
        <w:adjustRightInd w:val="0"/>
        <w:spacing w:after="360"/>
        <w:ind w:left="567" w:hanging="567"/>
      </w:pPr>
      <w:r w:rsidRPr="004959AB">
        <w:t>Ч.</w:t>
      </w:r>
      <w:r w:rsidRPr="004959AB">
        <w:tab/>
        <w:t>като има предвид, че подходът „Едно здраве“ изисква при оценката на дългосрочната устойчивост и безопасност на ГМО да се взема предвид взаимозависимостта между здравето на хората, животните, растенията и околната среда;</w:t>
      </w:r>
    </w:p>
    <w:p w:rsidR="00397725" w:rsidRPr="004959AB" w:rsidP="00383B3F" w14:paraId="674F864E" w14:textId="6A9A9E02">
      <w:pPr>
        <w:pStyle w:val="NormalHanging12a"/>
      </w:pPr>
      <w:r w:rsidRPr="004959AB">
        <w:t>1.</w:t>
      </w:r>
      <w:r w:rsidRPr="004959AB">
        <w:tab/>
        <w:t xml:space="preserve">счита, че </w:t>
      </w:r>
      <w:r w:rsidR="00526119">
        <w:t>Р</w:t>
      </w:r>
      <w:r w:rsidRPr="004959AB">
        <w:t xml:space="preserve">ешение за изпълнение </w:t>
      </w:r>
      <w:r w:rsidR="00526119">
        <w:t>(ЕС</w:t>
      </w:r>
      <w:r w:rsidRPr="00526119" w:rsidR="00526119">
        <w:t xml:space="preserve">) 2026/1443 </w:t>
      </w:r>
      <w:r w:rsidRPr="004959AB">
        <w:t>на Комисията превишава изпълнителните правомощия, предвидени в Регламент (ЕО) № 1829/2003;</w:t>
      </w:r>
    </w:p>
    <w:p w:rsidR="00397725" w:rsidRPr="004959AB" w:rsidP="00383B3F" w14:paraId="70E041FD" w14:textId="48ACA6B7">
      <w:pPr>
        <w:pStyle w:val="NormalHanging12a"/>
      </w:pPr>
      <w:r w:rsidRPr="004959AB">
        <w:t>2.</w:t>
      </w:r>
      <w:r w:rsidRPr="004959AB">
        <w:tab/>
        <w:t xml:space="preserve">счита, че </w:t>
      </w:r>
      <w:r w:rsidR="00526119">
        <w:t>Р</w:t>
      </w:r>
      <w:r w:rsidRPr="004959AB">
        <w:t xml:space="preserve">ешение за изпълнение </w:t>
      </w:r>
      <w:r w:rsidR="00526119">
        <w:t>(ЕС</w:t>
      </w:r>
      <w:r w:rsidRPr="00526119" w:rsidR="00526119">
        <w:t xml:space="preserve">) 2026/1443 </w:t>
      </w:r>
      <w:r w:rsidRPr="004959AB">
        <w:t>на Комисията не е в съответствие с правото на Съюза, тъй като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Pr>
          <w:vertAlign w:val="superscript"/>
        </w:rPr>
        <w:footnoteReference w:id="19"/>
      </w:r>
      <w:r w:rsidRPr="004959AB">
        <w:t>, е да се създаде основа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w:t>
      </w:r>
    </w:p>
    <w:p w:rsidR="00397725" w:rsidRPr="004959AB" w:rsidP="00383B3F" w14:paraId="66507713" w14:textId="54435390">
      <w:pPr>
        <w:pStyle w:val="NormalHanging12a"/>
      </w:pPr>
      <w:r w:rsidRPr="004959AB">
        <w:t>3.</w:t>
      </w:r>
      <w:r w:rsidRPr="004959AB">
        <w:tab/>
        <w:t xml:space="preserve">отправя искане към Комисията да </w:t>
      </w:r>
      <w:r w:rsidR="00526119">
        <w:t>отмени</w:t>
      </w:r>
      <w:r w:rsidRPr="004959AB">
        <w:t xml:space="preserve"> </w:t>
      </w:r>
      <w:r w:rsidR="00526119">
        <w:t>Р</w:t>
      </w:r>
      <w:r w:rsidRPr="004959AB">
        <w:t>ешение за изпълнение</w:t>
      </w:r>
      <w:r w:rsidR="00526119">
        <w:t xml:space="preserve"> (ЕС</w:t>
      </w:r>
      <w:r w:rsidRPr="00526119" w:rsidR="00526119">
        <w:t xml:space="preserve">) 2026/1443 </w:t>
      </w:r>
      <w:r w:rsidR="00526119">
        <w:t>на Комисията</w:t>
      </w:r>
      <w:r w:rsidRPr="004959AB">
        <w:t>;</w:t>
      </w:r>
    </w:p>
    <w:p w:rsidR="00397725" w:rsidRPr="004959AB" w:rsidP="00383B3F" w14:paraId="37F510F5" w14:textId="77777777">
      <w:pPr>
        <w:pStyle w:val="NormalHanging12a"/>
      </w:pPr>
      <w:r w:rsidRPr="004959AB">
        <w:t>4.</w:t>
      </w:r>
      <w:r w:rsidRPr="004959AB">
        <w:tab/>
        <w:t>призовава Комисията да не разрешава вноса на устойчиви на хербициди генетично модифицирани култури поради свързаната с това повишена употреба на добавъчни хербициди, и следователно повишените рискове за биологичното разнообразие, безопасността на храните и здравето на работниците;</w:t>
      </w:r>
    </w:p>
    <w:p w:rsidR="00397725" w:rsidRPr="004959AB" w:rsidP="00383B3F" w14:paraId="4F9866E9" w14:textId="77777777">
      <w:pPr>
        <w:pStyle w:val="NormalHanging12a"/>
      </w:pPr>
      <w:r w:rsidRPr="004959AB">
        <w:t>5.</w:t>
      </w:r>
      <w:r w:rsidRPr="004959AB">
        <w:tab/>
        <w:t>приветства факта, че в писмо от 11 септември 2020 г. до членовете на ЕП Комисията призна необходимостта да се взема предвид устойчивостта, когато става въпрос за решения за разрешаване на ГМО</w:t>
      </w:r>
      <w:r>
        <w:rPr>
          <w:vertAlign w:val="superscript"/>
        </w:rPr>
        <w:footnoteReference w:id="20"/>
      </w:r>
      <w:r w:rsidRPr="004959AB">
        <w:t>; изразява обаче силно разочарование поради това, че впоследствие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397725" w:rsidRPr="004959AB" w:rsidP="00383B3F" w14:paraId="24B0E5AB" w14:textId="77777777">
      <w:pPr>
        <w:pStyle w:val="NormalHanging12a"/>
      </w:pPr>
      <w:r w:rsidRPr="004959AB">
        <w:t>6.</w:t>
      </w:r>
      <w:r w:rsidRPr="004959AB">
        <w:tab/>
        <w:t xml:space="preserve">отново 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w:t>
      </w:r>
      <w:r w:rsidRPr="004959AB">
        <w:t>ненанасяне</w:t>
      </w:r>
      <w:r w:rsidRPr="004959AB">
        <w:t xml:space="preserve"> на вреда</w:t>
      </w:r>
      <w:r>
        <w:rPr>
          <w:vertAlign w:val="superscript"/>
        </w:rPr>
        <w:footnoteReference w:id="21"/>
      </w:r>
      <w:r w:rsidRPr="004959AB">
        <w:t>;</w:t>
      </w:r>
    </w:p>
    <w:p w:rsidR="00397725" w:rsidRPr="004959AB" w:rsidP="00383B3F" w14:paraId="31678F9D" w14:textId="77777777">
      <w:pPr>
        <w:pStyle w:val="NormalHanging12a"/>
      </w:pPr>
      <w:r w:rsidRPr="004959AB">
        <w:t>7.</w:t>
      </w:r>
      <w:r w:rsidRPr="004959AB">
        <w:tab/>
        <w:t>подчертава, че в измененията, приети от Европейския парламент на 17 декември 2020 г. към предложението за регламент на Европейския парламент и на Съвета за изменение на Регламент (ЕС) № 182/2011</w:t>
      </w:r>
      <w:r>
        <w:rPr>
          <w:vertAlign w:val="superscript"/>
        </w:rPr>
        <w:footnoteReference w:id="22"/>
      </w:r>
      <w:r w:rsidRPr="004959AB">
        <w:t>, които бяха одобрени от Парламента като основа за преговори със Съвета, се посочва, че Комисията не трябва да разрешава ГМО, когато няма подкрепата на квалифицирано мнозинство от държавите членки за това; настоява Комисията да зачита тази позиция и призовава Съвета да продължи работата си и спешно да приеме общ подход по това досие;</w:t>
      </w:r>
    </w:p>
    <w:p w:rsidR="004959AB" w:rsidRPr="004959AB" w:rsidP="00383B3F" w14:paraId="6CFD403E" w14:textId="2F19A967">
      <w:pPr>
        <w:pStyle w:val="NormalHanging12a"/>
      </w:pPr>
      <w:r w:rsidRPr="004959AB">
        <w:t>8.</w:t>
      </w:r>
      <w:r w:rsidRPr="004959AB">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4959AB" w:rsidP="00397725" w14:paraId="6CCB7256" w14:textId="642C96D8"/>
    <w:sectPr w:rsidSect="004959A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59AB" w14:paraId="6D6117C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59AB" w14:paraId="33F852B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59AB" w14:paraId="3C32EE6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D21C3" w:rsidRPr="004959AB" w14:paraId="285D96D0" w14:textId="77777777">
      <w:r w:rsidRPr="004959AB">
        <w:separator/>
      </w:r>
    </w:p>
  </w:footnote>
  <w:footnote w:type="continuationSeparator" w:id="1">
    <w:p w:rsidR="006D21C3" w:rsidRPr="004959AB" w14:paraId="31E0B61E" w14:textId="77777777">
      <w:r w:rsidRPr="004959AB">
        <w:continuationSeparator/>
      </w:r>
    </w:p>
  </w:footnote>
  <w:footnote w:id="2">
    <w:p w:rsidR="00D77792" w:rsidRPr="00383B3F" w:rsidP="00383B3F" w14:paraId="6C7E40D7" w14:textId="1974F461">
      <w:pPr>
        <w:pStyle w:val="FootnoteText"/>
        <w:ind w:left="567" w:hanging="567"/>
        <w:rPr>
          <w:lang w:val="bg-BG"/>
        </w:rPr>
      </w:pPr>
      <w:r>
        <w:rPr>
          <w:rStyle w:val="FootnoteReference"/>
        </w:rPr>
        <w:footnoteRef/>
      </w:r>
      <w:r w:rsidRPr="00F46525">
        <w:rPr>
          <w:lang w:val="fi-FI"/>
        </w:rPr>
        <w:t xml:space="preserve"> </w:t>
      </w:r>
      <w:r>
        <w:rPr>
          <w:lang w:val="bg-BG"/>
        </w:rPr>
        <w:tab/>
      </w:r>
      <w:r w:rsidRPr="00383B3F">
        <w:rPr>
          <w:sz w:val="24"/>
          <w:szCs w:val="24"/>
          <w:lang w:val="fi-FI"/>
        </w:rPr>
        <w:t>O</w:t>
      </w:r>
      <w:r>
        <w:rPr>
          <w:sz w:val="24"/>
          <w:szCs w:val="24"/>
          <w:lang w:val="bg-BG"/>
        </w:rPr>
        <w:t>В</w:t>
      </w:r>
      <w:r w:rsidRPr="00383B3F">
        <w:rPr>
          <w:sz w:val="24"/>
          <w:szCs w:val="24"/>
          <w:lang w:val="fi-FI"/>
        </w:rPr>
        <w:t xml:space="preserve"> L, 2026/1443, 3.7.2026</w:t>
      </w:r>
      <w:r>
        <w:rPr>
          <w:sz w:val="24"/>
          <w:szCs w:val="24"/>
          <w:lang w:val="bg-BG"/>
        </w:rPr>
        <w:t> г.</w:t>
      </w:r>
      <w:r w:rsidRPr="00383B3F">
        <w:rPr>
          <w:sz w:val="24"/>
          <w:szCs w:val="24"/>
          <w:lang w:val="fi-FI"/>
        </w:rPr>
        <w:t xml:space="preserve">, ELI: </w:t>
      </w:r>
      <w:hyperlink r:id="rId1" w:history="1">
        <w:r w:rsidRPr="00383B3F">
          <w:rPr>
            <w:rStyle w:val="Hyperlink"/>
            <w:sz w:val="24"/>
            <w:szCs w:val="24"/>
            <w:lang w:val="fi-FI"/>
          </w:rPr>
          <w:t>http://data.europa.eu/eli/dec_impl/2026/1443/oj</w:t>
        </w:r>
      </w:hyperlink>
      <w:r>
        <w:rPr>
          <w:sz w:val="24"/>
          <w:szCs w:val="24"/>
          <w:lang w:val="bg-BG"/>
        </w:rPr>
        <w:t>.</w:t>
      </w:r>
    </w:p>
  </w:footnote>
  <w:footnote w:id="3">
    <w:p w:rsidR="00397725" w:rsidRPr="004959AB" w:rsidP="004959AB" w14:paraId="07B76866" w14:textId="16611CB6">
      <w:pPr>
        <w:pStyle w:val="FootnoteText"/>
        <w:ind w:left="567" w:hanging="567"/>
        <w:rPr>
          <w:sz w:val="24"/>
          <w:lang w:val="bg-BG"/>
        </w:rPr>
      </w:pPr>
      <w:r w:rsidRPr="00D77792">
        <w:rPr>
          <w:rStyle w:val="Funotenzeichen"/>
          <w:sz w:val="24"/>
          <w:lang w:val="bg-BG"/>
        </w:rPr>
        <w:footnoteRef/>
      </w:r>
      <w:r w:rsidRPr="00D77792" w:rsidR="004959AB">
        <w:rPr>
          <w:sz w:val="24"/>
          <w:lang w:val="bg-BG"/>
        </w:rPr>
        <w:t xml:space="preserve"> </w:t>
      </w:r>
      <w:r w:rsidRPr="00D77792" w:rsidR="004959AB">
        <w:rPr>
          <w:sz w:val="24"/>
          <w:lang w:val="bg-BG"/>
        </w:rPr>
        <w:tab/>
      </w:r>
      <w:r w:rsidRPr="00D77792">
        <w:rPr>
          <w:sz w:val="24"/>
          <w:lang w:val="bg-BG"/>
        </w:rPr>
        <w:t>ОВ L 268, 18.10.2003 г., стр. </w:t>
      </w:r>
      <w:r w:rsidRPr="00D77792">
        <w:rPr>
          <w:sz w:val="24"/>
          <w:lang w:val="bg-BG"/>
        </w:rPr>
        <w:t>1., ELI:  </w:t>
      </w:r>
      <w:hyperlink r:id="rId2" w:tooltip="Достъп до този документ чрез неговия идентификатор ELI URI." w:history="1">
        <w:r w:rsidRPr="00D77792">
          <w:rPr>
            <w:rStyle w:val="Hyperlink"/>
            <w:sz w:val="24"/>
            <w:lang w:val="bg-BG"/>
          </w:rPr>
          <w:t>http://data.europa.eu/eli/reg/2003/1829/oj</w:t>
        </w:r>
      </w:hyperlink>
      <w:r w:rsidRPr="004959AB">
        <w:rPr>
          <w:sz w:val="24"/>
          <w:lang w:val="bg-BG"/>
        </w:rPr>
        <w:t>.</w:t>
      </w:r>
    </w:p>
  </w:footnote>
  <w:footnote w:id="4">
    <w:p w:rsidR="00397725" w:rsidRPr="004959AB" w:rsidP="004959AB" w14:paraId="222CC9DA" w14:textId="07486B50">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ОВ L 55, 28.2.2011 г., стр. </w:t>
      </w:r>
      <w:r w:rsidRPr="004959AB">
        <w:rPr>
          <w:sz w:val="24"/>
          <w:lang w:val="bg-BG"/>
        </w:rPr>
        <w:t>13, ELI: </w:t>
      </w:r>
      <w:hyperlink r:id="rId3" w:history="1">
        <w:r w:rsidRPr="004959AB">
          <w:rPr>
            <w:rStyle w:val="Hyperlink"/>
            <w:sz w:val="24"/>
            <w:lang w:val="bg-BG"/>
          </w:rPr>
          <w:t>http://data.europa.eu/eli/reg/2011/182/oj</w:t>
        </w:r>
      </w:hyperlink>
      <w:r w:rsidRPr="004959AB">
        <w:rPr>
          <w:sz w:val="24"/>
          <w:lang w:val="bg-BG"/>
        </w:rPr>
        <w:t>.</w:t>
      </w:r>
    </w:p>
  </w:footnote>
  <w:footnote w:id="5">
    <w:p w:rsidR="00397725" w:rsidRPr="004959AB" w:rsidP="00526119" w14:paraId="1712A1E5" w14:textId="5DA703DB">
      <w:pPr>
        <w:pStyle w:val="FootnoteText"/>
        <w:ind w:left="567" w:hanging="567"/>
        <w:rPr>
          <w:sz w:val="24"/>
          <w:lang w:val="bg-BG"/>
        </w:rPr>
      </w:pPr>
      <w:r w:rsidRPr="004959AB">
        <w:rPr>
          <w:rStyle w:val="Funotenzeichen"/>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 царевица DP202216 × NK603 × DAS-40278-9 (заявление GMFF-2022-6232)“, </w:t>
      </w:r>
      <w:r w:rsidRPr="004959AB">
        <w:rPr>
          <w:i/>
          <w:iCs/>
          <w:sz w:val="24"/>
          <w:lang w:val="bg-BG"/>
        </w:rPr>
        <w:t>Бюлетин на ЕОБХ</w:t>
      </w:r>
      <w:r w:rsidRPr="004959AB">
        <w:rPr>
          <w:sz w:val="24"/>
          <w:lang w:val="bg-BG"/>
        </w:rPr>
        <w:t xml:space="preserve">, 2025 г., 23(12):e9746, </w:t>
      </w:r>
      <w:hyperlink r:id="rId4" w:history="1">
        <w:r w:rsidRPr="004959AB">
          <w:rPr>
            <w:rStyle w:val="Hyperlink"/>
            <w:sz w:val="24"/>
            <w:lang w:val="bg-BG"/>
          </w:rPr>
          <w:t>https://doi.org/10.2903/j.efsa.2025.9746</w:t>
        </w:r>
      </w:hyperlink>
      <w:r w:rsidRPr="004959AB">
        <w:rPr>
          <w:rStyle w:val="Hyperlink"/>
          <w:sz w:val="24"/>
          <w:lang w:val="bg-BG"/>
        </w:rPr>
        <w:t>.</w:t>
      </w:r>
    </w:p>
  </w:footnote>
  <w:footnote w:id="6">
    <w:p w:rsidR="00397725" w:rsidRPr="004959AB" w:rsidP="004959AB" w14:paraId="40D990A7" w14:textId="2DD3FA45">
      <w:pPr>
        <w:pStyle w:val="FootnoteText"/>
        <w:ind w:left="567" w:hanging="567"/>
        <w:rPr>
          <w:color w:val="000000" w:themeColor="text1"/>
          <w:sz w:val="24"/>
          <w:vertAlign w:val="superscript"/>
          <w:lang w:val="bg-BG"/>
        </w:rPr>
      </w:pPr>
      <w:r w:rsidRPr="004959AB">
        <w:rPr>
          <w:rStyle w:val="Funotenzeichen"/>
          <w:sz w:val="24"/>
          <w:lang w:val="bg-BG"/>
        </w:rPr>
        <w:footnoteRef/>
      </w:r>
      <w:r w:rsidRPr="004959AB" w:rsidR="004959AB">
        <w:rPr>
          <w:color w:val="000000" w:themeColor="text1"/>
          <w:sz w:val="24"/>
          <w:lang w:val="bg-BG"/>
        </w:rPr>
        <w:t xml:space="preserve"> </w:t>
      </w:r>
      <w:r w:rsidRPr="004959AB" w:rsidR="004959AB">
        <w:rPr>
          <w:color w:val="000000" w:themeColor="text1"/>
          <w:sz w:val="24"/>
          <w:lang w:val="bg-BG"/>
        </w:rPr>
        <w:tab/>
      </w:r>
      <w:r w:rsidRPr="004959AB">
        <w:rPr>
          <w:color w:val="000000" w:themeColor="text1"/>
          <w:sz w:val="24"/>
          <w:lang w:val="bg-BG"/>
        </w:rPr>
        <w:t>По време на осмия си мандат Парламентът прие 36 резолюции, а през деветия си мандат – 38 резолюции</w:t>
      </w:r>
      <w:r w:rsidRPr="004959AB">
        <w:rPr>
          <w:sz w:val="24"/>
          <w:lang w:val="bg-BG"/>
        </w:rPr>
        <w:t xml:space="preserve">, в които възразява срещу </w:t>
      </w:r>
      <w:r w:rsidRPr="004959AB">
        <w:rPr>
          <w:color w:val="000000" w:themeColor="text1"/>
          <w:sz w:val="24"/>
          <w:lang w:val="bg-BG"/>
        </w:rPr>
        <w:t>разрешаването на ГМО. Освен това, през десетия си мандат Парламентът прие следните резолюции:</w:t>
      </w:r>
    </w:p>
    <w:p w:rsidR="00397725" w:rsidRPr="004959AB" w:rsidP="00526119" w14:paraId="758F34ED" w14:textId="6B4BC997">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 xml:space="preserve">Резолюция на Европейския парламент от 26 ноември 2024 г. </w:t>
      </w:r>
      <w:r w:rsidRPr="004959AB">
        <w:rPr>
          <w:color w:val="000000" w:themeColor="text1"/>
          <w:sz w:val="24"/>
          <w:lang w:val="bg-BG"/>
        </w:rPr>
        <w:t>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5" w:history="1">
        <w:r w:rsidRPr="004959AB">
          <w:rPr>
            <w:rStyle w:val="Hyperlink"/>
            <w:sz w:val="24"/>
            <w:lang w:val="bg-BG"/>
          </w:rPr>
          <w:t>http://data.europa.eu/eli/C/2025/1797/oj</w:t>
        </w:r>
      </w:hyperlink>
      <w:r w:rsidRPr="004959AB">
        <w:rPr>
          <w:color w:val="000000" w:themeColor="text1"/>
          <w:sz w:val="24"/>
          <w:lang w:val="bg-BG"/>
        </w:rPr>
        <w:t>).</w:t>
      </w:r>
    </w:p>
    <w:p w:rsidR="00397725" w:rsidRPr="004959AB" w:rsidP="00383B3F" w14:paraId="11EE5545" w14:textId="5581884F">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6" w:history="1">
        <w:r w:rsidRPr="004959AB">
          <w:rPr>
            <w:rStyle w:val="Hyperlink"/>
            <w:sz w:val="24"/>
            <w:lang w:val="bg-BG"/>
          </w:rPr>
          <w:t>http://data.europa.eu/eli/C/2025/1798/oj</w:t>
        </w:r>
      </w:hyperlink>
      <w:r w:rsidRPr="004959AB">
        <w:rPr>
          <w:color w:val="000000" w:themeColor="text1"/>
          <w:sz w:val="24"/>
          <w:lang w:val="bg-BG"/>
        </w:rPr>
        <w:t>).</w:t>
      </w:r>
    </w:p>
    <w:p w:rsidR="00397725" w:rsidRPr="004959AB" w:rsidP="00383B3F" w14:paraId="7F4A0491" w14:textId="6557329D">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r w:rsidRPr="004959AB">
        <w:rPr>
          <w:color w:val="000000" w:themeColor="text1"/>
          <w:sz w:val="24"/>
          <w:lang w:val="bg-BG"/>
        </w:rPr>
        <w:t>подкомбинации</w:t>
      </w:r>
      <w:r w:rsidRPr="004959AB">
        <w:rPr>
          <w:color w:val="000000" w:themeColor="text1"/>
          <w:sz w:val="24"/>
          <w:lang w:val="bg-BG"/>
        </w:rPr>
        <w:t>, съгласно Регламент (ЕО) № 1829/2003 на Европейския парламент и на Съвета (ОВ C, C/2025/1799, 4.4.2025 г., ELI: </w:t>
      </w:r>
      <w:hyperlink r:id="rId7" w:history="1">
        <w:r w:rsidRPr="004959AB">
          <w:rPr>
            <w:rStyle w:val="Hyperlink"/>
            <w:sz w:val="24"/>
            <w:lang w:val="bg-BG"/>
          </w:rPr>
          <w:t>http://data.europa.eu/eli/C/2025/1799/oj</w:t>
        </w:r>
      </w:hyperlink>
      <w:r w:rsidRPr="004959AB">
        <w:rPr>
          <w:color w:val="000000" w:themeColor="text1"/>
          <w:sz w:val="24"/>
          <w:lang w:val="bg-BG"/>
        </w:rPr>
        <w:t>).</w:t>
      </w:r>
    </w:p>
    <w:p w:rsidR="00397725" w:rsidRPr="004959AB" w:rsidP="00383B3F" w14:paraId="559E19F9" w14:textId="5D3D8ACC">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8" w:history="1">
        <w:r w:rsidRPr="004959AB">
          <w:rPr>
            <w:rStyle w:val="Hyperlink"/>
            <w:sz w:val="24"/>
            <w:lang w:val="bg-BG"/>
          </w:rPr>
          <w:t>http://data.europa.eu/eli/C/2025/1800/oj</w:t>
        </w:r>
      </w:hyperlink>
      <w:r w:rsidRPr="004959AB">
        <w:rPr>
          <w:color w:val="000000" w:themeColor="text1"/>
          <w:sz w:val="24"/>
          <w:lang w:val="bg-BG"/>
        </w:rPr>
        <w:t>).</w:t>
      </w:r>
    </w:p>
    <w:p w:rsidR="00397725" w:rsidRPr="004959AB" w:rsidP="00383B3F" w14:paraId="2D57437E" w14:textId="1D02A52E">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9" w:history="1">
        <w:r w:rsidRPr="004959AB">
          <w:rPr>
            <w:rStyle w:val="Hyperlink"/>
            <w:sz w:val="24"/>
            <w:lang w:val="bg-BG"/>
          </w:rPr>
          <w:t>http://data.europa.eu/eli/C/2025/1801/oj</w:t>
        </w:r>
      </w:hyperlink>
      <w:r w:rsidRPr="004959AB">
        <w:rPr>
          <w:color w:val="000000" w:themeColor="text1"/>
          <w:sz w:val="24"/>
          <w:lang w:val="bg-BG"/>
        </w:rPr>
        <w:t>).</w:t>
      </w:r>
    </w:p>
    <w:p w:rsidR="00397725" w:rsidRPr="004959AB" w:rsidP="00383B3F" w14:paraId="07C5110B" w14:textId="09878CDD">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hyperlink r:id="rId10" w:history="1">
        <w:r w:rsidRPr="004959AB">
          <w:rPr>
            <w:rStyle w:val="Hyperlink"/>
            <w:sz w:val="24"/>
            <w:lang w:val="bg-BG"/>
          </w:rPr>
          <w:t>http://data.europa.eu/eli/C/2025/1802/oj</w:t>
        </w:r>
      </w:hyperlink>
      <w:r w:rsidRPr="004959AB">
        <w:rPr>
          <w:color w:val="000000" w:themeColor="text1"/>
          <w:sz w:val="24"/>
          <w:lang w:val="bg-BG"/>
        </w:rPr>
        <w:t>).</w:t>
      </w:r>
    </w:p>
    <w:p w:rsidR="00397725" w:rsidRPr="004959AB" w:rsidP="00383B3F" w14:paraId="2E2B856D" w14:textId="3033A1C6">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1" w:history="1">
        <w:r w:rsidRPr="004959AB">
          <w:rPr>
            <w:rStyle w:val="Hyperlink"/>
            <w:sz w:val="24"/>
            <w:lang w:val="bg-BG"/>
          </w:rPr>
          <w:t>http://data.europa.eu/eli/C/2025/1803/oj</w:t>
        </w:r>
      </w:hyperlink>
      <w:r w:rsidRPr="004959AB">
        <w:rPr>
          <w:color w:val="000000" w:themeColor="text1"/>
          <w:sz w:val="24"/>
          <w:lang w:val="bg-BG"/>
        </w:rPr>
        <w:t>).</w:t>
      </w:r>
    </w:p>
    <w:p w:rsidR="00397725" w:rsidRPr="004959AB" w:rsidP="00383B3F" w14:paraId="56AA6370" w14:textId="47D1F834">
      <w:pPr>
        <w:pStyle w:val="FootnoteText"/>
        <w:ind w:left="1134" w:hanging="567"/>
        <w:rPr>
          <w:color w:val="000000" w:themeColor="text1"/>
          <w:sz w:val="24"/>
          <w:vertAlign w:val="superscript"/>
          <w:lang w:val="bg-BG"/>
        </w:rPr>
      </w:pPr>
      <w:r w:rsidRPr="004959AB">
        <w:rPr>
          <w:color w:val="000000" w:themeColor="text1"/>
          <w:sz w:val="24"/>
          <w:lang w:val="bg-BG"/>
        </w:rPr>
        <w:t>–</w:t>
      </w:r>
      <w:r w:rsidRPr="004959AB">
        <w:rPr>
          <w:color w:val="000000" w:themeColor="text1"/>
          <w:sz w:val="24"/>
          <w:lang w:val="bg-BG"/>
        </w:rPr>
        <w:tab/>
        <w:t>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hyperlink r:id="rId12" w:history="1">
        <w:r w:rsidRPr="004959AB">
          <w:rPr>
            <w:rStyle w:val="Hyperlink"/>
            <w:sz w:val="24"/>
            <w:lang w:val="bg-BG"/>
          </w:rPr>
          <w:t>http://data.europa.eu/eli/C/2025/1804/oj</w:t>
        </w:r>
      </w:hyperlink>
      <w:r w:rsidRPr="004959AB">
        <w:rPr>
          <w:color w:val="000000" w:themeColor="text1"/>
          <w:sz w:val="24"/>
          <w:lang w:val="bg-BG"/>
        </w:rPr>
        <w:t>).</w:t>
      </w:r>
    </w:p>
    <w:p w:rsidR="00397725" w:rsidRPr="004959AB" w:rsidP="00383B3F" w14:paraId="61B5AC68" w14:textId="5D2BC379">
      <w:pPr>
        <w:pStyle w:val="FootnoteText"/>
        <w:ind w:left="1134" w:hanging="567"/>
        <w:rPr>
          <w:sz w:val="24"/>
          <w:vertAlign w:val="superscript"/>
          <w:lang w:val="bg-BG"/>
        </w:rPr>
      </w:pPr>
      <w:r w:rsidRPr="004959AB">
        <w:rPr>
          <w:color w:val="000000" w:themeColor="text1"/>
          <w:sz w:val="24"/>
          <w:lang w:val="bg-BG"/>
        </w:rPr>
        <w:t>–</w:t>
      </w:r>
      <w:r w:rsidRPr="004959AB">
        <w:rPr>
          <w:color w:val="000000" w:themeColor="text1"/>
          <w:sz w:val="24"/>
          <w:lang w:val="bg-BG"/>
        </w:rPr>
        <w:tab/>
      </w:r>
      <w:r w:rsidRPr="004959AB">
        <w:rPr>
          <w:sz w:val="24"/>
          <w:lang w:val="bg-BG"/>
        </w:rPr>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3" w:history="1">
        <w:r w:rsidRPr="004959AB">
          <w:rPr>
            <w:rStyle w:val="Hyperlink"/>
            <w:sz w:val="24"/>
            <w:lang w:val="bg-BG"/>
          </w:rPr>
          <w:t>http://data.europa.eu/eli/C/2025/2246/oj</w:t>
        </w:r>
      </w:hyperlink>
      <w:r w:rsidRPr="004959AB">
        <w:rPr>
          <w:sz w:val="24"/>
          <w:lang w:val="bg-BG"/>
        </w:rPr>
        <w:t>).</w:t>
      </w:r>
    </w:p>
    <w:p w:rsidR="00397725" w:rsidRPr="004959AB" w:rsidP="00383B3F" w14:paraId="11A40121" w14:textId="72F6D7F7">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hyperlink r:id="rId14" w:history="1">
        <w:r w:rsidRPr="004959AB">
          <w:rPr>
            <w:rStyle w:val="Hyperlink"/>
            <w:sz w:val="24"/>
            <w:lang w:val="bg-BG"/>
          </w:rPr>
          <w:t>http://data.europa.eu/eli/C/2025/2247/oj</w:t>
        </w:r>
      </w:hyperlink>
      <w:r w:rsidRPr="004959AB">
        <w:rPr>
          <w:sz w:val="24"/>
          <w:lang w:val="bg-BG"/>
        </w:rPr>
        <w:t>).</w:t>
      </w:r>
    </w:p>
    <w:p w:rsidR="00397725" w:rsidRPr="004959AB" w:rsidP="00383B3F" w14:paraId="5BCBFF51" w14:textId="02C804DD">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(ОВ C, C/2026/586, 24.2.2026 г., ELI: </w:t>
      </w:r>
      <w:hyperlink r:id="rId15" w:tooltip="Достъп до този документ чрез неговия идентификатор ELI URI." w:history="1">
        <w:r w:rsidRPr="004959AB">
          <w:rPr>
            <w:rStyle w:val="Hyperlink"/>
            <w:sz w:val="24"/>
            <w:lang w:val="bg-BG"/>
          </w:rPr>
          <w:t>http://data.europa.eu/eli/C/2026/586/oj</w:t>
        </w:r>
      </w:hyperlink>
      <w:r w:rsidRPr="004959AB">
        <w:rPr>
          <w:sz w:val="24"/>
          <w:lang w:val="bg-BG"/>
        </w:rPr>
        <w:t>).</w:t>
      </w:r>
    </w:p>
    <w:p w:rsidR="00397725" w:rsidRPr="004959AB" w:rsidP="00383B3F" w14:paraId="3C0EA656" w14:textId="4E6F3593">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8 октомври 2025 г. относно Решение за изпълнение (EС) 2025/1898 на Комисията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(ОВ C, C/2026/1523, 15.4.2026 г., ELI: </w:t>
      </w:r>
      <w:hyperlink r:id="rId16" w:history="1">
        <w:r w:rsidRPr="004959AB">
          <w:rPr>
            <w:rStyle w:val="Hyperlink"/>
            <w:sz w:val="24"/>
            <w:lang w:val="bg-BG"/>
          </w:rPr>
          <w:t>http://data.europa.eu/eli/C/2026/1523/oj</w:t>
        </w:r>
      </w:hyperlink>
      <w:r w:rsidRPr="004959AB">
        <w:rPr>
          <w:sz w:val="24"/>
          <w:lang w:val="bg-BG"/>
        </w:rPr>
        <w:t>).</w:t>
      </w:r>
    </w:p>
    <w:p w:rsidR="00397725" w:rsidRPr="004959AB" w:rsidP="00383B3F" w14:paraId="190FF7E7" w14:textId="1B673773">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(ОВ C, C/2026/1703, 24.4.2026 г., ELI: </w:t>
      </w:r>
      <w:hyperlink r:id="rId17" w:history="1">
        <w:r w:rsidRPr="004959AB">
          <w:rPr>
            <w:rStyle w:val="Hyperlink"/>
            <w:sz w:val="24"/>
            <w:lang w:val="bg-BG"/>
          </w:rPr>
          <w:t>http://data.europa.eu/eli/C/2026/1703/oj</w:t>
        </w:r>
      </w:hyperlink>
      <w:r w:rsidRPr="004959AB">
        <w:rPr>
          <w:sz w:val="24"/>
          <w:lang w:val="bg-BG"/>
        </w:rPr>
        <w:t>).</w:t>
      </w:r>
    </w:p>
    <w:p w:rsidR="00397725" w:rsidRPr="004959AB" w:rsidP="00383B3F" w14:paraId="14A61769" w14:textId="61C70899">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(ОВ C, C/2026/1704, 24.4.2026 г., ELI: </w:t>
      </w:r>
      <w:hyperlink r:id="rId18" w:history="1">
        <w:r w:rsidRPr="004959AB">
          <w:rPr>
            <w:rStyle w:val="Hyperlink"/>
            <w:sz w:val="24"/>
            <w:lang w:val="bg-BG"/>
          </w:rPr>
          <w:t>http://data.europa.eu/eli/C/2026/1704/oj</w:t>
        </w:r>
      </w:hyperlink>
      <w:r w:rsidRPr="004959AB">
        <w:rPr>
          <w:sz w:val="24"/>
          <w:lang w:val="bg-BG"/>
        </w:rPr>
        <w:t>).</w:t>
      </w:r>
    </w:p>
    <w:p w:rsidR="00397725" w:rsidRPr="004959AB" w:rsidP="00383B3F" w14:paraId="42DCDD5A" w14:textId="2BA1BCE9">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(ОВ C, C/2026/1705, 24.4.2026 г., ELI: </w:t>
      </w:r>
      <w:hyperlink r:id="rId19" w:history="1">
        <w:r w:rsidRPr="004959AB">
          <w:rPr>
            <w:rStyle w:val="Hyperlink"/>
            <w:sz w:val="24"/>
            <w:lang w:val="bg-BG"/>
          </w:rPr>
          <w:t>http://data.europa.eu/eli/C/2026/1705/oj</w:t>
        </w:r>
      </w:hyperlink>
      <w:r w:rsidRPr="004959AB">
        <w:rPr>
          <w:sz w:val="24"/>
          <w:lang w:val="bg-BG"/>
        </w:rPr>
        <w:t>).</w:t>
      </w:r>
    </w:p>
    <w:p w:rsidR="00397725" w:rsidRPr="004959AB" w:rsidP="00383B3F" w14:paraId="2E24A71A" w14:textId="76D8FCA0">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(ОВ C, C/2026/1706, 24.4.2026 г., ELI: </w:t>
      </w:r>
      <w:hyperlink r:id="rId20" w:history="1">
        <w:r w:rsidRPr="004959AB">
          <w:rPr>
            <w:rStyle w:val="Hyperlink"/>
            <w:sz w:val="24"/>
            <w:lang w:val="bg-BG"/>
          </w:rPr>
          <w:t>http://data.europa.eu/eli/C/2026/1706/oj</w:t>
        </w:r>
      </w:hyperlink>
      <w:r w:rsidRPr="004959AB">
        <w:rPr>
          <w:sz w:val="24"/>
          <w:lang w:val="bg-BG"/>
        </w:rPr>
        <w:t>).</w:t>
      </w:r>
    </w:p>
    <w:p w:rsidR="00397725" w:rsidRPr="004959AB" w:rsidP="00383B3F" w14:paraId="4F2B6F61" w14:textId="760D8BAE">
      <w:pPr>
        <w:pStyle w:val="FootnoteText"/>
        <w:ind w:left="1134" w:hanging="567"/>
        <w:rPr>
          <w:sz w:val="24"/>
          <w:vertAlign w:val="superscript"/>
          <w:lang w:val="bg-BG"/>
        </w:rPr>
      </w:pPr>
      <w:r w:rsidRPr="004959AB">
        <w:rPr>
          <w:sz w:val="24"/>
          <w:lang w:val="bg-BG"/>
        </w:rPr>
        <w:t>–</w:t>
      </w:r>
      <w:r w:rsidRPr="004959AB">
        <w:rPr>
          <w:sz w:val="24"/>
          <w:lang w:val="bg-BG"/>
        </w:rPr>
        <w:tab/>
        <w:t xml:space="preserve">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w:t>
      </w:r>
      <w:r w:rsidR="00F46525">
        <w:rPr>
          <w:sz w:val="24"/>
          <w:lang w:val="bg-BG"/>
        </w:rPr>
        <w:t xml:space="preserve">(ЕО) </w:t>
      </w:r>
      <w:r w:rsidRPr="004959AB">
        <w:rPr>
          <w:sz w:val="24"/>
          <w:lang w:val="bg-BG"/>
        </w:rPr>
        <w:t>№ 1829/2003 на Европейския парламент и на Съвета (ОВ C, C/2026/1707, 24.4.2026 г., ELI: </w:t>
      </w:r>
      <w:hyperlink r:id="rId21" w:history="1">
        <w:r w:rsidRPr="004959AB">
          <w:rPr>
            <w:rStyle w:val="Hyperlink"/>
            <w:sz w:val="24"/>
            <w:lang w:val="bg-BG"/>
          </w:rPr>
          <w:t>http://data.europa.eu/eli/C/2026/1707/oj</w:t>
        </w:r>
      </w:hyperlink>
      <w:r w:rsidRPr="004959AB">
        <w:rPr>
          <w:sz w:val="24"/>
          <w:lang w:val="bg-BG"/>
        </w:rPr>
        <w:t>).</w:t>
      </w:r>
    </w:p>
    <w:p w:rsidR="00397725" w:rsidRPr="004959AB" w:rsidP="00383B3F" w14:paraId="505CBB66" w14:textId="71F379ED">
      <w:pPr>
        <w:pStyle w:val="FootnoteText"/>
        <w:ind w:left="1134" w:hanging="567"/>
        <w:rPr>
          <w:sz w:val="24"/>
          <w:vertAlign w:val="superscript"/>
          <w:lang w:val="bg-BG"/>
        </w:rPr>
      </w:pPr>
      <w:r w:rsidRPr="004959AB">
        <w:rPr>
          <w:sz w:val="24"/>
          <w:lang w:val="bg-BG"/>
        </w:rPr>
        <w:t>–</w:t>
      </w:r>
      <w:r w:rsidRPr="004959AB" w:rsidR="004959AB">
        <w:rPr>
          <w:sz w:val="24"/>
          <w:lang w:val="bg-BG"/>
        </w:rPr>
        <w:tab/>
      </w:r>
      <w:r w:rsidRPr="004959AB">
        <w:rPr>
          <w:sz w:val="24"/>
          <w:lang w:val="bg-BG"/>
        </w:rPr>
        <w:t>–</w:t>
      </w:r>
      <w:r w:rsidRPr="004959AB">
        <w:rPr>
          <w:sz w:val="24"/>
          <w:lang w:val="bg-BG"/>
        </w:rPr>
        <w:tab/>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(ОВ C, C/2026/2150, 6.5.2026 г., ELI: </w:t>
      </w:r>
      <w:hyperlink r:id="rId22" w:history="1">
        <w:r w:rsidRPr="004959AB">
          <w:rPr>
            <w:rStyle w:val="Hyperlink"/>
            <w:sz w:val="24"/>
            <w:lang w:val="bg-BG"/>
          </w:rPr>
          <w:t>http://data.europa.eu/eli/C/2026/2150/oj</w:t>
        </w:r>
      </w:hyperlink>
      <w:r w:rsidRPr="004959AB">
        <w:rPr>
          <w:sz w:val="24"/>
          <w:lang w:val="bg-BG"/>
        </w:rPr>
        <w:t>).</w:t>
      </w:r>
    </w:p>
    <w:p w:rsidR="00397725" w:rsidRPr="004959AB" w:rsidP="00383B3F" w14:paraId="108E05C2" w14:textId="00B48707">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w:t>
      </w:r>
      <w:r w:rsidR="00F46525">
        <w:rPr>
          <w:sz w:val="24"/>
          <w:lang w:val="bg-BG"/>
        </w:rPr>
        <w:t>1</w:t>
      </w:r>
      <w:r w:rsidRPr="004959AB">
        <w:rPr>
          <w:sz w:val="24"/>
          <w:lang w:val="bg-BG"/>
        </w:rPr>
        <w:t>829/2003 на Европейския парламент и на Съвета (ОВ C, C/2026/2151, 6.5.2026 г., ELI: </w:t>
      </w:r>
      <w:hyperlink r:id="rId23" w:history="1">
        <w:r w:rsidRPr="004959AB">
          <w:rPr>
            <w:rStyle w:val="Hyperlink"/>
            <w:sz w:val="24"/>
            <w:lang w:val="bg-BG"/>
          </w:rPr>
          <w:t>http://data.europa.eu/eli/C/2026/2151/oj</w:t>
        </w:r>
      </w:hyperlink>
      <w:r w:rsidRPr="004959AB">
        <w:rPr>
          <w:sz w:val="24"/>
          <w:lang w:val="bg-BG"/>
        </w:rPr>
        <w:t>).</w:t>
      </w:r>
    </w:p>
    <w:p w:rsidR="00397725" w:rsidRPr="004959AB" w:rsidP="00526119" w14:paraId="337FA4D1" w14:textId="3983483C">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11 февруари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DBN-09004-6, в съответствие с Регламент (ЕО) № 1829/2003 на Европейския парламент и на Съвета (Приети текстове, P10_TA(2026)0041).</w:t>
      </w:r>
    </w:p>
    <w:p w:rsidR="00397725" w:rsidRPr="004959AB" w:rsidP="00383B3F" w14:paraId="42E2A863" w14:textId="7C7700FB">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T25 (ACS-ZMØØ3-2), съгласно Регламент (ЕО) № 1829/2003 на Европейския парламент и на Съвета (Приети текстове, P10_TA(2026)0042).</w:t>
      </w:r>
    </w:p>
    <w:p w:rsidR="00397725" w:rsidRPr="004959AB" w:rsidP="00383B3F" w14:paraId="0C62BC3A" w14:textId="7C6D9F8E">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GHB614 × LLCotton25, съгласно Регламент (ЕО) № 1829/2003 на Европейския парламент и на Съвета (Приети текстове, P10_TA(2026)0043).</w:t>
      </w:r>
    </w:p>
    <w:p w:rsidR="00397725" w:rsidRPr="004959AB" w:rsidP="00383B3F" w14:paraId="42DBC3E1" w14:textId="148F0CE4">
      <w:pPr>
        <w:pStyle w:val="FootnoteText"/>
        <w:ind w:left="1134" w:hanging="567"/>
        <w:rPr>
          <w:sz w:val="24"/>
          <w:vertAlign w:val="superscript"/>
          <w:lang w:val="bg-BG"/>
        </w:rPr>
      </w:pPr>
      <w:r w:rsidRPr="004959AB">
        <w:rPr>
          <w:sz w:val="24"/>
          <w:lang w:val="bg-BG"/>
        </w:rPr>
        <w:t>–</w:t>
      </w:r>
      <w:r w:rsidRPr="004959AB">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T304-40, съгласно Регламент (ЕО) № 1829/2003 на Европейския парламент и на Съвета (Приети текстове, P10_TA(2026)0044).</w:t>
      </w:r>
    </w:p>
    <w:p w:rsidR="00397725" w:rsidRPr="004959AB" w:rsidP="00383B3F" w14:paraId="03F65B2B" w14:textId="4EEE3582">
      <w:pPr>
        <w:pStyle w:val="FootnoteText"/>
        <w:ind w:left="1134" w:hanging="567"/>
        <w:rPr>
          <w:sz w:val="24"/>
          <w:lang w:val="bg-BG"/>
        </w:rPr>
      </w:pPr>
      <w:r w:rsidRPr="004959AB">
        <w:rPr>
          <w:sz w:val="24"/>
          <w:lang w:val="bg-BG"/>
        </w:rPr>
        <w:t>–</w:t>
      </w:r>
      <w:r w:rsidRPr="004959AB">
        <w:rPr>
          <w:sz w:val="24"/>
          <w:lang w:val="bg-BG"/>
        </w:rPr>
        <w:tab/>
        <w:t>Резолюция на Европейския парламент от 29 април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94637, в съответствие с Регламент (ЕО) № 1829/2003 на Европейския парламент и на Съвета (Приети текстове, P10_TA(2026)0150).</w:t>
      </w:r>
    </w:p>
  </w:footnote>
  <w:footnote w:id="7">
    <w:p w:rsidR="00397725" w:rsidRPr="004959AB" w:rsidP="004959AB" w14:paraId="1D143E97" w14:textId="01509C53">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 xml:space="preserve">Становище на ЕОБХ, </w:t>
      </w:r>
      <w:hyperlink r:id="rId4" w:history="1">
        <w:r w:rsidRPr="004959AB">
          <w:rPr>
            <w:rStyle w:val="Hyperlink"/>
            <w:sz w:val="24"/>
            <w:lang w:val="bg-BG"/>
          </w:rPr>
          <w:t>https://doi.org/10.2903/j.efsa.2025.9746</w:t>
        </w:r>
      </w:hyperlink>
      <w:r w:rsidRPr="004959AB">
        <w:rPr>
          <w:sz w:val="24"/>
          <w:lang w:val="bg-BG"/>
        </w:rPr>
        <w:t>, стр. 7.</w:t>
      </w:r>
    </w:p>
  </w:footnote>
  <w:footnote w:id="8">
    <w:p w:rsidR="00397725" w:rsidRPr="004959AB" w:rsidP="004959AB" w14:paraId="2CB1E2A6" w14:textId="6934591A">
      <w:pPr>
        <w:pStyle w:val="FootnoteText"/>
        <w:ind w:left="567" w:hanging="567"/>
        <w:rPr>
          <w:sz w:val="24"/>
          <w:lang w:val="bg-BG"/>
        </w:rPr>
      </w:pPr>
      <w:r w:rsidRPr="004959AB">
        <w:rPr>
          <w:rStyle w:val="FootnoteReference"/>
          <w:sz w:val="24"/>
          <w:szCs w:val="24"/>
          <w:lang w:val="bg-BG"/>
        </w:rPr>
        <w:footnoteRef/>
      </w:r>
      <w:r w:rsidRPr="004959AB" w:rsidR="004959AB">
        <w:rPr>
          <w:sz w:val="24"/>
          <w:shd w:val="clear" w:color="auto" w:fill="FFFFFF"/>
          <w:lang w:val="bg-BG"/>
        </w:rPr>
        <w:t xml:space="preserve"> </w:t>
      </w:r>
      <w:r w:rsidRPr="004959AB" w:rsidR="004959AB">
        <w:rPr>
          <w:sz w:val="24"/>
          <w:shd w:val="clear" w:color="auto" w:fill="FFFFFF"/>
          <w:lang w:val="bg-BG"/>
        </w:rPr>
        <w:tab/>
      </w:r>
      <w:r w:rsidRPr="004959AB">
        <w:rPr>
          <w:sz w:val="24"/>
          <w:shd w:val="clear" w:color="auto" w:fill="FFFFFF"/>
          <w:lang w:val="bg-BG"/>
        </w:rPr>
        <w:t xml:space="preserve">Вж. например </w:t>
      </w:r>
      <w:r w:rsidRPr="004959AB">
        <w:rPr>
          <w:sz w:val="24"/>
          <w:shd w:val="clear" w:color="auto" w:fill="FFFFFF"/>
          <w:lang w:val="bg-BG"/>
        </w:rPr>
        <w:t>Bonny</w:t>
      </w:r>
      <w:r w:rsidRPr="004959AB">
        <w:rPr>
          <w:sz w:val="24"/>
          <w:shd w:val="clear" w:color="auto" w:fill="FFFFFF"/>
          <w:lang w:val="bg-BG"/>
        </w:rPr>
        <w:t>, S., „</w:t>
      </w:r>
      <w:r w:rsidRPr="004959AB">
        <w:rPr>
          <w:sz w:val="24"/>
          <w:shd w:val="clear" w:color="auto" w:fill="FFFFFF"/>
          <w:lang w:val="bg-BG"/>
        </w:rPr>
        <w:t>Genetically</w:t>
      </w:r>
      <w:r w:rsidRPr="004959AB">
        <w:rPr>
          <w:sz w:val="24"/>
          <w:shd w:val="clear" w:color="auto" w:fill="FFFFFF"/>
          <w:lang w:val="bg-BG"/>
        </w:rPr>
        <w:t xml:space="preserve"> </w:t>
      </w:r>
      <w:r w:rsidRPr="004959AB">
        <w:rPr>
          <w:sz w:val="24"/>
          <w:shd w:val="clear" w:color="auto" w:fill="FFFFFF"/>
          <w:lang w:val="bg-BG"/>
        </w:rPr>
        <w:t>Modified</w:t>
      </w:r>
      <w:r w:rsidRPr="004959AB">
        <w:rPr>
          <w:sz w:val="24"/>
          <w:shd w:val="clear" w:color="auto" w:fill="FFFFFF"/>
          <w:lang w:val="bg-BG"/>
        </w:rPr>
        <w:t xml:space="preserve"> </w:t>
      </w:r>
      <w:r w:rsidRPr="004959AB">
        <w:rPr>
          <w:sz w:val="24"/>
          <w:shd w:val="clear" w:color="auto" w:fill="FFFFFF"/>
          <w:lang w:val="bg-BG"/>
        </w:rPr>
        <w:t>Herbicide-Tolerant</w:t>
      </w:r>
      <w:r w:rsidRPr="004959AB">
        <w:rPr>
          <w:sz w:val="24"/>
          <w:shd w:val="clear" w:color="auto" w:fill="FFFFFF"/>
          <w:lang w:val="bg-BG"/>
        </w:rPr>
        <w:t xml:space="preserve"> </w:t>
      </w:r>
      <w:r w:rsidRPr="004959AB">
        <w:rPr>
          <w:sz w:val="24"/>
          <w:shd w:val="clear" w:color="auto" w:fill="FFFFFF"/>
          <w:lang w:val="bg-BG"/>
        </w:rPr>
        <w:t>Crops</w:t>
      </w:r>
      <w:r w:rsidRPr="004959AB">
        <w:rPr>
          <w:sz w:val="24"/>
          <w:shd w:val="clear" w:color="auto" w:fill="FFFFFF"/>
          <w:lang w:val="bg-BG"/>
        </w:rPr>
        <w:t xml:space="preserve">, </w:t>
      </w:r>
      <w:r w:rsidRPr="004959AB">
        <w:rPr>
          <w:sz w:val="24"/>
          <w:shd w:val="clear" w:color="auto" w:fill="FFFFFF"/>
          <w:lang w:val="bg-BG"/>
        </w:rPr>
        <w:t>Weeds</w:t>
      </w:r>
      <w:r w:rsidRPr="004959AB">
        <w:rPr>
          <w:sz w:val="24"/>
          <w:shd w:val="clear" w:color="auto" w:fill="FFFFFF"/>
          <w:lang w:val="bg-BG"/>
        </w:rPr>
        <w:t xml:space="preserve">, </w:t>
      </w:r>
      <w:r w:rsidRPr="004959AB">
        <w:rPr>
          <w:sz w:val="24"/>
          <w:shd w:val="clear" w:color="auto" w:fill="FFFFFF"/>
          <w:lang w:val="bg-BG"/>
        </w:rPr>
        <w:t>and</w:t>
      </w:r>
      <w:r w:rsidRPr="004959AB">
        <w:rPr>
          <w:sz w:val="24"/>
          <w:shd w:val="clear" w:color="auto" w:fill="FFFFFF"/>
          <w:lang w:val="bg-BG"/>
        </w:rPr>
        <w:t xml:space="preserve"> </w:t>
      </w:r>
      <w:r w:rsidRPr="004959AB">
        <w:rPr>
          <w:sz w:val="24"/>
          <w:shd w:val="clear" w:color="auto" w:fill="FFFFFF"/>
          <w:lang w:val="bg-BG"/>
        </w:rPr>
        <w:t>Herbicides</w:t>
      </w:r>
      <w:r w:rsidRPr="004959AB">
        <w:rPr>
          <w:sz w:val="24"/>
          <w:shd w:val="clear" w:color="auto" w:fill="FFFFFF"/>
          <w:lang w:val="bg-BG"/>
        </w:rPr>
        <w:t xml:space="preserve">: </w:t>
      </w:r>
      <w:r w:rsidRPr="004959AB">
        <w:rPr>
          <w:sz w:val="24"/>
          <w:shd w:val="clear" w:color="auto" w:fill="FFFFFF"/>
          <w:lang w:val="bg-BG"/>
        </w:rPr>
        <w:t>overview</w:t>
      </w:r>
      <w:r w:rsidRPr="004959AB">
        <w:rPr>
          <w:sz w:val="24"/>
          <w:shd w:val="clear" w:color="auto" w:fill="FFFFFF"/>
          <w:lang w:val="bg-BG"/>
        </w:rPr>
        <w:t xml:space="preserve"> </w:t>
      </w:r>
      <w:r w:rsidRPr="004959AB">
        <w:rPr>
          <w:sz w:val="24"/>
          <w:shd w:val="clear" w:color="auto" w:fill="FFFFFF"/>
          <w:lang w:val="bg-BG"/>
        </w:rPr>
        <w:t>and</w:t>
      </w:r>
      <w:r w:rsidRPr="004959AB">
        <w:rPr>
          <w:sz w:val="24"/>
          <w:shd w:val="clear" w:color="auto" w:fill="FFFFFF"/>
          <w:lang w:val="bg-BG"/>
        </w:rPr>
        <w:t xml:space="preserve"> </w:t>
      </w:r>
      <w:r w:rsidRPr="004959AB">
        <w:rPr>
          <w:sz w:val="24"/>
          <w:shd w:val="clear" w:color="auto" w:fill="FFFFFF"/>
          <w:lang w:val="bg-BG"/>
        </w:rPr>
        <w:t>Impact</w:t>
      </w:r>
      <w:r w:rsidRPr="004959AB">
        <w:rPr>
          <w:sz w:val="24"/>
          <w:shd w:val="clear" w:color="auto" w:fill="FFFFFF"/>
          <w:lang w:val="bg-BG"/>
        </w:rPr>
        <w:t xml:space="preserve">“ (Генетично модифицирани култури, устойчиви към хербициди, плевели и хербициди: </w:t>
      </w:r>
      <w:r w:rsidRPr="004959AB">
        <w:rPr>
          <w:sz w:val="24"/>
          <w:lang w:val="bg-BG"/>
        </w:rPr>
        <w:t xml:space="preserve">Преглед и въздействие“), </w:t>
      </w:r>
      <w:r w:rsidRPr="004959AB">
        <w:rPr>
          <w:i/>
          <w:iCs/>
          <w:sz w:val="24"/>
          <w:lang w:val="bg-BG"/>
        </w:rPr>
        <w:t>Environmental</w:t>
      </w:r>
      <w:r w:rsidRPr="004959AB">
        <w:rPr>
          <w:i/>
          <w:iCs/>
          <w:sz w:val="24"/>
          <w:lang w:val="bg-BG"/>
        </w:rPr>
        <w:t xml:space="preserve"> </w:t>
      </w:r>
      <w:r w:rsidRPr="004959AB">
        <w:rPr>
          <w:i/>
          <w:iCs/>
          <w:sz w:val="24"/>
          <w:lang w:val="bg-BG"/>
        </w:rPr>
        <w:t>Management</w:t>
      </w:r>
      <w:r w:rsidRPr="004959AB">
        <w:rPr>
          <w:sz w:val="24"/>
          <w:lang w:val="bg-BG"/>
        </w:rPr>
        <w:t xml:space="preserve">, януари 2016 г., 57(1), стр. </w:t>
      </w:r>
      <w:r w:rsidRPr="004959AB">
        <w:rPr>
          <w:sz w:val="24"/>
          <w:lang w:val="bg-BG"/>
        </w:rPr>
        <w:t xml:space="preserve">31-48, </w:t>
      </w:r>
      <w:hyperlink r:id="rId24" w:history="1">
        <w:r w:rsidRPr="004959AB">
          <w:rPr>
            <w:rStyle w:val="Hyperlink"/>
            <w:sz w:val="24"/>
            <w:shd w:val="clear" w:color="auto" w:fill="FFFFFF"/>
            <w:lang w:val="bg-BG"/>
          </w:rPr>
          <w:t>https://doi.org/10.1007/s00267-015-0589-7</w:t>
        </w:r>
      </w:hyperlink>
      <w:r w:rsidRPr="004959AB">
        <w:rPr>
          <w:sz w:val="24"/>
          <w:shd w:val="clear" w:color="auto" w:fill="FFFFFF"/>
          <w:lang w:val="bg-BG"/>
        </w:rPr>
        <w:t xml:space="preserve"> и </w:t>
      </w:r>
      <w:r w:rsidRPr="004959AB">
        <w:rPr>
          <w:sz w:val="24"/>
          <w:shd w:val="clear" w:color="auto" w:fill="FFFFFF"/>
          <w:lang w:val="bg-BG"/>
        </w:rPr>
        <w:t>Benbrook</w:t>
      </w:r>
      <w:r w:rsidRPr="004959AB">
        <w:rPr>
          <w:sz w:val="24"/>
          <w:shd w:val="clear" w:color="auto" w:fill="FFFFFF"/>
          <w:lang w:val="bg-BG"/>
        </w:rPr>
        <w:t>, C.M., „</w:t>
      </w:r>
      <w:r w:rsidRPr="004959AB">
        <w:rPr>
          <w:sz w:val="24"/>
          <w:shd w:val="clear" w:color="auto" w:fill="FFFFFF"/>
          <w:lang w:val="bg-BG"/>
        </w:rPr>
        <w:t>Impacts</w:t>
      </w:r>
      <w:r w:rsidRPr="004959AB">
        <w:rPr>
          <w:sz w:val="24"/>
          <w:shd w:val="clear" w:color="auto" w:fill="FFFFFF"/>
          <w:lang w:val="bg-BG"/>
        </w:rPr>
        <w:t xml:space="preserve"> </w:t>
      </w:r>
      <w:r w:rsidRPr="004959AB">
        <w:rPr>
          <w:sz w:val="24"/>
          <w:shd w:val="clear" w:color="auto" w:fill="FFFFFF"/>
          <w:lang w:val="bg-BG"/>
        </w:rPr>
        <w:t>of</w:t>
      </w:r>
      <w:r w:rsidRPr="004959AB">
        <w:rPr>
          <w:sz w:val="24"/>
          <w:shd w:val="clear" w:color="auto" w:fill="FFFFFF"/>
          <w:lang w:val="bg-BG"/>
        </w:rPr>
        <w:t xml:space="preserve"> </w:t>
      </w:r>
      <w:r w:rsidRPr="004959AB">
        <w:rPr>
          <w:sz w:val="24"/>
          <w:shd w:val="clear" w:color="auto" w:fill="FFFFFF"/>
          <w:lang w:val="bg-BG"/>
        </w:rPr>
        <w:t>genetically</w:t>
      </w:r>
      <w:r w:rsidRPr="004959AB">
        <w:rPr>
          <w:sz w:val="24"/>
          <w:shd w:val="clear" w:color="auto" w:fill="FFFFFF"/>
          <w:lang w:val="bg-BG"/>
        </w:rPr>
        <w:t xml:space="preserve"> </w:t>
      </w:r>
      <w:r w:rsidRPr="004959AB">
        <w:rPr>
          <w:sz w:val="24"/>
          <w:shd w:val="clear" w:color="auto" w:fill="FFFFFF"/>
          <w:lang w:val="bg-BG"/>
        </w:rPr>
        <w:t>engineered</w:t>
      </w:r>
      <w:r w:rsidRPr="004959AB">
        <w:rPr>
          <w:sz w:val="24"/>
          <w:shd w:val="clear" w:color="auto" w:fill="FFFFFF"/>
          <w:lang w:val="bg-BG"/>
        </w:rPr>
        <w:t xml:space="preserve"> </w:t>
      </w:r>
      <w:r w:rsidRPr="004959AB">
        <w:rPr>
          <w:sz w:val="24"/>
          <w:shd w:val="clear" w:color="auto" w:fill="FFFFFF"/>
          <w:lang w:val="bg-BG"/>
        </w:rPr>
        <w:t>crops</w:t>
      </w:r>
      <w:r w:rsidRPr="004959AB">
        <w:rPr>
          <w:sz w:val="24"/>
          <w:shd w:val="clear" w:color="auto" w:fill="FFFFFF"/>
          <w:lang w:val="bg-BG"/>
        </w:rPr>
        <w:t xml:space="preserve"> </w:t>
      </w:r>
      <w:r w:rsidRPr="004959AB">
        <w:rPr>
          <w:sz w:val="24"/>
          <w:shd w:val="clear" w:color="auto" w:fill="FFFFFF"/>
          <w:lang w:val="bg-BG"/>
        </w:rPr>
        <w:t>on</w:t>
      </w:r>
      <w:r w:rsidRPr="004959AB">
        <w:rPr>
          <w:sz w:val="24"/>
          <w:shd w:val="clear" w:color="auto" w:fill="FFFFFF"/>
          <w:lang w:val="bg-BG"/>
        </w:rPr>
        <w:t xml:space="preserve"> </w:t>
      </w:r>
      <w:r w:rsidRPr="004959AB">
        <w:rPr>
          <w:sz w:val="24"/>
          <w:shd w:val="clear" w:color="auto" w:fill="FFFFFF"/>
          <w:lang w:val="bg-BG"/>
        </w:rPr>
        <w:t>pesticide</w:t>
      </w:r>
      <w:r w:rsidRPr="004959AB">
        <w:rPr>
          <w:sz w:val="24"/>
          <w:shd w:val="clear" w:color="auto" w:fill="FFFFFF"/>
          <w:lang w:val="bg-BG"/>
        </w:rPr>
        <w:t xml:space="preserve"> </w:t>
      </w:r>
      <w:r w:rsidRPr="004959AB">
        <w:rPr>
          <w:sz w:val="24"/>
          <w:shd w:val="clear" w:color="auto" w:fill="FFFFFF"/>
          <w:lang w:val="bg-BG"/>
        </w:rPr>
        <w:t>use</w:t>
      </w:r>
      <w:r w:rsidRPr="004959AB">
        <w:rPr>
          <w:sz w:val="24"/>
          <w:shd w:val="clear" w:color="auto" w:fill="FFFFFF"/>
          <w:lang w:val="bg-BG"/>
        </w:rPr>
        <w:t xml:space="preserve"> </w:t>
      </w:r>
      <w:r w:rsidRPr="004959AB">
        <w:rPr>
          <w:sz w:val="24"/>
          <w:shd w:val="clear" w:color="auto" w:fill="FFFFFF"/>
          <w:lang w:val="bg-BG"/>
        </w:rPr>
        <w:t>in</w:t>
      </w:r>
      <w:r w:rsidRPr="004959AB">
        <w:rPr>
          <w:sz w:val="24"/>
          <w:shd w:val="clear" w:color="auto" w:fill="FFFFFF"/>
          <w:lang w:val="bg-BG"/>
        </w:rPr>
        <w:t xml:space="preserve"> </w:t>
      </w:r>
      <w:r w:rsidRPr="004959AB">
        <w:rPr>
          <w:sz w:val="24"/>
          <w:shd w:val="clear" w:color="auto" w:fill="FFFFFF"/>
          <w:lang w:val="bg-BG"/>
        </w:rPr>
        <w:t>the</w:t>
      </w:r>
      <w:r w:rsidRPr="004959AB">
        <w:rPr>
          <w:sz w:val="24"/>
          <w:shd w:val="clear" w:color="auto" w:fill="FFFFFF"/>
          <w:lang w:val="bg-BG"/>
        </w:rPr>
        <w:t xml:space="preserve"> U.S. - </w:t>
      </w:r>
      <w:r w:rsidRPr="004959AB">
        <w:rPr>
          <w:sz w:val="24"/>
          <w:shd w:val="clear" w:color="auto" w:fill="FFFFFF"/>
          <w:lang w:val="bg-BG"/>
        </w:rPr>
        <w:t>the</w:t>
      </w:r>
      <w:r w:rsidRPr="004959AB">
        <w:rPr>
          <w:sz w:val="24"/>
          <w:shd w:val="clear" w:color="auto" w:fill="FFFFFF"/>
          <w:lang w:val="bg-BG"/>
        </w:rPr>
        <w:t xml:space="preserve"> </w:t>
      </w:r>
      <w:r w:rsidRPr="004959AB">
        <w:rPr>
          <w:sz w:val="24"/>
          <w:shd w:val="clear" w:color="auto" w:fill="FFFFFF"/>
          <w:lang w:val="bg-BG"/>
        </w:rPr>
        <w:t>first</w:t>
      </w:r>
      <w:r w:rsidRPr="004959AB">
        <w:rPr>
          <w:sz w:val="24"/>
          <w:shd w:val="clear" w:color="auto" w:fill="FFFFFF"/>
          <w:lang w:val="bg-BG"/>
        </w:rPr>
        <w:t xml:space="preserve"> </w:t>
      </w:r>
      <w:r w:rsidRPr="004959AB">
        <w:rPr>
          <w:sz w:val="24"/>
          <w:shd w:val="clear" w:color="auto" w:fill="FFFFFF"/>
          <w:lang w:val="bg-BG"/>
        </w:rPr>
        <w:t>sixteen</w:t>
      </w:r>
      <w:r w:rsidRPr="004959AB">
        <w:rPr>
          <w:sz w:val="24"/>
          <w:shd w:val="clear" w:color="auto" w:fill="FFFFFF"/>
          <w:lang w:val="bg-BG"/>
        </w:rPr>
        <w:t xml:space="preserve"> </w:t>
      </w:r>
      <w:r w:rsidRPr="004959AB">
        <w:rPr>
          <w:sz w:val="24"/>
          <w:shd w:val="clear" w:color="auto" w:fill="FFFFFF"/>
          <w:lang w:val="bg-BG"/>
        </w:rPr>
        <w:t>years</w:t>
      </w:r>
      <w:r w:rsidRPr="004959AB">
        <w:rPr>
          <w:sz w:val="24"/>
          <w:shd w:val="clear" w:color="auto" w:fill="FFFFFF"/>
          <w:lang w:val="bg-BG"/>
        </w:rPr>
        <w:t xml:space="preserve">“ („Въздействие на генетично създадени култури върху използването на пестициди в САЩ – първите шестнадесет години“), </w:t>
      </w:r>
      <w:r w:rsidRPr="004959AB">
        <w:rPr>
          <w:i/>
          <w:iCs/>
          <w:sz w:val="24"/>
          <w:shd w:val="clear" w:color="auto" w:fill="FFFFFF"/>
          <w:lang w:val="bg-BG"/>
        </w:rPr>
        <w:t>Environmental</w:t>
      </w:r>
      <w:r w:rsidRPr="004959AB">
        <w:rPr>
          <w:i/>
          <w:iCs/>
          <w:sz w:val="24"/>
          <w:shd w:val="clear" w:color="auto" w:fill="FFFFFF"/>
          <w:lang w:val="bg-BG"/>
        </w:rPr>
        <w:t xml:space="preserve"> </w:t>
      </w:r>
      <w:r w:rsidRPr="004959AB">
        <w:rPr>
          <w:i/>
          <w:iCs/>
          <w:sz w:val="24"/>
          <w:shd w:val="clear" w:color="auto" w:fill="FFFFFF"/>
          <w:lang w:val="bg-BG"/>
        </w:rPr>
        <w:t>Sciences</w:t>
      </w:r>
      <w:r w:rsidRPr="004959AB">
        <w:rPr>
          <w:i/>
          <w:iCs/>
          <w:sz w:val="24"/>
          <w:shd w:val="clear" w:color="auto" w:fill="FFFFFF"/>
          <w:lang w:val="bg-BG"/>
        </w:rPr>
        <w:t xml:space="preserve"> </w:t>
      </w:r>
      <w:r w:rsidRPr="004959AB">
        <w:rPr>
          <w:i/>
          <w:iCs/>
          <w:sz w:val="24"/>
          <w:shd w:val="clear" w:color="auto" w:fill="FFFFFF"/>
          <w:lang w:val="bg-BG"/>
        </w:rPr>
        <w:t>Europe</w:t>
      </w:r>
      <w:r w:rsidRPr="004959AB">
        <w:rPr>
          <w:sz w:val="24"/>
          <w:shd w:val="clear" w:color="auto" w:fill="FFFFFF"/>
          <w:lang w:val="bg-BG"/>
        </w:rPr>
        <w:t xml:space="preserve">, 28 септември 2012 г., том 24(1), </w:t>
      </w:r>
      <w:hyperlink r:id="rId25" w:history="1">
        <w:r w:rsidRPr="004959AB">
          <w:rPr>
            <w:rStyle w:val="Hyperlink"/>
            <w:sz w:val="24"/>
            <w:lang w:val="bg-BG"/>
          </w:rPr>
          <w:t>https://doi.org/10.1186/2190-4715-24-24</w:t>
        </w:r>
      </w:hyperlink>
      <w:r w:rsidRPr="004959AB">
        <w:rPr>
          <w:sz w:val="24"/>
          <w:lang w:val="bg-BG"/>
        </w:rPr>
        <w:t>.</w:t>
      </w:r>
    </w:p>
  </w:footnote>
  <w:footnote w:id="9">
    <w:p w:rsidR="00397725" w:rsidRPr="004959AB" w:rsidP="004959AB" w14:paraId="3F50D232" w14:textId="28A73F59">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w:t>
      </w:r>
      <w:r w:rsidRPr="004959AB">
        <w:rPr>
          <w:sz w:val="24"/>
          <w:lang w:val="bg-BG"/>
        </w:rPr>
        <w:t>1, ELI: </w:t>
      </w:r>
      <w:hyperlink r:id="rId26" w:tooltip="Достъп до този документ чрез неговия идентификатор ELI URI." w:history="1">
        <w:r w:rsidRPr="004959AB">
          <w:rPr>
            <w:rStyle w:val="Hyperlink"/>
            <w:sz w:val="24"/>
            <w:lang w:val="bg-BG"/>
          </w:rPr>
          <w:t>http://data.europa.eu/eli/reg/2009/1107/oj</w:t>
        </w:r>
      </w:hyperlink>
      <w:r w:rsidRPr="004959AB">
        <w:rPr>
          <w:sz w:val="24"/>
          <w:lang w:val="bg-BG"/>
        </w:rPr>
        <w:t>).</w:t>
      </w:r>
    </w:p>
  </w:footnote>
  <w:footnote w:id="10">
    <w:p w:rsidR="00397725" w:rsidRPr="004959AB" w:rsidP="004959AB" w14:paraId="1A9CA47A" w14:textId="23879C49">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526119" w:rsidR="00526119">
        <w:rPr>
          <w:sz w:val="24"/>
          <w:lang w:val="bg-BG"/>
        </w:rPr>
        <w:t>https://ec.europa.eu/food/plant/pesticides/eu-pesticides-database/start/screen/active-substances/details/79.</w:t>
      </w:r>
      <w:r w:rsidRPr="004959AB">
        <w:rPr>
          <w:sz w:val="24"/>
          <w:lang w:val="bg-BG"/>
        </w:rPr>
        <w:t xml:space="preserve"> </w:t>
      </w:r>
    </w:p>
  </w:footnote>
  <w:footnote w:id="11">
    <w:p w:rsidR="00397725" w:rsidRPr="004959AB" w:rsidP="004959AB" w14:paraId="065EADC5" w14:textId="227284C2">
      <w:pPr>
        <w:pStyle w:val="FootnoteText"/>
        <w:ind w:left="567" w:hanging="567"/>
        <w:rPr>
          <w:sz w:val="24"/>
          <w:lang w:val="bg-BG"/>
        </w:rPr>
      </w:pPr>
      <w:r w:rsidRPr="004959AB">
        <w:rPr>
          <w:rStyle w:val="FootnoteReference"/>
          <w:sz w:val="24"/>
          <w:lang w:val="bg-BG"/>
        </w:rPr>
        <w:footnoteRef/>
      </w:r>
      <w:r w:rsidRPr="004959AB" w:rsidR="004959AB">
        <w:rPr>
          <w:sz w:val="24"/>
          <w:shd w:val="clear" w:color="auto" w:fill="FFFFFF"/>
          <w:lang w:val="bg-BG"/>
        </w:rPr>
        <w:t xml:space="preserve"> </w:t>
      </w:r>
      <w:r w:rsidRPr="004959AB" w:rsidR="004959AB">
        <w:rPr>
          <w:sz w:val="24"/>
          <w:shd w:val="clear" w:color="auto" w:fill="FFFFFF"/>
          <w:lang w:val="bg-BG"/>
        </w:rPr>
        <w:tab/>
      </w:r>
      <w:r w:rsidRPr="004959AB">
        <w:rPr>
          <w:sz w:val="24"/>
          <w:shd w:val="clear" w:color="auto" w:fill="FFFFFF"/>
          <w:lang w:val="bg-BG"/>
        </w:rPr>
        <w:t xml:space="preserve">Вж. </w:t>
      </w:r>
      <w:r w:rsidRPr="004959AB">
        <w:rPr>
          <w:sz w:val="24"/>
          <w:shd w:val="clear" w:color="auto" w:fill="FFFFFF"/>
          <w:lang w:val="bg-BG"/>
        </w:rPr>
        <w:t xml:space="preserve">например, </w:t>
      </w:r>
      <w:hyperlink r:id="rId27" w:history="1">
        <w:r w:rsidRPr="004959AB">
          <w:rPr>
            <w:rStyle w:val="Hyperlink"/>
            <w:sz w:val="24"/>
            <w:lang w:val="bg-BG"/>
          </w:rPr>
          <w:t>https://doi.org/10.1016/j.mrrev.2019.02.001</w:t>
        </w:r>
      </w:hyperlink>
      <w:r w:rsidRPr="004959AB">
        <w:rPr>
          <w:sz w:val="24"/>
          <w:lang w:val="bg-BG"/>
        </w:rPr>
        <w:t xml:space="preserve">, </w:t>
      </w:r>
      <w:hyperlink r:id="rId28" w:history="1">
        <w:r w:rsidRPr="004959AB">
          <w:rPr>
            <w:rStyle w:val="Hyperlink"/>
            <w:sz w:val="24"/>
            <w:lang w:val="bg-BG"/>
          </w:rPr>
          <w:t>https://doi.org/10.1093/ije/dyz017</w:t>
        </w:r>
      </w:hyperlink>
      <w:r w:rsidRPr="004959AB">
        <w:rPr>
          <w:sz w:val="24"/>
          <w:lang w:val="bg-BG"/>
        </w:rPr>
        <w:t xml:space="preserve">, </w:t>
      </w:r>
      <w:hyperlink r:id="rId29" w:history="1">
        <w:r w:rsidRPr="004959AB">
          <w:rPr>
            <w:rStyle w:val="Hyperlink"/>
            <w:sz w:val="24"/>
            <w:lang w:val="bg-BG"/>
          </w:rPr>
          <w:t>https://doi.org/10.1371/journal.pone.0219610</w:t>
        </w:r>
      </w:hyperlink>
      <w:r w:rsidRPr="004959AB">
        <w:rPr>
          <w:sz w:val="24"/>
          <w:lang w:val="bg-BG"/>
        </w:rPr>
        <w:t xml:space="preserve"> и </w:t>
      </w:r>
      <w:hyperlink r:id="rId30" w:history="1">
        <w:r w:rsidRPr="004959AB">
          <w:rPr>
            <w:rStyle w:val="Hyperlink"/>
            <w:sz w:val="24"/>
            <w:lang w:val="bg-BG"/>
          </w:rPr>
          <w:t>https://doi.org/10.1186/s13045-019-0767-9</w:t>
        </w:r>
      </w:hyperlink>
      <w:r w:rsidRPr="004959AB">
        <w:rPr>
          <w:sz w:val="24"/>
          <w:lang w:val="bg-BG"/>
        </w:rPr>
        <w:t>.</w:t>
      </w:r>
    </w:p>
  </w:footnote>
  <w:footnote w:id="12">
    <w:p w:rsidR="00397725" w:rsidRPr="004959AB" w:rsidP="004959AB" w14:paraId="793D230C" w14:textId="0C316B97">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hyperlink r:id="rId31" w:tgtFrame="_blank" w:tooltip="Постоянна връзка посредством идентификатор на цифров обект" w:history="1">
        <w:r w:rsidRPr="004959AB">
          <w:rPr>
            <w:rStyle w:val="Hyperlink"/>
            <w:sz w:val="24"/>
            <w:lang w:val="bg-BG"/>
          </w:rPr>
          <w:t>https://doi.org/10.1006/rtph.1999.1371</w:t>
        </w:r>
      </w:hyperlink>
      <w:r w:rsidRPr="004959AB">
        <w:rPr>
          <w:sz w:val="24"/>
          <w:lang w:val="bg-BG"/>
        </w:rPr>
        <w:t>.</w:t>
      </w:r>
    </w:p>
  </w:footnote>
  <w:footnote w:id="13">
    <w:p w:rsidR="00397725" w:rsidRPr="004959AB" w:rsidP="004959AB" w14:paraId="39768450" w14:textId="3C92912F">
      <w:pPr>
        <w:pStyle w:val="FootnoteText"/>
        <w:ind w:left="567" w:hanging="567"/>
        <w:rPr>
          <w:sz w:val="24"/>
          <w:lang w:val="bg-BG"/>
        </w:rPr>
      </w:pPr>
      <w:r w:rsidRPr="004959AB">
        <w:rPr>
          <w:rStyle w:val="FootnoteReference"/>
          <w:sz w:val="24"/>
          <w:lang w:val="bg-BG"/>
        </w:rPr>
        <w:footnoteRef/>
      </w:r>
      <w:r w:rsidRPr="004959AB" w:rsidR="004959AB">
        <w:rPr>
          <w:sz w:val="24"/>
          <w:shd w:val="clear" w:color="auto" w:fill="FFFFFF"/>
          <w:lang w:val="bg-BG"/>
        </w:rPr>
        <w:t xml:space="preserve"> </w:t>
      </w:r>
      <w:r w:rsidRPr="004959AB" w:rsidR="004959AB">
        <w:rPr>
          <w:sz w:val="24"/>
          <w:shd w:val="clear" w:color="auto" w:fill="FFFFFF"/>
          <w:lang w:val="bg-BG"/>
        </w:rPr>
        <w:tab/>
      </w:r>
      <w:r w:rsidRPr="004959AB">
        <w:rPr>
          <w:sz w:val="24"/>
          <w:shd w:val="clear" w:color="auto" w:fill="FFFFFF"/>
          <w:lang w:val="bg-BG"/>
        </w:rPr>
        <w:t>Lurquin</w:t>
      </w:r>
      <w:r w:rsidRPr="004959AB">
        <w:rPr>
          <w:sz w:val="24"/>
          <w:shd w:val="clear" w:color="auto" w:fill="FFFFFF"/>
          <w:lang w:val="bg-BG"/>
        </w:rPr>
        <w:t>, P.F., „</w:t>
      </w:r>
      <w:r w:rsidRPr="004959AB">
        <w:rPr>
          <w:sz w:val="24"/>
          <w:shd w:val="clear" w:color="auto" w:fill="FFFFFF"/>
          <w:lang w:val="bg-BG"/>
        </w:rPr>
        <w:t>Production</w:t>
      </w:r>
      <w:r w:rsidRPr="004959AB">
        <w:rPr>
          <w:sz w:val="24"/>
          <w:shd w:val="clear" w:color="auto" w:fill="FFFFFF"/>
          <w:lang w:val="bg-BG"/>
        </w:rPr>
        <w:t xml:space="preserve"> </w:t>
      </w:r>
      <w:r w:rsidRPr="004959AB">
        <w:rPr>
          <w:sz w:val="24"/>
          <w:shd w:val="clear" w:color="auto" w:fill="FFFFFF"/>
          <w:lang w:val="bg-BG"/>
        </w:rPr>
        <w:t>of</w:t>
      </w:r>
      <w:r w:rsidRPr="004959AB">
        <w:rPr>
          <w:sz w:val="24"/>
          <w:shd w:val="clear" w:color="auto" w:fill="FFFFFF"/>
          <w:lang w:val="bg-BG"/>
        </w:rPr>
        <w:t xml:space="preserve"> a </w:t>
      </w:r>
      <w:r w:rsidRPr="004959AB">
        <w:rPr>
          <w:sz w:val="24"/>
          <w:shd w:val="clear" w:color="auto" w:fill="FFFFFF"/>
          <w:lang w:val="bg-BG"/>
        </w:rPr>
        <w:t>toxic</w:t>
      </w:r>
      <w:r w:rsidRPr="004959AB">
        <w:rPr>
          <w:sz w:val="24"/>
          <w:shd w:val="clear" w:color="auto" w:fill="FFFFFF"/>
          <w:lang w:val="bg-BG"/>
        </w:rPr>
        <w:t xml:space="preserve"> </w:t>
      </w:r>
      <w:r w:rsidRPr="004959AB">
        <w:rPr>
          <w:sz w:val="24"/>
          <w:shd w:val="clear" w:color="auto" w:fill="FFFFFF"/>
          <w:lang w:val="bg-BG"/>
        </w:rPr>
        <w:t>metabolite</w:t>
      </w:r>
      <w:r w:rsidRPr="004959AB">
        <w:rPr>
          <w:sz w:val="24"/>
          <w:shd w:val="clear" w:color="auto" w:fill="FFFFFF"/>
          <w:lang w:val="bg-BG"/>
        </w:rPr>
        <w:t xml:space="preserve"> </w:t>
      </w:r>
      <w:r w:rsidRPr="004959AB">
        <w:rPr>
          <w:sz w:val="24"/>
          <w:shd w:val="clear" w:color="auto" w:fill="FFFFFF"/>
          <w:lang w:val="bg-BG"/>
        </w:rPr>
        <w:t>in</w:t>
      </w:r>
      <w:r w:rsidRPr="004959AB">
        <w:rPr>
          <w:sz w:val="24"/>
          <w:shd w:val="clear" w:color="auto" w:fill="FFFFFF"/>
          <w:lang w:val="bg-BG"/>
        </w:rPr>
        <w:t xml:space="preserve"> 2, 4-D-resistant GM </w:t>
      </w:r>
      <w:r w:rsidRPr="004959AB">
        <w:rPr>
          <w:sz w:val="24"/>
          <w:shd w:val="clear" w:color="auto" w:fill="FFFFFF"/>
          <w:lang w:val="bg-BG"/>
        </w:rPr>
        <w:t>crop</w:t>
      </w:r>
      <w:r w:rsidRPr="004959AB">
        <w:rPr>
          <w:sz w:val="24"/>
          <w:shd w:val="clear" w:color="auto" w:fill="FFFFFF"/>
          <w:lang w:val="bg-BG"/>
        </w:rPr>
        <w:t xml:space="preserve"> </w:t>
      </w:r>
      <w:r w:rsidRPr="004959AB">
        <w:rPr>
          <w:sz w:val="24"/>
          <w:shd w:val="clear" w:color="auto" w:fill="FFFFFF"/>
          <w:lang w:val="bg-BG"/>
        </w:rPr>
        <w:t>plants</w:t>
      </w:r>
      <w:r w:rsidRPr="004959AB">
        <w:rPr>
          <w:sz w:val="24"/>
          <w:shd w:val="clear" w:color="auto" w:fill="FFFFFF"/>
          <w:lang w:val="bg-BG"/>
        </w:rPr>
        <w:t xml:space="preserve">“ („Производство на токсичен метаболит в генетично модифицираните растения с поносимост към 2, 4-D“), </w:t>
      </w:r>
      <w:r w:rsidRPr="004959AB">
        <w:rPr>
          <w:i/>
          <w:iCs/>
          <w:sz w:val="24"/>
          <w:shd w:val="clear" w:color="auto" w:fill="FFFFFF"/>
          <w:lang w:val="bg-BG"/>
        </w:rPr>
        <w:t xml:space="preserve">3 </w:t>
      </w:r>
      <w:r w:rsidRPr="004959AB">
        <w:rPr>
          <w:i/>
          <w:iCs/>
          <w:sz w:val="24"/>
          <w:shd w:val="clear" w:color="auto" w:fill="FFFFFF"/>
          <w:lang w:val="bg-BG"/>
        </w:rPr>
        <w:t>Biotech</w:t>
      </w:r>
      <w:r w:rsidRPr="004959AB">
        <w:rPr>
          <w:i/>
          <w:iCs/>
          <w:sz w:val="24"/>
          <w:shd w:val="clear" w:color="auto" w:fill="FFFFFF"/>
          <w:lang w:val="bg-BG"/>
        </w:rPr>
        <w:t xml:space="preserve"> </w:t>
      </w:r>
      <w:r w:rsidRPr="004959AB">
        <w:rPr>
          <w:sz w:val="24"/>
          <w:shd w:val="clear" w:color="auto" w:fill="FFFFFF"/>
          <w:lang w:val="bg-BG"/>
        </w:rPr>
        <w:t>6, 82 (2016 г.)</w:t>
      </w:r>
      <w:r w:rsidRPr="004959AB">
        <w:rPr>
          <w:sz w:val="24"/>
          <w:lang w:val="bg-BG"/>
        </w:rPr>
        <w:t>,</w:t>
      </w:r>
      <w:hyperlink r:id="rId32" w:history="1">
        <w:r w:rsidRPr="004959AB">
          <w:rPr>
            <w:rStyle w:val="Hyperlink"/>
            <w:sz w:val="24"/>
            <w:shd w:val="clear" w:color="auto" w:fill="FCFCFC"/>
            <w:lang w:val="bg-BG"/>
          </w:rPr>
          <w:t xml:space="preserve"> https://doi.org/10.1007/s13205-016-0387-9</w:t>
        </w:r>
      </w:hyperlink>
    </w:p>
  </w:footnote>
  <w:footnote w:id="14">
    <w:p w:rsidR="00397725" w:rsidRPr="004959AB" w:rsidP="004959AB" w14:paraId="12BEBBC5" w14:textId="25081E72">
      <w:pPr>
        <w:pStyle w:val="FootnoteText"/>
        <w:ind w:left="567" w:hanging="567"/>
        <w:rPr>
          <w:sz w:val="24"/>
          <w:szCs w:val="24"/>
          <w:lang w:val="bg-BG"/>
        </w:rPr>
      </w:pPr>
      <w:r w:rsidRPr="004959AB">
        <w:rPr>
          <w:rStyle w:val="FootnoteReference"/>
          <w:sz w:val="24"/>
          <w:lang w:val="bg-BG"/>
        </w:rPr>
        <w:footnoteRef/>
      </w:r>
      <w:r w:rsidRPr="004959AB" w:rsidR="004959AB">
        <w:rPr>
          <w:sz w:val="24"/>
          <w:shd w:val="clear" w:color="auto" w:fill="FFFFFF"/>
          <w:lang w:val="bg-BG"/>
        </w:rPr>
        <w:t xml:space="preserve"> </w:t>
      </w:r>
      <w:r w:rsidRPr="004959AB" w:rsidR="004959AB">
        <w:rPr>
          <w:sz w:val="24"/>
          <w:shd w:val="clear" w:color="auto" w:fill="FFFFFF"/>
          <w:lang w:val="bg-BG"/>
        </w:rPr>
        <w:tab/>
      </w:r>
      <w:r w:rsidRPr="004959AB">
        <w:rPr>
          <w:sz w:val="24"/>
          <w:shd w:val="clear" w:color="auto" w:fill="FFFFFF"/>
          <w:lang w:val="bg-BG"/>
        </w:rPr>
        <w:t xml:space="preserve">Такъв реално е случаят с </w:t>
      </w:r>
      <w:r w:rsidRPr="004959AB">
        <w:rPr>
          <w:sz w:val="24"/>
          <w:shd w:val="clear" w:color="auto" w:fill="FFFFFF"/>
          <w:lang w:val="bg-BG"/>
        </w:rPr>
        <w:t>глифосата</w:t>
      </w:r>
      <w:r w:rsidRPr="004959AB">
        <w:rPr>
          <w:sz w:val="24"/>
          <w:shd w:val="clear" w:color="auto" w:fill="FFFFFF"/>
          <w:lang w:val="bg-BG"/>
        </w:rPr>
        <w:t xml:space="preserve">, както е посочено в мотивираното становище на ЕОБХ „Преглед на съществуващите максимално допустими граници на остатъчни вещества (МДГОВ) за </w:t>
      </w:r>
      <w:r w:rsidRPr="004959AB">
        <w:rPr>
          <w:sz w:val="24"/>
          <w:shd w:val="clear" w:color="auto" w:fill="FFFFFF"/>
          <w:lang w:val="bg-BG"/>
        </w:rPr>
        <w:t>глифосат</w:t>
      </w:r>
      <w:r w:rsidRPr="004959AB">
        <w:rPr>
          <w:sz w:val="24"/>
          <w:shd w:val="clear" w:color="auto" w:fill="FFFFFF"/>
          <w:lang w:val="bg-BG"/>
        </w:rPr>
        <w:t xml:space="preserve">“ в съответствие с член 12 от Регламент (ЕО) № 396/2005, </w:t>
      </w:r>
      <w:r w:rsidRPr="004959AB">
        <w:rPr>
          <w:i/>
          <w:iCs/>
          <w:sz w:val="24"/>
          <w:shd w:val="clear" w:color="auto" w:fill="FFFFFF"/>
          <w:lang w:val="bg-BG"/>
        </w:rPr>
        <w:t>Бюлетин на ЕОБХ</w:t>
      </w:r>
      <w:r w:rsidRPr="004959AB">
        <w:rPr>
          <w:sz w:val="24"/>
          <w:shd w:val="clear" w:color="auto" w:fill="FFFFFF"/>
          <w:lang w:val="bg-BG"/>
        </w:rPr>
        <w:t xml:space="preserve">, 2018 г.,16(5):5263, стр. </w:t>
      </w:r>
      <w:r w:rsidRPr="004959AB">
        <w:rPr>
          <w:sz w:val="24"/>
          <w:shd w:val="clear" w:color="auto" w:fill="FFFFFF"/>
          <w:lang w:val="bg-BG"/>
        </w:rPr>
        <w:t>12,</w:t>
      </w:r>
      <w:r w:rsidRPr="004959AB">
        <w:rPr>
          <w:sz w:val="24"/>
          <w:lang w:val="bg-BG"/>
        </w:rPr>
        <w:t xml:space="preserve"> </w:t>
      </w:r>
      <w:hyperlink r:id="rId33" w:history="1">
        <w:r w:rsidRPr="004959AB">
          <w:rPr>
            <w:rStyle w:val="Hyperlink"/>
            <w:sz w:val="24"/>
            <w:lang w:val="bg-BG"/>
          </w:rPr>
          <w:t>https://doi.org/10.2903/j.efsa.2018.5263</w:t>
        </w:r>
      </w:hyperlink>
      <w:r w:rsidRPr="004959AB">
        <w:rPr>
          <w:sz w:val="24"/>
          <w:lang w:val="bg-BG"/>
        </w:rPr>
        <w:t>.</w:t>
      </w:r>
    </w:p>
  </w:footnote>
  <w:footnote w:id="15">
    <w:p w:rsidR="00397725" w:rsidRPr="004959AB" w:rsidP="004959AB" w14:paraId="3A362BB7" w14:textId="56C2B524">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 xml:space="preserve">ОВ L 282, 19.10.2016 г., стр. 4. </w:t>
      </w:r>
    </w:p>
  </w:footnote>
  <w:footnote w:id="16">
    <w:p w:rsidR="00397725" w:rsidRPr="004959AB" w:rsidP="004959AB" w14:paraId="4B37D955" w14:textId="3123CB9A">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ОВ L 309, 13.12.1993 г., стр. </w:t>
      </w:r>
      <w:r w:rsidRPr="004959AB">
        <w:rPr>
          <w:sz w:val="24"/>
          <w:lang w:val="bg-BG"/>
        </w:rPr>
        <w:t>3, ELI: </w:t>
      </w:r>
      <w:hyperlink r:id="rId34" w:tooltip="Достъп до този документ чрез неговия идентификатор ELI URI." w:history="1">
        <w:r w:rsidRPr="004959AB">
          <w:rPr>
            <w:rStyle w:val="Hyperlink"/>
            <w:sz w:val="24"/>
            <w:lang w:val="bg-BG"/>
          </w:rPr>
          <w:t>http://data.europa.eu/eli/convention/1993/626/oj</w:t>
        </w:r>
      </w:hyperlink>
      <w:r w:rsidRPr="004959AB">
        <w:rPr>
          <w:sz w:val="24"/>
          <w:lang w:val="bg-BG"/>
        </w:rPr>
        <w:t>.</w:t>
      </w:r>
    </w:p>
  </w:footnote>
  <w:footnote w:id="17">
    <w:p w:rsidR="00397725" w:rsidRPr="004959AB" w:rsidP="004959AB" w14:paraId="38996127" w14:textId="5AB137A7">
      <w:pPr>
        <w:pStyle w:val="FootnoteText"/>
        <w:ind w:left="567" w:hanging="567"/>
        <w:rPr>
          <w:sz w:val="24"/>
          <w:lang w:val="bg-BG"/>
        </w:rPr>
      </w:pPr>
      <w:r w:rsidRPr="004959AB">
        <w:rPr>
          <w:rStyle w:val="FootnoteReference"/>
          <w:sz w:val="24"/>
          <w:lang w:val="bg-BG"/>
        </w:rPr>
        <w:footnoteRef/>
      </w:r>
      <w:r w:rsidRPr="004959AB" w:rsidR="004959AB">
        <w:rPr>
          <w:color w:val="000000" w:themeColor="text1"/>
          <w:sz w:val="24"/>
          <w:lang w:val="bg-BG"/>
        </w:rPr>
        <w:t xml:space="preserve"> </w:t>
      </w:r>
      <w:r w:rsidRPr="004959AB" w:rsidR="004959AB">
        <w:rPr>
          <w:color w:val="000000" w:themeColor="text1"/>
          <w:sz w:val="24"/>
          <w:lang w:val="bg-BG"/>
        </w:rPr>
        <w:tab/>
      </w:r>
      <w:r w:rsidRPr="004959AB">
        <w:rPr>
          <w:color w:val="000000" w:themeColor="text1"/>
          <w:sz w:val="24"/>
          <w:lang w:val="bg-BG"/>
        </w:rPr>
        <w:t>През декември 2022 г. на 15‑ата конференция на страните по Конвенцията на ООН за биологичното разнообразие (COP15) беше договорена глобалната рамка за биологичното разнообразие, която включва глобална цел за намаляване на риска от пестициди с най-малко 50% до 2030 г. (вж.</w:t>
      </w:r>
      <w:r w:rsidRPr="004959AB">
        <w:rPr>
          <w:sz w:val="24"/>
          <w:lang w:val="bg-BG"/>
        </w:rPr>
        <w:t xml:space="preserve"> </w:t>
      </w:r>
      <w:hyperlink r:id="rId35" w:history="1">
        <w:r w:rsidRPr="004959AB">
          <w:rPr>
            <w:rStyle w:val="Hyperlink"/>
            <w:sz w:val="24"/>
            <w:lang w:val="bg-BG"/>
          </w:rPr>
          <w:t>https://ec.europa.eu/commission/presscorner/detail/bg/ip_22_7834</w:t>
        </w:r>
      </w:hyperlink>
      <w:r w:rsidRPr="004959AB">
        <w:rPr>
          <w:sz w:val="24"/>
          <w:lang w:val="bg-BG"/>
        </w:rPr>
        <w:t xml:space="preserve">). </w:t>
      </w:r>
    </w:p>
  </w:footnote>
  <w:footnote w:id="18">
    <w:p w:rsidR="00397725" w:rsidRPr="004959AB" w:rsidP="004959AB" w14:paraId="6F30F5BF" w14:textId="15F95EC0">
      <w:pPr>
        <w:pStyle w:val="FootnoteText"/>
        <w:ind w:left="567" w:hanging="567"/>
        <w:rPr>
          <w:sz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hyperlink r:id="rId36" w:history="1">
        <w:r w:rsidRPr="004959AB">
          <w:rPr>
            <w:rStyle w:val="Hyperlink"/>
            <w:sz w:val="24"/>
            <w:lang w:val="bg-BG"/>
          </w:rPr>
          <w:t>https://commission.europa.eu/strategy-and-policy/priorities-2019-2024/european-green-deal/agriculture-and-green-deal/strategic-dialogue-future-eu-agriculture_bg</w:t>
        </w:r>
      </w:hyperlink>
      <w:r w:rsidRPr="004959AB">
        <w:rPr>
          <w:rStyle w:val="Hyperlink"/>
          <w:sz w:val="24"/>
          <w:lang w:val="bg-BG"/>
        </w:rPr>
        <w:t>.</w:t>
      </w:r>
      <w:r w:rsidRPr="004959AB">
        <w:rPr>
          <w:sz w:val="24"/>
          <w:lang w:val="bg-BG"/>
        </w:rPr>
        <w:t xml:space="preserve"> </w:t>
      </w:r>
    </w:p>
  </w:footnote>
  <w:footnote w:id="19">
    <w:p w:rsidR="00397725" w:rsidRPr="004959AB" w:rsidP="004959AB" w14:paraId="4450A5C2" w14:textId="252CF85A">
      <w:pPr>
        <w:pStyle w:val="FootnoteText"/>
        <w:ind w:left="567" w:hanging="567"/>
        <w:rPr>
          <w:sz w:val="24"/>
          <w:szCs w:val="24"/>
          <w:lang w:val="bg-BG"/>
        </w:rPr>
      </w:pPr>
      <w:r w:rsidRPr="004959AB">
        <w:rPr>
          <w:rStyle w:val="FootnoteReference"/>
          <w:sz w:val="24"/>
          <w:lang w:val="bg-BG"/>
        </w:rPr>
        <w:footnoteRef/>
      </w:r>
      <w:r w:rsidRPr="004959AB" w:rsidR="004959AB">
        <w:rPr>
          <w:sz w:val="24"/>
          <w:lang w:val="bg-BG"/>
        </w:rPr>
        <w:t xml:space="preserve"> </w:t>
      </w:r>
      <w:r w:rsidRPr="004959AB" w:rsidR="004959AB">
        <w:rPr>
          <w:sz w:val="24"/>
          <w:lang w:val="bg-BG"/>
        </w:rPr>
        <w:tab/>
      </w:r>
      <w:r w:rsidRPr="004959AB">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w:t>
      </w:r>
      <w:r w:rsidRPr="004959AB">
        <w:rPr>
          <w:sz w:val="24"/>
          <w:lang w:val="bg-BG"/>
        </w:rPr>
        <w:t>1., ELI: </w:t>
      </w:r>
      <w:hyperlink r:id="rId37" w:tooltip="Достъп до този документ чрез неговия идентификатор ELI URI." w:history="1">
        <w:r w:rsidRPr="004959AB">
          <w:rPr>
            <w:rStyle w:val="Hyperlink"/>
            <w:sz w:val="24"/>
            <w:lang w:val="bg-BG"/>
          </w:rPr>
          <w:t>http://data.europa.eu/eli/reg/2002/178/oj</w:t>
        </w:r>
      </w:hyperlink>
      <w:r w:rsidRPr="004959AB">
        <w:rPr>
          <w:sz w:val="24"/>
          <w:lang w:val="bg-BG"/>
        </w:rPr>
        <w:t>).</w:t>
      </w:r>
    </w:p>
  </w:footnote>
  <w:footnote w:id="20">
    <w:p w:rsidR="00397725" w:rsidRPr="004959AB" w:rsidP="004959AB" w14:paraId="64F3E99A" w14:textId="1A1D4715">
      <w:pPr>
        <w:pStyle w:val="FootnoteText"/>
        <w:ind w:left="567" w:hanging="567"/>
        <w:rPr>
          <w:sz w:val="24"/>
          <w:szCs w:val="24"/>
          <w:lang w:val="bg-BG"/>
        </w:rPr>
      </w:pPr>
      <w:r w:rsidRPr="004959AB">
        <w:rPr>
          <w:rStyle w:val="FootnoteReference"/>
          <w:sz w:val="24"/>
          <w:szCs w:val="24"/>
          <w:lang w:val="bg-BG"/>
        </w:rPr>
        <w:footnoteRef/>
      </w:r>
      <w:r w:rsidRPr="004959AB" w:rsidR="004959AB">
        <w:rPr>
          <w:sz w:val="24"/>
          <w:lang w:val="bg-BG"/>
        </w:rPr>
        <w:t xml:space="preserve"> </w:t>
      </w:r>
      <w:r w:rsidRPr="004959AB" w:rsidR="004959AB">
        <w:rPr>
          <w:sz w:val="24"/>
          <w:lang w:val="bg-BG"/>
        </w:rPr>
        <w:tab/>
      </w:r>
      <w:hyperlink r:id="rId38" w:history="1">
        <w:r w:rsidRPr="004959AB">
          <w:rPr>
            <w:rStyle w:val="Hyperlink"/>
            <w:sz w:val="24"/>
            <w:shd w:val="clear" w:color="auto" w:fill="FFFFFF"/>
            <w:lang w:val="bg-BG"/>
          </w:rPr>
          <w:t>https://tillymetz.lu/wp-content/uploads/2020/09/Co-signed-letter-MEP-Metz.pdf</w:t>
        </w:r>
      </w:hyperlink>
      <w:r w:rsidRPr="004959AB">
        <w:rPr>
          <w:sz w:val="24"/>
          <w:lang w:val="bg-BG"/>
        </w:rPr>
        <w:t>.</w:t>
      </w:r>
      <w:r w:rsidRPr="004959AB">
        <w:rPr>
          <w:sz w:val="24"/>
          <w:shd w:val="clear" w:color="auto" w:fill="FFFFFF"/>
          <w:lang w:val="bg-BG"/>
        </w:rPr>
        <w:t xml:space="preserve"> </w:t>
      </w:r>
    </w:p>
  </w:footnote>
  <w:footnote w:id="21">
    <w:p w:rsidR="00397725" w:rsidRPr="004959AB" w:rsidP="004959AB" w14:paraId="7C55A8E3" w14:textId="2B4EFA3E">
      <w:pPr>
        <w:pStyle w:val="FootnoteText"/>
        <w:ind w:left="567" w:hanging="567"/>
        <w:rPr>
          <w:sz w:val="24"/>
          <w:lang w:val="bg-BG"/>
        </w:rPr>
      </w:pPr>
      <w:r w:rsidRPr="004959AB">
        <w:rPr>
          <w:rStyle w:val="FootnoteReference"/>
          <w:sz w:val="24"/>
          <w:lang w:val="bg-BG"/>
        </w:rPr>
        <w:footnoteRef/>
      </w:r>
      <w:r w:rsidRPr="004959AB" w:rsidR="004959AB">
        <w:rPr>
          <w:sz w:val="24"/>
          <w:shd w:val="clear" w:color="auto" w:fill="FFFFFF"/>
          <w:lang w:val="bg-BG"/>
        </w:rPr>
        <w:t xml:space="preserve"> </w:t>
      </w:r>
      <w:r w:rsidRPr="004959AB" w:rsidR="004959AB">
        <w:rPr>
          <w:sz w:val="24"/>
          <w:shd w:val="clear" w:color="auto" w:fill="FFFFFF"/>
          <w:lang w:val="bg-BG"/>
        </w:rPr>
        <w:tab/>
      </w:r>
      <w:r w:rsidRPr="004959AB">
        <w:rPr>
          <w:sz w:val="24"/>
          <w:shd w:val="clear" w:color="auto" w:fill="FFFFFF"/>
          <w:lang w:val="bg-BG"/>
        </w:rPr>
        <w:t>Резолюция на Европейския парламент от 15 януари 2020 г. относно Европейския зелен пакт (ОВ C 270, 7.7.2021 г., стр. 2), параграф 102.</w:t>
      </w:r>
    </w:p>
  </w:footnote>
  <w:footnote w:id="22">
    <w:p w:rsidR="00397725" w:rsidRPr="004959AB" w:rsidP="004959AB" w14:paraId="7D3CF489" w14:textId="7403699D">
      <w:pPr>
        <w:pStyle w:val="FootnoteText"/>
        <w:ind w:left="567" w:hanging="567"/>
        <w:rPr>
          <w:sz w:val="24"/>
          <w:szCs w:val="24"/>
          <w:lang w:val="bg-BG"/>
        </w:rPr>
      </w:pPr>
      <w:r w:rsidRPr="004959AB">
        <w:rPr>
          <w:rStyle w:val="FootnoteReference"/>
          <w:sz w:val="24"/>
          <w:lang w:val="bg-BG"/>
        </w:rPr>
        <w:footnoteRef/>
      </w:r>
      <w:r w:rsidRPr="004959AB" w:rsidR="004959AB">
        <w:rPr>
          <w:sz w:val="24"/>
          <w:shd w:val="clear" w:color="auto" w:fill="FFFFFF"/>
          <w:lang w:val="bg-BG"/>
        </w:rPr>
        <w:t xml:space="preserve"> </w:t>
      </w:r>
      <w:r w:rsidRPr="004959AB" w:rsidR="004959AB">
        <w:rPr>
          <w:sz w:val="24"/>
          <w:shd w:val="clear" w:color="auto" w:fill="FFFFFF"/>
          <w:lang w:val="bg-BG"/>
        </w:rPr>
        <w:tab/>
      </w:r>
      <w:r w:rsidRPr="004959AB">
        <w:rPr>
          <w:sz w:val="24"/>
          <w:shd w:val="clear" w:color="auto" w:fill="FFFFFF"/>
          <w:lang w:val="bg-BG"/>
        </w:rPr>
        <w:t>ОВ C 445, 29.10.2021 г., стр.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59AB" w14:paraId="7535E5F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59AB" w14:paraId="04C7E39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59AB" w14:paraId="2591E5A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707828362">
    <w:abstractNumId w:val="9"/>
  </w:num>
  <w:num w:numId="2" w16cid:durableId="1482037127">
    <w:abstractNumId w:val="9"/>
  </w:num>
  <w:num w:numId="3" w16cid:durableId="1059324088">
    <w:abstractNumId w:val="7"/>
  </w:num>
  <w:num w:numId="4" w16cid:durableId="1040400284">
    <w:abstractNumId w:val="7"/>
  </w:num>
  <w:num w:numId="5" w16cid:durableId="167716071">
    <w:abstractNumId w:val="6"/>
  </w:num>
  <w:num w:numId="6" w16cid:durableId="208878376">
    <w:abstractNumId w:val="6"/>
  </w:num>
  <w:num w:numId="7" w16cid:durableId="1638872327">
    <w:abstractNumId w:val="5"/>
  </w:num>
  <w:num w:numId="8" w16cid:durableId="342367789">
    <w:abstractNumId w:val="5"/>
  </w:num>
  <w:num w:numId="9" w16cid:durableId="204997133">
    <w:abstractNumId w:val="4"/>
  </w:num>
  <w:num w:numId="10" w16cid:durableId="1977099494">
    <w:abstractNumId w:val="4"/>
  </w:num>
  <w:num w:numId="11" w16cid:durableId="1416122349">
    <w:abstractNumId w:val="8"/>
  </w:num>
  <w:num w:numId="12" w16cid:durableId="922445553">
    <w:abstractNumId w:val="8"/>
  </w:num>
  <w:num w:numId="13" w16cid:durableId="656760902">
    <w:abstractNumId w:val="3"/>
  </w:num>
  <w:num w:numId="14" w16cid:durableId="627779576">
    <w:abstractNumId w:val="3"/>
  </w:num>
  <w:num w:numId="15" w16cid:durableId="495190803">
    <w:abstractNumId w:val="2"/>
  </w:num>
  <w:num w:numId="16" w16cid:durableId="631982218">
    <w:abstractNumId w:val="2"/>
  </w:num>
  <w:num w:numId="17" w16cid:durableId="2140151199">
    <w:abstractNumId w:val="1"/>
  </w:num>
  <w:num w:numId="18" w16cid:durableId="1382754574">
    <w:abstractNumId w:val="1"/>
  </w:num>
  <w:num w:numId="19" w16cid:durableId="433785927">
    <w:abstractNumId w:val="0"/>
  </w:num>
  <w:num w:numId="20" w16cid:durableId="290329093">
    <w:abstractNumId w:val="0"/>
  </w:num>
  <w:num w:numId="21" w16cid:durableId="633222191">
    <w:abstractNumId w:val="9"/>
  </w:num>
  <w:num w:numId="22" w16cid:durableId="387649372">
    <w:abstractNumId w:val="7"/>
  </w:num>
  <w:num w:numId="23" w16cid:durableId="796265214">
    <w:abstractNumId w:val="6"/>
  </w:num>
  <w:num w:numId="24" w16cid:durableId="427964038">
    <w:abstractNumId w:val="5"/>
  </w:num>
  <w:num w:numId="25" w16cid:durableId="375857719">
    <w:abstractNumId w:val="4"/>
  </w:num>
  <w:num w:numId="26" w16cid:durableId="673414332">
    <w:abstractNumId w:val="8"/>
  </w:num>
  <w:num w:numId="27" w16cid:durableId="712195408">
    <w:abstractNumId w:val="3"/>
  </w:num>
  <w:num w:numId="28" w16cid:durableId="774523317">
    <w:abstractNumId w:val="2"/>
  </w:num>
  <w:num w:numId="29" w16cid:durableId="2128769758">
    <w:abstractNumId w:val="1"/>
  </w:num>
  <w:num w:numId="30" w16cid:durableId="719669253">
    <w:abstractNumId w:val="0"/>
  </w:num>
  <w:num w:numId="31" w16cid:durableId="293491106">
    <w:abstractNumId w:val="9"/>
  </w:num>
  <w:num w:numId="32" w16cid:durableId="1666975178">
    <w:abstractNumId w:val="7"/>
  </w:num>
  <w:num w:numId="33" w16cid:durableId="118765638">
    <w:abstractNumId w:val="6"/>
  </w:num>
  <w:num w:numId="34" w16cid:durableId="649675440">
    <w:abstractNumId w:val="5"/>
  </w:num>
  <w:num w:numId="35" w16cid:durableId="1555894134">
    <w:abstractNumId w:val="4"/>
  </w:num>
  <w:num w:numId="36" w16cid:durableId="1498109384">
    <w:abstractNumId w:val="8"/>
  </w:num>
  <w:num w:numId="37" w16cid:durableId="2139296252">
    <w:abstractNumId w:val="3"/>
  </w:num>
  <w:num w:numId="38" w16cid:durableId="891578237">
    <w:abstractNumId w:val="2"/>
  </w:num>
  <w:num w:numId="39" w16cid:durableId="970591533">
    <w:abstractNumId w:val="1"/>
  </w:num>
  <w:num w:numId="40" w16cid:durableId="227111911">
    <w:abstractNumId w:val="0"/>
  </w:num>
  <w:num w:numId="41" w16cid:durableId="2020807703">
    <w:abstractNumId w:val="10"/>
  </w:num>
  <w:num w:numId="42" w16cid:durableId="1857503499">
    <w:abstractNumId w:val="10"/>
  </w:num>
  <w:num w:numId="43" w16cid:durableId="1372729965">
    <w:abstractNumId w:val="10"/>
  </w:num>
  <w:num w:numId="44" w16cid:durableId="1148136347">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1C3"/>
    <w:rsid w:val="00002272"/>
    <w:rsid w:val="00064002"/>
    <w:rsid w:val="000677B9"/>
    <w:rsid w:val="000831BA"/>
    <w:rsid w:val="000973D9"/>
    <w:rsid w:val="000A42CC"/>
    <w:rsid w:val="000E7DD9"/>
    <w:rsid w:val="0010095E"/>
    <w:rsid w:val="00125B37"/>
    <w:rsid w:val="00187494"/>
    <w:rsid w:val="001F32AE"/>
    <w:rsid w:val="002767FF"/>
    <w:rsid w:val="002B18FE"/>
    <w:rsid w:val="002B5493"/>
    <w:rsid w:val="00343214"/>
    <w:rsid w:val="00361C00"/>
    <w:rsid w:val="00383B3F"/>
    <w:rsid w:val="00395FA1"/>
    <w:rsid w:val="00397725"/>
    <w:rsid w:val="003E15D4"/>
    <w:rsid w:val="00411CCE"/>
    <w:rsid w:val="0041666E"/>
    <w:rsid w:val="00421060"/>
    <w:rsid w:val="00471C19"/>
    <w:rsid w:val="004867E3"/>
    <w:rsid w:val="00494A28"/>
    <w:rsid w:val="004959AB"/>
    <w:rsid w:val="004C0004"/>
    <w:rsid w:val="004C5D52"/>
    <w:rsid w:val="0050519A"/>
    <w:rsid w:val="005072A1"/>
    <w:rsid w:val="00514517"/>
    <w:rsid w:val="00526119"/>
    <w:rsid w:val="00545827"/>
    <w:rsid w:val="00560270"/>
    <w:rsid w:val="005B74F9"/>
    <w:rsid w:val="005C2568"/>
    <w:rsid w:val="005F1B17"/>
    <w:rsid w:val="006037C0"/>
    <w:rsid w:val="006631B6"/>
    <w:rsid w:val="00680577"/>
    <w:rsid w:val="006D21C3"/>
    <w:rsid w:val="006F74FA"/>
    <w:rsid w:val="00705E8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08B"/>
    <w:rsid w:val="00C05BFE"/>
    <w:rsid w:val="00C23CD4"/>
    <w:rsid w:val="00C61C0C"/>
    <w:rsid w:val="00C941CB"/>
    <w:rsid w:val="00CC2357"/>
    <w:rsid w:val="00CF071A"/>
    <w:rsid w:val="00D058B8"/>
    <w:rsid w:val="00D56C11"/>
    <w:rsid w:val="00D77792"/>
    <w:rsid w:val="00D834A0"/>
    <w:rsid w:val="00D872DF"/>
    <w:rsid w:val="00D878A3"/>
    <w:rsid w:val="00D91E21"/>
    <w:rsid w:val="00DA7FCD"/>
    <w:rsid w:val="00E365E1"/>
    <w:rsid w:val="00E820A4"/>
    <w:rsid w:val="00EB006A"/>
    <w:rsid w:val="00EB4772"/>
    <w:rsid w:val="00ED169E"/>
    <w:rsid w:val="00ED4235"/>
    <w:rsid w:val="00F04346"/>
    <w:rsid w:val="00F075DC"/>
    <w:rsid w:val="00F149E9"/>
    <w:rsid w:val="00F46525"/>
    <w:rsid w:val="00F5134D"/>
    <w:rsid w:val="00F74202"/>
    <w:rsid w:val="00F87713"/>
    <w:rsid w:val="00FB4360"/>
    <w:rsid w:val="00FD0C70"/>
  </w:rsids>
  <w:docVars>
    <w:docVar w:name="dvdocse" w:val="B10-0336/2026"/>
    <w:docVar w:name="dvlangue" w:val="BG"/>
    <w:docVar w:name="dvnumam" w:val="0"/>
    <w:docVar w:name="dvpe" w:val="789.025"/>
    <w:docVar w:name="dvtitre" w:val="Резолюция на Европейския парламент от ...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P202216 x NK603 x DAS-40278-9 и нейните подкомбинации DP202216 x NK603, DP202216 x DAS-40278-9, съгласно Регламент (ЕО) № 1829/2003 на Европейския парламент и на Съвета (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B73734"/>
  <w15:chartTrackingRefBased/>
  <w15:docId w15:val="{60254C53-2384-4609-8458-52EF9BDE8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397725"/>
    <w:pPr>
      <w:spacing w:after="240"/>
      <w:ind w:left="567" w:hanging="567"/>
    </w:pPr>
  </w:style>
  <w:style w:type="character" w:styleId="Hyperlink">
    <w:name w:val="Hyperlink"/>
    <w:basedOn w:val="DefaultParagraphFont"/>
    <w:uiPriority w:val="99"/>
    <w:rsid w:val="00397725"/>
    <w:rPr>
      <w:color w:val="0563C1" w:themeColor="hyperlink"/>
      <w:u w:val="single"/>
    </w:rPr>
  </w:style>
  <w:style w:type="paragraph" w:customStyle="1" w:styleId="Considrant">
    <w:name w:val="Considérant"/>
    <w:basedOn w:val="Normal"/>
    <w:uiPriority w:val="99"/>
    <w:semiHidden/>
    <w:rsid w:val="00397725"/>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397725"/>
    <w:rPr>
      <w:rFonts w:ascii="Times New Roman" w:hAnsi="Times New Roman" w:cs="Times New Roman" w:hint="default"/>
      <w:vertAlign w:val="superscript"/>
    </w:rPr>
  </w:style>
  <w:style w:type="paragraph" w:styleId="Revision">
    <w:name w:val="Revision"/>
    <w:hidden/>
    <w:uiPriority w:val="99"/>
    <w:semiHidden/>
    <w:rsid w:val="00D77792"/>
    <w:rPr>
      <w:sz w:val="24"/>
      <w:lang w:val="bg-BG"/>
    </w:rPr>
  </w:style>
  <w:style w:type="character" w:styleId="FollowedHyperlink">
    <w:name w:val="FollowedHyperlink"/>
    <w:basedOn w:val="DefaultParagraphFont"/>
    <w:rsid w:val="00D77792"/>
    <w:rPr>
      <w:color w:val="954F72" w:themeColor="followedHyperlink"/>
      <w:u w:val="single"/>
    </w:rPr>
  </w:style>
  <w:style w:type="character" w:styleId="CommentReference">
    <w:name w:val="annotation reference"/>
    <w:basedOn w:val="DefaultParagraphFont"/>
    <w:rsid w:val="00705E81"/>
    <w:rPr>
      <w:sz w:val="16"/>
      <w:szCs w:val="16"/>
    </w:rPr>
  </w:style>
  <w:style w:type="paragraph" w:styleId="CommentText">
    <w:name w:val="annotation text"/>
    <w:basedOn w:val="Normal"/>
    <w:link w:val="CommentTextChar"/>
    <w:rsid w:val="00705E81"/>
    <w:rPr>
      <w:sz w:val="20"/>
    </w:rPr>
  </w:style>
  <w:style w:type="character" w:customStyle="1" w:styleId="CommentTextChar">
    <w:name w:val="Comment Text Char"/>
    <w:basedOn w:val="DefaultParagraphFont"/>
    <w:link w:val="CommentText"/>
    <w:rsid w:val="00705E81"/>
    <w:rPr>
      <w:lang w:val="bg-BG"/>
    </w:rPr>
  </w:style>
  <w:style w:type="paragraph" w:styleId="CommentSubject">
    <w:name w:val="annotation subject"/>
    <w:basedOn w:val="CommentText"/>
    <w:next w:val="CommentText"/>
    <w:link w:val="CommentSubjectChar"/>
    <w:rsid w:val="00705E81"/>
    <w:rPr>
      <w:b/>
      <w:bCs/>
    </w:rPr>
  </w:style>
  <w:style w:type="character" w:customStyle="1" w:styleId="CommentSubjectChar">
    <w:name w:val="Comment Subject Char"/>
    <w:basedOn w:val="CommentTextChar"/>
    <w:link w:val="CommentSubject"/>
    <w:rsid w:val="00705E81"/>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doi.org/10.1016/j.mrrev.2019.02.001" TargetMode="External" /><Relationship Id="rId28" Type="http://schemas.openxmlformats.org/officeDocument/2006/relationships/hyperlink" Target="https://doi.org/10.1093/ije/dyz017" TargetMode="External" /><Relationship Id="rId29" Type="http://schemas.openxmlformats.org/officeDocument/2006/relationships/hyperlink" Target="https://doi.org/10.1371/journal.pone.0219610"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186/s13045-019-0767-9" TargetMode="External" /><Relationship Id="rId31" Type="http://schemas.openxmlformats.org/officeDocument/2006/relationships/hyperlink" Target="https://doi.org/10.1006/rtph.1999.1371." TargetMode="External" /><Relationship Id="rId32" Type="http://schemas.openxmlformats.org/officeDocument/2006/relationships/hyperlink" Target="https://doi.org/10.1007/s13205-016-0387-9" TargetMode="External" /><Relationship Id="rId33" Type="http://schemas.openxmlformats.org/officeDocument/2006/relationships/hyperlink" Target="https://doi.org/10.2903/j.efsa.2018.5263" TargetMode="External" /><Relationship Id="rId34" Type="http://schemas.openxmlformats.org/officeDocument/2006/relationships/hyperlink" Target="http://data.europa.eu/eli/convention/1993/626/oj" TargetMode="External" /><Relationship Id="rId35" Type="http://schemas.openxmlformats.org/officeDocument/2006/relationships/hyperlink" Target="https://ec.europa.eu/commission/presscorner/detail/bg/ip_22_7834" TargetMode="External" /><Relationship Id="rId36" Type="http://schemas.openxmlformats.org/officeDocument/2006/relationships/hyperlink" Target="https://commission.europa.eu/strategy-and-policy/priorities-2019-2024/european-green-deal/agriculture-and-green-deal/strategic-dialogue-future-eu-agriculture_bg" TargetMode="External" /><Relationship Id="rId37" Type="http://schemas.openxmlformats.org/officeDocument/2006/relationships/hyperlink" Target="http://data.europa.eu/eli/reg/2002/178/oj" TargetMode="External" /><Relationship Id="rId38"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2432</Words>
  <Characters>14045</Characters>
  <Application>Microsoft Office Word</Application>
  <DocSecurity>0</DocSecurity>
  <Lines>379</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2026-08-12T04:46:00Z</dcterms:created>
  <dcterms:modified xsi:type="dcterms:W3CDTF">2026-08-12T04:46:00Z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B10-0336/2026</vt:lpwstr>
  </property>
  <property fmtid="{D5CDD505-2E9C-101B-9397-08002B2CF9AE}" pid="4" name="&lt;Type&gt;">
    <vt:lpwstr>RR</vt:lpwstr>
  </property>
</Properties>
</file>