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ABF78C" w14:textId="77777777" w:rsidTr="0010095E">
        <w:tblPrEx>
          <w:tblW w:w="9072" w:type="dxa"/>
          <w:tblLook w:val="01E0"/>
        </w:tblPrEx>
        <w:trPr>
          <w:trHeight w:hRule="exact" w:val="1418"/>
        </w:trPr>
        <w:tc>
          <w:tcPr>
            <w:tcW w:w="6804" w:type="dxa"/>
            <w:shd w:val="clear" w:color="auto" w:fill="auto"/>
            <w:vAlign w:val="center"/>
          </w:tcPr>
          <w:p w:rsidR="00751A4A" w:rsidRPr="00BC31FF" w:rsidP="0010095E" w14:paraId="76515C91" w14:textId="1F158FC8">
            <w:pPr>
              <w:pStyle w:val="EPName"/>
            </w:pPr>
            <w:r w:rsidRPr="00BC31FF">
              <w:t>Evropský parlament</w:t>
            </w:r>
          </w:p>
          <w:p w:rsidR="00751A4A" w:rsidRPr="00BC31FF" w:rsidP="005F1B17" w14:paraId="2A591DF7" w14:textId="77777777">
            <w:pPr>
              <w:pStyle w:val="EPTerm"/>
              <w:rPr>
                <w:rStyle w:val="HideTWBExt"/>
                <w:noProof w:val="0"/>
                <w:vanish w:val="0"/>
                <w:color w:val="auto"/>
              </w:rPr>
            </w:pPr>
            <w:r w:rsidRPr="00BC31FF">
              <w:t>2024</w:t>
            </w:r>
            <w:r w:rsidRPr="00BC31FF" w:rsidR="00817416">
              <w:t>-202</w:t>
            </w:r>
            <w:r w:rsidRPr="00BC31FF">
              <w:t>9</w:t>
            </w:r>
          </w:p>
        </w:tc>
        <w:tc>
          <w:tcPr>
            <w:tcW w:w="2268" w:type="dxa"/>
            <w:shd w:val="clear" w:color="auto" w:fill="auto"/>
          </w:tcPr>
          <w:p w:rsidR="00751A4A" w:rsidRPr="00BC31FF" w:rsidP="0010095E" w14:paraId="37DF46CD" w14:textId="77777777">
            <w:pPr>
              <w:pStyle w:val="EPLogo"/>
            </w:pPr>
            <w:r w:rsidRPr="00BC31F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C31FF" w:rsidP="004C5D52" w14:paraId="5F447DDD" w14:textId="77777777">
      <w:pPr>
        <w:pStyle w:val="LineTop"/>
      </w:pPr>
    </w:p>
    <w:p w:rsidR="00680577" w:rsidRPr="00BC31FF" w:rsidP="00680577" w14:paraId="619D767A" w14:textId="560A4573">
      <w:pPr>
        <w:pStyle w:val="EPBodyTA1"/>
      </w:pPr>
      <w:r w:rsidRPr="00BC31FF">
        <w:t>PŘIJATÉ TEXTY</w:t>
      </w:r>
    </w:p>
    <w:p w:rsidR="00D058B8" w:rsidRPr="00BC31FF" w:rsidP="00D058B8" w14:paraId="70D71570" w14:textId="77777777">
      <w:pPr>
        <w:pStyle w:val="LineBottom"/>
      </w:pPr>
    </w:p>
    <w:p w:rsidR="00D126D9" w:rsidRPr="00BC31FF" w:rsidP="00D126D9" w14:paraId="7168E95F" w14:textId="26993499">
      <w:pPr>
        <w:pStyle w:val="ATHeading1"/>
      </w:pPr>
      <w:bookmarkStart w:id="0" w:name="TANumber"/>
      <w:r w:rsidRPr="00BC31FF">
        <w:t>P10_TA(2026)0</w:t>
      </w:r>
      <w:r w:rsidR="00DD3B2F">
        <w:t>265</w:t>
      </w:r>
      <w:bookmarkEnd w:id="0"/>
    </w:p>
    <w:p w:rsidR="00D126D9" w:rsidRPr="00BC31FF" w:rsidP="00D126D9" w14:paraId="676D7902" w14:textId="2A009482">
      <w:pPr>
        <w:pStyle w:val="ATHeading2"/>
      </w:pPr>
      <w:bookmarkStart w:id="1" w:name="title"/>
      <w:bookmarkStart w:id="2" w:name="_Hlk234249779"/>
      <w:r>
        <w:t>G</w:t>
      </w:r>
      <w:r w:rsidRPr="00BC31FF">
        <w:t>eneticky modifikovaná kukuřice DP202216 x NK603 x DAS-40278-9 a její podkombinace DP202216 x NK603, DP202216 x DAS-40278-9</w:t>
      </w:r>
      <w:bookmarkEnd w:id="1"/>
    </w:p>
    <w:bookmarkEnd w:id="2"/>
    <w:p w:rsidR="00D126D9" w:rsidRPr="00BC31FF" w:rsidP="00D126D9" w14:paraId="0A2E2A72" w14:textId="77777777">
      <w:pPr>
        <w:rPr>
          <w:i/>
          <w:vanish/>
        </w:rPr>
      </w:pPr>
      <w:r>
        <w:rPr>
          <w:i/>
        </w:rPr>
        <w:fldChar w:fldCharType="begin"/>
      </w:r>
      <w:r w:rsidRPr="00BC31FF">
        <w:rPr>
          <w:i/>
        </w:rPr>
        <w:instrText xml:space="preserve"> TC"(</w:instrText>
      </w:r>
      <w:bookmarkStart w:id="3" w:name="DocNumber"/>
      <w:r w:rsidRPr="00BC31FF">
        <w:rPr>
          <w:i/>
        </w:rPr>
        <w:instrText>B10-0336/2026</w:instrText>
      </w:r>
      <w:bookmarkEnd w:id="3"/>
      <w:r w:rsidRPr="00BC31FF">
        <w:rPr>
          <w:i/>
        </w:rPr>
        <w:instrText xml:space="preserve">)"\l3 \n&gt; \* MERGEFORMAT </w:instrText>
      </w:r>
      <w:r>
        <w:rPr>
          <w:i/>
        </w:rPr>
        <w:fldChar w:fldCharType="end"/>
      </w:r>
    </w:p>
    <w:p w:rsidR="00D126D9" w:rsidRPr="00BC31FF" w:rsidP="00D126D9" w14:paraId="5B0F1A14" w14:textId="77777777">
      <w:pPr>
        <w:rPr>
          <w:vanish/>
        </w:rPr>
      </w:pPr>
      <w:bookmarkStart w:id="4" w:name="PE"/>
      <w:r w:rsidRPr="00BC31FF">
        <w:rPr>
          <w:vanish/>
        </w:rPr>
        <w:t>PE789.025</w:t>
      </w:r>
      <w:bookmarkEnd w:id="4"/>
    </w:p>
    <w:p w:rsidR="00D126D9" w:rsidRPr="00BC31FF" w:rsidP="00D126D9" w14:paraId="0A824030" w14:textId="2E030866">
      <w:pPr>
        <w:pStyle w:val="ATHeading3"/>
      </w:pPr>
      <w:bookmarkStart w:id="5" w:name="Sujet"/>
      <w:r w:rsidRPr="00BC31FF">
        <w:t>Usnesení Evropského parlamentu ze dne</w:t>
      </w:r>
      <w:r w:rsidR="004F4E33">
        <w:t xml:space="preserve"> </w:t>
      </w:r>
      <w:r w:rsidR="001D6CF0">
        <w:t>8</w:t>
      </w:r>
      <w:r w:rsidR="004F4E33">
        <w:t>. července</w:t>
      </w:r>
      <w:r w:rsidRPr="00BC31FF">
        <w:t xml:space="preserve"> 2026 o prováděcí</w:t>
      </w:r>
      <w:r w:rsidR="001D6CF0">
        <w:t>m</w:t>
      </w:r>
      <w:r w:rsidRPr="00BC31FF">
        <w:t xml:space="preserve"> rozhodnutí Komise </w:t>
      </w:r>
      <w:r w:rsidRPr="001D6CF0" w:rsidR="001D6CF0">
        <w:t xml:space="preserve">(EU) 2026/1443 </w:t>
      </w:r>
      <w:r w:rsidR="001D6CF0">
        <w:t>ze dne</w:t>
      </w:r>
      <w:r w:rsidRPr="001D6CF0" w:rsidR="001D6CF0">
        <w:t xml:space="preserve"> 29</w:t>
      </w:r>
      <w:r w:rsidR="001D6CF0">
        <w:t>. června</w:t>
      </w:r>
      <w:r w:rsidRPr="001D6CF0" w:rsidR="001D6CF0">
        <w:t xml:space="preserve"> 2026 </w:t>
      </w:r>
      <w:r w:rsidRPr="00BC31FF">
        <w:t>o povolení uvedení produktů, které obsahují geneticky modifikovanou kukuřici DP202216 x NK603 x DAS-40278-9 a její podkombinace DP202216 x NK603, DP202216 x DAS-40278-9, sestávají z nich nebo jsou z nich vyrobeny, na trh podle nařízení Evropského parlamentu a Rady (ES) č. 1829/2003</w:t>
      </w:r>
      <w:bookmarkEnd w:id="5"/>
      <w:r w:rsidRPr="00BC31FF">
        <w:t xml:space="preserve"> </w:t>
      </w:r>
      <w:bookmarkStart w:id="6" w:name="References"/>
      <w:r w:rsidRPr="00BC31FF">
        <w:t>(2026/2746(RSP))</w:t>
      </w:r>
      <w:bookmarkEnd w:id="6"/>
    </w:p>
    <w:p w:rsidR="006406D0" w:rsidRPr="00BC31FF" w:rsidP="004F4E33" w14:paraId="0EE440DF" w14:textId="77777777">
      <w:pPr>
        <w:pStyle w:val="NormalHanging12a"/>
        <w:tabs>
          <w:tab w:val="center" w:pos="4535"/>
        </w:tabs>
        <w:spacing w:before="480"/>
      </w:pPr>
      <w:bookmarkStart w:id="7" w:name="TextBodyBegin"/>
      <w:bookmarkEnd w:id="7"/>
      <w:r w:rsidRPr="00BC31FF">
        <w:rPr>
          <w:i/>
          <w:iCs/>
        </w:rPr>
        <w:t>Evropský parlament</w:t>
      </w:r>
      <w:r w:rsidRPr="00BC31FF">
        <w:t>,</w:t>
      </w:r>
    </w:p>
    <w:p w:rsidR="006406D0" w:rsidRPr="00BC31FF" w:rsidP="006406D0" w14:paraId="659975A3" w14:textId="5BB435E0">
      <w:pPr>
        <w:pStyle w:val="NormalHanging12a"/>
      </w:pPr>
      <w:r w:rsidRPr="00BC31FF">
        <w:t>–</w:t>
      </w:r>
      <w:r w:rsidRPr="00BC31FF">
        <w:tab/>
        <w:t xml:space="preserve">s ohledem na prováděcí rozhodnutí Komise </w:t>
      </w:r>
      <w:r w:rsidRPr="001D6CF0" w:rsidR="001D6CF0">
        <w:t xml:space="preserve">(EU) 2026/1443 </w:t>
      </w:r>
      <w:r w:rsidR="001D6CF0">
        <w:t>ze dne</w:t>
      </w:r>
      <w:r w:rsidRPr="001D6CF0" w:rsidR="001D6CF0">
        <w:t xml:space="preserve"> 29</w:t>
      </w:r>
      <w:r w:rsidR="001D6CF0">
        <w:t>. června</w:t>
      </w:r>
      <w:r w:rsidRPr="001D6CF0" w:rsidR="001D6CF0">
        <w:t xml:space="preserve"> 2026 </w:t>
      </w:r>
      <w:r w:rsidRPr="00BC31FF">
        <w:t>o povolení uvedení produktů, které obsahují geneticky modifikovanou kukuřici DP</w:t>
      </w:r>
      <w:r w:rsidRPr="00BC31FF">
        <w:t xml:space="preserve">202216 </w:t>
      </w:r>
      <w:r w:rsidRPr="00D04AF6" w:rsidR="00D04AF6">
        <w:t> ×</w:t>
      </w:r>
      <w:r w:rsidRPr="00BC31FF">
        <w:t xml:space="preserve"> NK603 x DAS-40278-9 a její podkombinace DP202216 </w:t>
      </w:r>
      <w:r w:rsidRPr="00D04AF6" w:rsidR="00D04AF6">
        <w:t> ×</w:t>
      </w:r>
      <w:r w:rsidRPr="00BC31FF">
        <w:t xml:space="preserve"> NK603, DP202216 </w:t>
      </w:r>
      <w:r w:rsidRPr="00D04AF6" w:rsidR="00D04AF6">
        <w:t> ×</w:t>
      </w:r>
      <w:r w:rsidRPr="00BC31FF">
        <w:t xml:space="preserve"> DAS-40278-9, sestávají z nich nebo jsou z nich vyrobeny, na trh podle nařízení Evropského parlamentu a Rady (ES) č. 1829/2003</w:t>
      </w:r>
      <w:r>
        <w:rPr>
          <w:rStyle w:val="FootnoteReference"/>
        </w:rPr>
        <w:footnoteReference w:id="2"/>
      </w:r>
      <w:r w:rsidRPr="00BC31FF">
        <w:t>,</w:t>
      </w:r>
    </w:p>
    <w:p w:rsidR="006406D0" w:rsidRPr="00BC31FF" w:rsidP="006406D0" w14:paraId="4B42EB1F" w14:textId="77777777">
      <w:pPr>
        <w:pStyle w:val="NormalHanging12a"/>
      </w:pPr>
      <w:r w:rsidRPr="00BC31FF">
        <w:t>–</w:t>
      </w:r>
      <w:r w:rsidRPr="00BC31FF">
        <w:tab/>
        <w:t>s ohledem na nařízení Evropského parlamentu a Rady (ES) č. 1829/2003 ze dne 22. září 2003 o geneticky modifikovaných potravinách a krmivech</w:t>
      </w:r>
      <w:r>
        <w:rPr>
          <w:rStyle w:val="FootnoteReference"/>
        </w:rPr>
        <w:footnoteReference w:id="3"/>
      </w:r>
      <w:r w:rsidRPr="00BC31FF">
        <w:t>, a zejména na čl. 7 odst. 3 a čl. 19 odst. 3 uvedeného nařízení,</w:t>
      </w:r>
    </w:p>
    <w:p w:rsidR="006406D0" w:rsidRPr="00BC31FF" w:rsidP="006406D0" w14:paraId="6142D63B" w14:textId="77777777">
      <w:pPr>
        <w:pStyle w:val="NormalHanging12a"/>
      </w:pPr>
      <w:r w:rsidRPr="00BC31FF">
        <w:t>–</w:t>
      </w:r>
      <w:r w:rsidRPr="00BC31FF">
        <w:tab/>
        <w:t>s ohledem na hlasování Stálého výboru pro rostliny, zvířata, potraviny a krmiva uvedeného v článku 35 nařízení (ES) č. 1829/2003, které proběhlo dne 27. dubna 2026 a na němž nebylo přijato žádné stanovisko, a na hlasování odvolacího výboru ze dne 2. června 2026, na němž opět nebylo přijato žádné stanovisko,</w:t>
      </w:r>
    </w:p>
    <w:p w:rsidR="006406D0" w:rsidRPr="00BC31FF" w:rsidP="006406D0" w14:paraId="5C218AB2" w14:textId="77777777">
      <w:pPr>
        <w:pStyle w:val="NormalHanging12a"/>
      </w:pPr>
      <w:r w:rsidRPr="00BC31FF">
        <w:t>–</w:t>
      </w:r>
      <w:r w:rsidRPr="00BC31FF">
        <w:tab/>
        <w:t>s ohledem na článek 11 nařízení Evropského parlamentu a Rady (EU) č. 182/2011 ze dne 16. února 2011, kterým se stanoví pravidla a obecné zásady způsobu, jakým členské státy kontrolují Komisi při výkonu prováděcích pravomocí</w:t>
      </w:r>
      <w:r>
        <w:rPr>
          <w:rStyle w:val="FootnoteReference"/>
        </w:rPr>
        <w:footnoteReference w:id="4"/>
      </w:r>
      <w:r w:rsidRPr="00BC31FF">
        <w:t>,</w:t>
      </w:r>
    </w:p>
    <w:p w:rsidR="006406D0" w:rsidRPr="00BC31FF" w:rsidP="006406D0" w14:paraId="0DD2B2C6" w14:textId="77777777">
      <w:pPr>
        <w:pStyle w:val="NormalHanging12a"/>
      </w:pPr>
      <w:r w:rsidRPr="00BC31FF">
        <w:t>–</w:t>
      </w:r>
      <w:r w:rsidRPr="00BC31FF">
        <w:tab/>
        <w:t xml:space="preserve">s ohledem na stanovisko Evropského úřadu pro bezpečnost potravin (EFSA) ze dne 30. </w:t>
      </w:r>
      <w:r w:rsidRPr="00BC31FF">
        <w:t>října 2025, které bylo zveřejněno dne 5. prosince 2025</w:t>
      </w:r>
      <w:r>
        <w:rPr>
          <w:rStyle w:val="FootnoteReference"/>
        </w:rPr>
        <w:footnoteReference w:id="5"/>
      </w:r>
      <w:r w:rsidRPr="00BC31FF">
        <w:t>,</w:t>
      </w:r>
    </w:p>
    <w:p w:rsidR="006406D0" w:rsidRPr="00BC31FF" w:rsidP="006406D0" w14:paraId="6720FCD1" w14:textId="77777777">
      <w:pPr>
        <w:pStyle w:val="NormalHanging12a"/>
      </w:pPr>
      <w:r w:rsidRPr="00BC31FF">
        <w:t>–</w:t>
      </w:r>
      <w:r w:rsidRPr="00BC31FF">
        <w:tab/>
        <w:t>s ohledem na svá předchozí usnesení, v nichž vyslovil námitku vůči povolení geneticky modifikovaných organismů (dále jen „GMO“)</w:t>
      </w:r>
      <w:r>
        <w:rPr>
          <w:rStyle w:val="FootnoteReference"/>
        </w:rPr>
        <w:footnoteReference w:id="6"/>
      </w:r>
      <w:r w:rsidRPr="00BC31FF">
        <w:t>,</w:t>
      </w:r>
    </w:p>
    <w:p w:rsidR="006406D0" w:rsidRPr="00BC31FF" w:rsidP="006406D0" w14:paraId="778FC22D" w14:textId="77777777">
      <w:pPr>
        <w:pStyle w:val="NormalHanging12a"/>
      </w:pPr>
      <w:r w:rsidRPr="00BC31FF">
        <w:t>–</w:t>
      </w:r>
      <w:r w:rsidRPr="00BC31FF">
        <w:tab/>
        <w:t>s ohledem na čl. 115 odst. 2 a 3 jednacího řádu,</w:t>
      </w:r>
    </w:p>
    <w:p w:rsidR="006406D0" w:rsidRPr="00BC31FF" w:rsidP="006406D0" w14:paraId="611939E6" w14:textId="77777777">
      <w:pPr>
        <w:pStyle w:val="NormalHanging12a"/>
      </w:pPr>
      <w:r w:rsidRPr="00BC31FF">
        <w:t>–</w:t>
      </w:r>
      <w:r w:rsidRPr="00BC31FF">
        <w:tab/>
        <w:t>s ohledem na návrh usnesení Výboru pro životní prostředí, klima a bezpečnost potravin,</w:t>
      </w:r>
    </w:p>
    <w:p w:rsidR="006406D0" w:rsidRPr="00BC31FF" w:rsidP="00D04AF6" w14:paraId="1FCF08A5" w14:textId="77777777">
      <w:pPr>
        <w:pStyle w:val="Considrant"/>
        <w:numPr>
          <w:ilvl w:val="0"/>
          <w:numId w:val="0"/>
        </w:numPr>
        <w:spacing w:after="240"/>
        <w:ind w:left="567" w:hanging="567"/>
        <w:jc w:val="left"/>
        <w:rPr>
          <w:szCs w:val="24"/>
        </w:rPr>
      </w:pPr>
      <w:r w:rsidRPr="00BC31FF">
        <w:t>A.</w:t>
      </w:r>
      <w:r w:rsidRPr="00BC31FF">
        <w:tab/>
        <w:t xml:space="preserve">vzhledem k tomu, že dne 10. března 2023 podala společnost </w:t>
      </w:r>
      <w:r w:rsidRPr="00BC31FF">
        <w:rPr>
          <w:snapToGrid w:val="0"/>
        </w:rPr>
        <w:t>Corteva Agriscience Belgium B.V. se sídlem v Belgii jménem společnosti Corteva Agriscience LLC se sídlem ve Spojených státech amerických žádost o</w:t>
      </w:r>
      <w:r w:rsidRPr="00BC31FF">
        <w:t> uvedení potravin, složek potravin a krmiv, které obsahují geneticky modifikovanou kukuřici DP202216 × NK603 × DAS-40279-9 (geneticky modifikovaná kukuřice), sestávají z ní nebo jsou z ní vyrobeny, na trh v souladu s články 5 a 17 nařízení (ES) č. 1829/2003; vzhledem k tomu, že žádost se rovněž vztahovala na uvádění produktů, které obsahují geneticky modifikovanou kukuřici nebo z ní sestávají, na trh pro jiná použití než v potravinách a krmivech, s výjimkou pěstování;</w:t>
      </w:r>
    </w:p>
    <w:p w:rsidR="006406D0" w:rsidRPr="00BC31FF" w:rsidP="00D04AF6" w14:paraId="648B5E7B" w14:textId="77777777">
      <w:pPr>
        <w:widowControl/>
        <w:shd w:val="clear" w:color="auto" w:fill="FFFFFF"/>
        <w:spacing w:after="240"/>
        <w:ind w:left="567" w:hanging="567"/>
        <w:rPr>
          <w:szCs w:val="24"/>
        </w:rPr>
      </w:pPr>
      <w:r w:rsidRPr="00BC31FF">
        <w:t>B.</w:t>
      </w:r>
      <w:r w:rsidRPr="00BC31FF">
        <w:tab/>
        <w:t xml:space="preserve">vzhledem k tomu, že dne 30. října 2025 přijal úřad EFSA k povolení geneticky modifikované kukuřice kladné vědecké stanovisko, které bylo zveřejněno dne </w:t>
      </w:r>
      <w:r w:rsidRPr="00BC31FF">
        <w:rPr>
          <w:shd w:val="clear" w:color="auto" w:fill="FFFFFF"/>
        </w:rPr>
        <w:t>5. prosince 2025</w:t>
      </w:r>
      <w:r w:rsidRPr="00BC31FF">
        <w:t>;</w:t>
      </w:r>
    </w:p>
    <w:p w:rsidR="006406D0" w:rsidRPr="00BC31FF" w:rsidP="00D04AF6" w14:paraId="51B48BE5" w14:textId="77777777">
      <w:pPr>
        <w:widowControl/>
        <w:autoSpaceDE w:val="0"/>
        <w:autoSpaceDN w:val="0"/>
        <w:adjustRightInd w:val="0"/>
        <w:spacing w:after="240"/>
        <w:ind w:left="567" w:hanging="567"/>
        <w:rPr>
          <w:rFonts w:eastAsiaTheme="minorHAnsi"/>
          <w:szCs w:val="24"/>
        </w:rPr>
      </w:pPr>
      <w:r w:rsidRPr="00BC31FF">
        <w:t>C.</w:t>
      </w:r>
      <w:r w:rsidRPr="00BC31FF">
        <w:tab/>
        <w:t>vzhledem k tomu, že úřad EFSA dospěl k závěru, že geneticky modifikovaná kukuřice a její podkombinace, popsané v žádosti, jsou stejně bezpečné jako odpovídající konvenční produkt a testované geneticky nemodifikované referenční odrůdy kukuřice, pokud jde o potenciální účinky na lidské zdraví, zdraví zvířat a životní prostředí. vzhledem k tomu, že úřad EFSA rovněž dospěl k závěru, že konzumace potravin a krmiv z geneticky modifikované kukuřice a jejích podkombinací nepředstavuje nutriční riziko u lidí a zvířat; vzhledem k tomu, že úřad EFSA se ve svém stanovisku nezabýval několika širšími environmentálními, socioekonomickými a kumulativními dopady, které podle jeho názoru nespadají do jeho působnosti;</w:t>
      </w:r>
    </w:p>
    <w:p w:rsidR="006406D0" w:rsidRPr="00BC31FF" w:rsidP="00D04AF6" w14:paraId="1667A9A9" w14:textId="77777777">
      <w:pPr>
        <w:widowControl/>
        <w:autoSpaceDE w:val="0"/>
        <w:autoSpaceDN w:val="0"/>
        <w:adjustRightInd w:val="0"/>
        <w:spacing w:after="240"/>
        <w:ind w:left="567" w:hanging="567"/>
        <w:rPr>
          <w:rFonts w:eastAsiaTheme="minorHAnsi"/>
          <w:szCs w:val="24"/>
        </w:rPr>
      </w:pPr>
      <w:r w:rsidRPr="00BC31FF">
        <w:t>D.</w:t>
      </w:r>
      <w:r w:rsidRPr="00BC31FF">
        <w:tab/>
        <w:t>vzhledem k tomu, že geneticky modifikovaná kukuřice byla vyvinuta křížením kombinujícím tři jednotlivé modifikace: DP202216 exprimující enzym fosfinotricin-acetyltransferázu (PAT) k zajištění tolerance vůči herbicidům obsahujícím glufosinát amonný, a endogenní protein kukuřice se změněnou exprese (EPAE) ZMM28, který poskytuje potenciál pro zvýšení výnosu v polních podmínkách; NK603, exprimující CP4 EPSPS a CP4 EPSPS L214P k zajištění tolerance vůči herbicidům na bázi glyfosátu; a DAS-40278-9, exprimující aryloxyalkanoát dioxygenázu (AAD-1) k zajištění tolerance vůči herbicidům třídy 2,4-D a aryloxyfenoxypropionátu (AOPP)</w:t>
      </w:r>
      <w:r>
        <w:rPr>
          <w:rStyle w:val="FootnoteReference"/>
          <w:rFonts w:eastAsiaTheme="minorHAnsi"/>
          <w:szCs w:val="24"/>
        </w:rPr>
        <w:footnoteReference w:id="7"/>
      </w:r>
      <w:r w:rsidRPr="00BC31FF">
        <w:t>;</w:t>
      </w:r>
    </w:p>
    <w:p w:rsidR="006406D0" w:rsidRPr="00BC31FF" w:rsidP="00D04AF6" w14:paraId="21E4673A" w14:textId="6BE94A69">
      <w:pPr>
        <w:spacing w:after="240"/>
        <w:ind w:left="567" w:hanging="567"/>
        <w:rPr>
          <w:rFonts w:eastAsiaTheme="minorHAnsi"/>
          <w:szCs w:val="24"/>
        </w:rPr>
      </w:pPr>
      <w:r w:rsidRPr="00BC31FF">
        <w:t>E.</w:t>
      </w:r>
      <w:r w:rsidRPr="00BC31FF">
        <w:tab/>
        <w:t>vzhledem k tomu, že EFSA dosud hodnotil pouze podkombinaci NK603 × DAS-40278-9; vzhledem k tomu, že žadatel nepředložil žádné experimentální údaje pro podkombinace DP</w:t>
      </w:r>
      <w:r w:rsidRPr="00BC31FF">
        <w:t xml:space="preserve">202216 </w:t>
      </w:r>
      <w:r w:rsidRPr="00D04AF6" w:rsidR="00D04AF6">
        <w:rPr>
          <w:color w:val="000000" w:themeColor="text1"/>
        </w:rPr>
        <w:t> ×</w:t>
      </w:r>
      <w:r w:rsidRPr="00BC31FF">
        <w:t xml:space="preserve"> NK603 a DP202216 </w:t>
      </w:r>
      <w:r w:rsidRPr="00D04AF6" w:rsidR="00D04AF6">
        <w:rPr>
          <w:color w:val="000000" w:themeColor="text1"/>
        </w:rPr>
        <w:t> ×</w:t>
      </w:r>
      <w:r w:rsidRPr="00BC31FF">
        <w:t xml:space="preserve"> DAS-40278-9, které úřad EFSA dosud nehodnotil; vzhledem k tomu, že úřad EFSA přesto dospěl k závěru, že tato dílčí kombinace nevyvolává obavy ohledně bezpečnosti;</w:t>
      </w:r>
    </w:p>
    <w:p w:rsidR="006406D0" w:rsidRPr="00BC31FF" w:rsidP="00D04AF6" w14:paraId="5258E3B3" w14:textId="77777777">
      <w:pPr>
        <w:spacing w:after="240"/>
        <w:ind w:left="567" w:hanging="567"/>
        <w:rPr>
          <w:rFonts w:eastAsiaTheme="minorHAnsi"/>
          <w:szCs w:val="24"/>
        </w:rPr>
      </w:pPr>
      <w:r w:rsidRPr="00BC31FF">
        <w:t>F.</w:t>
      </w:r>
      <w:r w:rsidRPr="00BC31FF">
        <w:tab/>
        <w:t>vzhledem k tomu, že posouzení rizik provedená úřadem EFSA nezahrnovala dlouhodobé toxikologické studie ani podrobnou analýzu kumulativních a kombinovaných účinků, včetně možných interakcí s rezidui pesticidů, které jsou běžně používány při pěstování kukuřice;</w:t>
      </w:r>
    </w:p>
    <w:p w:rsidR="006406D0" w:rsidRPr="00BC31FF" w:rsidP="00D04AF6" w14:paraId="37243CBE" w14:textId="77777777">
      <w:pPr>
        <w:spacing w:after="240"/>
        <w:ind w:left="567" w:hanging="567"/>
        <w:rPr>
          <w:rFonts w:eastAsiaTheme="minorHAnsi"/>
          <w:szCs w:val="24"/>
        </w:rPr>
      </w:pPr>
      <w:r w:rsidRPr="00BC31FF">
        <w:t>G.</w:t>
      </w:r>
      <w:r w:rsidRPr="00BC31FF">
        <w:tab/>
        <w:t>vzhledem k tomu, že naprostá většina geneticky modifikovaných plodin, včetně geneticky modifikované kukuřice, je geneticky upravena tak, aby byla tolerantní vůči jednomu či více „doplňkovým“ herbicidům, které lze použít po celou dobu jejich pěstování, aniž by plodiny uhynuly, jak by tomu bylo v případě, kdyby nebyly vůči herbicidům tolerantní; vzhledem k tomu, že několik studií prokázalo, že geneticky modifikované plodiny, které jsou odolné vůči herbicidům, vedou k vyššímu používání doplňkových herbicidů, a to z velké části kvůli výskytu plevele odolného vůči herbicidům;</w:t>
      </w:r>
    </w:p>
    <w:p w:rsidR="006406D0" w:rsidRPr="00BC31FF" w:rsidP="00D04AF6" w14:paraId="043B2263" w14:textId="77777777">
      <w:pPr>
        <w:spacing w:after="240"/>
        <w:ind w:left="567" w:hanging="567"/>
        <w:rPr>
          <w:rFonts w:eastAsiaTheme="minorHAnsi"/>
          <w:szCs w:val="24"/>
        </w:rPr>
      </w:pPr>
      <w:r w:rsidRPr="00BC31FF">
        <w:t>H.</w:t>
      </w:r>
      <w:r w:rsidRPr="00BC31FF">
        <w:tab/>
        <w:t xml:space="preserve">vzhledem k tomu, že pěstitelé geneticky modifikovaných plodin, které jsou tolerantní vůči herbicidům, se dostávají do patové situace, neboť při jejich ochraně před plevelem jsou z velké části nebo zcela závislí na herbicidech a zároveň vytvářejí závislost na používání doplňkových herbicidů jako nedílné součásti produkčního systému; vzhledem k tomu, že větší závislost zemědělských podniků, které pěstují geneticky modifikovanou kukuřici, na doplňkových herbicidech povede k tomu, že se rychleji </w:t>
      </w:r>
      <w:r w:rsidRPr="00BC31FF">
        <w:t>objevuje a šíří plevel odolný vůči těmto herbicidům, takže se zemědělci ocitají v začarovaném kruhu, neboť musí používat stále větší množství herbicidů; vzhledem k tomu, že nadměrné používání herbicidů má negativní dopad na stav půdy a vody a na biologickou rozmanitost půdní i nadzemní fauny a flóry a zvyšuje expozici lidí i zvířat, potenciálně také prostřednictvím zvýšeného obsahu reziduí herbicidů v potravinách a krmivech;</w:t>
      </w:r>
    </w:p>
    <w:p w:rsidR="006406D0" w:rsidRPr="00BC31FF" w:rsidP="00D04AF6" w14:paraId="6BA2EFE0" w14:textId="77777777">
      <w:pPr>
        <w:autoSpaceDE w:val="0"/>
        <w:autoSpaceDN w:val="0"/>
        <w:adjustRightInd w:val="0"/>
        <w:spacing w:after="240"/>
        <w:ind w:left="567" w:hanging="567"/>
        <w:rPr>
          <w:rFonts w:eastAsiaTheme="minorHAnsi"/>
          <w:szCs w:val="24"/>
        </w:rPr>
      </w:pPr>
      <w:r w:rsidRPr="00BC31FF">
        <w:t>I.</w:t>
      </w:r>
      <w:r w:rsidRPr="00BC31FF">
        <w:tab/>
        <w:t>vzhledem k tomu, že několik studií prokázalo, že geneticky modifikované plodiny, které jsou odolné vůči herbicidům, vedou k vyššímu používání doplňkových herbicidů, a to z velké části kvůli výskytu plevele odolného vůči herbicidům</w:t>
      </w:r>
      <w:r>
        <w:rPr>
          <w:rFonts w:eastAsiaTheme="minorHAnsi"/>
          <w:vertAlign w:val="superscript"/>
        </w:rPr>
        <w:footnoteReference w:id="8"/>
      </w:r>
      <w:r w:rsidRPr="00BC31FF">
        <w:t>; vzhledem k tomu, že je proto třeba očekávat, že geneticky modifikovaná kukuřice bude vystavena vyšším a opakovaným dávkám herbicidů na bázi glyfosátu, glufosinátu, AOPP a 2,4-D, a tak může být ve sklizni přítomno větší množství reziduí a produktů rozkladu (metabolitů);</w:t>
      </w:r>
    </w:p>
    <w:p w:rsidR="006406D0" w:rsidRPr="00BC31FF" w:rsidP="00D04AF6" w14:paraId="64D96241" w14:textId="77777777">
      <w:pPr>
        <w:autoSpaceDE w:val="0"/>
        <w:autoSpaceDN w:val="0"/>
        <w:adjustRightInd w:val="0"/>
        <w:spacing w:after="240"/>
        <w:ind w:left="567" w:hanging="567"/>
        <w:rPr>
          <w:rFonts w:eastAsiaTheme="minorHAnsi"/>
          <w:szCs w:val="24"/>
        </w:rPr>
      </w:pPr>
      <w:r w:rsidRPr="00BC31FF">
        <w:t>J.</w:t>
      </w:r>
      <w:r w:rsidRPr="00BC31FF">
        <w:tab/>
        <w:t>vzhledem k tomu, že glufosinát je klasifikován jako látka toxická pro reprodukci (</w:t>
      </w:r>
      <w:r w:rsidRPr="00BC31FF">
        <w:t>1B</w:t>
      </w:r>
      <w:r w:rsidRPr="00BC31FF">
        <w:t>), a splňuje proto kritéria pro vyloučení vymezená v nařízení Evropského parlamentu a Rady (ES) č. 1107/2009</w:t>
      </w:r>
      <w:r>
        <w:rPr>
          <w:rFonts w:eastAsiaTheme="minorHAnsi"/>
          <w:vertAlign w:val="superscript"/>
        </w:rPr>
        <w:footnoteReference w:id="9"/>
      </w:r>
      <w:r w:rsidRPr="00BC31FF">
        <w:t>; vzhledem k tomu, že platnost povolení pro používání glufosinátu v Unii skončila dne 31. července 2018</w:t>
      </w:r>
      <w:r>
        <w:rPr>
          <w:rFonts w:eastAsiaTheme="minorHAnsi"/>
          <w:vertAlign w:val="superscript"/>
        </w:rPr>
        <w:footnoteReference w:id="10"/>
      </w:r>
      <w:r w:rsidRPr="00BC31FF">
        <w:t>;</w:t>
      </w:r>
    </w:p>
    <w:p w:rsidR="006406D0" w:rsidRPr="00BC31FF" w:rsidP="00D04AF6" w14:paraId="029B3773" w14:textId="77777777">
      <w:pPr>
        <w:autoSpaceDE w:val="0"/>
        <w:autoSpaceDN w:val="0"/>
        <w:adjustRightInd w:val="0"/>
        <w:spacing w:after="240"/>
        <w:ind w:left="567" w:hanging="567"/>
        <w:rPr>
          <w:rFonts w:eastAsiaTheme="minorHAnsi"/>
          <w:szCs w:val="24"/>
        </w:rPr>
      </w:pPr>
      <w:r w:rsidRPr="00BC31FF">
        <w:t>K.</w:t>
      </w:r>
      <w:r w:rsidRPr="00BC31FF">
        <w:tab/>
        <w:t>vzhledem k tomu, že stále přetrvávají značné vědecké nejistoty ohledně bezpečnosti glyfosátu pro lidské zdraví a životní prostředí; vzhledem k tomu, že úřad EFSA dospěl v listopadu 2015 k závěru, že glyfosát pravděpodobně není karcinogenní, a Evropská agentura pro chemické látky došla v březnu 2017 k závěru, že jeho klasifikace není nutná; vzhledem k tomu, že Mezinárodní agentura pro výzkum rakoviny (specializovaná agentura Světové zdravotnické organizace zabývající se nádorovými onemocněními) v roce 2015 naopak glyfosát označila za látku, která u člověka pravděpodobně působí karcinogenně; vzhledem k tomu, že možná karcinogenita glyfosátu byla potvrzena v řadě nejnovějších odborně recenzovaných vědeckých studií</w:t>
      </w:r>
      <w:r>
        <w:rPr>
          <w:rFonts w:eastAsiaTheme="minorHAnsi"/>
          <w:vertAlign w:val="superscript"/>
        </w:rPr>
        <w:footnoteReference w:id="11"/>
      </w:r>
      <w:r w:rsidRPr="00BC31FF">
        <w:t xml:space="preserve">; vzhledem k tomu, že časopis „Regulatory Toxicology and Pharmacology“ formálně stáhl vědeckou studii s názvem „Safety Evaluation and Risk Assessment of the Herbicide Roundup and Its Active Ingredient, Glyphosate, for Humans“ (Hodnocení bezpečnosti a posouzení rizik herbicidu Roundup a jeho účinné složky glyfosátu na člověka), která byla publikována v roce 2000 a která byla použita k obhajobě bezpečnosti glyfosátu v mnoha posouzeních rizik, protože „byly vzneseny obavy </w:t>
      </w:r>
      <w:r w:rsidRPr="00BC31FF">
        <w:t>ohledně jejího autorství, platnosti výsledků výzkumu v kontextu nepravdivosti příspěvků autorů a zadavatele studie a možného střetu zájmů autorů“</w:t>
      </w:r>
      <w:r>
        <w:rPr>
          <w:rStyle w:val="FootnoteReference"/>
        </w:rPr>
        <w:footnoteReference w:id="12"/>
      </w:r>
      <w:r w:rsidRPr="00BC31FF">
        <w:t>;</w:t>
      </w:r>
    </w:p>
    <w:p w:rsidR="006406D0" w:rsidRPr="00BC31FF" w:rsidP="00D04AF6" w14:paraId="17AAF678" w14:textId="77777777">
      <w:pPr>
        <w:autoSpaceDE w:val="0"/>
        <w:autoSpaceDN w:val="0"/>
        <w:adjustRightInd w:val="0"/>
        <w:spacing w:after="240"/>
        <w:ind w:left="567" w:hanging="567"/>
        <w:rPr>
          <w:rFonts w:eastAsiaTheme="minorHAnsi"/>
          <w:szCs w:val="24"/>
        </w:rPr>
      </w:pPr>
      <w:r w:rsidRPr="00BC31FF">
        <w:t>L.</w:t>
      </w:r>
      <w:r w:rsidRPr="00BC31FF">
        <w:tab/>
        <w:t>vzhledem k tomu, že recenzovaný vědecký článek odborníka zapojeného do vývoje geneticky modifikovaných rostlin zpochybňuje bezpečnost geneticky modifikovaných plodin odolných vůči látce 2,4-D z důvodu jejího rozkladu na cytotoxický produkt rozkladu</w:t>
      </w:r>
      <w:r>
        <w:rPr>
          <w:rFonts w:eastAsiaTheme="minorHAnsi"/>
          <w:vertAlign w:val="superscript"/>
        </w:rPr>
        <w:footnoteReference w:id="13"/>
      </w:r>
      <w:r w:rsidRPr="00BC31FF">
        <w:t>;</w:t>
      </w:r>
    </w:p>
    <w:p w:rsidR="006406D0" w:rsidRPr="00BC31FF" w:rsidP="00D04AF6" w14:paraId="14BE1C36" w14:textId="77777777">
      <w:pPr>
        <w:autoSpaceDE w:val="0"/>
        <w:autoSpaceDN w:val="0"/>
        <w:adjustRightInd w:val="0"/>
        <w:spacing w:after="240"/>
        <w:ind w:left="567" w:hanging="567"/>
        <w:rPr>
          <w:rFonts w:eastAsiaTheme="minorHAnsi"/>
          <w:szCs w:val="24"/>
        </w:rPr>
      </w:pPr>
      <w:r w:rsidRPr="00BC31FF">
        <w:t>M.</w:t>
      </w:r>
      <w:r w:rsidRPr="00BC31FF">
        <w:tab/>
        <w:t>vzhledem k tomu, že se má za to, že posuzování reziduí a metabolitů herbicidů nalezených v geneticky modifikovaných rostlinách nespadá do působnosti vědecké komise EFSA pro geneticky modifikované organismy, a není proto v rámci postupu povolování geneticky modifikovaných organismů prováděno; vzhledem k tomu, že tato skutečnost je problematická, neboť samotná genetická modifikace může ovlivňovat způsob, jakým dotčená geneticky modifikovaná rostlina odbourává doplňkové herbicidy, jakož i složení, a tedy i toxicitu metabolitů</w:t>
      </w:r>
      <w:r>
        <w:rPr>
          <w:rFonts w:eastAsiaTheme="minorHAnsi"/>
          <w:vertAlign w:val="superscript"/>
        </w:rPr>
        <w:footnoteReference w:id="14"/>
      </w:r>
      <w:r w:rsidRPr="00BC31FF">
        <w:t>;</w:t>
      </w:r>
    </w:p>
    <w:p w:rsidR="006406D0" w:rsidRPr="00BC31FF" w:rsidP="00D04AF6" w14:paraId="5C4CFA17" w14:textId="77777777">
      <w:pPr>
        <w:autoSpaceDE w:val="0"/>
        <w:autoSpaceDN w:val="0"/>
        <w:adjustRightInd w:val="0"/>
        <w:spacing w:after="240"/>
        <w:ind w:left="567" w:hanging="567"/>
        <w:rPr>
          <w:rFonts w:eastAsiaTheme="minorHAnsi"/>
          <w:szCs w:val="24"/>
        </w:rPr>
      </w:pPr>
      <w:r w:rsidRPr="00BC31FF">
        <w:t>N.</w:t>
      </w:r>
      <w:r w:rsidRPr="00BC31FF">
        <w:tab/>
        <w:t>vzhledem k tomu, že nařízení (ES) č. 1829/2003 stanoví, že geneticky modifikované potraviny a krmiva nesmí mít nepříznivé účinky na lidské zdraví, zdraví zvířat nebo na životní prostředí, a požaduje, aby Komise při přípravě návrhu rozhodnutí vzala v úvahu všechny související právní předpisy Unie a jiné oprávněné faktory významné pro projednávanou záležitost; vzhledem k tomu, že tyto opodstatněné faktory by měly zahrnovat závazky Unie vyplývající z cílů OSN v oblasti udržitelného rozvoje, Pařížské dohody o změně klimatu</w:t>
      </w:r>
      <w:r>
        <w:rPr>
          <w:rStyle w:val="FootnoteReference"/>
          <w:rFonts w:eastAsiaTheme="minorHAnsi"/>
          <w:szCs w:val="24"/>
        </w:rPr>
        <w:footnoteReference w:id="15"/>
      </w:r>
      <w:r w:rsidRPr="00BC31FF">
        <w:t xml:space="preserve"> a Úmluvy OSN o biologické rozmanitosti</w:t>
      </w:r>
      <w:r>
        <w:rPr>
          <w:rStyle w:val="FootnoteReference"/>
          <w:rFonts w:eastAsiaTheme="minorHAnsi"/>
          <w:szCs w:val="24"/>
        </w:rPr>
        <w:footnoteReference w:id="16"/>
      </w:r>
      <w:r w:rsidRPr="00BC31FF">
        <w:t>;</w:t>
      </w:r>
    </w:p>
    <w:p w:rsidR="006406D0" w:rsidRPr="00BC31FF" w:rsidP="00D04AF6" w14:paraId="10232039" w14:textId="77777777">
      <w:pPr>
        <w:autoSpaceDE w:val="0"/>
        <w:autoSpaceDN w:val="0"/>
        <w:adjustRightInd w:val="0"/>
        <w:spacing w:after="240"/>
        <w:ind w:left="567" w:hanging="567"/>
        <w:rPr>
          <w:rFonts w:eastAsiaTheme="minorHAnsi"/>
          <w:szCs w:val="24"/>
        </w:rPr>
      </w:pPr>
      <w:r w:rsidRPr="00BC31FF">
        <w:t>O.</w:t>
      </w:r>
      <w:r w:rsidRPr="00BC31FF">
        <w:tab/>
        <w:t>vzhledem k tomu, že nezávislé monitorování a dohled nad možnými nepříznivými účinky na biologickou rozmanitost, zdraví půdy, opylovače a necílové organismy stále nejsou dostatečně zaručeny;</w:t>
      </w:r>
    </w:p>
    <w:p w:rsidR="006406D0" w:rsidRPr="00BC31FF" w:rsidP="00D04AF6" w14:paraId="2E97D258" w14:textId="77777777">
      <w:pPr>
        <w:autoSpaceDE w:val="0"/>
        <w:autoSpaceDN w:val="0"/>
        <w:adjustRightInd w:val="0"/>
        <w:spacing w:after="240"/>
        <w:ind w:left="567" w:hanging="567"/>
        <w:rPr>
          <w:rFonts w:eastAsiaTheme="minorHAnsi"/>
          <w:szCs w:val="24"/>
        </w:rPr>
      </w:pPr>
      <w:r w:rsidRPr="00BC31FF">
        <w:t>P.</w:t>
      </w:r>
      <w:r w:rsidRPr="00BC31FF">
        <w:tab/>
        <w:t>vzhledem k tomu, že v případech vědecké nejistoty by se měla uplatňovat zásada obezřetnosti zakotvená v článku 191 Smlouvy o fungování Evropské unie;</w:t>
      </w:r>
    </w:p>
    <w:p w:rsidR="006406D0" w:rsidRPr="00BC31FF" w:rsidP="00D04AF6" w14:paraId="116D572F" w14:textId="77777777">
      <w:pPr>
        <w:autoSpaceDE w:val="0"/>
        <w:autoSpaceDN w:val="0"/>
        <w:adjustRightInd w:val="0"/>
        <w:spacing w:after="240"/>
        <w:ind w:left="567" w:hanging="567"/>
        <w:rPr>
          <w:rFonts w:eastAsiaTheme="minorHAnsi"/>
          <w:szCs w:val="24"/>
        </w:rPr>
      </w:pPr>
      <w:r w:rsidRPr="00BC31FF">
        <w:t>Q.</w:t>
      </w:r>
      <w:r w:rsidRPr="00BC31FF">
        <w:tab/>
        <w:t>vzhledem k tomu, že Unie, jakožto smluvní strana Úmluvy OSN o biologické rozmanitosti a v souladu s článkem 3 této úmluvy, musí zajistit, aby činnosti v její jurisdikci nebo pod její kontrolou nepoškozovaly životní prostředí jiných států;</w:t>
      </w:r>
    </w:p>
    <w:p w:rsidR="006406D0" w:rsidRPr="00BC31FF" w:rsidP="00D04AF6" w14:paraId="2AB6580E" w14:textId="77777777">
      <w:pPr>
        <w:autoSpaceDE w:val="0"/>
        <w:autoSpaceDN w:val="0"/>
        <w:adjustRightInd w:val="0"/>
        <w:spacing w:after="240"/>
        <w:ind w:left="567" w:hanging="567"/>
        <w:rPr>
          <w:rFonts w:eastAsiaTheme="minorHAnsi"/>
          <w:szCs w:val="24"/>
        </w:rPr>
      </w:pPr>
      <w:r w:rsidRPr="00BC31FF">
        <w:t>R.</w:t>
      </w:r>
      <w:r w:rsidRPr="00BC31FF">
        <w:tab/>
        <w:t xml:space="preserve">vzhledem k tomu, že obnovení povolení geneticky modifikované kukuřice ze strany </w:t>
      </w:r>
      <w:r w:rsidRPr="00BC31FF">
        <w:t>Unie by nebylo v souladu s mezinárodními závazky týkajícími se snižování pesticidů</w:t>
      </w:r>
      <w:r>
        <w:rPr>
          <w:rFonts w:eastAsiaTheme="minorHAnsi"/>
          <w:vertAlign w:val="superscript"/>
        </w:rPr>
        <w:footnoteReference w:id="17"/>
      </w:r>
      <w:r w:rsidRPr="00BC31FF">
        <w:t>, a to vzhledem ke zvýšené expozici lidí, zvířat a životního prostředí glyfosátu a glufosinátu v zemích, které pěstují tuto geneticky modifikovanou plodinu tolerantní k herbicidům, a s tím souvisejícím možným závažným zdravotním dopadům;</w:t>
      </w:r>
    </w:p>
    <w:p w:rsidR="006406D0" w:rsidRPr="00BC31FF" w:rsidP="00D04AF6" w14:paraId="305CCA7B" w14:textId="77777777">
      <w:pPr>
        <w:autoSpaceDE w:val="0"/>
        <w:autoSpaceDN w:val="0"/>
        <w:adjustRightInd w:val="0"/>
        <w:spacing w:after="240"/>
        <w:ind w:left="567" w:hanging="567"/>
        <w:rPr>
          <w:rFonts w:eastAsiaTheme="minorHAnsi"/>
          <w:szCs w:val="24"/>
        </w:rPr>
      </w:pPr>
      <w:r w:rsidRPr="00BC31FF">
        <w:t>S.</w:t>
      </w:r>
      <w:r w:rsidRPr="00BC31FF">
        <w:tab/>
        <w:t>vzhledem k tomu, že pěstování geneticky modifikované kukuřice není v Unii povoleno;</w:t>
      </w:r>
    </w:p>
    <w:p w:rsidR="006406D0" w:rsidRPr="00BC31FF" w:rsidP="00D04AF6" w14:paraId="72D0AFC4" w14:textId="62F54661">
      <w:pPr>
        <w:autoSpaceDE w:val="0"/>
        <w:autoSpaceDN w:val="0"/>
        <w:adjustRightInd w:val="0"/>
        <w:spacing w:after="240"/>
        <w:ind w:left="567" w:hanging="567"/>
        <w:rPr>
          <w:rFonts w:eastAsiaTheme="minorHAnsi"/>
          <w:szCs w:val="24"/>
        </w:rPr>
      </w:pPr>
      <w:r w:rsidRPr="00BC31FF">
        <w:t>T.</w:t>
      </w:r>
      <w:r w:rsidRPr="00BC31FF">
        <w:tab/>
        <w:t xml:space="preserve">vzhledem k tomu, že prováděcí rozhodnutí Komise </w:t>
      </w:r>
      <w:r w:rsidR="001D6CF0">
        <w:t xml:space="preserve">(EU) 2026/1443 </w:t>
      </w:r>
      <w:r w:rsidRPr="00BC31FF">
        <w:t>by umožňoval dovoz do Unie, který by nesplňoval normy dodržované zemědělci v Unii, což by je znevýhodnilo v hospodářské soutěži;</w:t>
      </w:r>
    </w:p>
    <w:p w:rsidR="006406D0" w:rsidRPr="00BC31FF" w:rsidP="00D04AF6" w14:paraId="4AF3DF4C" w14:textId="77777777">
      <w:pPr>
        <w:autoSpaceDE w:val="0"/>
        <w:autoSpaceDN w:val="0"/>
        <w:adjustRightInd w:val="0"/>
        <w:spacing w:after="240"/>
        <w:ind w:left="567" w:hanging="567"/>
        <w:rPr>
          <w:rFonts w:eastAsiaTheme="minorHAnsi"/>
          <w:szCs w:val="24"/>
        </w:rPr>
      </w:pPr>
      <w:r w:rsidRPr="00BC31FF">
        <w:t>U.</w:t>
      </w:r>
      <w:r w:rsidRPr="00BC31FF">
        <w:tab/>
        <w:t>vzhledem k tomu, že v závěrech strategického dialogu o budoucnosti zemědělství v EU</w:t>
      </w:r>
      <w:r>
        <w:rPr>
          <w:rFonts w:eastAsiaTheme="minorHAnsi"/>
          <w:vertAlign w:val="superscript"/>
        </w:rPr>
        <w:footnoteReference w:id="18"/>
      </w:r>
      <w:r w:rsidRPr="00BC31FF">
        <w:t xml:space="preserve"> se Komise vyzývá, aby přehodnotila svůj postoj k uvádění dovážených zemědělsko-potravinářských produktů na trh vzhledem k problémům plynoucím z rozdílných norem Unie a jejích obchodních partnerů; vzhledem k tomu, že spravedlivější obchodní vztahy na celosvětové úrovni v souladu s cíli pro zdravé životní prostředí byly jedním z hlavních požadavků zemědělců během demonstrací v letech 2023, 2024 a 2025;</w:t>
      </w:r>
    </w:p>
    <w:p w:rsidR="006406D0" w:rsidRPr="00BC31FF" w:rsidP="00D04AF6" w14:paraId="08CA526F" w14:textId="77777777">
      <w:pPr>
        <w:autoSpaceDE w:val="0"/>
        <w:autoSpaceDN w:val="0"/>
        <w:adjustRightInd w:val="0"/>
        <w:spacing w:after="360"/>
        <w:ind w:left="567" w:hanging="567"/>
        <w:rPr>
          <w:rFonts w:eastAsiaTheme="minorHAnsi"/>
          <w:szCs w:val="24"/>
        </w:rPr>
      </w:pPr>
      <w:r w:rsidRPr="00BC31FF">
        <w:t>V.</w:t>
      </w:r>
      <w:r w:rsidRPr="00BC31FF">
        <w:tab/>
        <w:t xml:space="preserve">vzhledem k tomu, že Parlament opakovaně zdůrazňuje, že by Komise neměla povolovat geneticky modifikované organismy, pokud členské státy ve Stálém výboru pro rostliny, zvířata, potraviny a krmiva nebo v odvolacím výboru nedosáhly kvalifikované většiny, aby se vyřešil přetrvávající demokratický deficit; </w:t>
      </w:r>
    </w:p>
    <w:p w:rsidR="006406D0" w:rsidRPr="00BC31FF" w:rsidP="00D04AF6" w14:paraId="54C92E69" w14:textId="77777777">
      <w:pPr>
        <w:autoSpaceDE w:val="0"/>
        <w:autoSpaceDN w:val="0"/>
        <w:adjustRightInd w:val="0"/>
        <w:spacing w:after="360"/>
        <w:ind w:left="567" w:hanging="567"/>
        <w:rPr>
          <w:rFonts w:eastAsiaTheme="minorHAnsi"/>
          <w:szCs w:val="24"/>
        </w:rPr>
      </w:pPr>
      <w:r w:rsidRPr="00BC31FF">
        <w:t>W.</w:t>
      </w:r>
      <w:r w:rsidRPr="00BC31FF">
        <w:tab/>
        <w:t>vzhledem k tomu, že Komise bez ohledu na demokratický deficit, který sama uznala, nedostatečnou podporu ze strany členských států i námitky Parlamentu nadále geneticky modifikované organismy povoluje;</w:t>
      </w:r>
    </w:p>
    <w:p w:rsidR="006406D0" w:rsidRPr="00BC31FF" w:rsidP="00D04AF6" w14:paraId="450653ED" w14:textId="77777777">
      <w:pPr>
        <w:autoSpaceDE w:val="0"/>
        <w:autoSpaceDN w:val="0"/>
        <w:adjustRightInd w:val="0"/>
        <w:spacing w:after="360"/>
        <w:ind w:left="567" w:hanging="567"/>
      </w:pPr>
      <w:r w:rsidRPr="00BC31FF">
        <w:t>X.</w:t>
      </w:r>
      <w:r w:rsidRPr="00BC31FF">
        <w:tab/>
        <w:t>vzhledem k tomu, že přístup „jedno zdraví“ vyžaduje, aby při posuzování dlouhodobé udržitelnosti a bezpečnosti geneticky modifikovaných organismů byla zohledňována provázanost zdraví lidí, zvířat, rostlin a životního prostředí;</w:t>
      </w:r>
    </w:p>
    <w:p w:rsidR="006406D0" w:rsidRPr="00BC31FF" w:rsidP="00D04AF6" w14:paraId="1ECE8683" w14:textId="40A10555">
      <w:pPr>
        <w:pStyle w:val="NormalHanging12a"/>
      </w:pPr>
      <w:r w:rsidRPr="00BC31FF">
        <w:t>1.</w:t>
      </w:r>
      <w:r w:rsidRPr="00BC31FF">
        <w:tab/>
        <w:t xml:space="preserve">domnívá se, že prováděcí rozhodnutí Komise </w:t>
      </w:r>
      <w:r w:rsidRPr="001D6CF0" w:rsidR="001D6CF0">
        <w:t xml:space="preserve">(EU) 2026/1443 </w:t>
      </w:r>
      <w:r w:rsidRPr="00BC31FF">
        <w:t>překračuje prováděcí pravomoci stanovené nařízením (ES) č. 1829/2003;</w:t>
      </w:r>
    </w:p>
    <w:p w:rsidR="006406D0" w:rsidRPr="00BC31FF" w:rsidP="00D04AF6" w14:paraId="740B1A24" w14:textId="0AF5E464">
      <w:pPr>
        <w:pStyle w:val="NormalHanging12a"/>
      </w:pPr>
      <w:r w:rsidRPr="00BC31FF">
        <w:t>2.</w:t>
      </w:r>
      <w:r w:rsidRPr="00BC31FF">
        <w:tab/>
        <w:t xml:space="preserve">domnívá se, že prováděcí rozhodnutí Komise </w:t>
      </w:r>
      <w:r w:rsidRPr="001D6CF0" w:rsidR="001D6CF0">
        <w:t xml:space="preserve">(EU) 2026/1443 </w:t>
      </w:r>
      <w:r w:rsidRPr="00BC31FF">
        <w:t>není v souladu s právními předpisy Unie, neboť není slučitelný s cílem nařízení (ES) č. 1829/2003, který podle obecných zásad, jež jsou stanoveny v nařízení Evropského parlamentu a Rady (ES) č. 178/2002</w:t>
      </w:r>
      <w:r>
        <w:rPr>
          <w:vertAlign w:val="superscript"/>
        </w:rPr>
        <w:footnoteReference w:id="19"/>
      </w:r>
      <w:r w:rsidRPr="00BC31FF">
        <w:t xml:space="preserve">, spočívá ve vytvoření základních ustanovení pro zajištění vysoké úrovně ochrany lidského života a zdraví, zdraví a dobrých životních podmínek </w:t>
      </w:r>
      <w:r w:rsidRPr="00BC31FF">
        <w:t>zvířat, zájmů v oblasti životního prostředí a zájmů spotřebitele v souvislosti s geneticky modifikovanými potravinami a krmivy při současném zajištění účinného fungování vnitřního trhu;</w:t>
      </w:r>
    </w:p>
    <w:p w:rsidR="006406D0" w:rsidRPr="00BC31FF" w:rsidP="00D04AF6" w14:paraId="68F6CD03" w14:textId="5763D51E">
      <w:pPr>
        <w:pStyle w:val="NormalHanging12a"/>
      </w:pPr>
      <w:r w:rsidRPr="00BC31FF">
        <w:t>3.</w:t>
      </w:r>
      <w:r w:rsidRPr="00BC31FF">
        <w:tab/>
        <w:t xml:space="preserve">vyzývá Komisi, aby </w:t>
      </w:r>
      <w:r w:rsidR="001D6CF0">
        <w:t>zrušila</w:t>
      </w:r>
      <w:r w:rsidRPr="00BC31FF">
        <w:t xml:space="preserve"> prováděcí rozhodnutí </w:t>
      </w:r>
      <w:r w:rsidR="001D6CF0">
        <w:t>Komise (EU) 2026/1443</w:t>
      </w:r>
      <w:r w:rsidRPr="00BC31FF">
        <w:t>;</w:t>
      </w:r>
    </w:p>
    <w:p w:rsidR="006406D0" w:rsidRPr="00BC31FF" w:rsidP="00D04AF6" w14:paraId="5F23E8B2" w14:textId="77777777">
      <w:pPr>
        <w:pStyle w:val="NormalHanging12a"/>
      </w:pPr>
      <w:r w:rsidRPr="00BC31FF">
        <w:t>4.</w:t>
      </w:r>
      <w:r w:rsidRPr="00BC31FF">
        <w:tab/>
        <w:t>vyzývá Komisi, aby nepovolovala dovoz geneticky modifikovaných plodin tolerantních vůči herbicidům kvůli souvisejícímu zvýšenému používání doplňkových herbicidů, a tudíž i zvýšeným rizikům pro biologickou rozmanitost, bezpečnost potravin a zdraví pracovníků;</w:t>
      </w:r>
    </w:p>
    <w:p w:rsidR="006406D0" w:rsidRPr="00BC31FF" w:rsidP="00D04AF6" w14:paraId="7FA2D11F" w14:textId="77777777">
      <w:pPr>
        <w:pStyle w:val="NormalHanging12a"/>
      </w:pPr>
      <w:r w:rsidRPr="00BC31FF">
        <w:t>5.</w:t>
      </w:r>
      <w:r w:rsidRPr="00BC31FF">
        <w:tab/>
        <w:t>vítá skutečnost, že Komise v dopise poslancům ze dne 11. září 2020 uznala, že při rozhodování o povolení geneticky modifikovaných organismů je třeba zohledňovat otázku udržitelnosti</w:t>
      </w:r>
      <w:r>
        <w:rPr>
          <w:vertAlign w:val="superscript"/>
        </w:rPr>
        <w:footnoteReference w:id="20"/>
      </w:r>
      <w:r w:rsidRPr="00BC31FF">
        <w:t>; vyjadřuje však hluboké zklamání nad tím, že Komise nadále povoluje dovoz geneticky modifikovaných organismů do Unie, a to navzdory neustálým námitkám Parlamentu a nehledě na to, že většina členských států hlasuje proti;</w:t>
      </w:r>
    </w:p>
    <w:p w:rsidR="006406D0" w:rsidRPr="00BC31FF" w:rsidP="00D04AF6" w14:paraId="243D9803" w14:textId="77777777">
      <w:pPr>
        <w:pStyle w:val="NormalHanging12a"/>
      </w:pPr>
      <w:r w:rsidRPr="00BC31FF">
        <w:t>6.</w:t>
      </w:r>
      <w:r w:rsidRPr="00BC31FF">
        <w:tab/>
        <w:t>znovu naléhavě vyzývá Komisi, aby zohlednila závazky Unie vyplývající z mezinárodních dohod, jako jsou Pařížská klimatická dohoda, Úmluva OSN o biologické rozmanitosti a cíle udržitelného rozvoje OSN; opětovně žádá, aby k návrhům prováděcích aktů byla přiložena důvodová zpráva, v níž bude vysvětleno, jakým způsobem se v nich zajistí dodržování zásady „neškodit“</w:t>
      </w:r>
      <w:r>
        <w:rPr>
          <w:vertAlign w:val="superscript"/>
        </w:rPr>
        <w:footnoteReference w:id="21"/>
      </w:r>
      <w:r w:rsidRPr="00BC31FF">
        <w:t>;</w:t>
      </w:r>
    </w:p>
    <w:p w:rsidR="006406D0" w:rsidRPr="00BC31FF" w:rsidP="00D04AF6" w14:paraId="69FD6768" w14:textId="77777777">
      <w:pPr>
        <w:pStyle w:val="NormalHanging12a"/>
      </w:pPr>
      <w:r w:rsidRPr="00BC31FF">
        <w:t>7.</w:t>
      </w:r>
      <w:r w:rsidRPr="00BC31FF">
        <w:tab/>
        <w:t>zdůrazňuje, že v pozměňovacích návrzích přijatých dne 17. prosince 2020 jako základ pro jednání s Radou o návrhu nařízení Evropského parlamentu a Rady, kterým se mění nařízení (EU) č. 182/2011</w:t>
      </w:r>
      <w:r>
        <w:rPr>
          <w:vertAlign w:val="superscript"/>
        </w:rPr>
        <w:footnoteReference w:id="22"/>
      </w:r>
      <w:r w:rsidRPr="00BC31FF">
        <w:t>, Evropský parlament prohlásil, že Komise by neměla geneticky modifikované organismy povolovat, pokud pro udělení povolení nehlasovala kvalifikovaná většina členských států; trvá na tom, že Komise musí tento postoj respektovat, a vyzývá Radu, aby pokračovala v práci a bezodkladně přijala obecný přístup k této otázce;</w:t>
      </w:r>
    </w:p>
    <w:p w:rsidR="00BC31FF" w:rsidRPr="00BC31FF" w:rsidP="00D04AF6" w14:paraId="3974E317" w14:textId="1E0E277C">
      <w:pPr>
        <w:pStyle w:val="NormalHanging12a"/>
      </w:pPr>
      <w:r w:rsidRPr="00BC31FF">
        <w:t>8.</w:t>
      </w:r>
      <w:r w:rsidRPr="00BC31FF">
        <w:tab/>
        <w:t>pověřuje svou předsedkyni, aby předala toto usnesení Radě a Komisi, jakož i vládám a parlamentům členských států.</w:t>
      </w:r>
    </w:p>
    <w:p w:rsidR="00E365E1" w:rsidRPr="00BC31FF" w:rsidP="001D6CF0" w14:paraId="50AA38D1" w14:textId="66B6340E"/>
    <w:sectPr w:rsidSect="00BC31F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7CACAAD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5789C8F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37AE889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26D9" w:rsidRPr="00BC31FF" w14:paraId="41993F37" w14:textId="77777777">
      <w:r w:rsidRPr="00BC31FF">
        <w:separator/>
      </w:r>
    </w:p>
  </w:footnote>
  <w:footnote w:type="continuationSeparator" w:id="1">
    <w:p w:rsidR="00D126D9" w:rsidRPr="00BC31FF" w14:paraId="3A6E0C71" w14:textId="77777777">
      <w:r w:rsidRPr="00BC31FF">
        <w:continuationSeparator/>
      </w:r>
    </w:p>
  </w:footnote>
  <w:footnote w:id="2">
    <w:p w:rsidR="001D6CF0" w:rsidRPr="00D04AF6" w:rsidP="00D04AF6" w14:paraId="36B11E22" w14:textId="0B7A6AF4">
      <w:pPr>
        <w:pStyle w:val="FootnoteText"/>
        <w:ind w:left="567" w:hanging="567"/>
        <w:rPr>
          <w:sz w:val="24"/>
          <w:szCs w:val="24"/>
          <w:lang w:val="cs-CZ"/>
        </w:rPr>
      </w:pPr>
      <w:r>
        <w:rPr>
          <w:rStyle w:val="FootnoteReference"/>
        </w:rPr>
        <w:footnoteRef/>
      </w:r>
      <w:r w:rsidRPr="00D04AF6">
        <w:rPr>
          <w:lang w:val="fi-FI"/>
        </w:rPr>
        <w:t xml:space="preserve"> </w:t>
      </w:r>
      <w:r>
        <w:rPr>
          <w:lang w:val="cs-CZ"/>
        </w:rPr>
        <w:tab/>
      </w:r>
      <w:r>
        <w:rPr>
          <w:sz w:val="24"/>
          <w:szCs w:val="24"/>
          <w:lang w:val="cs-CZ"/>
        </w:rPr>
        <w:t>Úř. věst.</w:t>
      </w:r>
      <w:r w:rsidRPr="00D04AF6">
        <w:rPr>
          <w:sz w:val="24"/>
          <w:szCs w:val="24"/>
          <w:lang w:val="cs-CZ"/>
        </w:rPr>
        <w:t xml:space="preserve"> L, 2026/1443, 3.7.2026, ELI: </w:t>
      </w:r>
      <w:hyperlink r:id="rId1" w:history="1">
        <w:r w:rsidRPr="00D04AF6">
          <w:rPr>
            <w:rStyle w:val="Hyperlink"/>
            <w:sz w:val="24"/>
            <w:szCs w:val="24"/>
            <w:lang w:val="fi-FI"/>
          </w:rPr>
          <w:t>http://data.europa.eu/eli/dec_impl/2026/1443/oj</w:t>
        </w:r>
      </w:hyperlink>
      <w:r w:rsidRPr="00D04AF6">
        <w:rPr>
          <w:sz w:val="24"/>
          <w:szCs w:val="24"/>
          <w:lang w:val="cs-CZ"/>
        </w:rPr>
        <w:t>.</w:t>
      </w:r>
    </w:p>
  </w:footnote>
  <w:footnote w:id="3">
    <w:p w:rsidR="006406D0" w:rsidRPr="00BC31FF" w:rsidP="00BC31FF" w14:paraId="1CB1545C" w14:textId="5DB50DC0">
      <w:pPr>
        <w:pStyle w:val="FootnoteText"/>
        <w:ind w:left="567" w:hanging="567"/>
        <w:rPr>
          <w:sz w:val="24"/>
          <w:lang w:val="cs-CZ"/>
        </w:rPr>
      </w:pPr>
      <w:r w:rsidRPr="00BC31FF">
        <w:rPr>
          <w:rStyle w:val="Funotenzeichen"/>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Úř. věst. L 268, 18.10.2003, s. 1, ELI:  </w:t>
      </w:r>
      <w:hyperlink r:id="rId2" w:tooltip="Umožňuje přístup k dokumentu prostřednictvím identifikátoru ELI URI." w:history="1">
        <w:r w:rsidRPr="00BC31FF">
          <w:rPr>
            <w:rStyle w:val="Hyperlink"/>
            <w:sz w:val="24"/>
            <w:lang w:val="cs-CZ"/>
          </w:rPr>
          <w:t>http://data.europa.eu/eli/reg/2003/1829/oj</w:t>
        </w:r>
      </w:hyperlink>
      <w:r w:rsidRPr="00BC31FF">
        <w:rPr>
          <w:sz w:val="24"/>
          <w:lang w:val="cs-CZ"/>
        </w:rPr>
        <w:t>.</w:t>
      </w:r>
    </w:p>
  </w:footnote>
  <w:footnote w:id="4">
    <w:p w:rsidR="006406D0" w:rsidRPr="00BC31FF" w:rsidP="00BC31FF" w14:paraId="59FE1F9E" w14:textId="18F83AE2">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Úř. věst. L 55, 28.2.2011, s. 13, ELI: </w:t>
      </w:r>
      <w:hyperlink r:id="rId3" w:history="1">
        <w:r w:rsidRPr="00BC31FF">
          <w:rPr>
            <w:rStyle w:val="Hyperlink"/>
            <w:sz w:val="24"/>
            <w:lang w:val="cs-CZ"/>
          </w:rPr>
          <w:t>http://data.europa.eu/eli/reg/2011/182/oj</w:t>
        </w:r>
      </w:hyperlink>
      <w:r w:rsidRPr="00BC31FF">
        <w:rPr>
          <w:sz w:val="24"/>
          <w:lang w:val="cs-CZ"/>
        </w:rPr>
        <w:t>.</w:t>
      </w:r>
    </w:p>
  </w:footnote>
  <w:footnote w:id="5">
    <w:p w:rsidR="006406D0" w:rsidRPr="00BC31FF" w:rsidP="00BC31FF" w14:paraId="050FD435" w14:textId="083CD716">
      <w:pPr>
        <w:pStyle w:val="FootnoteText"/>
        <w:ind w:left="567" w:hanging="567"/>
        <w:rPr>
          <w:sz w:val="24"/>
          <w:vertAlign w:val="superscript"/>
          <w:lang w:val="cs-CZ"/>
        </w:rPr>
      </w:pPr>
      <w:r w:rsidRPr="00BC31FF">
        <w:rPr>
          <w:rStyle w:val="Funotenzeichen"/>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Vědecké stanovisko vědecké komise úřadu EFSA pro geneticky modifikované organismy s názvem „Posouzení geneticky DP202216 × NK603 × DAS-40278-9 (žádost GMFF-</w:t>
      </w:r>
    </w:p>
    <w:p w:rsidR="006406D0" w:rsidRPr="00BC31FF" w:rsidP="00BC31FF" w14:paraId="4B4CA6A2" w14:textId="21142EA0">
      <w:pPr>
        <w:pStyle w:val="FootnoteText"/>
        <w:ind w:left="567" w:hanging="567"/>
        <w:rPr>
          <w:sz w:val="24"/>
          <w:lang w:val="cs-CZ"/>
        </w:rPr>
      </w:pPr>
      <w:r w:rsidRPr="00BC31FF">
        <w:rPr>
          <w:sz w:val="24"/>
          <w:lang w:val="cs-CZ"/>
        </w:rPr>
        <w:t xml:space="preserve"> </w:t>
      </w:r>
      <w:r w:rsidRPr="00BC31FF">
        <w:rPr>
          <w:sz w:val="24"/>
          <w:lang w:val="cs-CZ"/>
        </w:rPr>
        <w:tab/>
      </w:r>
      <w:r w:rsidRPr="00BC31FF">
        <w:rPr>
          <w:sz w:val="24"/>
          <w:lang w:val="cs-CZ"/>
        </w:rPr>
        <w:t xml:space="preserve">(2022-6232)“, </w:t>
      </w:r>
      <w:r w:rsidRPr="00BC31FF">
        <w:rPr>
          <w:i/>
          <w:sz w:val="24"/>
          <w:lang w:val="cs-CZ"/>
        </w:rPr>
        <w:t>EFSA Journal</w:t>
      </w:r>
      <w:r w:rsidRPr="00BC31FF">
        <w:rPr>
          <w:sz w:val="24"/>
          <w:lang w:val="cs-CZ"/>
        </w:rPr>
        <w:t xml:space="preserve">, 2025, 23(12):e9746, </w:t>
      </w:r>
      <w:hyperlink r:id="rId4" w:history="1">
        <w:r w:rsidRPr="00BC31FF">
          <w:rPr>
            <w:rStyle w:val="Hyperlink"/>
            <w:sz w:val="24"/>
            <w:lang w:val="cs-CZ"/>
          </w:rPr>
          <w:t>https://doi.org/10.2903/j.efsa.2025.9746</w:t>
        </w:r>
      </w:hyperlink>
      <w:r w:rsidRPr="00BC31FF">
        <w:rPr>
          <w:rStyle w:val="Hyperlink"/>
          <w:sz w:val="24"/>
          <w:lang w:val="cs-CZ"/>
        </w:rPr>
        <w:t>.</w:t>
      </w:r>
    </w:p>
  </w:footnote>
  <w:footnote w:id="6">
    <w:p w:rsidR="006406D0" w:rsidRPr="00BC31FF" w:rsidP="00BC31FF" w14:paraId="56A1633A" w14:textId="1DAD31AF">
      <w:pPr>
        <w:pStyle w:val="FootnoteText"/>
        <w:ind w:left="567" w:hanging="567"/>
        <w:rPr>
          <w:color w:val="000000" w:themeColor="text1"/>
          <w:sz w:val="24"/>
          <w:vertAlign w:val="superscript"/>
          <w:lang w:val="cs-CZ"/>
        </w:rPr>
      </w:pPr>
      <w:r w:rsidRPr="00BC31FF">
        <w:rPr>
          <w:rStyle w:val="Funotenzeichen"/>
          <w:sz w:val="24"/>
          <w:lang w:val="cs-CZ"/>
        </w:rPr>
        <w:footnoteRef/>
      </w:r>
      <w:r w:rsidRPr="00BC31FF" w:rsidR="00BC31FF">
        <w:rPr>
          <w:color w:val="000000" w:themeColor="text1"/>
          <w:sz w:val="24"/>
          <w:lang w:val="cs-CZ"/>
        </w:rPr>
        <w:t xml:space="preserve"> </w:t>
      </w:r>
      <w:r w:rsidRPr="00BC31FF" w:rsidR="00BC31FF">
        <w:rPr>
          <w:color w:val="000000" w:themeColor="text1"/>
          <w:sz w:val="24"/>
          <w:lang w:val="cs-CZ"/>
        </w:rPr>
        <w:tab/>
      </w:r>
      <w:r w:rsidRPr="00BC31FF">
        <w:rPr>
          <w:color w:val="000000" w:themeColor="text1"/>
          <w:sz w:val="24"/>
          <w:lang w:val="cs-CZ"/>
        </w:rPr>
        <w:t>Ve svém osmém volebním období přijal Parlament 36 usnesení a ve svém devátém volebním období 38 usnesení, v nichž vyslovil</w:t>
      </w:r>
      <w:r w:rsidRPr="00BC31FF">
        <w:rPr>
          <w:sz w:val="24"/>
          <w:lang w:val="cs-CZ"/>
        </w:rPr>
        <w:t xml:space="preserve"> námitky </w:t>
      </w:r>
      <w:r w:rsidRPr="00BC31FF">
        <w:rPr>
          <w:color w:val="000000" w:themeColor="text1"/>
          <w:sz w:val="24"/>
          <w:lang w:val="cs-CZ"/>
        </w:rPr>
        <w:t>proti povolení GMO</w:t>
      </w:r>
      <w:r w:rsidRPr="00BC31FF">
        <w:rPr>
          <w:sz w:val="24"/>
          <w:lang w:val="cs-CZ"/>
        </w:rPr>
        <w:t>.</w:t>
      </w:r>
      <w:r w:rsidRPr="00BC31FF">
        <w:rPr>
          <w:color w:val="000000" w:themeColor="text1"/>
          <w:sz w:val="24"/>
          <w:lang w:val="cs-CZ"/>
        </w:rPr>
        <w:t xml:space="preserve"> V desátém volebním období pak přijal tato usnesení:</w:t>
      </w:r>
    </w:p>
    <w:p w:rsidR="006406D0" w:rsidRPr="00BC31FF" w:rsidP="00BC31FF" w14:paraId="086881C3" w14:textId="1857C67E">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2024/2628, kterým se obnovuje povolení uvedení produktů, které obsahují geneticky modifikovanou kukuřici MON 89034 × 1507 × NK603, sestávají z ní nebo jsou z ní vyrobeny, na trh, v souladu s nařízením Evropského parlamentu a Rady (ES) č. 1829/2003 (Úř. věst. C, C/2025/1797, 4.4.2025, ELI: </w:t>
      </w:r>
      <w:hyperlink r:id="rId5" w:history="1">
        <w:r w:rsidRPr="00BC31FF">
          <w:rPr>
            <w:rStyle w:val="Hyperlink"/>
            <w:sz w:val="24"/>
            <w:lang w:val="cs-CZ"/>
          </w:rPr>
          <w:t>http://data.europa.eu/eli/C/2025/1797/oj</w:t>
        </w:r>
      </w:hyperlink>
      <w:r w:rsidRPr="00BC31FF">
        <w:rPr>
          <w:color w:val="000000" w:themeColor="text1"/>
          <w:sz w:val="24"/>
          <w:lang w:val="cs-CZ"/>
        </w:rPr>
        <w:t>).</w:t>
      </w:r>
    </w:p>
    <w:p w:rsidR="006406D0" w:rsidRPr="00BC31FF" w:rsidP="00BC31FF" w14:paraId="2C46D994" w14:textId="2FAEA592">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2024/2627 o povolení uvedení produktů, které obsahují geneticky modifikovanou bavlnu COT102, sestávají z ní nebo jsou z ní vyrobeny, na trh podle nařízení Evropského parlamentu a Rady (ES) č. 1829/2003 (Úř. věst. C, C/2025/1798, 4.4.2025, ELI: </w:t>
      </w:r>
      <w:hyperlink r:id="rId6" w:history="1">
        <w:r w:rsidRPr="001D6CF0" w:rsidR="001D6CF0">
          <w:rPr>
            <w:rStyle w:val="Hyperlink"/>
            <w:sz w:val="24"/>
            <w:lang w:val="cs-CZ"/>
          </w:rPr>
          <w:t>http://data.europa.eu/eli/C/2025/1798/oj</w:t>
        </w:r>
      </w:hyperlink>
      <w:r w:rsidRPr="00BC31FF">
        <w:rPr>
          <w:color w:val="000000" w:themeColor="text1"/>
          <w:sz w:val="24"/>
          <w:lang w:val="cs-CZ"/>
        </w:rPr>
        <w:t>)</w:t>
      </w:r>
      <w:r w:rsidR="001D6CF0">
        <w:rPr>
          <w:color w:val="000000" w:themeColor="text1"/>
          <w:sz w:val="24"/>
          <w:lang w:val="cs-CZ"/>
        </w:rPr>
        <w:t>.</w:t>
      </w:r>
    </w:p>
    <w:p w:rsidR="006406D0" w:rsidRPr="00BC31FF" w:rsidP="00BC31FF" w14:paraId="3515BE09" w14:textId="496CE3EE">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2024/2629, kterým se obnovuje povolení uvedení produktů, které obsahují geneticky modifikovanou kukuřici MON 89034 × 1507 × MON 88017 × 59122 nebo osm z jejích podkombinací, sestávají z nich nebo jsou z nich vyrobeny, na trh, v souladu s nařízením Evropského parlamentu a Rady (ES) č. 1829/2003 (Úř. věst. C, C/2025/1799, 4.4.2025, ELI: </w:t>
      </w:r>
      <w:hyperlink r:id="rId7" w:history="1">
        <w:r w:rsidRPr="00BC31FF">
          <w:rPr>
            <w:rStyle w:val="Hyperlink"/>
            <w:sz w:val="24"/>
            <w:lang w:val="cs-CZ"/>
          </w:rPr>
          <w:t>http://data.europa.eu/eli/C/2025/1799/oj</w:t>
        </w:r>
      </w:hyperlink>
      <w:r w:rsidRPr="00BC31FF">
        <w:rPr>
          <w:color w:val="000000" w:themeColor="text1"/>
          <w:sz w:val="24"/>
          <w:lang w:val="cs-CZ"/>
        </w:rPr>
        <w:t>).</w:t>
      </w:r>
    </w:p>
    <w:p w:rsidR="006406D0" w:rsidRPr="00BC31FF" w:rsidP="00BC31FF" w14:paraId="1E282CBF" w14:textId="71710796">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2024/1828 o obnovení povolení pro uvádění krmiv, která obsahují geneticky modifikovanou kukuřici MON 810 nebo z ní sestávají, a potravin a krmiv z ní vyrobených na trh podle nařízení Evropského parlamentu a Rady (ES) č. 1829/2003 a o zrušení prováděcího rozhodnutí Komise (EU) 2017/1207 (Úř. věst. C, C/2025/1800, 4.4.2025, ELI: </w:t>
      </w:r>
      <w:hyperlink r:id="rId8" w:history="1">
        <w:r w:rsidRPr="00BC31FF">
          <w:rPr>
            <w:rStyle w:val="Hyperlink"/>
            <w:sz w:val="24"/>
            <w:lang w:val="cs-CZ"/>
          </w:rPr>
          <w:t>http://data.europa.eu/eli/C/2025/1800/oj</w:t>
        </w:r>
      </w:hyperlink>
      <w:r w:rsidRPr="00BC31FF">
        <w:rPr>
          <w:color w:val="000000" w:themeColor="text1"/>
          <w:sz w:val="24"/>
          <w:lang w:val="cs-CZ"/>
        </w:rPr>
        <w:t>).</w:t>
      </w:r>
    </w:p>
    <w:p w:rsidR="006406D0" w:rsidRPr="00BC31FF" w:rsidP="00BC31FF" w14:paraId="06496E30" w14:textId="183CF570">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návrhu prováděcího rozhodnutí Komise (EU) 2024/1822 o povolení uvedení produktů, které obsahují geneticky modifikovanou kukuřici DP915635, sestávají z ní nebo jsou z ní vyrobeny, na trh podle nařízení Evropského parlamentu a Rady (ES) č. 1829/2003 (Úř. věst. C, C/2025/1801, 4.4.2025, ELI: </w:t>
      </w:r>
      <w:hyperlink r:id="rId9" w:history="1">
        <w:r w:rsidRPr="00BC31FF">
          <w:rPr>
            <w:rStyle w:val="Hyperlink"/>
            <w:sz w:val="24"/>
            <w:lang w:val="cs-CZ"/>
          </w:rPr>
          <w:t>http://data.europa.eu/eli/C/2025/1801/oj</w:t>
        </w:r>
      </w:hyperlink>
      <w:r w:rsidRPr="00BC31FF">
        <w:rPr>
          <w:color w:val="000000" w:themeColor="text1"/>
          <w:sz w:val="24"/>
          <w:lang w:val="cs-CZ"/>
        </w:rPr>
        <w:t>).</w:t>
      </w:r>
    </w:p>
    <w:p w:rsidR="006406D0" w:rsidRPr="00BC31FF" w:rsidP="00BC31FF" w14:paraId="4A14CFE6" w14:textId="75A08B8C">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2024/1826 o povolení uvedení produktů, které obsahují geneticky modifikovanou kukuřici DP23211, sestávají z ní nebo jsou z ní vyrobeny, na trh podle nařízení Evropského parlamentu a Rady (ES) č. 1829/2003 (Úř. věst. C, C/2025/1802, 4.4.2025, ELI: </w:t>
      </w:r>
      <w:hyperlink r:id="rId10" w:history="1">
        <w:r w:rsidRPr="00BC31FF">
          <w:rPr>
            <w:rStyle w:val="Hyperlink"/>
            <w:sz w:val="24"/>
            <w:lang w:val="cs-CZ"/>
          </w:rPr>
          <w:t>http://data.europa.eu/eli/C/2025/1802/oj</w:t>
        </w:r>
      </w:hyperlink>
      <w:r w:rsidRPr="00BC31FF">
        <w:rPr>
          <w:color w:val="000000" w:themeColor="text1"/>
          <w:sz w:val="24"/>
          <w:lang w:val="cs-CZ"/>
        </w:rPr>
        <w:t>).</w:t>
      </w:r>
    </w:p>
    <w:p w:rsidR="006406D0" w:rsidRPr="00BC31FF" w:rsidP="00BC31FF" w14:paraId="1B7887B1" w14:textId="2B166D1A">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prováděcím rozhodnutí Komise (EU) 2024/2618 o povolení uvedení produktů, které obsahují geneticky modifikovanou kukuřici DP202216, sestávají z ní nebo jsou z ní vyrobeny, na trh podle nařízení Evropského parlamentu a Rady (ES) č. 1829/2003 (Úř. věst. C, C/2025/1803, 4.4.2025, ELI: </w:t>
      </w:r>
      <w:hyperlink r:id="rId11" w:history="1">
        <w:r w:rsidRPr="00BC31FF">
          <w:rPr>
            <w:rStyle w:val="Hyperlink"/>
            <w:sz w:val="24"/>
            <w:lang w:val="cs-CZ"/>
          </w:rPr>
          <w:t>http://data.europa.eu/eli/C/2025/1803/oj</w:t>
        </w:r>
      </w:hyperlink>
      <w:r w:rsidRPr="00BC31FF">
        <w:rPr>
          <w:color w:val="000000" w:themeColor="text1"/>
          <w:sz w:val="24"/>
          <w:lang w:val="cs-CZ"/>
        </w:rPr>
        <w:t>).</w:t>
      </w:r>
    </w:p>
    <w:p w:rsidR="006406D0" w:rsidRPr="00BC31FF" w:rsidP="00BC31FF" w14:paraId="79FA62AB" w14:textId="16644003">
      <w:pPr>
        <w:pStyle w:val="FootnoteText"/>
        <w:ind w:left="567" w:hanging="567"/>
        <w:rPr>
          <w:color w:val="000000" w:themeColor="text1"/>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t>Usnesení Evropského parlamentu ze dne 26. listopadu 2024 o návrhu prováděcího rozhodnutí Komise o povolení uvedení produktů, které obsahují geneticky modifikovanou kukuřici MON 94804, sestávají z ní nebo jsou z ní vyrobeny, na trh podle nařízení Evropského parlamentu a Rady (ES) č. 1829/2003 (Úř. věst. C, C/2025/1804, 4.4.2025, ELI: </w:t>
      </w:r>
      <w:hyperlink r:id="rId12" w:history="1">
        <w:r w:rsidRPr="00BC31FF">
          <w:rPr>
            <w:rStyle w:val="Hyperlink"/>
            <w:sz w:val="24"/>
            <w:lang w:val="cs-CZ"/>
          </w:rPr>
          <w:t>http://data.europa.eu/eli/C/2025/1804/oj</w:t>
        </w:r>
      </w:hyperlink>
      <w:r w:rsidRPr="00BC31FF">
        <w:rPr>
          <w:color w:val="000000" w:themeColor="text1"/>
          <w:sz w:val="24"/>
          <w:lang w:val="cs-CZ"/>
        </w:rPr>
        <w:t>).</w:t>
      </w:r>
    </w:p>
    <w:p w:rsidR="006406D0" w:rsidRPr="00BC31FF" w:rsidP="00BC31FF" w14:paraId="15A8445E" w14:textId="1EF86418">
      <w:pPr>
        <w:pStyle w:val="FootnoteText"/>
        <w:ind w:left="567" w:hanging="567"/>
        <w:rPr>
          <w:sz w:val="24"/>
          <w:vertAlign w:val="superscript"/>
          <w:lang w:val="cs-CZ"/>
        </w:rPr>
      </w:pPr>
      <w:r w:rsidRPr="00BC31FF">
        <w:rPr>
          <w:color w:val="000000" w:themeColor="text1"/>
          <w:sz w:val="24"/>
          <w:lang w:val="cs-CZ"/>
        </w:rPr>
        <w:t xml:space="preserve"> </w:t>
      </w:r>
      <w:r w:rsidRPr="00BC31FF">
        <w:rPr>
          <w:color w:val="000000" w:themeColor="text1"/>
          <w:sz w:val="24"/>
          <w:lang w:val="cs-CZ"/>
        </w:rPr>
        <w:tab/>
      </w:r>
      <w:r w:rsidRPr="00BC31FF">
        <w:rPr>
          <w:color w:val="000000" w:themeColor="text1"/>
          <w:sz w:val="24"/>
          <w:lang w:val="cs-CZ"/>
        </w:rPr>
        <w:t>–</w:t>
      </w:r>
      <w:r w:rsidRPr="00BC31FF">
        <w:rPr>
          <w:color w:val="000000" w:themeColor="text1"/>
          <w:sz w:val="24"/>
          <w:lang w:val="cs-CZ"/>
        </w:rPr>
        <w:tab/>
      </w:r>
      <w:r w:rsidRPr="00BC31FF">
        <w:rPr>
          <w:sz w:val="24"/>
          <w:lang w:val="cs-CZ"/>
        </w:rPr>
        <w:t>Usnesení Evropského parlamentu ze dne 12. února 2025 o návrhu prováděcího rozhodnutí Komise o povolení uvedení produktů, které obsahují geneticky modifikovanou kukuřici DP910521, sestávají z ní nebo jsou z ní vyrobeny, na trh podle nařízení Evropského parlamentu a Rady (ES) č. 1829/2003 (Úř. věst. C, C/2025/2246, 29.4.2025, ELI: </w:t>
      </w:r>
      <w:hyperlink r:id="rId13" w:history="1">
        <w:r w:rsidRPr="00BC31FF">
          <w:rPr>
            <w:rStyle w:val="Hyperlink"/>
            <w:sz w:val="24"/>
            <w:lang w:val="cs-CZ"/>
          </w:rPr>
          <w:t>http://data.europa.eu/eli/C/2025/2246/oj</w:t>
        </w:r>
      </w:hyperlink>
      <w:r w:rsidRPr="00BC31FF">
        <w:rPr>
          <w:sz w:val="24"/>
          <w:lang w:val="cs-CZ"/>
        </w:rPr>
        <w:t>).</w:t>
      </w:r>
    </w:p>
    <w:p w:rsidR="006406D0" w:rsidRPr="00BC31FF" w:rsidP="00BC31FF" w14:paraId="73538291" w14:textId="3A24BE9E">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12. února 2025 o návrhu prováděcího rozhodnutí Komise o povolení uvedení produktů, které obsahují geneticky modifikovanou kukuřici MON 95275, sestávají z ní nebo jsou z ní vyrobeny, na trh podle nařízení Evropského parlamentu a Rady (ES) č. 1829/2003 (Úř. věst. C, C/2025/2247, 29.4.2025, ELI: </w:t>
      </w:r>
      <w:hyperlink r:id="rId14" w:history="1">
        <w:r w:rsidRPr="00BC31FF">
          <w:rPr>
            <w:rStyle w:val="Hyperlink"/>
            <w:sz w:val="24"/>
            <w:lang w:val="cs-CZ"/>
          </w:rPr>
          <w:t>http://data.europa.eu/eli/C/2025/2247/oj</w:t>
        </w:r>
      </w:hyperlink>
      <w:r w:rsidRPr="00BC31FF">
        <w:rPr>
          <w:sz w:val="24"/>
          <w:lang w:val="cs-CZ"/>
        </w:rPr>
        <w:t>).</w:t>
      </w:r>
    </w:p>
    <w:p w:rsidR="006406D0" w:rsidRPr="00BC31FF" w:rsidP="00BC31FF" w14:paraId="65C4EC42" w14:textId="2EB17B55">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8. května 2025 o návrhu prováděcího rozhodnutí Komise o povolení uvedení produktů, které obsahují geneticky modifikovanou sóju MON 87705 × MON 87708 × MON 89788, sestávají z ní nebo jsou z ní vyrobeny, na trh podle nařízení Evropského parlamentu a Rady (ES) č. 1829/2003 (Úř. věst. C, C/2026/586, 24.2.2026, ELI: </w:t>
      </w:r>
      <w:hyperlink r:id="rId15" w:tooltip="Umožňuje přístup k dokumentu prostřednictvím identifikátoru ELI URI." w:history="1">
        <w:r w:rsidRPr="00BC31FF">
          <w:rPr>
            <w:rStyle w:val="Hyperlink"/>
            <w:sz w:val="24"/>
            <w:lang w:val="cs-CZ"/>
          </w:rPr>
          <w:t>http://data.europa.eu/eli/C/2026/586/oj</w:t>
        </w:r>
      </w:hyperlink>
      <w:r w:rsidRPr="00BC31FF">
        <w:rPr>
          <w:sz w:val="24"/>
          <w:lang w:val="cs-CZ"/>
        </w:rPr>
        <w:t>).</w:t>
      </w:r>
    </w:p>
    <w:p w:rsidR="006406D0" w:rsidRPr="00BC31FF" w:rsidP="00BC31FF" w14:paraId="4EA89C48" w14:textId="69D52DBD">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8. října 2025 o návrhu prováděcího rozhodnutí Komise (EU) 2025/1898 ze dne 22. září 2025 o povolení uvedení produktů, které obsahují geneticky modifikovanou kukuřici DP51291, sestávají z ní nebo jsou z ní vyrobeny, na trh podle nařízení Evropského parlamentu a Rady (ES) č. 1829/2003 (Úř. věst. C, C/2026/1523, 15.4.2026, ELI: </w:t>
      </w:r>
      <w:hyperlink r:id="rId16" w:history="1">
        <w:r w:rsidRPr="00BC31FF">
          <w:rPr>
            <w:rStyle w:val="Hyperlink"/>
            <w:sz w:val="24"/>
            <w:lang w:val="cs-CZ"/>
          </w:rPr>
          <w:t>http://data.europa.eu/eli/C/2026/1523/oj</w:t>
        </w:r>
      </w:hyperlink>
      <w:r w:rsidRPr="00BC31FF">
        <w:rPr>
          <w:sz w:val="24"/>
          <w:lang w:val="cs-CZ"/>
        </w:rPr>
        <w:t>).</w:t>
      </w:r>
    </w:p>
    <w:p w:rsidR="006406D0" w:rsidRPr="00BC31FF" w:rsidP="00BC31FF" w14:paraId="35805D1C" w14:textId="32489EE7">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25. listopadu 2025 o návrhu prováděcího rozhodnutí Komise o povolení uvedení produktů, které obsahují geneticky modifikovanou kukuřici DAS1131, sestávají z ní nebo jsou z ní vyrobeny, na trh podle nařízení Evropského parlamentu a Rady (ES) č. 1829/2003 (Úř. věst. C, C/2026/1703, 24.4.2026, ELI: </w:t>
      </w:r>
      <w:hyperlink r:id="rId17" w:history="1">
        <w:r w:rsidRPr="00BC31FF">
          <w:rPr>
            <w:rStyle w:val="Hyperlink"/>
            <w:sz w:val="24"/>
            <w:lang w:val="cs-CZ"/>
          </w:rPr>
          <w:t>http://data.europa.eu/eli/C/2026/1703/oj</w:t>
        </w:r>
      </w:hyperlink>
      <w:r w:rsidRPr="00BC31FF">
        <w:rPr>
          <w:sz w:val="24"/>
          <w:lang w:val="cs-CZ"/>
        </w:rPr>
        <w:t>).</w:t>
      </w:r>
    </w:p>
    <w:p w:rsidR="006406D0" w:rsidRPr="00BC31FF" w:rsidP="00BC31FF" w14:paraId="1880C4AE" w14:textId="2704C555">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25. listopadu 2025 o návrhu prováděcího rozhodnutí Komise, kterým se obnovuje povolení uvedení produktů, které obsahují geneticky modifikovanou bavlnu MON 88913 (MON-88913-8), sestávají z ní nebo jsou z ní vyrobeny, na trh podle nařízení Evropského parlamentu a Rady (ES) č. 1829/2003 (Úř. věst. C, C/2026/1704, 24.4.2026, ELI: </w:t>
      </w:r>
      <w:hyperlink r:id="rId18" w:history="1">
        <w:r w:rsidRPr="00BC31FF">
          <w:rPr>
            <w:rStyle w:val="Hyperlink"/>
            <w:sz w:val="24"/>
            <w:lang w:val="cs-CZ"/>
          </w:rPr>
          <w:t>http://data.europa.eu/eli/C/2026/1704/oj</w:t>
        </w:r>
      </w:hyperlink>
      <w:r w:rsidRPr="00BC31FF">
        <w:rPr>
          <w:sz w:val="24"/>
          <w:lang w:val="cs-CZ"/>
        </w:rPr>
        <w:t>).</w:t>
      </w:r>
    </w:p>
    <w:p w:rsidR="006406D0" w:rsidRPr="00BC31FF" w:rsidP="00BC31FF" w14:paraId="1F0601F5" w14:textId="7D13174E">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25. listopadu 2025 o návrhu prováděcího rozhodnutí Komise, kterým se obnovuje povolení uvedení produktů, které obsahují geneticky modifikovanou řepku olejnou MON 88302, sestávají z ní nebo jsou z ní vyrobeny, na trh podle nařízení Evropského parlamentu a Rady (ES) č. 1829/2003 (Úř. věst. C, C/2026/1705, 24.4.2026, ELI: </w:t>
      </w:r>
      <w:hyperlink r:id="rId19" w:history="1">
        <w:r w:rsidRPr="00BC31FF">
          <w:rPr>
            <w:rStyle w:val="Hyperlink"/>
            <w:sz w:val="24"/>
            <w:lang w:val="cs-CZ"/>
          </w:rPr>
          <w:t>http://data.europa.eu/eli/C/2026/1705/oj</w:t>
        </w:r>
      </w:hyperlink>
      <w:r w:rsidRPr="00BC31FF">
        <w:rPr>
          <w:sz w:val="24"/>
          <w:lang w:val="cs-CZ"/>
        </w:rPr>
        <w:t>).</w:t>
      </w:r>
    </w:p>
    <w:p w:rsidR="006406D0" w:rsidRPr="00BC31FF" w:rsidP="00BC31FF" w14:paraId="4485D711" w14:textId="60720BD6">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25. listopadu 2025 o prováděcím rozhodnutí Komise, kterým se obnovuje povolení uvedení produktů, které obsahují geneticky modifikovanou sóju MON 87708, sestávají z ní nebo jsou z ní vyrobeny, na trh podle nařízení Evropského parlamentu a Rady (ES) č. 1829/2003 (Úř. věst. C, C/2026/1706, 24.4.2026, ELI: </w:t>
      </w:r>
      <w:hyperlink r:id="rId20" w:history="1">
        <w:r w:rsidRPr="00BC31FF">
          <w:rPr>
            <w:rStyle w:val="Hyperlink"/>
            <w:sz w:val="24"/>
            <w:lang w:val="cs-CZ"/>
          </w:rPr>
          <w:t>http://data.europa.eu/eli/C/2026/1706/oj</w:t>
        </w:r>
      </w:hyperlink>
      <w:r w:rsidRPr="00BC31FF">
        <w:rPr>
          <w:sz w:val="24"/>
          <w:lang w:val="cs-CZ"/>
        </w:rPr>
        <w:t>).</w:t>
      </w:r>
    </w:p>
    <w:p w:rsidR="006406D0" w:rsidRPr="00BC31FF" w:rsidP="00BC31FF" w14:paraId="5D987074" w14:textId="55363D21">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 xml:space="preserve">Usnesení Evropského parlamentu ze dne 25. listopadu 2025 o návrhu prováděcího rozhodnutí Komise, kterým se obnovuje povolení uvedení produktů, které obsahují geneticky modifikovanou kukuřici MON 87427, sestávají z ní nebo jsou z ní vyrobeny, na trh podle nařízení Evropského parlamentu a Rady </w:t>
      </w:r>
      <w:r w:rsidRPr="00015CB8" w:rsidR="00330263">
        <w:rPr>
          <w:sz w:val="24"/>
          <w:lang w:val="cs-CZ"/>
        </w:rPr>
        <w:t xml:space="preserve">(ES) č. 1829/2003 </w:t>
      </w:r>
      <w:r w:rsidRPr="00BC31FF">
        <w:rPr>
          <w:sz w:val="24"/>
          <w:lang w:val="cs-CZ"/>
        </w:rPr>
        <w:t>(Úř. věst. C, C/2026/1707, 24.4.2026, ELI: </w:t>
      </w:r>
      <w:hyperlink r:id="rId21" w:history="1">
        <w:r w:rsidRPr="00BC31FF">
          <w:rPr>
            <w:rStyle w:val="Hyperlink"/>
            <w:sz w:val="24"/>
            <w:lang w:val="cs-CZ"/>
          </w:rPr>
          <w:t>http://data.europa.eu/eli/C/2026/1707/oj</w:t>
        </w:r>
      </w:hyperlink>
      <w:r w:rsidRPr="00BC31FF">
        <w:rPr>
          <w:sz w:val="24"/>
          <w:lang w:val="cs-CZ"/>
        </w:rPr>
        <w:t>).</w:t>
      </w:r>
    </w:p>
    <w:p w:rsidR="006406D0" w:rsidRPr="00BC31FF" w:rsidP="00BC31FF" w14:paraId="3C1F04B5" w14:textId="48F705A9">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16. prosince 2025 o návrhu prováděcího rozhodnutí Komise, kterým se obnovuje povolení uvedení produktů, které obsahují geneticky modifikovanou kukuřici NK603, sestávají z ní nebo jsou z ní vyrobeny, na trh, podle nařízení Evropského parlamentu a Rady (ES) č. 1829/2003 (Úř. věst. C, C/2026/2150, 6.5.2026, ELI: </w:t>
      </w:r>
      <w:hyperlink r:id="rId22" w:history="1">
        <w:r w:rsidRPr="00BC31FF">
          <w:rPr>
            <w:rStyle w:val="Hyperlink"/>
            <w:sz w:val="24"/>
            <w:lang w:val="cs-CZ"/>
          </w:rPr>
          <w:t>http://data.europa.eu/eli/C/2026/2150/oj</w:t>
        </w:r>
      </w:hyperlink>
      <w:r w:rsidRPr="00BC31FF">
        <w:rPr>
          <w:sz w:val="24"/>
          <w:lang w:val="cs-CZ"/>
        </w:rPr>
        <w:t>).</w:t>
      </w:r>
    </w:p>
    <w:p w:rsidR="006406D0" w:rsidRPr="00BC31FF" w:rsidP="00BC31FF" w14:paraId="0D04632E" w14:textId="4026259C">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 xml:space="preserve">Usnesení Evropského parlamentu ze dne 16. prosince 2025 o návrhu prováděcího rozhodnutí Komise o povolení uvedení produktů, které obsahují geneticky modifikovanou řepu cukrovku KWS20-1, sestávají z ní nebo jsou z ní vyrobeny, na trh podle nařízení Evropského parlamentu a Rady (ES) č. </w:t>
      </w:r>
      <w:r w:rsidR="00330263">
        <w:rPr>
          <w:sz w:val="24"/>
          <w:lang w:val="cs-CZ"/>
        </w:rPr>
        <w:t>1</w:t>
      </w:r>
      <w:r w:rsidRPr="00BC31FF">
        <w:rPr>
          <w:sz w:val="24"/>
          <w:lang w:val="cs-CZ"/>
        </w:rPr>
        <w:t>829/2003 (Úř. věst. C, C/2026/2151, 6.5.2026, ELI: </w:t>
      </w:r>
      <w:hyperlink r:id="rId23" w:history="1">
        <w:r w:rsidRPr="00BC31FF">
          <w:rPr>
            <w:rStyle w:val="Hyperlink"/>
            <w:sz w:val="24"/>
            <w:lang w:val="cs-CZ"/>
          </w:rPr>
          <w:t>http://data.</w:t>
        </w:r>
        <w:r w:rsidRPr="00BC31FF">
          <w:rPr>
            <w:rStyle w:val="Hyperlink"/>
            <w:sz w:val="24"/>
            <w:lang w:val="cs-CZ"/>
          </w:rPr>
          <w:t>e</w:t>
        </w:r>
        <w:r w:rsidRPr="00BC31FF">
          <w:rPr>
            <w:rStyle w:val="Hyperlink"/>
            <w:sz w:val="24"/>
            <w:lang w:val="cs-CZ"/>
          </w:rPr>
          <w:t>uropa.eu/eli/C/2026/2151/oj</w:t>
        </w:r>
      </w:hyperlink>
      <w:r w:rsidRPr="00BC31FF">
        <w:rPr>
          <w:sz w:val="24"/>
          <w:lang w:val="cs-CZ"/>
        </w:rPr>
        <w:t>).</w:t>
      </w:r>
    </w:p>
    <w:p w:rsidR="006406D0" w:rsidRPr="00BC31FF" w:rsidP="00BC31FF" w14:paraId="7C5DA3DD" w14:textId="0423EE0B">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11. února 2026 o návrhu prováděcího rozhodnutí Komise o povolení uvedení produktů, které obsahují geneticky modifikovanou sóju DBN-09004-6, sestávají z ní nebo jsou z ní vyrobeny, na trh podle nařízení Evropského parlamentu a Rady (ES) č. 1829/2003 (Přijaté texty, P10_TA(2026)0041).</w:t>
      </w:r>
    </w:p>
    <w:p w:rsidR="006406D0" w:rsidRPr="00BC31FF" w:rsidP="00BC31FF" w14:paraId="2F64526B" w14:textId="716FDEC1">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11. února 2026 o návrhu prováděcího rozhodnutí Komise, kterým se obnovuje povolení uvedení produktů, které obsahují geneticky modifikovanou kukuřici T25 (ACS-ZMØØ3-2), sestávají z ní nebo jsou z ní vyrobeny, na trh podle nařízení Evropského parlamentu a Rady (ES) č. 1829/2003 (Přijaté texty, P10_TA(2026)0042).</w:t>
      </w:r>
    </w:p>
    <w:p w:rsidR="006406D0" w:rsidRPr="00BC31FF" w:rsidP="00BC31FF" w14:paraId="36BA9389" w14:textId="6BC18C3E">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11. února 2026 o návrhu prováděcího rozhodnutí Komise, kterým se obnovuje povolení uvedení produktů, které obsahují geneticky modifikovanou bavlnu GHB614 × LLCotton25, sestávají z ní nebo jsou z ní vyrobeny, na trh podle nařízení Evropského parlamentu a Rady (ES) č. 1829/2003 (Přijaté texty, P10_TA(2026)0043).</w:t>
      </w:r>
    </w:p>
    <w:p w:rsidR="006406D0" w:rsidRPr="00BC31FF" w:rsidP="00BC31FF" w14:paraId="2EBABF3E" w14:textId="7B2E29B8">
      <w:pPr>
        <w:pStyle w:val="FootnoteText"/>
        <w:ind w:left="567" w:hanging="567"/>
        <w:rPr>
          <w:sz w:val="24"/>
          <w:vertAlign w:val="superscript"/>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11. února 2026 o návrhu prováděcího rozhodnutí Komise, kterým se obnovuje povolení uvedení produktů, které obsahují geneticky modifikovanou bavlnu T304-40, sestávají z ní nebo jsou z ní vyrobeny, na trh podle nařízení Evropského parlamentu a Rady (ES) č. 1829/2003 (Přijaté texty, P10_TA(2026)0044).</w:t>
      </w:r>
    </w:p>
    <w:p w:rsidR="006406D0" w:rsidRPr="00BC31FF" w:rsidP="00BC31FF" w14:paraId="4D478A82" w14:textId="35037A25">
      <w:pPr>
        <w:pStyle w:val="FootnoteText"/>
        <w:ind w:left="567" w:hanging="567"/>
        <w:rPr>
          <w:sz w:val="24"/>
          <w:lang w:val="cs-CZ"/>
        </w:rPr>
      </w:pPr>
      <w:r w:rsidRPr="00BC31FF">
        <w:rPr>
          <w:sz w:val="24"/>
          <w:lang w:val="cs-CZ"/>
        </w:rPr>
        <w:t xml:space="preserve"> </w:t>
      </w:r>
      <w:r w:rsidRPr="00BC31FF">
        <w:rPr>
          <w:sz w:val="24"/>
          <w:lang w:val="cs-CZ"/>
        </w:rPr>
        <w:tab/>
      </w:r>
      <w:r w:rsidRPr="00BC31FF">
        <w:rPr>
          <w:sz w:val="24"/>
          <w:lang w:val="cs-CZ"/>
        </w:rPr>
        <w:t>–</w:t>
      </w:r>
      <w:r w:rsidRPr="00BC31FF">
        <w:rPr>
          <w:sz w:val="24"/>
          <w:lang w:val="cs-CZ"/>
        </w:rPr>
        <w:tab/>
        <w:t>Usnesení Evropského parlamentu ze dne 29. dubna 2026 o návrhu prováděcího rozhodnutí Komise o povolení uvedení produktů, které obsahují geneticky modifikovanou sóju MON 94637, sestávají z ní nebo jsou z ní vyrobeny, na trh podle nařízení Evropského parlamentu a Rady (ES) č. 1829/2003 (Přijaté texty, P10_TA(2026)0150).</w:t>
      </w:r>
    </w:p>
  </w:footnote>
  <w:footnote w:id="7">
    <w:p w:rsidR="006406D0" w:rsidRPr="00BC31FF" w:rsidP="00BC31FF" w14:paraId="4C998706" w14:textId="5A12ADE6">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001D6CF0">
        <w:rPr>
          <w:sz w:val="24"/>
          <w:lang w:val="cs-CZ"/>
        </w:rPr>
        <w:t>Vědecké s</w:t>
      </w:r>
      <w:r w:rsidRPr="00BC31FF">
        <w:rPr>
          <w:sz w:val="24"/>
          <w:lang w:val="cs-CZ"/>
        </w:rPr>
        <w:t xml:space="preserve">tanovisko EFSA, </w:t>
      </w:r>
      <w:hyperlink r:id="rId4" w:history="1">
        <w:r w:rsidRPr="00BC31FF">
          <w:rPr>
            <w:rStyle w:val="Hyperlink"/>
            <w:sz w:val="24"/>
            <w:lang w:val="cs-CZ"/>
          </w:rPr>
          <w:t>https://doi.org/10.2903/j.efsa.2025.9746</w:t>
        </w:r>
      </w:hyperlink>
      <w:r w:rsidRPr="00BC31FF">
        <w:rPr>
          <w:sz w:val="24"/>
          <w:lang w:val="cs-CZ"/>
        </w:rPr>
        <w:t>, s. 7.</w:t>
      </w:r>
    </w:p>
  </w:footnote>
  <w:footnote w:id="8">
    <w:p w:rsidR="006406D0" w:rsidRPr="00BC31FF" w:rsidP="00BC31FF" w14:paraId="38DDDD4D" w14:textId="13B310DE">
      <w:pPr>
        <w:pStyle w:val="FootnoteText"/>
        <w:ind w:left="567" w:hanging="567"/>
        <w:rPr>
          <w:sz w:val="24"/>
          <w:lang w:val="cs-CZ"/>
        </w:rPr>
      </w:pPr>
      <w:r w:rsidRPr="00BC31FF">
        <w:rPr>
          <w:rStyle w:val="FootnoteReference"/>
          <w:sz w:val="24"/>
          <w:szCs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 xml:space="preserve">Viz například Bonny, S., „Genetically Modified Herbicide-Tolerant Crops, Weeds, and Herbicides: Overview and Impact“ (Geneticky modifikované plodiny odolné vůči herbicidům, plevel a herbicidy: přehled a vliv), </w:t>
      </w:r>
      <w:r w:rsidRPr="00BC31FF">
        <w:rPr>
          <w:i/>
          <w:iCs/>
          <w:sz w:val="24"/>
          <w:shd w:val="clear" w:color="auto" w:fill="FFFFFF"/>
          <w:lang w:val="cs-CZ"/>
        </w:rPr>
        <w:t>Environmental Management</w:t>
      </w:r>
      <w:r w:rsidRPr="00BC31FF">
        <w:rPr>
          <w:sz w:val="24"/>
          <w:shd w:val="clear" w:color="auto" w:fill="FFFFFF"/>
          <w:lang w:val="cs-CZ"/>
        </w:rPr>
        <w:t xml:space="preserve">, leden 2016, 57(1), s. 31–48, </w:t>
      </w:r>
      <w:hyperlink r:id="rId24" w:history="1">
        <w:r w:rsidRPr="00BC31FF">
          <w:rPr>
            <w:rStyle w:val="Hyperlink"/>
            <w:sz w:val="24"/>
            <w:shd w:val="clear" w:color="auto" w:fill="FFFFFF"/>
            <w:lang w:val="cs-CZ"/>
          </w:rPr>
          <w:t>https://doi.org/10.1007/s00267-015-0589-7</w:t>
        </w:r>
      </w:hyperlink>
      <w:r w:rsidRPr="00BC31FF">
        <w:rPr>
          <w:sz w:val="24"/>
          <w:shd w:val="clear" w:color="auto" w:fill="FFFFFF"/>
          <w:lang w:val="cs-CZ"/>
        </w:rPr>
        <w:t xml:space="preserve"> a Benbrook, C.M., „Impacts of genetically engineered crops on pesticide use in the U.S. – the first sixteen years“ (Vlivy geneticky upravených plodin na používání pesticidů v USA – prvních šestnáct let), </w:t>
      </w:r>
      <w:r w:rsidRPr="00BC31FF">
        <w:rPr>
          <w:i/>
          <w:iCs/>
          <w:sz w:val="24"/>
          <w:shd w:val="clear" w:color="auto" w:fill="FFFFFF"/>
          <w:lang w:val="cs-CZ"/>
        </w:rPr>
        <w:t>Environmental Sciences Europe</w:t>
      </w:r>
      <w:r w:rsidRPr="00BC31FF">
        <w:rPr>
          <w:sz w:val="24"/>
          <w:shd w:val="clear" w:color="auto" w:fill="FFFFFF"/>
          <w:lang w:val="cs-CZ"/>
        </w:rPr>
        <w:t xml:space="preserve">, 28. září 2012, sv. 24(1), </w:t>
      </w:r>
      <w:hyperlink r:id="rId25" w:history="1">
        <w:r w:rsidRPr="00BC31FF">
          <w:rPr>
            <w:rStyle w:val="Hyperlink"/>
            <w:sz w:val="24"/>
            <w:lang w:val="cs-CZ"/>
          </w:rPr>
          <w:t>https://doi.org/10.1186/2190-4715-24-24</w:t>
        </w:r>
      </w:hyperlink>
      <w:r w:rsidRPr="00BC31FF">
        <w:rPr>
          <w:sz w:val="24"/>
          <w:lang w:val="cs-CZ"/>
        </w:rPr>
        <w:t>.</w:t>
      </w:r>
    </w:p>
  </w:footnote>
  <w:footnote w:id="9">
    <w:p w:rsidR="006406D0" w:rsidRPr="00BC31FF" w:rsidP="00BC31FF" w14:paraId="327FB0EF" w14:textId="68106464">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Nařízení Evropského parlamentu a Rady (ES) č. 1107/2009 ze dne 21. října 2009 o uvádění přípravků na ochranu rostlin na trh a o zrušení směrnic Rady 79/117/EHS a 91/414/EHS (Úř. věst. L 309, 24.11.2009, s. 1, ELI: </w:t>
      </w:r>
      <w:hyperlink r:id="rId26" w:tooltip="Umožňuje přístup k dokumentu prostřednictvím identifikátoru ELI URI." w:history="1">
        <w:r w:rsidRPr="00BC31FF">
          <w:rPr>
            <w:rStyle w:val="Hyperlink"/>
            <w:sz w:val="24"/>
            <w:lang w:val="cs-CZ"/>
          </w:rPr>
          <w:t>http://data.europa.eu/eli/reg/2009/1107/oj</w:t>
        </w:r>
      </w:hyperlink>
      <w:r w:rsidRPr="00BC31FF">
        <w:rPr>
          <w:sz w:val="24"/>
          <w:lang w:val="cs-CZ"/>
        </w:rPr>
        <w:t>).</w:t>
      </w:r>
    </w:p>
  </w:footnote>
  <w:footnote w:id="10">
    <w:p w:rsidR="006406D0" w:rsidRPr="00BC31FF" w:rsidP="00BC31FF" w14:paraId="67B3921F" w14:textId="64A9F2C9">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hyperlink r:id="rId27" w:history="1">
        <w:r w:rsidRPr="001D6CF0" w:rsidR="001D6CF0">
          <w:rPr>
            <w:rStyle w:val="Hyperlink"/>
            <w:sz w:val="24"/>
            <w:lang w:val="cs-CZ"/>
          </w:rPr>
          <w:t>https://ec.europa.eu/food/plant/pesticides/eu-pesticides-database/start/screen/active-substances/details/79</w:t>
        </w:r>
      </w:hyperlink>
      <w:r w:rsidRPr="001D6CF0" w:rsidR="001D6CF0">
        <w:rPr>
          <w:sz w:val="24"/>
          <w:lang w:val="cs-CZ"/>
        </w:rPr>
        <w:t>.</w:t>
      </w:r>
    </w:p>
  </w:footnote>
  <w:footnote w:id="11">
    <w:p w:rsidR="006406D0" w:rsidRPr="00BC31FF" w:rsidP="00BC31FF" w14:paraId="6EF98C2C" w14:textId="52BBEB74">
      <w:pPr>
        <w:pStyle w:val="FootnoteText"/>
        <w:ind w:left="567" w:hanging="567"/>
        <w:rPr>
          <w:sz w:val="24"/>
          <w:lang w:val="cs-CZ"/>
        </w:rPr>
      </w:pPr>
      <w:r w:rsidRPr="00BC31FF">
        <w:rPr>
          <w:rStyle w:val="FootnoteReference"/>
          <w:sz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 xml:space="preserve">Viz například </w:t>
      </w:r>
      <w:hyperlink r:id="rId28" w:history="1">
        <w:r w:rsidRPr="00BC31FF">
          <w:rPr>
            <w:rStyle w:val="Hyperlink"/>
            <w:sz w:val="24"/>
            <w:lang w:val="cs-CZ"/>
          </w:rPr>
          <w:t>https://doi.org/10.1016/j.mrrev.2019.02.001</w:t>
        </w:r>
      </w:hyperlink>
      <w:r w:rsidRPr="00BC31FF">
        <w:rPr>
          <w:sz w:val="24"/>
          <w:lang w:val="cs-CZ"/>
        </w:rPr>
        <w:t xml:space="preserve">, </w:t>
      </w:r>
      <w:hyperlink r:id="rId29" w:history="1">
        <w:r w:rsidRPr="00BC31FF">
          <w:rPr>
            <w:rStyle w:val="Hyperlink"/>
            <w:sz w:val="24"/>
            <w:lang w:val="cs-CZ"/>
          </w:rPr>
          <w:t>https://doi.org/10.1093/ije/dyz017</w:t>
        </w:r>
      </w:hyperlink>
      <w:r w:rsidRPr="00BC31FF">
        <w:rPr>
          <w:sz w:val="24"/>
          <w:lang w:val="cs-CZ"/>
        </w:rPr>
        <w:t xml:space="preserve">, </w:t>
      </w:r>
      <w:hyperlink r:id="rId30" w:history="1">
        <w:r w:rsidRPr="00BC31FF">
          <w:rPr>
            <w:rStyle w:val="Hyperlink"/>
            <w:sz w:val="24"/>
            <w:lang w:val="cs-CZ"/>
          </w:rPr>
          <w:t>https://doi.org/10.1371/journal.pone.0219610</w:t>
        </w:r>
      </w:hyperlink>
      <w:r w:rsidRPr="00BC31FF">
        <w:rPr>
          <w:sz w:val="24"/>
          <w:lang w:val="cs-CZ"/>
        </w:rPr>
        <w:t xml:space="preserve"> a </w:t>
      </w:r>
      <w:hyperlink r:id="rId31" w:history="1">
        <w:r w:rsidRPr="00BC31FF">
          <w:rPr>
            <w:rStyle w:val="Hyperlink"/>
            <w:sz w:val="24"/>
            <w:lang w:val="cs-CZ"/>
          </w:rPr>
          <w:t>https://doi.org/10.1186/s13045-019-0767-9</w:t>
        </w:r>
      </w:hyperlink>
      <w:r w:rsidRPr="00BC31FF">
        <w:rPr>
          <w:sz w:val="24"/>
          <w:lang w:val="cs-CZ"/>
        </w:rPr>
        <w:t>.</w:t>
      </w:r>
    </w:p>
  </w:footnote>
  <w:footnote w:id="12">
    <w:p w:rsidR="006406D0" w:rsidRPr="00BC31FF" w:rsidP="00BC31FF" w14:paraId="768356D0" w14:textId="1C6BD1E1">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hyperlink r:id="rId32" w:tgtFrame="_blank" w:tooltip="Trvalý odkaz využívající digitální identifikátor objektu" w:history="1">
        <w:r w:rsidRPr="00BC31FF">
          <w:rPr>
            <w:rStyle w:val="Hyperlink"/>
            <w:sz w:val="24"/>
            <w:lang w:val="cs-CZ"/>
          </w:rPr>
          <w:t>https://doi.org/10.1006/rtph.1999.1371</w:t>
        </w:r>
      </w:hyperlink>
      <w:r w:rsidRPr="00BC31FF">
        <w:rPr>
          <w:sz w:val="24"/>
          <w:lang w:val="cs-CZ"/>
        </w:rPr>
        <w:t>.</w:t>
      </w:r>
    </w:p>
  </w:footnote>
  <w:footnote w:id="13">
    <w:p w:rsidR="006406D0" w:rsidRPr="00BC31FF" w:rsidP="00BC31FF" w14:paraId="27A659E2" w14:textId="3292E8C9">
      <w:pPr>
        <w:pStyle w:val="FootnoteText"/>
        <w:ind w:left="567" w:hanging="567"/>
        <w:rPr>
          <w:sz w:val="24"/>
          <w:lang w:val="cs-CZ"/>
        </w:rPr>
      </w:pPr>
      <w:r w:rsidRPr="00BC31FF">
        <w:rPr>
          <w:rStyle w:val="FootnoteReference"/>
          <w:sz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 xml:space="preserve">Lurquin, P.F., „Production of a toxic metabolite in 2, 4-D-resistant GM crop plants“ (Produkce toxického metabolitu v geneticky modifikovaných rostlinách odolných vůči 2,4-D), </w:t>
      </w:r>
      <w:r w:rsidRPr="00BC31FF">
        <w:rPr>
          <w:i/>
          <w:sz w:val="24"/>
          <w:shd w:val="clear" w:color="auto" w:fill="FFFFFF"/>
          <w:lang w:val="cs-CZ"/>
        </w:rPr>
        <w:t>3 Biotech</w:t>
      </w:r>
      <w:r w:rsidRPr="00BC31FF">
        <w:rPr>
          <w:sz w:val="24"/>
          <w:shd w:val="clear" w:color="auto" w:fill="FFFFFF"/>
          <w:lang w:val="cs-CZ"/>
        </w:rPr>
        <w:t xml:space="preserve"> 6, 82 (2016),</w:t>
      </w:r>
      <w:r w:rsidRPr="00BC31FF">
        <w:rPr>
          <w:sz w:val="24"/>
          <w:lang w:val="cs-CZ"/>
        </w:rPr>
        <w:t xml:space="preserve"> </w:t>
      </w:r>
      <w:hyperlink r:id="rId33" w:history="1">
        <w:r w:rsidRPr="00BC31FF">
          <w:rPr>
            <w:rStyle w:val="Hyperlink"/>
            <w:sz w:val="24"/>
            <w:shd w:val="clear" w:color="auto" w:fill="FCFCFC"/>
            <w:lang w:val="cs-CZ"/>
          </w:rPr>
          <w:t>https://doi.org/10.1007/s13205-016-0387-9</w:t>
        </w:r>
      </w:hyperlink>
    </w:p>
  </w:footnote>
  <w:footnote w:id="14">
    <w:p w:rsidR="006406D0" w:rsidRPr="00BC31FF" w:rsidP="00BC31FF" w14:paraId="33D2F15E" w14:textId="2B610C07">
      <w:pPr>
        <w:pStyle w:val="FootnoteText"/>
        <w:ind w:left="567" w:hanging="567"/>
        <w:rPr>
          <w:sz w:val="24"/>
          <w:szCs w:val="24"/>
          <w:lang w:val="cs-CZ"/>
        </w:rPr>
      </w:pPr>
      <w:r w:rsidRPr="00BC31FF">
        <w:rPr>
          <w:rStyle w:val="FootnoteReference"/>
          <w:sz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 xml:space="preserve">To je skutečně případ glyfosátu, jak je uvedeno v odůvodněném stanovisku EFSA nazvaném „Review of the existing maximum residue levels for glyphosate according to Article 12 of Regulation (EC) No 396/2005“ (Přezkum stávajících maximálních limitů reziduí pro glyfosát podle článku 12 nařízení (ES) č. 396/2005), </w:t>
      </w:r>
      <w:r w:rsidRPr="00BC31FF">
        <w:rPr>
          <w:i/>
          <w:iCs/>
          <w:sz w:val="24"/>
          <w:shd w:val="clear" w:color="auto" w:fill="FFFFFF"/>
          <w:lang w:val="cs-CZ"/>
        </w:rPr>
        <w:t>EFSA Journal</w:t>
      </w:r>
      <w:r w:rsidRPr="00BC31FF">
        <w:rPr>
          <w:sz w:val="24"/>
          <w:shd w:val="clear" w:color="auto" w:fill="FFFFFF"/>
          <w:lang w:val="cs-CZ"/>
        </w:rPr>
        <w:t xml:space="preserve"> 2018, 16(5):e5263, s. 12, </w:t>
      </w:r>
      <w:hyperlink r:id="rId34" w:history="1">
        <w:r w:rsidRPr="00BC31FF">
          <w:rPr>
            <w:rStyle w:val="Hyperlink"/>
            <w:sz w:val="24"/>
            <w:lang w:val="cs-CZ"/>
          </w:rPr>
          <w:t>https://doi.org/10.2903/j.efsa.2018.5263</w:t>
        </w:r>
      </w:hyperlink>
      <w:r w:rsidRPr="00BC31FF">
        <w:rPr>
          <w:sz w:val="24"/>
          <w:lang w:val="cs-CZ"/>
        </w:rPr>
        <w:t>.</w:t>
      </w:r>
    </w:p>
  </w:footnote>
  <w:footnote w:id="15">
    <w:p w:rsidR="006406D0" w:rsidRPr="00BC31FF" w:rsidP="00BC31FF" w14:paraId="3E827AD1" w14:textId="2809FEE5">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 xml:space="preserve">Úř. věst. L 282, 19.10.2016, s. 4. </w:t>
      </w:r>
    </w:p>
  </w:footnote>
  <w:footnote w:id="16">
    <w:p w:rsidR="006406D0" w:rsidRPr="00BC31FF" w:rsidP="00BC31FF" w14:paraId="2EAE6B55" w14:textId="4DEB51D6">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Úř. věst. L 309, 13.12.1993, s. 3, ELI: </w:t>
      </w:r>
      <w:hyperlink r:id="rId35" w:tooltip="Umožňuje přístup k dokumentu prostřednictvím identifikátoru ELI URI." w:history="1">
        <w:r w:rsidRPr="00BC31FF">
          <w:rPr>
            <w:rStyle w:val="Hyperlink"/>
            <w:sz w:val="24"/>
            <w:lang w:val="cs-CZ"/>
          </w:rPr>
          <w:t>http://data.europa.eu/eli/convention/1993/626/oj</w:t>
        </w:r>
      </w:hyperlink>
      <w:r w:rsidRPr="00BC31FF">
        <w:rPr>
          <w:sz w:val="24"/>
          <w:lang w:val="cs-CZ"/>
        </w:rPr>
        <w:t>.</w:t>
      </w:r>
    </w:p>
  </w:footnote>
  <w:footnote w:id="17">
    <w:p w:rsidR="006406D0" w:rsidRPr="00BC31FF" w:rsidP="00BC31FF" w14:paraId="745879B0" w14:textId="6FAD1F7D">
      <w:pPr>
        <w:pStyle w:val="FootnoteText"/>
        <w:ind w:left="567" w:hanging="567"/>
        <w:rPr>
          <w:sz w:val="24"/>
          <w:lang w:val="cs-CZ"/>
        </w:rPr>
      </w:pPr>
      <w:r w:rsidRPr="00BC31FF">
        <w:rPr>
          <w:rStyle w:val="FootnoteReference"/>
          <w:sz w:val="24"/>
          <w:lang w:val="cs-CZ"/>
        </w:rPr>
        <w:footnoteRef/>
      </w:r>
      <w:r w:rsidRPr="00BC31FF" w:rsidR="00BC31FF">
        <w:rPr>
          <w:color w:val="000000" w:themeColor="text1"/>
          <w:sz w:val="24"/>
          <w:lang w:val="cs-CZ"/>
        </w:rPr>
        <w:t xml:space="preserve"> </w:t>
      </w:r>
      <w:r w:rsidRPr="00BC31FF" w:rsidR="00BC31FF">
        <w:rPr>
          <w:color w:val="000000" w:themeColor="text1"/>
          <w:sz w:val="24"/>
          <w:lang w:val="cs-CZ"/>
        </w:rPr>
        <w:tab/>
      </w:r>
      <w:r w:rsidRPr="00BC31FF">
        <w:rPr>
          <w:color w:val="000000" w:themeColor="text1"/>
          <w:sz w:val="24"/>
          <w:lang w:val="cs-CZ"/>
        </w:rPr>
        <w:t>V prosinci 2022 byl na konferenci COP15 Úmluvy OSN o biologické rozmanitosti dohodnut celosvětový rámec pro biologickou rozmanitost, který obsahuje celosvětový cíl snížit do roku 2030 rizika spojená s pesticidy alespoň o 50 %</w:t>
      </w:r>
      <w:r w:rsidRPr="00BC31FF">
        <w:rPr>
          <w:sz w:val="24"/>
          <w:lang w:val="cs-CZ"/>
        </w:rPr>
        <w:t xml:space="preserve"> </w:t>
      </w:r>
      <w:r w:rsidRPr="00BC31FF">
        <w:rPr>
          <w:color w:val="000000" w:themeColor="text1"/>
          <w:sz w:val="24"/>
          <w:lang w:val="cs-CZ"/>
        </w:rPr>
        <w:t xml:space="preserve">(viz: </w:t>
      </w:r>
      <w:hyperlink r:id="rId36" w:history="1">
        <w:r w:rsidRPr="00BC31FF">
          <w:rPr>
            <w:rStyle w:val="Hyperlink"/>
            <w:sz w:val="24"/>
            <w:lang w:val="cs-CZ"/>
          </w:rPr>
          <w:t>https://ec.europa.eu/commission/presscorner/detail/en/ip_22_7834</w:t>
        </w:r>
      </w:hyperlink>
      <w:r w:rsidRPr="00BC31FF">
        <w:rPr>
          <w:sz w:val="24"/>
          <w:lang w:val="cs-CZ"/>
        </w:rPr>
        <w:t xml:space="preserve">). </w:t>
      </w:r>
    </w:p>
  </w:footnote>
  <w:footnote w:id="18">
    <w:p w:rsidR="006406D0" w:rsidRPr="00BC31FF" w:rsidP="00BC31FF" w14:paraId="01413EAA" w14:textId="4999F1AA">
      <w:pPr>
        <w:pStyle w:val="FootnoteText"/>
        <w:ind w:left="567" w:hanging="567"/>
        <w:rPr>
          <w:sz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hyperlink r:id="rId37" w:history="1">
        <w:r w:rsidRPr="00BC31FF">
          <w:rPr>
            <w:rStyle w:val="Hyperlink"/>
            <w:sz w:val="24"/>
            <w:lang w:val="cs-CZ"/>
          </w:rPr>
          <w:t>https://commission.europa.eu/strategy-and-policy/priorities-2019-2024/european-green-deal/agriculture-and-green-deal/strategic-dialogue-future-eu-agriculture_cs</w:t>
        </w:r>
      </w:hyperlink>
      <w:r w:rsidRPr="00BC31FF">
        <w:rPr>
          <w:rStyle w:val="Hyperlink"/>
          <w:sz w:val="24"/>
          <w:lang w:val="cs-CZ"/>
        </w:rPr>
        <w:t>.</w:t>
      </w:r>
      <w:r w:rsidRPr="00BC31FF">
        <w:rPr>
          <w:sz w:val="24"/>
          <w:lang w:val="cs-CZ"/>
        </w:rPr>
        <w:t xml:space="preserve"> </w:t>
      </w:r>
    </w:p>
  </w:footnote>
  <w:footnote w:id="19">
    <w:p w:rsidR="006406D0" w:rsidRPr="00BC31FF" w:rsidP="00BC31FF" w14:paraId="3F0DBE9F" w14:textId="675588F4">
      <w:pPr>
        <w:pStyle w:val="FootnoteText"/>
        <w:ind w:left="567" w:hanging="567"/>
        <w:rPr>
          <w:sz w:val="24"/>
          <w:szCs w:val="24"/>
          <w:lang w:val="cs-CZ"/>
        </w:rPr>
      </w:pPr>
      <w:r w:rsidRPr="00BC31FF">
        <w:rPr>
          <w:rStyle w:val="FootnoteReference"/>
          <w:sz w:val="24"/>
          <w:lang w:val="cs-CZ"/>
        </w:rPr>
        <w:footnoteRef/>
      </w:r>
      <w:r w:rsidRPr="00BC31FF" w:rsidR="00BC31FF">
        <w:rPr>
          <w:sz w:val="24"/>
          <w:lang w:val="cs-CZ"/>
        </w:rPr>
        <w:t xml:space="preserve"> </w:t>
      </w:r>
      <w:r w:rsidRPr="00BC31FF" w:rsidR="00BC31FF">
        <w:rPr>
          <w:sz w:val="24"/>
          <w:lang w:val="cs-CZ"/>
        </w:rPr>
        <w:tab/>
      </w:r>
      <w:r w:rsidRPr="00BC31FF">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(Úř. věst. L 31, 1.2.2002, s. 1, ELI: </w:t>
      </w:r>
      <w:hyperlink r:id="rId38" w:tooltip="Umožňuje přístup k dokumentu prostřednictvím identifikátoru ELI URI." w:history="1">
        <w:r w:rsidRPr="00BC31FF">
          <w:rPr>
            <w:rStyle w:val="Hyperlink"/>
            <w:sz w:val="24"/>
            <w:lang w:val="cs-CZ"/>
          </w:rPr>
          <w:t>http://data.europa.eu/eli/reg/2002/178/oj</w:t>
        </w:r>
      </w:hyperlink>
      <w:r w:rsidRPr="00BC31FF">
        <w:rPr>
          <w:sz w:val="24"/>
          <w:lang w:val="cs-CZ"/>
        </w:rPr>
        <w:t>).</w:t>
      </w:r>
    </w:p>
  </w:footnote>
  <w:footnote w:id="20">
    <w:p w:rsidR="006406D0" w:rsidRPr="00BC31FF" w:rsidP="00BC31FF" w14:paraId="0D56C2D1" w14:textId="5B4221EF">
      <w:pPr>
        <w:pStyle w:val="FootnoteText"/>
        <w:ind w:left="567" w:hanging="567"/>
        <w:rPr>
          <w:sz w:val="24"/>
          <w:szCs w:val="24"/>
          <w:lang w:val="cs-CZ"/>
        </w:rPr>
      </w:pPr>
      <w:r w:rsidRPr="00BC31FF">
        <w:rPr>
          <w:rStyle w:val="FootnoteReference"/>
          <w:sz w:val="24"/>
          <w:szCs w:val="24"/>
          <w:lang w:val="cs-CZ"/>
        </w:rPr>
        <w:footnoteRef/>
      </w:r>
      <w:r w:rsidRPr="00BC31FF" w:rsidR="00BC31FF">
        <w:rPr>
          <w:sz w:val="24"/>
          <w:lang w:val="cs-CZ"/>
        </w:rPr>
        <w:t xml:space="preserve"> </w:t>
      </w:r>
      <w:r w:rsidRPr="00BC31FF" w:rsidR="00BC31FF">
        <w:rPr>
          <w:sz w:val="24"/>
          <w:lang w:val="cs-CZ"/>
        </w:rPr>
        <w:tab/>
      </w:r>
      <w:hyperlink r:id="rId39" w:history="1">
        <w:r w:rsidRPr="00BC31FF">
          <w:rPr>
            <w:rStyle w:val="Hyperlink"/>
            <w:sz w:val="24"/>
            <w:shd w:val="clear" w:color="auto" w:fill="FFFFFF"/>
            <w:lang w:val="cs-CZ"/>
          </w:rPr>
          <w:t>https://tillymetz.lu/wp-content/uploads/2020/09/Co-signed-letter-MEP-Metz.pdf</w:t>
        </w:r>
      </w:hyperlink>
      <w:r w:rsidRPr="00BC31FF">
        <w:rPr>
          <w:sz w:val="24"/>
          <w:lang w:val="cs-CZ"/>
        </w:rPr>
        <w:t>.</w:t>
      </w:r>
      <w:r w:rsidRPr="00BC31FF">
        <w:rPr>
          <w:sz w:val="24"/>
          <w:shd w:val="clear" w:color="auto" w:fill="FFFFFF"/>
          <w:lang w:val="cs-CZ"/>
        </w:rPr>
        <w:t xml:space="preserve"> </w:t>
      </w:r>
    </w:p>
  </w:footnote>
  <w:footnote w:id="21">
    <w:p w:rsidR="006406D0" w:rsidRPr="00BC31FF" w:rsidP="00BC31FF" w14:paraId="547C7DD4" w14:textId="2DF227BA">
      <w:pPr>
        <w:pStyle w:val="FootnoteText"/>
        <w:ind w:left="567" w:hanging="567"/>
        <w:rPr>
          <w:sz w:val="24"/>
          <w:lang w:val="cs-CZ"/>
        </w:rPr>
      </w:pPr>
      <w:r w:rsidRPr="00BC31FF">
        <w:rPr>
          <w:rStyle w:val="FootnoteReference"/>
          <w:sz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 xml:space="preserve">Usnesení Evropského parlamentu ze dne 15. ledna 2020 o </w:t>
      </w:r>
      <w:r w:rsidRPr="00BC31FF">
        <w:rPr>
          <w:sz w:val="24"/>
          <w:shd w:val="clear" w:color="auto" w:fill="FFFFFF"/>
          <w:lang w:val="cs-CZ"/>
        </w:rPr>
        <w:t>Zelené</w:t>
      </w:r>
      <w:r w:rsidRPr="00BC31FF">
        <w:rPr>
          <w:sz w:val="24"/>
          <w:shd w:val="clear" w:color="auto" w:fill="FFFFFF"/>
          <w:lang w:val="cs-CZ"/>
        </w:rPr>
        <w:t xml:space="preserve"> dohodě pro Evropu (Úř. věst. C 270, 7.7.2021, s. 2), bod 102.</w:t>
      </w:r>
    </w:p>
  </w:footnote>
  <w:footnote w:id="22">
    <w:p w:rsidR="006406D0" w:rsidRPr="00BC31FF" w:rsidP="00BC31FF" w14:paraId="46F406CE" w14:textId="69959121">
      <w:pPr>
        <w:pStyle w:val="FootnoteText"/>
        <w:ind w:left="567" w:hanging="567"/>
        <w:rPr>
          <w:sz w:val="24"/>
          <w:szCs w:val="24"/>
          <w:lang w:val="cs-CZ"/>
        </w:rPr>
      </w:pPr>
      <w:r w:rsidRPr="00BC31FF">
        <w:rPr>
          <w:rStyle w:val="FootnoteReference"/>
          <w:sz w:val="24"/>
          <w:lang w:val="cs-CZ"/>
        </w:rPr>
        <w:footnoteRef/>
      </w:r>
      <w:r w:rsidRPr="00BC31FF" w:rsidR="00BC31FF">
        <w:rPr>
          <w:sz w:val="24"/>
          <w:shd w:val="clear" w:color="auto" w:fill="FFFFFF"/>
          <w:lang w:val="cs-CZ"/>
        </w:rPr>
        <w:t xml:space="preserve"> </w:t>
      </w:r>
      <w:r w:rsidRPr="00BC31FF" w:rsidR="00BC31FF">
        <w:rPr>
          <w:sz w:val="24"/>
          <w:shd w:val="clear" w:color="auto" w:fill="FFFFFF"/>
          <w:lang w:val="cs-CZ"/>
        </w:rPr>
        <w:tab/>
      </w:r>
      <w:r w:rsidRPr="00BC31FF">
        <w:rPr>
          <w:sz w:val="24"/>
          <w:shd w:val="clear" w:color="auto" w:fill="FFFFFF"/>
          <w:lang w:val="cs-CZ"/>
        </w:rPr>
        <w:t>Úř. věst. C 445,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332FE7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32B27DD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C31FF" w14:paraId="0C4C01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404067924">
    <w:abstractNumId w:val="9"/>
  </w:num>
  <w:num w:numId="2" w16cid:durableId="402721327">
    <w:abstractNumId w:val="9"/>
  </w:num>
  <w:num w:numId="3" w16cid:durableId="1493374697">
    <w:abstractNumId w:val="7"/>
  </w:num>
  <w:num w:numId="4" w16cid:durableId="661087943">
    <w:abstractNumId w:val="7"/>
  </w:num>
  <w:num w:numId="5" w16cid:durableId="1132602253">
    <w:abstractNumId w:val="6"/>
  </w:num>
  <w:num w:numId="6" w16cid:durableId="2070686680">
    <w:abstractNumId w:val="6"/>
  </w:num>
  <w:num w:numId="7" w16cid:durableId="1077554553">
    <w:abstractNumId w:val="5"/>
  </w:num>
  <w:num w:numId="8" w16cid:durableId="1031344347">
    <w:abstractNumId w:val="5"/>
  </w:num>
  <w:num w:numId="9" w16cid:durableId="65037523">
    <w:abstractNumId w:val="4"/>
  </w:num>
  <w:num w:numId="10" w16cid:durableId="1028947132">
    <w:abstractNumId w:val="4"/>
  </w:num>
  <w:num w:numId="11" w16cid:durableId="1357583229">
    <w:abstractNumId w:val="8"/>
  </w:num>
  <w:num w:numId="12" w16cid:durableId="1366636760">
    <w:abstractNumId w:val="8"/>
  </w:num>
  <w:num w:numId="13" w16cid:durableId="1951349336">
    <w:abstractNumId w:val="3"/>
  </w:num>
  <w:num w:numId="14" w16cid:durableId="239021946">
    <w:abstractNumId w:val="3"/>
  </w:num>
  <w:num w:numId="15" w16cid:durableId="1123575196">
    <w:abstractNumId w:val="2"/>
  </w:num>
  <w:num w:numId="16" w16cid:durableId="625165546">
    <w:abstractNumId w:val="2"/>
  </w:num>
  <w:num w:numId="17" w16cid:durableId="1201548145">
    <w:abstractNumId w:val="1"/>
  </w:num>
  <w:num w:numId="18" w16cid:durableId="1191457730">
    <w:abstractNumId w:val="1"/>
  </w:num>
  <w:num w:numId="19" w16cid:durableId="1088309055">
    <w:abstractNumId w:val="0"/>
  </w:num>
  <w:num w:numId="20" w16cid:durableId="2111077691">
    <w:abstractNumId w:val="0"/>
  </w:num>
  <w:num w:numId="21" w16cid:durableId="737748729">
    <w:abstractNumId w:val="9"/>
  </w:num>
  <w:num w:numId="22" w16cid:durableId="1424255822">
    <w:abstractNumId w:val="7"/>
  </w:num>
  <w:num w:numId="23" w16cid:durableId="168448569">
    <w:abstractNumId w:val="6"/>
  </w:num>
  <w:num w:numId="24" w16cid:durableId="164253204">
    <w:abstractNumId w:val="5"/>
  </w:num>
  <w:num w:numId="25" w16cid:durableId="1878657163">
    <w:abstractNumId w:val="4"/>
  </w:num>
  <w:num w:numId="26" w16cid:durableId="60375066">
    <w:abstractNumId w:val="8"/>
  </w:num>
  <w:num w:numId="27" w16cid:durableId="1127699065">
    <w:abstractNumId w:val="3"/>
  </w:num>
  <w:num w:numId="28" w16cid:durableId="346718137">
    <w:abstractNumId w:val="2"/>
  </w:num>
  <w:num w:numId="29" w16cid:durableId="1132165584">
    <w:abstractNumId w:val="1"/>
  </w:num>
  <w:num w:numId="30" w16cid:durableId="1030493222">
    <w:abstractNumId w:val="0"/>
  </w:num>
  <w:num w:numId="31" w16cid:durableId="1872575633">
    <w:abstractNumId w:val="9"/>
  </w:num>
  <w:num w:numId="32" w16cid:durableId="193926186">
    <w:abstractNumId w:val="7"/>
  </w:num>
  <w:num w:numId="33" w16cid:durableId="152916717">
    <w:abstractNumId w:val="6"/>
  </w:num>
  <w:num w:numId="34" w16cid:durableId="269364308">
    <w:abstractNumId w:val="5"/>
  </w:num>
  <w:num w:numId="35" w16cid:durableId="1131292143">
    <w:abstractNumId w:val="4"/>
  </w:num>
  <w:num w:numId="36" w16cid:durableId="2078016632">
    <w:abstractNumId w:val="8"/>
  </w:num>
  <w:num w:numId="37" w16cid:durableId="2044864088">
    <w:abstractNumId w:val="3"/>
  </w:num>
  <w:num w:numId="38" w16cid:durableId="1434011693">
    <w:abstractNumId w:val="2"/>
  </w:num>
  <w:num w:numId="39" w16cid:durableId="1341351690">
    <w:abstractNumId w:val="1"/>
  </w:num>
  <w:num w:numId="40" w16cid:durableId="1540583943">
    <w:abstractNumId w:val="0"/>
  </w:num>
  <w:num w:numId="41" w16cid:durableId="1982996108">
    <w:abstractNumId w:val="10"/>
  </w:num>
  <w:num w:numId="42" w16cid:durableId="311570422">
    <w:abstractNumId w:val="10"/>
  </w:num>
  <w:num w:numId="43" w16cid:durableId="665287643">
    <w:abstractNumId w:val="10"/>
  </w:num>
  <w:num w:numId="44" w16cid:durableId="248119821">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6D9"/>
    <w:rsid w:val="00002272"/>
    <w:rsid w:val="00015CB8"/>
    <w:rsid w:val="00064002"/>
    <w:rsid w:val="000677B9"/>
    <w:rsid w:val="000831BA"/>
    <w:rsid w:val="000A42CC"/>
    <w:rsid w:val="000E7DD9"/>
    <w:rsid w:val="0010095E"/>
    <w:rsid w:val="00125B37"/>
    <w:rsid w:val="00187494"/>
    <w:rsid w:val="001D6CF0"/>
    <w:rsid w:val="001F32AE"/>
    <w:rsid w:val="002767FF"/>
    <w:rsid w:val="002B18FE"/>
    <w:rsid w:val="002B5493"/>
    <w:rsid w:val="00330263"/>
    <w:rsid w:val="00343214"/>
    <w:rsid w:val="00361C00"/>
    <w:rsid w:val="00395FA1"/>
    <w:rsid w:val="003E15D4"/>
    <w:rsid w:val="00411CCE"/>
    <w:rsid w:val="0041666E"/>
    <w:rsid w:val="00421060"/>
    <w:rsid w:val="00471C19"/>
    <w:rsid w:val="004762F6"/>
    <w:rsid w:val="004867E3"/>
    <w:rsid w:val="00494A28"/>
    <w:rsid w:val="004C0004"/>
    <w:rsid w:val="004C5D52"/>
    <w:rsid w:val="004F4E33"/>
    <w:rsid w:val="0050519A"/>
    <w:rsid w:val="005072A1"/>
    <w:rsid w:val="00514517"/>
    <w:rsid w:val="00521E55"/>
    <w:rsid w:val="00545827"/>
    <w:rsid w:val="00560270"/>
    <w:rsid w:val="005C2568"/>
    <w:rsid w:val="005F1B17"/>
    <w:rsid w:val="006037C0"/>
    <w:rsid w:val="006406D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486"/>
    <w:rsid w:val="009509D8"/>
    <w:rsid w:val="00950B64"/>
    <w:rsid w:val="0096784A"/>
    <w:rsid w:val="00981893"/>
    <w:rsid w:val="00A1687D"/>
    <w:rsid w:val="00A43E52"/>
    <w:rsid w:val="00A4678D"/>
    <w:rsid w:val="00A778C7"/>
    <w:rsid w:val="00AB441E"/>
    <w:rsid w:val="00AB6293"/>
    <w:rsid w:val="00AE0928"/>
    <w:rsid w:val="00AF3B82"/>
    <w:rsid w:val="00B12E95"/>
    <w:rsid w:val="00B22876"/>
    <w:rsid w:val="00B558F0"/>
    <w:rsid w:val="00BC31FF"/>
    <w:rsid w:val="00BD48FE"/>
    <w:rsid w:val="00BD7BD8"/>
    <w:rsid w:val="00BE6ADC"/>
    <w:rsid w:val="00C05BFE"/>
    <w:rsid w:val="00C23CD4"/>
    <w:rsid w:val="00C61C0C"/>
    <w:rsid w:val="00C941CB"/>
    <w:rsid w:val="00CC2357"/>
    <w:rsid w:val="00CF071A"/>
    <w:rsid w:val="00D04AF6"/>
    <w:rsid w:val="00D058B8"/>
    <w:rsid w:val="00D126D9"/>
    <w:rsid w:val="00D56C11"/>
    <w:rsid w:val="00D834A0"/>
    <w:rsid w:val="00D872DF"/>
    <w:rsid w:val="00D91E21"/>
    <w:rsid w:val="00DA7FCD"/>
    <w:rsid w:val="00DD3B2F"/>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CS"/>
    <w:docVar w:name="dvnumam" w:val="0"/>
    <w:docVar w:name="dvpe" w:val="789.025"/>
    <w:docVar w:name="dvtitre" w:val="Usnesení Evropského parlamentu ze dne.... 2026 o návrhu prováděcího rozhodnutí Komise o povolení uvedení produktů, které obsahují geneticky modifikovanou kukuřici DP202216 x NK603 x DAS-40278-9 a její podkombinace DP202216 x NK603, DP202216 x DAS-40278-9, sestávají z nich nebo jsou z nich vyrobeny, na trh podle nařízení Evropského parlamentu a Rady (ES) č. 1829/2003(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4F9A05"/>
  <w15:chartTrackingRefBased/>
  <w15:docId w15:val="{1236FDA2-77C7-40E5-8434-5473F971C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6406D0"/>
    <w:pPr>
      <w:spacing w:after="240"/>
      <w:ind w:left="567" w:hanging="567"/>
    </w:pPr>
  </w:style>
  <w:style w:type="character" w:styleId="Hyperlink">
    <w:name w:val="Hyperlink"/>
    <w:basedOn w:val="DefaultParagraphFont"/>
    <w:uiPriority w:val="99"/>
    <w:rsid w:val="006406D0"/>
    <w:rPr>
      <w:color w:val="0563C1" w:themeColor="hyperlink"/>
      <w:u w:val="single"/>
    </w:rPr>
  </w:style>
  <w:style w:type="paragraph" w:customStyle="1" w:styleId="Considrant">
    <w:name w:val="Considérant"/>
    <w:basedOn w:val="Normal"/>
    <w:uiPriority w:val="99"/>
    <w:semiHidden/>
    <w:rsid w:val="006406D0"/>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6406D0"/>
    <w:rPr>
      <w:rFonts w:ascii="Times New Roman" w:hAnsi="Times New Roman" w:cs="Times New Roman" w:hint="default"/>
      <w:vertAlign w:val="superscript"/>
    </w:rPr>
  </w:style>
  <w:style w:type="paragraph" w:styleId="Revision">
    <w:name w:val="Revision"/>
    <w:hidden/>
    <w:uiPriority w:val="99"/>
    <w:semiHidden/>
    <w:rsid w:val="001D6CF0"/>
    <w:rPr>
      <w:sz w:val="24"/>
      <w:lang w:val="cs-CZ"/>
    </w:rPr>
  </w:style>
  <w:style w:type="character" w:styleId="UnresolvedMention">
    <w:name w:val="Unresolved Mention"/>
    <w:basedOn w:val="DefaultParagraphFont"/>
    <w:uiPriority w:val="99"/>
    <w:semiHidden/>
    <w:unhideWhenUsed/>
    <w:rsid w:val="001D6CF0"/>
    <w:rPr>
      <w:color w:val="605E5C"/>
      <w:shd w:val="clear" w:color="auto" w:fill="E1DFDD"/>
    </w:rPr>
  </w:style>
  <w:style w:type="character" w:styleId="FollowedHyperlink">
    <w:name w:val="FollowedHyperlink"/>
    <w:basedOn w:val="DefaultParagraphFont"/>
    <w:rsid w:val="003302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cs"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2161</Words>
  <Characters>12880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2026-08-19T09:13:00Z</dcterms:created>
  <dcterms:modified xsi:type="dcterms:W3CDTF">2026-08-19T09:13:00Z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B10-0336/2026</vt:lpwstr>
  </property>
  <property fmtid="{D5CDD505-2E9C-101B-9397-08002B2CF9AE}" pid="4" name="&lt;Type&gt;">
    <vt:lpwstr>RR</vt:lpwstr>
  </property>
</Properties>
</file>