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BBE1E42" w14:textId="77777777" w:rsidTr="0010095E">
        <w:tblPrEx>
          <w:tblW w:w="9072" w:type="dxa"/>
          <w:tblLook w:val="01E0"/>
        </w:tblPrEx>
        <w:trPr>
          <w:trHeight w:hRule="exact" w:val="1418"/>
        </w:trPr>
        <w:tc>
          <w:tcPr>
            <w:tcW w:w="6804" w:type="dxa"/>
            <w:shd w:val="clear" w:color="auto" w:fill="auto"/>
            <w:vAlign w:val="center"/>
          </w:tcPr>
          <w:p w:rsidR="00751A4A" w:rsidRPr="007B1ACC" w:rsidP="0010095E" w14:paraId="3681817D" w14:textId="77777777">
            <w:pPr>
              <w:pStyle w:val="EPName"/>
            </w:pPr>
            <w:r w:rsidRPr="007B1ACC">
              <w:t>Europa-Parlamentet</w:t>
            </w:r>
          </w:p>
          <w:p w:rsidR="00751A4A" w:rsidRPr="007B1ACC" w:rsidP="005F1B17" w14:paraId="21516524" w14:textId="77777777">
            <w:pPr>
              <w:pStyle w:val="EPTerm"/>
              <w:rPr>
                <w:rStyle w:val="HideTWBExt"/>
                <w:noProof w:val="0"/>
                <w:vanish w:val="0"/>
                <w:color w:val="auto"/>
              </w:rPr>
            </w:pPr>
            <w:r w:rsidRPr="007B1ACC">
              <w:t>2024</w:t>
            </w:r>
            <w:r w:rsidRPr="007B1ACC" w:rsidR="00817416">
              <w:t>-202</w:t>
            </w:r>
            <w:r w:rsidRPr="007B1ACC">
              <w:t>9</w:t>
            </w:r>
          </w:p>
        </w:tc>
        <w:tc>
          <w:tcPr>
            <w:tcW w:w="2268" w:type="dxa"/>
            <w:shd w:val="clear" w:color="auto" w:fill="auto"/>
          </w:tcPr>
          <w:p w:rsidR="00751A4A" w:rsidRPr="007B1ACC" w:rsidP="0010095E" w14:paraId="4AA1C98E" w14:textId="77777777">
            <w:pPr>
              <w:pStyle w:val="EPLogo"/>
            </w:pPr>
            <w:r w:rsidRPr="007B1AC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B1ACC" w:rsidP="004C5D52" w14:paraId="079BA35F" w14:textId="77777777">
      <w:pPr>
        <w:pStyle w:val="LineTop"/>
      </w:pPr>
    </w:p>
    <w:p w:rsidR="00680577" w:rsidRPr="007B1ACC" w:rsidP="00680577" w14:paraId="78D71B5F" w14:textId="77777777">
      <w:pPr>
        <w:pStyle w:val="EPBodyTA1"/>
      </w:pPr>
      <w:r w:rsidRPr="007B1ACC">
        <w:t>VEDTAGNE TEKSTER</w:t>
      </w:r>
    </w:p>
    <w:p w:rsidR="00D058B8" w:rsidRPr="007B1ACC" w:rsidP="00D058B8" w14:paraId="6F41FDA0" w14:textId="77777777">
      <w:pPr>
        <w:pStyle w:val="LineBottom"/>
      </w:pPr>
    </w:p>
    <w:p w:rsidR="004C1FC6" w:rsidRPr="00AD6CD2" w:rsidP="004C1FC6" w14:paraId="51ABD58A" w14:textId="0B7CCC8A">
      <w:pPr>
        <w:pStyle w:val="ATHeading1"/>
      </w:pPr>
      <w:bookmarkStart w:id="0" w:name="TANumber"/>
      <w:r w:rsidRPr="00AD6CD2">
        <w:t>P10_TA(2026)0</w:t>
      </w:r>
      <w:r w:rsidR="00E80DC9">
        <w:t>265</w:t>
      </w:r>
      <w:bookmarkEnd w:id="0"/>
    </w:p>
    <w:p w:rsidR="004C1FC6" w:rsidRPr="00AD6CD2" w:rsidP="004C1FC6" w14:paraId="482BF70F" w14:textId="65731576">
      <w:pPr>
        <w:pStyle w:val="ATHeading2"/>
      </w:pPr>
      <w:bookmarkStart w:id="1" w:name="title"/>
      <w:r w:rsidRPr="00AD6CD2">
        <w:t>G</w:t>
      </w:r>
      <w:r w:rsidRPr="00AD6CD2">
        <w:t>enetisk modificeret DP202216 x NK603 x DAS-40278-9-majs og dens underkombinationer DP202216 x NK603, DP202216 x DAS-40278-9</w:t>
      </w:r>
      <w:bookmarkEnd w:id="1"/>
    </w:p>
    <w:p w:rsidR="004C1FC6" w:rsidRPr="007B1ACC" w:rsidP="004C1FC6" w14:paraId="59B1D1D0" w14:textId="77777777">
      <w:pPr>
        <w:rPr>
          <w:i/>
          <w:vanish/>
        </w:rPr>
      </w:pPr>
      <w:r>
        <w:rPr>
          <w:i/>
        </w:rPr>
        <w:fldChar w:fldCharType="begin"/>
      </w:r>
      <w:r w:rsidRPr="007B1ACC">
        <w:rPr>
          <w:i/>
        </w:rPr>
        <w:instrText xml:space="preserve"> TC"(</w:instrText>
      </w:r>
      <w:bookmarkStart w:id="2" w:name="DocNumber"/>
      <w:r w:rsidRPr="007B1ACC">
        <w:rPr>
          <w:i/>
        </w:rPr>
        <w:instrText>B10-0336/2026</w:instrText>
      </w:r>
      <w:bookmarkEnd w:id="2"/>
      <w:r w:rsidRPr="007B1ACC">
        <w:rPr>
          <w:i/>
        </w:rPr>
        <w:instrText xml:space="preserve">)"\l3 \n&gt; \* MERGEFORMAT </w:instrText>
      </w:r>
      <w:r>
        <w:rPr>
          <w:i/>
        </w:rPr>
        <w:fldChar w:fldCharType="end"/>
      </w:r>
    </w:p>
    <w:p w:rsidR="004C1FC6" w:rsidRPr="007B1ACC" w:rsidP="004C1FC6" w14:paraId="15CB10D3" w14:textId="77777777">
      <w:pPr>
        <w:rPr>
          <w:vanish/>
        </w:rPr>
      </w:pPr>
      <w:bookmarkStart w:id="3" w:name="PE"/>
      <w:r w:rsidRPr="007B1ACC">
        <w:rPr>
          <w:vanish/>
        </w:rPr>
        <w:t>PE789.025</w:t>
      </w:r>
      <w:bookmarkEnd w:id="3"/>
    </w:p>
    <w:p w:rsidR="004C1FC6" w:rsidRPr="00AD6CD2" w:rsidP="004C1FC6" w14:paraId="2A513696" w14:textId="76E47729">
      <w:pPr>
        <w:pStyle w:val="ATHeading3"/>
      </w:pPr>
      <w:bookmarkStart w:id="4" w:name="Sujet"/>
      <w:r w:rsidRPr="00AD6CD2">
        <w:t xml:space="preserve">Europa-Parlamentets beslutning af 8. juli 2026 om Kommissionens gennemførelsesafgørelse </w:t>
      </w:r>
      <w:r w:rsidRPr="00AD6CD2" w:rsidR="00892D7D">
        <w:t xml:space="preserve">(EU) 2026/1443 af 29. juni 2026 </w:t>
      </w:r>
      <w:r w:rsidRPr="00AD6CD2">
        <w:t>om tilladelse til markedsføring af produkter, der indeholder, består af eller er fremstillet af genetisk modificeret DP202216 x NK603 x DAS-40278-9-majs og dens underkombination DP202216 x NK603, DP202216 x DAS-40278-9, i henhold til Europa-Parlamentets og Rådets forordning (EF) nr. 1829/2003</w:t>
      </w:r>
      <w:bookmarkEnd w:id="4"/>
      <w:r w:rsidRPr="00AD6CD2">
        <w:t xml:space="preserve"> </w:t>
      </w:r>
      <w:bookmarkStart w:id="5" w:name="References"/>
      <w:r w:rsidRPr="00AD6CD2">
        <w:t>(2026/2746(RSP))</w:t>
      </w:r>
      <w:bookmarkEnd w:id="5"/>
    </w:p>
    <w:p w:rsidR="004B47C0" w:rsidRPr="007B1ACC" w:rsidP="004B47C0" w14:paraId="3A9C00D9" w14:textId="77777777">
      <w:pPr>
        <w:pStyle w:val="NormalHanging12a"/>
        <w:tabs>
          <w:tab w:val="center" w:pos="4535"/>
        </w:tabs>
        <w:spacing w:before="240"/>
      </w:pPr>
      <w:bookmarkStart w:id="6" w:name="TextBodyBegin"/>
      <w:bookmarkEnd w:id="6"/>
      <w:r w:rsidRPr="007B1ACC">
        <w:rPr>
          <w:i/>
        </w:rPr>
        <w:t>Europa-Parlamentet</w:t>
      </w:r>
      <w:r w:rsidRPr="007B1ACC">
        <w:t>,</w:t>
      </w:r>
    </w:p>
    <w:p w:rsidR="004B47C0" w:rsidRPr="007B1ACC" w:rsidP="004B47C0" w14:paraId="0DD969EA" w14:textId="72D3C52A">
      <w:pPr>
        <w:pStyle w:val="NormalHanging12a"/>
      </w:pPr>
      <w:r w:rsidRPr="007B1ACC">
        <w:t>–</w:t>
      </w:r>
      <w:r w:rsidRPr="007B1ACC">
        <w:tab/>
        <w:t xml:space="preserve">der henviser til Kommissionens gennemførelsesafgørelse </w:t>
      </w:r>
      <w:r w:rsidRPr="007B1ACC" w:rsidR="00892D7D">
        <w:t xml:space="preserve">(EU) 2026/1443 af 29. juni 2026 </w:t>
      </w:r>
      <w:r w:rsidRPr="007B1ACC">
        <w:t>om tilladelse til markedsføring af produkter, der indeholder, består af eller er fremstillet af genetisk modificeret DP202216 x NK603 x DAS-40278-9-majs og dens underkombinationer DP202216 x NK603, DP202216 x DAS-40278-9, i henhold til Europa-Parlamentets og Rådets forordning (EF) nr. 1829/2003</w:t>
      </w:r>
      <w:r>
        <w:rPr>
          <w:rStyle w:val="FootnoteReference"/>
        </w:rPr>
        <w:footnoteReference w:id="2"/>
      </w:r>
      <w:r w:rsidRPr="007B1ACC">
        <w:t>,</w:t>
      </w:r>
    </w:p>
    <w:p w:rsidR="004B47C0" w:rsidRPr="007B1ACC" w:rsidP="004B47C0" w14:paraId="68C0EAC1" w14:textId="77777777">
      <w:pPr>
        <w:pStyle w:val="NormalHanging12a"/>
      </w:pPr>
      <w:r w:rsidRPr="007B1ACC">
        <w:t>–</w:t>
      </w:r>
      <w:r w:rsidRPr="007B1ACC">
        <w:tab/>
        <w:t>der henviser til Europa-Parlamentets og Rådets forordning (EF) nr. 1829/2003 af 22. september 2003 om genetisk modificerede fødevarer og foderstoffer</w:t>
      </w:r>
      <w:r>
        <w:rPr>
          <w:rStyle w:val="FootnoteReference"/>
        </w:rPr>
        <w:footnoteReference w:id="3"/>
      </w:r>
      <w:r w:rsidRPr="007B1ACC">
        <w:t>, særlig artikel 7, stk. 3, og artikel 19, stk. 3,</w:t>
      </w:r>
    </w:p>
    <w:p w:rsidR="004B47C0" w:rsidRPr="007B1ACC" w:rsidP="004B47C0" w14:paraId="4BFAE985" w14:textId="77777777">
      <w:pPr>
        <w:pStyle w:val="NormalHanging12a"/>
      </w:pPr>
      <w:r w:rsidRPr="007B1ACC">
        <w:t>–</w:t>
      </w:r>
      <w:r w:rsidRPr="007B1ACC">
        <w:tab/>
        <w:t>der henviser til afstemningen i Den Stående Komité for Planter, Dyr, Fødevarer og Foder, jf. artikel 35 i forordning (EF) nr. 1829/2003, den 27. april 2026, som ikke mundede ud i en udtalelse, og til afstemningen i appeludvalget den 2. juni 2026, som heller ikke mundede ud i en udtalelse,</w:t>
      </w:r>
    </w:p>
    <w:p w:rsidR="004B47C0" w:rsidRPr="007B1ACC" w:rsidP="004B47C0" w14:paraId="73DD735F" w14:textId="77777777">
      <w:pPr>
        <w:pStyle w:val="NormalHanging12a"/>
      </w:pPr>
      <w:r w:rsidRPr="007B1ACC">
        <w:t>–</w:t>
      </w:r>
      <w:r w:rsidRPr="007B1ACC">
        <w:tab/>
        <w:t>der henviser til artikel 11 i Europa-Parlamentets og Rådets forordning (EU) nr. 182/2011 af 16. februar 2011 om de generelle regler og principper for, hvordan medlemsstaterne skal kontrollere Kommissionens udøvelse af gennemførelsesbeføjelser</w:t>
      </w:r>
      <w:r>
        <w:rPr>
          <w:rStyle w:val="FootnoteReference"/>
        </w:rPr>
        <w:footnoteReference w:id="4"/>
      </w:r>
      <w:r w:rsidRPr="007B1ACC">
        <w:t>,</w:t>
      </w:r>
    </w:p>
    <w:p w:rsidR="004B47C0" w:rsidRPr="007B1ACC" w:rsidP="004B47C0" w14:paraId="119FFE79" w14:textId="77777777">
      <w:pPr>
        <w:pStyle w:val="NormalHanging12a"/>
      </w:pPr>
      <w:r w:rsidRPr="007B1ACC">
        <w:t>–</w:t>
      </w:r>
      <w:r w:rsidRPr="007B1ACC">
        <w:tab/>
        <w:t xml:space="preserve">der henviser til den udtalelse, der blev vedtaget af Den Europæiske Fødevaresikkerhedsautoritet (EFSA) den 30. oktober 2025 og offentliggjort den 5. </w:t>
      </w:r>
      <w:r w:rsidRPr="007B1ACC">
        <w:t>december 2025</w:t>
      </w:r>
      <w:r>
        <w:rPr>
          <w:rStyle w:val="FootnoteReference"/>
        </w:rPr>
        <w:footnoteReference w:id="5"/>
      </w:r>
      <w:r w:rsidRPr="007B1ACC">
        <w:t>,</w:t>
      </w:r>
    </w:p>
    <w:p w:rsidR="004B47C0" w:rsidRPr="007B1ACC" w:rsidP="004B47C0" w14:paraId="41F21E48" w14:textId="77777777">
      <w:pPr>
        <w:pStyle w:val="NormalHanging12a"/>
      </w:pPr>
      <w:r w:rsidRPr="007B1ACC">
        <w:t>–</w:t>
      </w:r>
      <w:r w:rsidRPr="007B1ACC">
        <w:tab/>
        <w:t>der henviser til sine tidligere beslutninger med indsigelse mod tilladelse af genetisk modificerede organismer ("GMO'er")</w:t>
      </w:r>
      <w:r>
        <w:rPr>
          <w:rStyle w:val="FootnoteReference"/>
        </w:rPr>
        <w:footnoteReference w:id="6"/>
      </w:r>
      <w:r w:rsidRPr="007B1ACC">
        <w:t>,</w:t>
      </w:r>
    </w:p>
    <w:p w:rsidR="004B47C0" w:rsidRPr="007B1ACC" w:rsidP="004B47C0" w14:paraId="00807E16" w14:textId="77777777">
      <w:pPr>
        <w:pStyle w:val="NormalHanging12a"/>
      </w:pPr>
      <w:r w:rsidRPr="007B1ACC">
        <w:t>–</w:t>
      </w:r>
      <w:r w:rsidRPr="007B1ACC">
        <w:tab/>
        <w:t>der henviser til forretningsordenens artikel 115, stk. 2 og 3,</w:t>
      </w:r>
    </w:p>
    <w:p w:rsidR="004B47C0" w:rsidRPr="007B1ACC" w:rsidP="004B47C0" w14:paraId="5C71C1DF" w14:textId="77777777">
      <w:pPr>
        <w:pStyle w:val="NormalHanging12a"/>
      </w:pPr>
      <w:r w:rsidRPr="007B1ACC">
        <w:t>–</w:t>
      </w:r>
      <w:r w:rsidRPr="007B1ACC">
        <w:tab/>
        <w:t xml:space="preserve">der henviser til forslag til beslutning fra Udvalget om Miljø, Klima og </w:t>
      </w:r>
      <w:r w:rsidRPr="007B1ACC">
        <w:t>Fødevaresikkerhed,</w:t>
      </w:r>
    </w:p>
    <w:p w:rsidR="004B47C0" w:rsidRPr="007B1ACC" w:rsidP="00F75072" w14:paraId="1327647A" w14:textId="77777777">
      <w:pPr>
        <w:pStyle w:val="Considrant"/>
        <w:numPr>
          <w:ilvl w:val="0"/>
          <w:numId w:val="0"/>
        </w:numPr>
        <w:spacing w:after="240"/>
        <w:ind w:left="567" w:hanging="567"/>
        <w:jc w:val="left"/>
        <w:rPr>
          <w:szCs w:val="24"/>
        </w:rPr>
      </w:pPr>
      <w:r w:rsidRPr="007B1ACC">
        <w:t>A.</w:t>
      </w:r>
      <w:r w:rsidRPr="007B1ACC">
        <w:tab/>
        <w:t xml:space="preserve">der henviser til, at den 10. marts 2023 indgav </w:t>
      </w:r>
      <w:r w:rsidRPr="007B1ACC">
        <w:t>Corteva</w:t>
      </w:r>
      <w:r w:rsidRPr="007B1ACC">
        <w:t xml:space="preserve"> Agriscience </w:t>
      </w:r>
      <w:r w:rsidRPr="007B1ACC">
        <w:t>Belgium</w:t>
      </w:r>
      <w:r w:rsidRPr="007B1ACC">
        <w:t xml:space="preserve"> B.V., med hjemsted i Belgien, for </w:t>
      </w:r>
      <w:r w:rsidRPr="007B1ACC">
        <w:t>Corteva</w:t>
      </w:r>
      <w:r w:rsidRPr="007B1ACC">
        <w:t xml:space="preserve"> Agriscience LLC, med hjemsted i USA, en ansøgning om tilladelse til markedsføring af fødevarer, fødevareingredienser og foderstoffer, der indeholder, består af eller er fremstillet af genetisk modificeret DP202216 × NK603 × DAS-40279-9-majs ("GM-majsen"), jf. artikel 5 og 17 i forordning (EF) nr. 1829/2003; der henviser til, at ansøgningen også omfattede markedsføring af produkter, der indeholder eller består af GM-majs, til andre anvendelsesformål end fødevarer og foderstoffer undtagen dyrkning;</w:t>
      </w:r>
    </w:p>
    <w:p w:rsidR="004B47C0" w:rsidRPr="007B1ACC" w:rsidP="00F75072" w14:paraId="694660CD" w14:textId="77777777">
      <w:pPr>
        <w:widowControl/>
        <w:shd w:val="clear" w:color="auto" w:fill="FFFFFF"/>
        <w:spacing w:after="240"/>
        <w:ind w:left="567" w:hanging="567"/>
        <w:rPr>
          <w:szCs w:val="24"/>
        </w:rPr>
      </w:pPr>
      <w:r w:rsidRPr="007B1ACC">
        <w:t>B.</w:t>
      </w:r>
      <w:r w:rsidRPr="007B1ACC">
        <w:tab/>
        <w:t>der henviser til, at EFSA den 30. oktober 2025 vedtog en positiv udtalelse vedrørende denne tilladelse for GM-majsen, som blev offentliggjort den 5. december 2025;</w:t>
      </w:r>
    </w:p>
    <w:p w:rsidR="004B47C0" w:rsidRPr="007B1ACC" w:rsidP="00F75072" w14:paraId="4BFC996D" w14:textId="77777777">
      <w:pPr>
        <w:widowControl/>
        <w:autoSpaceDE w:val="0"/>
        <w:autoSpaceDN w:val="0"/>
        <w:adjustRightInd w:val="0"/>
        <w:spacing w:after="240"/>
        <w:ind w:left="567" w:hanging="567"/>
        <w:rPr>
          <w:rFonts w:eastAsiaTheme="minorHAnsi"/>
          <w:szCs w:val="24"/>
        </w:rPr>
      </w:pPr>
      <w:r w:rsidRPr="007B1ACC">
        <w:t>C.</w:t>
      </w:r>
      <w:r w:rsidRPr="007B1ACC">
        <w:tab/>
        <w:t>der henviser til, at EFSA konkluderede, at GM-majsen og dens underkombinationer som beskrevet i ansøgningen er lige så sikker som sit konventionelle modstykke og som de testede ikkegenetisk modificerede referencemajssorter for så vidt angår de potentielle virkninger på menneskers og dyrs sundhed og på miljøet. der henviser til, at EFSA konkluderede, at forbruget af fødevarer og foderstoffer fremstillet af GM-majsen og dens underkombinationer ikke udgør et ernæringsmæssigt problem for mennesker og dyr. der henviser til, at denne udtalelse ikke behandlede en række bredere miljømæssige, socioøkonomiske og kumulative virkninger, som EFSA anser for ikke at henhøre under dens ressort;</w:t>
      </w:r>
    </w:p>
    <w:p w:rsidR="004B47C0" w:rsidRPr="007B1ACC" w:rsidP="00F75072" w14:paraId="3496B53A" w14:textId="1E92EDE3">
      <w:pPr>
        <w:widowControl/>
        <w:autoSpaceDE w:val="0"/>
        <w:autoSpaceDN w:val="0"/>
        <w:adjustRightInd w:val="0"/>
        <w:spacing w:after="240"/>
        <w:ind w:left="567" w:hanging="567"/>
        <w:rPr>
          <w:rFonts w:eastAsiaTheme="minorHAnsi"/>
          <w:szCs w:val="24"/>
        </w:rPr>
      </w:pPr>
      <w:r w:rsidRPr="007B1ACC">
        <w:t>D.</w:t>
      </w:r>
      <w:r w:rsidRPr="007B1ACC">
        <w:tab/>
        <w:t>der henviser til, at GM-majs</w:t>
      </w:r>
      <w:r w:rsidRPr="007B1ACC" w:rsidR="00892D7D">
        <w:t>en</w:t>
      </w:r>
      <w:r w:rsidRPr="007B1ACC">
        <w:t xml:space="preserve"> blev udviklet ved krydsning for at kombinere følgende tre enkeltstående begivenheder: DP202216, der udtrykker </w:t>
      </w:r>
      <w:r w:rsidRPr="007B1ACC">
        <w:t>phosphinothricin-acetyltransferaseenzymet</w:t>
      </w:r>
      <w:r w:rsidRPr="007B1ACC">
        <w:t xml:space="preserve"> (PAT) for at give tolerance over for plantegifte, der indeholder </w:t>
      </w:r>
      <w:r w:rsidRPr="007B1ACC">
        <w:t>ammoniumglufosinat</w:t>
      </w:r>
      <w:r w:rsidRPr="007B1ACC">
        <w:t xml:space="preserve">, og majsens endogene protein med ændret ekspression (EPAE) ZMM28 for at give mulighed for udbytteforbedring (YE) under feltforhold, NK603, der udtrykker CP4 EPSPS og CP4 EPSPS L214P for at give tolerance over for </w:t>
      </w:r>
      <w:r w:rsidRPr="007B1ACC">
        <w:t>glyphosatbaserede</w:t>
      </w:r>
      <w:r w:rsidRPr="007B1ACC">
        <w:t xml:space="preserve"> plantegifte samt DAS-40278-9, der udtrykker </w:t>
      </w:r>
      <w:r w:rsidRPr="007B1ACC">
        <w:t>aryloxyalkanoat</w:t>
      </w:r>
      <w:r w:rsidRPr="007B1ACC">
        <w:t xml:space="preserve"> </w:t>
      </w:r>
      <w:r w:rsidRPr="007B1ACC">
        <w:t>dioxygenase</w:t>
      </w:r>
      <w:r w:rsidRPr="007B1ACC">
        <w:t xml:space="preserve"> (AAD-1) for at give tolerance over for plantegiftklassen 2,4-D og </w:t>
      </w:r>
      <w:r w:rsidRPr="007B1ACC">
        <w:t>aryloxyphenoxypropionat</w:t>
      </w:r>
      <w:r w:rsidRPr="007B1ACC">
        <w:t xml:space="preserve"> (AOPP)</w:t>
      </w:r>
      <w:r>
        <w:rPr>
          <w:rStyle w:val="FootnoteReference"/>
          <w:rFonts w:eastAsiaTheme="minorHAnsi"/>
          <w:szCs w:val="24"/>
        </w:rPr>
        <w:footnoteReference w:id="7"/>
      </w:r>
      <w:r w:rsidRPr="007B1ACC">
        <w:t>;</w:t>
      </w:r>
    </w:p>
    <w:p w:rsidR="004B47C0" w:rsidRPr="007B1ACC" w:rsidP="00F75072" w14:paraId="14B3489E" w14:textId="77777777">
      <w:pPr>
        <w:spacing w:after="240"/>
        <w:ind w:left="567" w:hanging="567"/>
        <w:rPr>
          <w:rFonts w:eastAsiaTheme="minorHAnsi"/>
          <w:szCs w:val="24"/>
        </w:rPr>
      </w:pPr>
      <w:r w:rsidRPr="007B1ACC">
        <w:t>E.</w:t>
      </w:r>
      <w:r w:rsidRPr="007B1ACC">
        <w:tab/>
        <w:t>der henviser til, at kun underkombinationen NK603 × DAS-40278-9 tidligere er blevet vurderet af EFSA; der henviser til, at ansøgeren ikke har fremlagt forsøgsdata for underkombinationerne DP202216 x NK603 og DP202216 x DAS-40278-9, som ikke tidligere er blevet vurderet af EFSA; der henviser til, at EFSA på trods heraf konkluderede, at denne underkombination ikke ville give anledning til sikkerhedsmæssige betænkeligheder;</w:t>
      </w:r>
    </w:p>
    <w:p w:rsidR="004B47C0" w:rsidRPr="007B1ACC" w:rsidP="00F75072" w14:paraId="3CF58102" w14:textId="77777777">
      <w:pPr>
        <w:spacing w:after="240"/>
        <w:ind w:left="567" w:hanging="567"/>
        <w:rPr>
          <w:rFonts w:eastAsiaTheme="minorHAnsi"/>
          <w:szCs w:val="24"/>
        </w:rPr>
      </w:pPr>
      <w:r w:rsidRPr="007B1ACC">
        <w:t>F.</w:t>
      </w:r>
      <w:r w:rsidRPr="007B1ACC">
        <w:tab/>
        <w:t xml:space="preserve">der henviser til, at </w:t>
      </w:r>
      <w:r w:rsidRPr="007B1ACC">
        <w:t>EFSA's</w:t>
      </w:r>
      <w:r w:rsidRPr="007B1ACC">
        <w:t xml:space="preserve"> risikovurdering ikke omfattede langsigtede toksikologiske undersøgelser eller detaljerede analyser af kumulative og kombinatoriske virkninger, herunder potentielle interaktioner med restkoncentrationer af pesticider, der almindeligvis anvendes til majsdyrkning;</w:t>
      </w:r>
    </w:p>
    <w:p w:rsidR="004B47C0" w:rsidRPr="007B1ACC" w:rsidP="00F75072" w14:paraId="3162F8A1" w14:textId="77777777">
      <w:pPr>
        <w:spacing w:after="240"/>
        <w:ind w:left="567" w:hanging="567"/>
        <w:rPr>
          <w:rFonts w:eastAsiaTheme="minorHAnsi"/>
          <w:szCs w:val="24"/>
        </w:rPr>
      </w:pPr>
      <w:r w:rsidRPr="007B1ACC">
        <w:t>G.</w:t>
      </w:r>
      <w:r w:rsidRPr="007B1ACC">
        <w:tab/>
        <w:t xml:space="preserve">der henviser til, at langt de fleste GM-afgrøder, herunder GM-majsen, er blevet genetisk modificeret, således at de er tolerante over for en eller flere "supplerende" plantegifte, der kan anvendes under hele dyrkningsforløbet for GM-afgrøden, uden at afgrøden dør, </w:t>
      </w:r>
      <w:r w:rsidRPr="007B1ACC">
        <w:t>sådan som det ville være tilfældet med en ikkeplantegifttolerant afgrøde; der henviser til, at en række undersøgelser viser, at plantegiftstolerante GM-afgrøder fører til en øget anvendelse af supplerende plantegifte, hvilket i stort omfang skyldes fremkomsten af plantegiftstolerant ukrudt;</w:t>
      </w:r>
    </w:p>
    <w:p w:rsidR="004B47C0" w:rsidRPr="007B1ACC" w:rsidP="00F75072" w14:paraId="3CE8F63B" w14:textId="77777777">
      <w:pPr>
        <w:spacing w:after="240"/>
        <w:ind w:left="567" w:hanging="567"/>
        <w:rPr>
          <w:rFonts w:eastAsiaTheme="minorHAnsi"/>
          <w:szCs w:val="24"/>
        </w:rPr>
      </w:pPr>
      <w:r w:rsidRPr="007B1ACC">
        <w:t>H.</w:t>
      </w:r>
      <w:r w:rsidRPr="007B1ACC">
        <w:tab/>
        <w:t>der henviser til, at plantegiftstolerante GM-afgrøder fastlåser landbrugerne i et ukrudtsforvaltningssystem, der i vid udstrækning eller helt er afhængigt af plantegifte, samtidig med at der skabes en afhængighed af anvendelsen af supplerende plantegifte som en integreret del af produktionssystemet; der henviser til, at øget afhængighed af supplerende plantegifte på bedrifter, der dyrker GM-majsen, vil fremskynde fremkomsten og spredningen af ukrudt, der er resistent mod disse plantegifte, og dermed skabe behov for at tage endnu flere plantegifte i brug, hvilket skaber en ond cirkel, der er kendt som "plantegiftstrædemøllen"; der henviser til, at de negative virkninger af overdreven afhængighed af plantegifte derfor vil forværre jordbundens sundhed, vandkvaliteten og biodiversiteten over og under jorden og føre til øget eksponering af mennesker og dyr, potentielt også via flere plantegiftrester i fødevarer og foder;</w:t>
      </w:r>
    </w:p>
    <w:p w:rsidR="004B47C0" w:rsidRPr="007B1ACC" w:rsidP="00F75072" w14:paraId="503B02AF" w14:textId="47953F2A">
      <w:pPr>
        <w:autoSpaceDE w:val="0"/>
        <w:autoSpaceDN w:val="0"/>
        <w:adjustRightInd w:val="0"/>
        <w:spacing w:after="240"/>
        <w:ind w:left="567" w:hanging="567"/>
        <w:rPr>
          <w:rFonts w:eastAsiaTheme="minorHAnsi"/>
          <w:szCs w:val="24"/>
        </w:rPr>
      </w:pPr>
      <w:r w:rsidRPr="007B1ACC">
        <w:t>I.</w:t>
      </w:r>
      <w:r w:rsidRPr="007B1ACC">
        <w:tab/>
        <w:t>der henviser til, at en række undersøgelser viser, at plantegiftstolerante GM-afgrøder fører til en øget anvendelse af supplerende plantegifte, hvilket i stort omfang skyldes fremkomsten af plantegiftstolerant ukrudt</w:t>
      </w:r>
      <w:r>
        <w:rPr>
          <w:rFonts w:eastAsiaTheme="minorHAnsi"/>
          <w:vertAlign w:val="superscript"/>
        </w:rPr>
        <w:footnoteReference w:id="8"/>
      </w:r>
      <w:r w:rsidRPr="007B1ACC">
        <w:t xml:space="preserve">; der henviser til, at det som følge heraf må forventes, at </w:t>
      </w:r>
      <w:r w:rsidRPr="007B1ACC" w:rsidR="00821E9C">
        <w:t>GM-</w:t>
      </w:r>
      <w:r w:rsidRPr="007B1ACC">
        <w:t>majs</w:t>
      </w:r>
      <w:r w:rsidRPr="007B1ACC" w:rsidR="00821E9C">
        <w:t>en</w:t>
      </w:r>
      <w:r w:rsidRPr="007B1ACC">
        <w:t xml:space="preserve"> vil blive udsat for både større og gentagne doser af </w:t>
      </w:r>
      <w:r w:rsidRPr="007B1ACC">
        <w:t>glyphosat</w:t>
      </w:r>
      <w:r w:rsidRPr="007B1ACC">
        <w:t xml:space="preserve">, </w:t>
      </w:r>
      <w:r w:rsidRPr="007B1ACC">
        <w:t>glufosinat</w:t>
      </w:r>
      <w:r w:rsidRPr="007B1ACC">
        <w:t>, AOPP og 2,4-D-baserede plantegifte, og at der derfor kan forekomme en større mængde rester og deres nedbrydningsprodukter ("metabolitter") i høsten;</w:t>
      </w:r>
    </w:p>
    <w:p w:rsidR="004B47C0" w:rsidRPr="007B1ACC" w:rsidP="00F75072" w14:paraId="02E2D7D5" w14:textId="77777777">
      <w:pPr>
        <w:autoSpaceDE w:val="0"/>
        <w:autoSpaceDN w:val="0"/>
        <w:adjustRightInd w:val="0"/>
        <w:spacing w:after="240"/>
        <w:ind w:left="567" w:hanging="567"/>
        <w:rPr>
          <w:rFonts w:eastAsiaTheme="minorHAnsi"/>
          <w:szCs w:val="24"/>
        </w:rPr>
      </w:pPr>
      <w:r w:rsidRPr="007B1ACC">
        <w:t>J.</w:t>
      </w:r>
      <w:r w:rsidRPr="007B1ACC">
        <w:tab/>
        <w:t xml:space="preserve">der henviser til, at </w:t>
      </w:r>
      <w:r w:rsidRPr="007B1ACC">
        <w:t>glufosinat</w:t>
      </w:r>
      <w:r w:rsidRPr="007B1ACC">
        <w:t xml:space="preserve"> er klassificeret som reproduktionstoksisk i kategori 1B og dermed opfylder tærskelkriterierne i Europa-Parlamentets og Rådets forordning (EF) nr. 1107/2009</w:t>
      </w:r>
      <w:r>
        <w:rPr>
          <w:rFonts w:eastAsiaTheme="minorHAnsi"/>
          <w:vertAlign w:val="superscript"/>
        </w:rPr>
        <w:footnoteReference w:id="9"/>
      </w:r>
      <w:r w:rsidRPr="007B1ACC">
        <w:t xml:space="preserve">; der henviser til, at godkendelsen af </w:t>
      </w:r>
      <w:r w:rsidRPr="007B1ACC">
        <w:t>glufosinat</w:t>
      </w:r>
      <w:r w:rsidRPr="007B1ACC">
        <w:t xml:space="preserve"> til anvendelse i Unionen udløb den 31. juli 2018</w:t>
      </w:r>
      <w:r>
        <w:rPr>
          <w:rFonts w:eastAsiaTheme="minorHAnsi"/>
          <w:vertAlign w:val="superscript"/>
        </w:rPr>
        <w:footnoteReference w:id="10"/>
      </w:r>
      <w:r w:rsidRPr="007B1ACC">
        <w:t>;</w:t>
      </w:r>
    </w:p>
    <w:p w:rsidR="004B47C0" w:rsidRPr="007B1ACC" w:rsidP="00F75072" w14:paraId="537EBB34" w14:textId="77777777">
      <w:pPr>
        <w:autoSpaceDE w:val="0"/>
        <w:autoSpaceDN w:val="0"/>
        <w:adjustRightInd w:val="0"/>
        <w:spacing w:after="240"/>
        <w:ind w:left="567" w:hanging="567"/>
        <w:rPr>
          <w:rFonts w:eastAsiaTheme="minorHAnsi"/>
          <w:szCs w:val="24"/>
        </w:rPr>
      </w:pPr>
      <w:r w:rsidRPr="007B1ACC">
        <w:t>K.</w:t>
      </w:r>
      <w:r w:rsidRPr="007B1ACC">
        <w:tab/>
        <w:t xml:space="preserve">der henviser til, at der fortsat er betydelig videnskabelig usikkerhed med hensyn til </w:t>
      </w:r>
      <w:r w:rsidRPr="007B1ACC">
        <w:t>glyphosats</w:t>
      </w:r>
      <w:r w:rsidRPr="007B1ACC">
        <w:t xml:space="preserve"> sikkerhed for menneskers sundhed og miljøet; der henviser til, at EFSA i november 2015 konkluderede, at </w:t>
      </w:r>
      <w:r w:rsidRPr="007B1ACC">
        <w:t>glyphosat</w:t>
      </w:r>
      <w:r w:rsidRPr="007B1ACC">
        <w:t xml:space="preserve"> sandsynligvis ikke var kræftfremkaldende, og at Det Europæiske Kemikalieagentur i marts 2017 konkluderede, at der ikke var behov for en klassificering; der henviser til, at Det Internationale Kræftforskningscenter, som er Verdenssundhedsorganisationens specialiserede kræftagentur, i modsætning hertil i 2015 klassificerede </w:t>
      </w:r>
      <w:r w:rsidRPr="007B1ACC">
        <w:t>glyphosat</w:t>
      </w:r>
      <w:r w:rsidRPr="007B1ACC">
        <w:t xml:space="preserve"> som sandsynligvis kræftfremkaldende hos mennesker; der henviser til, at en række nyere fagfællebedømte </w:t>
      </w:r>
      <w:r w:rsidRPr="007B1ACC">
        <w:t xml:space="preserve">videnskabelige undersøgelser bekræfter </w:t>
      </w:r>
      <w:r w:rsidRPr="007B1ACC">
        <w:t>glyphosats</w:t>
      </w:r>
      <w:r w:rsidRPr="007B1ACC">
        <w:t xml:space="preserve"> kræftfremkaldende potentiale</w:t>
      </w:r>
      <w:r>
        <w:rPr>
          <w:rFonts w:eastAsiaTheme="minorHAnsi"/>
          <w:vertAlign w:val="superscript"/>
        </w:rPr>
        <w:footnoteReference w:id="11"/>
      </w:r>
      <w:r w:rsidRPr="007B1ACC">
        <w:t xml:space="preserve">; der henviser til, at tidsskriftet </w:t>
      </w:r>
      <w:r w:rsidRPr="007B1ACC">
        <w:t>Regulatory</w:t>
      </w:r>
      <w:r w:rsidRPr="007B1ACC">
        <w:t xml:space="preserve"> </w:t>
      </w:r>
      <w:r w:rsidRPr="007B1ACC">
        <w:t>Toxicology</w:t>
      </w:r>
      <w:r w:rsidRPr="007B1ACC">
        <w:t xml:space="preserve"> and </w:t>
      </w:r>
      <w:r w:rsidRPr="007B1ACC">
        <w:t>Pharmacology</w:t>
      </w:r>
      <w:r w:rsidRPr="007B1ACC">
        <w:t xml:space="preserve"> formelt har trukket det videnskabelige dokument "Safety Evaluation and Risk </w:t>
      </w:r>
      <w:r w:rsidRPr="007B1ACC">
        <w:t>Assessment</w:t>
      </w:r>
      <w:r w:rsidRPr="007B1ACC">
        <w:t xml:space="preserve"> of the </w:t>
      </w:r>
      <w:r w:rsidRPr="007B1ACC">
        <w:t>Herbicide</w:t>
      </w:r>
      <w:r w:rsidRPr="007B1ACC">
        <w:t xml:space="preserve"> Roundup and </w:t>
      </w:r>
      <w:r w:rsidRPr="007B1ACC">
        <w:t>Its</w:t>
      </w:r>
      <w:r w:rsidRPr="007B1ACC">
        <w:t xml:space="preserve"> Active </w:t>
      </w:r>
      <w:r w:rsidRPr="007B1ACC">
        <w:t>Ingredient</w:t>
      </w:r>
      <w:r w:rsidRPr="007B1ACC">
        <w:t xml:space="preserve">, </w:t>
      </w:r>
      <w:r w:rsidRPr="007B1ACC">
        <w:t>Glyphosate</w:t>
      </w:r>
      <w:r w:rsidRPr="007B1ACC">
        <w:t xml:space="preserve">, for </w:t>
      </w:r>
      <w:r w:rsidRPr="007B1ACC">
        <w:t>Humans</w:t>
      </w:r>
      <w:r w:rsidRPr="007B1ACC">
        <w:t xml:space="preserve">", der blev offentliggjort i 2000, tilbage, hvilket er blevet anvendt til at forsvare sikkerheden ved </w:t>
      </w:r>
      <w:r w:rsidRPr="007B1ACC">
        <w:t>glyphosat</w:t>
      </w:r>
      <w:r w:rsidRPr="007B1ACC">
        <w:t xml:space="preserve"> i mange risikovurderinger, da der blev givet udtryk for bekymring over dets ophavsmand, gyldigheden af forskningsresultaterne i forbindelse med forfatternes og undersøgelsessponsorens misvisende fremstilling af bidragene og potentielle interessekonflikter hos forfatterne</w:t>
      </w:r>
      <w:r>
        <w:rPr>
          <w:rStyle w:val="FootnoteReference"/>
        </w:rPr>
        <w:footnoteReference w:id="12"/>
      </w:r>
      <w:r w:rsidRPr="007B1ACC">
        <w:t>;</w:t>
      </w:r>
    </w:p>
    <w:p w:rsidR="004B47C0" w:rsidRPr="007B1ACC" w:rsidP="00F75072" w14:paraId="3FE095E8" w14:textId="77777777">
      <w:pPr>
        <w:autoSpaceDE w:val="0"/>
        <w:autoSpaceDN w:val="0"/>
        <w:adjustRightInd w:val="0"/>
        <w:spacing w:after="240"/>
        <w:ind w:left="567" w:hanging="567"/>
        <w:rPr>
          <w:rFonts w:eastAsiaTheme="minorHAnsi"/>
          <w:szCs w:val="24"/>
        </w:rPr>
      </w:pPr>
      <w:r w:rsidRPr="007B1ACC">
        <w:t>L.</w:t>
      </w:r>
      <w:r w:rsidRPr="007B1ACC">
        <w:tab/>
        <w:t xml:space="preserve">der henviser til, at der i en fagfællebedømt videnskabelig artikel af en ekspert, som er involveret i udviklingen af GM-planter, sættes spørgsmålstegn ved sikkerheden af GM-afgrøder, som er tolerante over for 2,4-D, fordi det nedbrydes til </w:t>
      </w:r>
      <w:r w:rsidRPr="007B1ACC">
        <w:t>cytotoksiske</w:t>
      </w:r>
      <w:r w:rsidRPr="007B1ACC">
        <w:t xml:space="preserve"> nedbrydningsprodukter</w:t>
      </w:r>
      <w:r>
        <w:rPr>
          <w:rFonts w:eastAsiaTheme="minorHAnsi"/>
          <w:vertAlign w:val="superscript"/>
        </w:rPr>
        <w:footnoteReference w:id="13"/>
      </w:r>
      <w:r w:rsidRPr="007B1ACC">
        <w:t>;</w:t>
      </w:r>
    </w:p>
    <w:p w:rsidR="004B47C0" w:rsidRPr="007B1ACC" w:rsidP="00F75072" w14:paraId="25E3B1DC" w14:textId="77777777">
      <w:pPr>
        <w:autoSpaceDE w:val="0"/>
        <w:autoSpaceDN w:val="0"/>
        <w:adjustRightInd w:val="0"/>
        <w:spacing w:after="240"/>
        <w:ind w:left="567" w:hanging="567"/>
        <w:rPr>
          <w:rFonts w:eastAsiaTheme="minorHAnsi"/>
          <w:szCs w:val="24"/>
        </w:rPr>
      </w:pPr>
      <w:r w:rsidRPr="007B1ACC">
        <w:t>M.</w:t>
      </w:r>
      <w:r w:rsidRPr="007B1ACC">
        <w:tab/>
        <w:t xml:space="preserve">der henviser til, at vurdering af plantegiftrester og metabolitter i GM-planter anses for at ligge uden for ansvarsområdet for </w:t>
      </w:r>
      <w:r w:rsidRPr="007B1ACC">
        <w:t>EFSA's</w:t>
      </w:r>
      <w:r w:rsidRPr="007B1ACC">
        <w:t xml:space="preserve"> Ekspertpanel for Genetisk Modificerede Organismer og derfor ikke foretages som led i godkendelsesprocessen for GMO'er; der henviser til, at dette er problematisk, eftersom måden, hvorpå genetisk modificerede planter nedbryder supplerende plantegifte, såvel som sammensætningen og dermed toksiciteten af metabolitterne kan påvirkes af selve den genetiske modifikation</w:t>
      </w:r>
      <w:r>
        <w:rPr>
          <w:rFonts w:eastAsiaTheme="minorHAnsi"/>
          <w:vertAlign w:val="superscript"/>
        </w:rPr>
        <w:footnoteReference w:id="14"/>
      </w:r>
      <w:r w:rsidRPr="007B1ACC">
        <w:t>;</w:t>
      </w:r>
    </w:p>
    <w:p w:rsidR="004B47C0" w:rsidRPr="007B1ACC" w:rsidP="00F75072" w14:paraId="2B2B10D3" w14:textId="77777777">
      <w:pPr>
        <w:autoSpaceDE w:val="0"/>
        <w:autoSpaceDN w:val="0"/>
        <w:adjustRightInd w:val="0"/>
        <w:spacing w:after="240"/>
        <w:ind w:left="567" w:hanging="567"/>
        <w:rPr>
          <w:rFonts w:eastAsiaTheme="minorHAnsi"/>
          <w:szCs w:val="24"/>
        </w:rPr>
      </w:pPr>
      <w:r w:rsidRPr="007B1ACC">
        <w:t>N.</w:t>
      </w:r>
      <w:r w:rsidRPr="007B1ACC">
        <w:tab/>
        <w:t xml:space="preserve">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det pågældende tilfælde, når den udarbejder sin afgørelse; der henviser til, at sådanne legitime forhold bør omfatte Unionens forpligtelser i henhold til De Forenede Nationers (FN's) verdensmål for bæredygtig udvikling, </w:t>
      </w:r>
      <w:r w:rsidRPr="007B1ACC">
        <w:t>Parisaftalen</w:t>
      </w:r>
      <w:r w:rsidRPr="007B1ACC">
        <w:t xml:space="preserve"> om klimaændringer</w:t>
      </w:r>
      <w:r>
        <w:rPr>
          <w:rStyle w:val="FootnoteReference"/>
          <w:rFonts w:eastAsiaTheme="minorHAnsi"/>
          <w:szCs w:val="24"/>
        </w:rPr>
        <w:footnoteReference w:id="15"/>
      </w:r>
      <w:r w:rsidRPr="007B1ACC">
        <w:t xml:space="preserve"> og FN's konvention om den biologiske mangfoldighed</w:t>
      </w:r>
      <w:r>
        <w:rPr>
          <w:rStyle w:val="FootnoteReference"/>
          <w:rFonts w:eastAsiaTheme="minorHAnsi"/>
          <w:szCs w:val="24"/>
        </w:rPr>
        <w:footnoteReference w:id="16"/>
      </w:r>
      <w:r w:rsidRPr="007B1ACC">
        <w:t>;</w:t>
      </w:r>
    </w:p>
    <w:p w:rsidR="004B47C0" w:rsidRPr="007B1ACC" w:rsidP="00F75072" w14:paraId="2E314891" w14:textId="77777777">
      <w:pPr>
        <w:autoSpaceDE w:val="0"/>
        <w:autoSpaceDN w:val="0"/>
        <w:adjustRightInd w:val="0"/>
        <w:spacing w:after="240"/>
        <w:ind w:left="567" w:hanging="567"/>
        <w:rPr>
          <w:rFonts w:eastAsiaTheme="minorHAnsi"/>
          <w:szCs w:val="24"/>
        </w:rPr>
      </w:pPr>
      <w:r w:rsidRPr="007B1ACC">
        <w:t>O.</w:t>
      </w:r>
      <w:r w:rsidRPr="007B1ACC">
        <w:tab/>
        <w:t xml:space="preserve">der henviser til, at uafhængig overvågning og kontrol af potentielle negative virkninger på biodiversiteten, jordbundens sundhed, </w:t>
      </w:r>
      <w:r w:rsidRPr="007B1ACC">
        <w:t>bestøvere</w:t>
      </w:r>
      <w:r w:rsidRPr="007B1ACC">
        <w:t xml:space="preserve"> og organismer uden for målgruppen fortsat ikke er tilstrækkeligt garanteret;</w:t>
      </w:r>
    </w:p>
    <w:p w:rsidR="004B47C0" w:rsidRPr="007B1ACC" w:rsidP="00F75072" w14:paraId="33B9BB51" w14:textId="77777777">
      <w:pPr>
        <w:autoSpaceDE w:val="0"/>
        <w:autoSpaceDN w:val="0"/>
        <w:adjustRightInd w:val="0"/>
        <w:spacing w:after="240"/>
        <w:ind w:left="567" w:hanging="567"/>
        <w:rPr>
          <w:rFonts w:eastAsiaTheme="minorHAnsi"/>
          <w:szCs w:val="24"/>
        </w:rPr>
      </w:pPr>
      <w:r w:rsidRPr="007B1ACC">
        <w:t>P.</w:t>
      </w:r>
      <w:r w:rsidRPr="007B1ACC">
        <w:tab/>
        <w:t>der henviser til, at forsigtighedsprincippet i artikel 191 i traktaten om Den Europæiske Unions funktionsmåde, bør finde anvendelse i tilfælde, hvor der hersker videnskabelig usikkerhed;</w:t>
      </w:r>
    </w:p>
    <w:p w:rsidR="004B47C0" w:rsidRPr="007B1ACC" w:rsidP="00F75072" w14:paraId="7753E7B1" w14:textId="77777777">
      <w:pPr>
        <w:autoSpaceDE w:val="0"/>
        <w:autoSpaceDN w:val="0"/>
        <w:adjustRightInd w:val="0"/>
        <w:spacing w:after="240"/>
        <w:ind w:left="567" w:hanging="567"/>
        <w:rPr>
          <w:rFonts w:eastAsiaTheme="minorHAnsi"/>
          <w:szCs w:val="24"/>
        </w:rPr>
      </w:pPr>
      <w:r w:rsidRPr="007B1ACC">
        <w:t>Q.</w:t>
      </w:r>
      <w:r w:rsidRPr="007B1ACC">
        <w:tab/>
        <w:t>der henviser til, at Unionen som kontraherende part i FN's konvention om den biologiske mangfoldighed og i overensstemmelse med artikel 3 heri har et ansvar for at sikre, at aktiviteter inden for dens jurisdiktion eller kontrol ikke forårsager skade på miljøet i andre stater;</w:t>
      </w:r>
    </w:p>
    <w:p w:rsidR="004B47C0" w:rsidRPr="007B1ACC" w:rsidP="00F75072" w14:paraId="68EC6643" w14:textId="77777777">
      <w:pPr>
        <w:autoSpaceDE w:val="0"/>
        <w:autoSpaceDN w:val="0"/>
        <w:adjustRightInd w:val="0"/>
        <w:spacing w:after="240"/>
        <w:ind w:left="567" w:hanging="567"/>
        <w:rPr>
          <w:rFonts w:eastAsiaTheme="minorHAnsi"/>
          <w:szCs w:val="24"/>
        </w:rPr>
      </w:pPr>
      <w:r w:rsidRPr="007B1ACC">
        <w:t>R.</w:t>
      </w:r>
      <w:r w:rsidRPr="007B1ACC">
        <w:tab/>
        <w:t>der henviser til, at Unionens forlængelse af GM-majsens tilladelse ville være i uoverensstemmelse med de internationale forpligtelser vedrørende reduktion af pesticider</w:t>
      </w:r>
      <w:r>
        <w:rPr>
          <w:rFonts w:eastAsiaTheme="minorHAnsi"/>
          <w:vertAlign w:val="superscript"/>
        </w:rPr>
        <w:footnoteReference w:id="17"/>
      </w:r>
      <w:r w:rsidRPr="007B1ACC">
        <w:t xml:space="preserve">, i betragtning af menneskers, dyrs og miljøets øgede eksponering for </w:t>
      </w:r>
      <w:r w:rsidRPr="007B1ACC">
        <w:t>glyphosat</w:t>
      </w:r>
      <w:r w:rsidRPr="007B1ACC">
        <w:t xml:space="preserve"> og </w:t>
      </w:r>
      <w:r w:rsidRPr="007B1ACC">
        <w:t>glufosinat</w:t>
      </w:r>
      <w:r w:rsidRPr="007B1ACC">
        <w:t xml:space="preserve"> i lande, der dyrker herbicidtolerante GM-afgrøder, samt de potentielt alvorlige følger for sundheden, der er forbundet hermed;</w:t>
      </w:r>
    </w:p>
    <w:p w:rsidR="004B47C0" w:rsidRPr="007B1ACC" w:rsidP="00F75072" w14:paraId="501C0702" w14:textId="77777777">
      <w:pPr>
        <w:autoSpaceDE w:val="0"/>
        <w:autoSpaceDN w:val="0"/>
        <w:adjustRightInd w:val="0"/>
        <w:spacing w:after="240"/>
        <w:ind w:left="567" w:hanging="567"/>
        <w:rPr>
          <w:rFonts w:eastAsiaTheme="minorHAnsi"/>
          <w:szCs w:val="24"/>
        </w:rPr>
      </w:pPr>
      <w:r w:rsidRPr="007B1ACC">
        <w:t>S.</w:t>
      </w:r>
      <w:r w:rsidRPr="007B1ACC">
        <w:tab/>
        <w:t>der henviser til, at dyrkning af GM-majsen ikke er tilladt i Unionen;</w:t>
      </w:r>
    </w:p>
    <w:p w:rsidR="004B47C0" w:rsidRPr="007B1ACC" w:rsidP="00F75072" w14:paraId="5E45BC6E" w14:textId="43A500FB">
      <w:pPr>
        <w:autoSpaceDE w:val="0"/>
        <w:autoSpaceDN w:val="0"/>
        <w:adjustRightInd w:val="0"/>
        <w:spacing w:after="240"/>
        <w:ind w:left="567" w:hanging="567"/>
        <w:rPr>
          <w:rFonts w:eastAsiaTheme="minorHAnsi"/>
          <w:szCs w:val="24"/>
        </w:rPr>
      </w:pPr>
      <w:r w:rsidRPr="007B1ACC">
        <w:t>T.</w:t>
      </w:r>
      <w:r w:rsidRPr="007B1ACC">
        <w:tab/>
        <w:t xml:space="preserve">der henviser til, at hvis Kommissionens gennemførelsesafgørelse </w:t>
      </w:r>
      <w:r w:rsidRPr="007B1ACC" w:rsidR="00821E9C">
        <w:t xml:space="preserve">(EU) 2026/1443 </w:t>
      </w:r>
      <w:r w:rsidRPr="007B1ACC">
        <w:t xml:space="preserve">gennemføres, vil det blive muligt at indføre varer til Unionen, der ikke lever op til de standarder, som Unionens landbrugere skal overholde, </w:t>
      </w:r>
      <w:r w:rsidRPr="007B1ACC">
        <w:t>således at</w:t>
      </w:r>
      <w:r w:rsidRPr="007B1ACC">
        <w:t xml:space="preserve"> de bliver konkurrencemæssigt ringere stillede;</w:t>
      </w:r>
    </w:p>
    <w:p w:rsidR="004B47C0" w:rsidRPr="007B1ACC" w:rsidP="00F75072" w14:paraId="345AA699" w14:textId="77777777">
      <w:pPr>
        <w:autoSpaceDE w:val="0"/>
        <w:autoSpaceDN w:val="0"/>
        <w:adjustRightInd w:val="0"/>
        <w:spacing w:after="240"/>
        <w:ind w:left="567" w:hanging="567"/>
        <w:rPr>
          <w:rFonts w:eastAsiaTheme="minorHAnsi"/>
          <w:szCs w:val="24"/>
        </w:rPr>
      </w:pPr>
      <w:r w:rsidRPr="007B1ACC">
        <w:t>U.</w:t>
      </w:r>
      <w:r w:rsidRPr="007B1ACC">
        <w:tab/>
        <w:t>der henviser til, at Kommissionen i konklusionerne fra den strategiske dialog om fremtiden for EU's landbrug</w:t>
      </w:r>
      <w:r>
        <w:rPr>
          <w:rFonts w:eastAsiaTheme="minorHAnsi"/>
          <w:vertAlign w:val="superscript"/>
        </w:rPr>
        <w:footnoteReference w:id="18"/>
      </w:r>
      <w:r w:rsidRPr="007B1ACC">
        <w:t xml:space="preserve"> opfordres til at revurdere sin tilgang til markedsadgang for landbrugsfødevarer, der importeres og eksporteres, i betragtning af udfordringen med forskellige standarder i Unionen og hos dens handelspartnere; der henviser til, at mere retfærdige handelsforbindelser på globalt plan, som er i overensstemmelse med målene for et sundt miljø, var et af landbrugernes vigtigste krav under demonstrationerne i 2023, 2024 og 2025;</w:t>
      </w:r>
    </w:p>
    <w:p w:rsidR="004B47C0" w:rsidRPr="007B1ACC" w:rsidP="00F75072" w14:paraId="14B5FEDF" w14:textId="77777777">
      <w:pPr>
        <w:autoSpaceDE w:val="0"/>
        <w:autoSpaceDN w:val="0"/>
        <w:adjustRightInd w:val="0"/>
        <w:spacing w:after="360"/>
        <w:ind w:left="567" w:hanging="567"/>
        <w:rPr>
          <w:rFonts w:eastAsiaTheme="minorHAnsi"/>
          <w:szCs w:val="24"/>
        </w:rPr>
      </w:pPr>
      <w:r w:rsidRPr="007B1ACC">
        <w:t>V.</w:t>
      </w:r>
      <w:r w:rsidRPr="007B1ACC">
        <w:tab/>
        <w:t xml:space="preserve">der henviser til, at Parlamentet gentagne gange har understreget, at Kommissionen ikke bør godkende GMO'er i de tilfælde, hvor der ikke er opnået kvalificeret flertal blandt medlemsstaterne i Den Stående Komité for Planter, Dyr, Fødevarer og Foder eller i appeludvalget, med henblik på at afhjælpe det vedvarende demokratiske underskud; </w:t>
      </w:r>
    </w:p>
    <w:p w:rsidR="004B47C0" w:rsidRPr="007B1ACC" w:rsidP="00F75072" w14:paraId="24FF68D6" w14:textId="77777777">
      <w:pPr>
        <w:autoSpaceDE w:val="0"/>
        <w:autoSpaceDN w:val="0"/>
        <w:adjustRightInd w:val="0"/>
        <w:spacing w:after="360"/>
        <w:ind w:left="567" w:hanging="567"/>
        <w:rPr>
          <w:rFonts w:eastAsiaTheme="minorHAnsi"/>
          <w:szCs w:val="24"/>
        </w:rPr>
      </w:pPr>
      <w:r w:rsidRPr="007B1ACC">
        <w:t>W.</w:t>
      </w:r>
      <w:r w:rsidRPr="007B1ACC">
        <w:tab/>
        <w:t>der henviser til, at Kommissionen – trods sin egen erkendelse af de demokratiske mangler, medlemsstaternes manglende støtte og Parlamentets indsigelser – fortsat giver tilladelse til GMO'er;</w:t>
      </w:r>
    </w:p>
    <w:p w:rsidR="004B47C0" w:rsidRPr="007B1ACC" w:rsidP="00F75072" w14:paraId="75659994" w14:textId="77777777">
      <w:pPr>
        <w:autoSpaceDE w:val="0"/>
        <w:autoSpaceDN w:val="0"/>
        <w:adjustRightInd w:val="0"/>
        <w:spacing w:after="360"/>
        <w:ind w:left="567" w:hanging="567"/>
      </w:pPr>
      <w:r w:rsidRPr="007B1ACC">
        <w:t>X.</w:t>
      </w:r>
      <w:r w:rsidRPr="007B1ACC">
        <w:tab/>
        <w:t>der henviser til, at One Health-modellen indebærer, at der tages hensyn til den indbyrdes afhængighed mellem menneskers, dyrs, planters og miljøets sundhed ved vurderingen af GMO'ers bæredygtighed og sikkerhed på lang sigt;</w:t>
      </w:r>
    </w:p>
    <w:p w:rsidR="004B47C0" w:rsidRPr="007B1ACC" w:rsidP="00F75072" w14:paraId="55C1B9AD" w14:textId="2C23650B">
      <w:pPr>
        <w:pStyle w:val="NormalHanging12a"/>
      </w:pPr>
      <w:r w:rsidRPr="007B1ACC">
        <w:t>1.</w:t>
      </w:r>
      <w:r w:rsidRPr="007B1ACC">
        <w:tab/>
        <w:t xml:space="preserve">er af den opfattelse, at Kommissionens gennemførelsesafgørelse </w:t>
      </w:r>
      <w:r w:rsidRPr="007B1ACC" w:rsidR="00F75072">
        <w:t xml:space="preserve">(EU) 2026/1443 </w:t>
      </w:r>
      <w:r w:rsidRPr="007B1ACC">
        <w:t>overskrider de gennemførelsesbeføjelser, der er fastsat i forordning (EF) nr. 1829/2003;</w:t>
      </w:r>
    </w:p>
    <w:p w:rsidR="004B47C0" w:rsidRPr="007B1ACC" w:rsidP="00F75072" w14:paraId="03FD05E2" w14:textId="64E811E3">
      <w:pPr>
        <w:pStyle w:val="NormalHanging12a"/>
      </w:pPr>
      <w:r w:rsidRPr="007B1ACC">
        <w:t>2.</w:t>
      </w:r>
      <w:r w:rsidRPr="007B1ACC">
        <w:tab/>
        <w:t>mener, at Kommissionens gennemførelsesafgørelse</w:t>
      </w:r>
      <w:r w:rsidRPr="007B1ACC" w:rsidR="00F75072">
        <w:t xml:space="preserve"> (EU) 2026/1443</w:t>
      </w:r>
      <w:r w:rsidRPr="007B1ACC">
        <w:t xml:space="preserve"> ikke er i </w:t>
      </w:r>
      <w:r w:rsidRPr="007B1ACC">
        <w:t>overensstemmelse med EU-retten, idet det ikke er foreneligt med målet for forordning (EF) nr. 1829/2003, som i overensstemmelse med de generelle principper, der er fastlagt i Europa-Parlamentets og Rådets forordning (EF) nr. 178/2002</w:t>
      </w:r>
      <w:r>
        <w:rPr>
          <w:vertAlign w:val="superscript"/>
        </w:rPr>
        <w:footnoteReference w:id="19"/>
      </w:r>
      <w:r w:rsidRPr="007B1ACC">
        <w:t>, er at skabe et grundlag for at sikre et højt niveau for beskyttelse af menneskers liv og sundhed, af dyrs sundhed og velfærd, af miljøet samt af forbrugernes interesser i relation til genmodificerede fødevarer og -foderstoffer, samtidig med at det sikres, at det indre marked fungerer tilfredsstillende;</w:t>
      </w:r>
    </w:p>
    <w:p w:rsidR="004B47C0" w:rsidRPr="007B1ACC" w:rsidP="00F75072" w14:paraId="1CD74F06" w14:textId="360328D4">
      <w:pPr>
        <w:pStyle w:val="NormalHanging12a"/>
      </w:pPr>
      <w:r w:rsidRPr="007B1ACC">
        <w:t>3.</w:t>
      </w:r>
      <w:r w:rsidRPr="007B1ACC">
        <w:tab/>
        <w:t xml:space="preserve">anmoder Kommissionen om at trække </w:t>
      </w:r>
      <w:r w:rsidRPr="007B1ACC" w:rsidR="00F75072">
        <w:t xml:space="preserve">Kommissionens </w:t>
      </w:r>
      <w:r w:rsidRPr="007B1ACC">
        <w:t xml:space="preserve">gennemførelsesafgørelse </w:t>
      </w:r>
      <w:r w:rsidRPr="007B1ACC" w:rsidR="00F75072">
        <w:t xml:space="preserve">(EU) 2026/1443 </w:t>
      </w:r>
      <w:r w:rsidRPr="007B1ACC">
        <w:t>tilbage;</w:t>
      </w:r>
    </w:p>
    <w:p w:rsidR="004B47C0" w:rsidRPr="007B1ACC" w:rsidP="00F75072" w14:paraId="0AFF5B32" w14:textId="77777777">
      <w:pPr>
        <w:pStyle w:val="NormalHanging12a"/>
      </w:pPr>
      <w:r w:rsidRPr="007B1ACC">
        <w:t>4.</w:t>
      </w:r>
      <w:r w:rsidRPr="007B1ACC">
        <w:tab/>
        <w:t>opfordrer Kommissionen til ikke at godkende importen af plantegifttolerante GM-afgrøder på grund af den øgede anvendelse af supplerende plantegifte, som er forbundet hermed, og dermed de skærpede risici for biodiversiteten, fødevaresikkerheden og arbejdstagernes sundhed;</w:t>
      </w:r>
    </w:p>
    <w:p w:rsidR="004B47C0" w:rsidRPr="007B1ACC" w:rsidP="00F75072" w14:paraId="015A419E" w14:textId="77777777">
      <w:pPr>
        <w:pStyle w:val="NormalHanging12a"/>
      </w:pPr>
      <w:r w:rsidRPr="007B1ACC">
        <w:t>5.</w:t>
      </w:r>
      <w:r w:rsidRPr="007B1ACC">
        <w:tab/>
        <w:t>glæder sig over, at Kommissionen i en skrivelse af 11. september 2020 til medlemmerne anerkendte behovet for at tage højde for bæredygtighed, når det gælder afgørelser om godkendelse af GMO'er</w:t>
      </w:r>
      <w:r>
        <w:rPr>
          <w:vertAlign w:val="superscript"/>
        </w:rPr>
        <w:footnoteReference w:id="20"/>
      </w:r>
      <w:r w:rsidRPr="007B1ACC">
        <w:t>; udtrykker imidlertid sin dybe skuffelse over, at Kommissionen siden da er fortsat med at give tilladelse til import af GMO'er til Unionen, selv om Parlamentet løbende har gjort indsigelse, og et flertal af medlemsstaterne har stemt imod;</w:t>
      </w:r>
    </w:p>
    <w:p w:rsidR="004B47C0" w:rsidRPr="007B1ACC" w:rsidP="00F75072" w14:paraId="7E940391" w14:textId="77777777">
      <w:pPr>
        <w:pStyle w:val="NormalHanging12a"/>
      </w:pPr>
      <w:r w:rsidRPr="007B1ACC">
        <w:t>6.</w:t>
      </w:r>
      <w:r w:rsidRPr="007B1ACC">
        <w:tab/>
        <w:t xml:space="preserve">opfordrer på ny indtrængende Kommissionen til at tage hensyn til Unionens forpligtelser i henhold til internationale aftaler såsom </w:t>
      </w:r>
      <w:r w:rsidRPr="007B1ACC">
        <w:t>Parisaftalen</w:t>
      </w:r>
      <w:r w:rsidRPr="007B1ACC">
        <w:t xml:space="preserve"> om klimaændringer, FN's konvention om den biologiske mangfoldighed og FN's verdensmål for bæredygtig udvikling; gentager sin opfordring til, at udkast til gennemførelsesretsakter ledsages af en begrundelse, der forklarer, hvordan de overholder princippet om "ikke at gøre skade"</w:t>
      </w:r>
      <w:r>
        <w:rPr>
          <w:vertAlign w:val="superscript"/>
        </w:rPr>
        <w:footnoteReference w:id="21"/>
      </w:r>
      <w:r w:rsidRPr="007B1ACC">
        <w:t>;</w:t>
      </w:r>
    </w:p>
    <w:p w:rsidR="004B47C0" w:rsidRPr="007B1ACC" w:rsidP="00F75072" w14:paraId="0F59C239" w14:textId="77777777">
      <w:pPr>
        <w:pStyle w:val="NormalHanging12a"/>
      </w:pPr>
      <w:r w:rsidRPr="007B1ACC">
        <w:t>7.</w:t>
      </w:r>
      <w:r w:rsidRPr="007B1ACC">
        <w:tab/>
        <w:t>fremhæver, at det i de ændringer til forslaget til Europa-Parlamentets og Rådets forordning om ændring af forordning (EU) nr. 182/2011</w:t>
      </w:r>
      <w:r>
        <w:rPr>
          <w:vertAlign w:val="superscript"/>
        </w:rPr>
        <w:footnoteReference w:id="22"/>
      </w:r>
      <w:r w:rsidRPr="007B1ACC">
        <w:t>, som Europa-Parlamentet vedtog den 17. december 2020 som grundlag for forhandlinger med Rådet, fastslås, at Kommissionen ikke må give tilladelse til GMO'er, hvis der ikke er et kvalificeret flertal herfor i medlemsstaterne; insisterer på, at Kommissionen respekterer denne holdning, og opfordrer Rådet til at fortsætte sit arbejde og hurtigst muligt vedtage en generel indstilling til denne sag;</w:t>
      </w:r>
    </w:p>
    <w:p w:rsidR="00E365E1" w:rsidRPr="007B1ACC" w:rsidP="009E1E68" w14:paraId="3E01359A" w14:textId="47DE8BC1">
      <w:pPr>
        <w:ind w:left="567" w:hanging="567"/>
      </w:pPr>
      <w:r w:rsidRPr="007B1ACC">
        <w:t>8.</w:t>
      </w:r>
      <w:r w:rsidRPr="007B1ACC">
        <w:tab/>
        <w:t>pålægger sin formand at sende denne beslutning til Rådet og Kommissionen samt til medlemsstaternes regeringer og parlamenter.</w:t>
      </w:r>
    </w:p>
    <w:sectPr w:rsidSect="002B009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0090" w14:paraId="1C2AD65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0090" w14:paraId="05DC2A2B"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0090" w14:paraId="4CAB285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C1FC6" w:rsidRPr="002B0090" w14:paraId="4A49DE02" w14:textId="77777777">
      <w:r w:rsidRPr="002B0090">
        <w:separator/>
      </w:r>
    </w:p>
  </w:footnote>
  <w:footnote w:type="continuationSeparator" w:id="1">
    <w:p w:rsidR="004C1FC6" w:rsidRPr="002B0090" w14:paraId="627B1C73" w14:textId="77777777">
      <w:r w:rsidRPr="002B0090">
        <w:continuationSeparator/>
      </w:r>
    </w:p>
  </w:footnote>
  <w:footnote w:id="2">
    <w:p w:rsidR="00892D7D" w:rsidRPr="008234B6" w:rsidP="00AD6CD2" w14:paraId="3578E1DD" w14:textId="6803931E">
      <w:pPr>
        <w:pStyle w:val="FootnoteText"/>
        <w:ind w:left="567" w:hanging="567"/>
        <w:rPr>
          <w:sz w:val="24"/>
          <w:szCs w:val="22"/>
          <w:lang w:val="fi-FI"/>
        </w:rPr>
      </w:pPr>
      <w:r w:rsidRPr="00AD6CD2">
        <w:rPr>
          <w:rStyle w:val="FootnoteReference"/>
          <w:sz w:val="24"/>
          <w:szCs w:val="22"/>
        </w:rPr>
        <w:footnoteRef/>
      </w:r>
      <w:r w:rsidRPr="008234B6">
        <w:rPr>
          <w:sz w:val="24"/>
          <w:szCs w:val="22"/>
          <w:lang w:val="fi-FI"/>
        </w:rPr>
        <w:t xml:space="preserve"> </w:t>
      </w:r>
      <w:r w:rsidRPr="008234B6">
        <w:rPr>
          <w:sz w:val="24"/>
          <w:szCs w:val="22"/>
          <w:lang w:val="fi-FI"/>
        </w:rPr>
        <w:tab/>
        <w:t xml:space="preserve">EUT L, 2026/1443, 3.7.2026, ELI: </w:t>
      </w:r>
      <w:hyperlink r:id="rId1" w:history="1">
        <w:r w:rsidRPr="008234B6">
          <w:rPr>
            <w:rStyle w:val="Hyperlink"/>
            <w:sz w:val="24"/>
            <w:szCs w:val="22"/>
            <w:lang w:val="fi-FI"/>
          </w:rPr>
          <w:t>http://data.europa.eu/eli/dec_impl/2026/1443/oj</w:t>
        </w:r>
      </w:hyperlink>
      <w:r w:rsidRPr="008234B6">
        <w:rPr>
          <w:sz w:val="24"/>
          <w:szCs w:val="22"/>
          <w:lang w:val="fi-FI"/>
        </w:rPr>
        <w:t>.</w:t>
      </w:r>
    </w:p>
  </w:footnote>
  <w:footnote w:id="3">
    <w:p w:rsidR="004B47C0" w:rsidRPr="002B0090" w:rsidP="002B0090" w14:paraId="296AAC79" w14:textId="05143A54">
      <w:pPr>
        <w:pStyle w:val="FootnoteText"/>
        <w:ind w:left="567" w:hanging="567"/>
        <w:rPr>
          <w:sz w:val="24"/>
          <w:lang w:val="da-DK"/>
        </w:rPr>
      </w:pPr>
      <w:r w:rsidRPr="002B0090">
        <w:rPr>
          <w:rStyle w:val="Funotenzeichen"/>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EUT L 268 af 18.10.2003, s. 1, ELI:  </w:t>
      </w:r>
      <w:hyperlink r:id="rId2" w:tooltip="Giver adgang til dokumentet via dets ELI-URI." w:history="1">
        <w:r w:rsidRPr="002B0090">
          <w:rPr>
            <w:rStyle w:val="Hyperlink"/>
            <w:sz w:val="24"/>
            <w:lang w:val="da-DK"/>
          </w:rPr>
          <w:t>http://data.europa.eu/eli/reg/2003/1829/oj</w:t>
        </w:r>
      </w:hyperlink>
      <w:r w:rsidRPr="002B0090">
        <w:rPr>
          <w:sz w:val="24"/>
          <w:lang w:val="da-DK"/>
        </w:rPr>
        <w:t>.</w:t>
      </w:r>
    </w:p>
  </w:footnote>
  <w:footnote w:id="4">
    <w:p w:rsidR="004B47C0" w:rsidRPr="002B0090" w:rsidP="002B0090" w14:paraId="7C6755C7" w14:textId="1785EFB7">
      <w:pPr>
        <w:pStyle w:val="FootnoteText"/>
        <w:ind w:left="567" w:hanging="567"/>
        <w:rPr>
          <w:sz w:val="24"/>
          <w:lang w:val="da-DK"/>
        </w:rPr>
      </w:pPr>
      <w:r w:rsidRPr="002B0090">
        <w:rPr>
          <w:rStyle w:val="FootnoteReference"/>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EUT L 55 af 28.2.2011, s. 13, ELI: </w:t>
      </w:r>
      <w:hyperlink r:id="rId3" w:history="1">
        <w:r w:rsidRPr="002B0090">
          <w:rPr>
            <w:rStyle w:val="Hyperlink"/>
            <w:sz w:val="24"/>
            <w:lang w:val="da-DK"/>
          </w:rPr>
          <w:t>http://data.europa.eu/eli/reg/2011/182/oj</w:t>
        </w:r>
      </w:hyperlink>
      <w:r w:rsidRPr="002B0090">
        <w:rPr>
          <w:sz w:val="24"/>
          <w:lang w:val="da-DK"/>
        </w:rPr>
        <w:t>.</w:t>
      </w:r>
    </w:p>
  </w:footnote>
  <w:footnote w:id="5">
    <w:p w:rsidR="004B47C0" w:rsidRPr="002B0090" w:rsidP="002B0090" w14:paraId="3490A9DF" w14:textId="2B21FC0A">
      <w:pPr>
        <w:pStyle w:val="FootnoteText"/>
        <w:ind w:left="567" w:hanging="567"/>
        <w:rPr>
          <w:sz w:val="24"/>
          <w:lang w:val="da-DK"/>
        </w:rPr>
      </w:pPr>
      <w:r w:rsidRPr="002B0090">
        <w:rPr>
          <w:rStyle w:val="Funotenzeichen"/>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 xml:space="preserve">Videnskabelig udtalelse fra </w:t>
      </w:r>
      <w:r w:rsidRPr="002B0090">
        <w:rPr>
          <w:sz w:val="24"/>
          <w:lang w:val="da-DK"/>
        </w:rPr>
        <w:t>EFSA's</w:t>
      </w:r>
      <w:r w:rsidRPr="002B0090">
        <w:rPr>
          <w:sz w:val="24"/>
          <w:lang w:val="da-DK"/>
        </w:rPr>
        <w:t xml:space="preserve"> Ekspertpanel for Genetisk Modificerede Organismer om vurdering af genetisk modificeret majs DP202216 × NK603 × DAS-40278-9 (ansøgning GMFF-2022-6232), </w:t>
      </w:r>
      <w:r w:rsidRPr="002B0090">
        <w:rPr>
          <w:i/>
          <w:sz w:val="24"/>
          <w:lang w:val="da-DK"/>
        </w:rPr>
        <w:t>EFSA Journal</w:t>
      </w:r>
      <w:r w:rsidRPr="002B0090">
        <w:rPr>
          <w:sz w:val="24"/>
          <w:lang w:val="da-DK"/>
        </w:rPr>
        <w:t xml:space="preserve">, 2025, 23(12):e9746, </w:t>
      </w:r>
      <w:hyperlink r:id="rId4" w:history="1">
        <w:r w:rsidRPr="002B0090">
          <w:rPr>
            <w:rStyle w:val="Hyperlink"/>
            <w:sz w:val="24"/>
            <w:lang w:val="da-DK"/>
          </w:rPr>
          <w:t>https://doi.org/10.2903/j.efsa.2025.9746</w:t>
        </w:r>
      </w:hyperlink>
      <w:r w:rsidRPr="002B0090">
        <w:rPr>
          <w:rStyle w:val="Hyperlink"/>
          <w:sz w:val="24"/>
          <w:lang w:val="da-DK"/>
        </w:rPr>
        <w:t>.</w:t>
      </w:r>
    </w:p>
  </w:footnote>
  <w:footnote w:id="6">
    <w:p w:rsidR="004B47C0" w:rsidRPr="002B0090" w:rsidP="002B0090" w14:paraId="2CD1A4AF" w14:textId="27BC8107">
      <w:pPr>
        <w:pStyle w:val="FootnoteText"/>
        <w:ind w:left="567" w:hanging="567"/>
        <w:rPr>
          <w:color w:val="000000" w:themeColor="text1"/>
          <w:sz w:val="24"/>
          <w:vertAlign w:val="superscript"/>
          <w:lang w:val="da-DK"/>
        </w:rPr>
      </w:pPr>
      <w:r w:rsidRPr="002B0090">
        <w:rPr>
          <w:rStyle w:val="Funotenzeichen"/>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Parlamentet vedtog i sin 8. valgperiode 36 beslutninger og i sin 9. valgperiode 38 beslutninger, hvori det gjorde indsigelse mod tilladelse af GMO'er.</w:t>
      </w:r>
      <w:r w:rsidRPr="002B0090">
        <w:rPr>
          <w:color w:val="000000" w:themeColor="text1"/>
          <w:sz w:val="24"/>
          <w:lang w:val="da-DK"/>
        </w:rPr>
        <w:t xml:space="preserve"> </w:t>
      </w:r>
      <w:r w:rsidRPr="002B0090">
        <w:rPr>
          <w:color w:val="000000" w:themeColor="text1"/>
          <w:sz w:val="24"/>
          <w:lang w:val="da-DK"/>
        </w:rPr>
        <w:t>Endvidere</w:t>
      </w:r>
      <w:r w:rsidRPr="002B0090">
        <w:rPr>
          <w:color w:val="000000" w:themeColor="text1"/>
          <w:sz w:val="24"/>
          <w:lang w:val="da-DK"/>
        </w:rPr>
        <w:t xml:space="preserve"> har Parlamentet i sin 10. valgperiode vedtaget følgende beslutninger:</w:t>
      </w:r>
    </w:p>
    <w:p w:rsidR="004B47C0" w:rsidRPr="002B0090" w:rsidP="00AD6CD2" w14:paraId="01A78ACB" w14:textId="51CED403">
      <w:pPr>
        <w:pStyle w:val="FootnoteText"/>
        <w:ind w:left="1134" w:hanging="567"/>
        <w:rPr>
          <w:color w:val="000000" w:themeColor="text1"/>
          <w:sz w:val="24"/>
          <w:vertAlign w:val="superscript"/>
          <w:lang w:val="da-DK"/>
        </w:rPr>
      </w:pPr>
      <w:r w:rsidRPr="002B0090">
        <w:rPr>
          <w:color w:val="000000" w:themeColor="text1"/>
          <w:sz w:val="24"/>
          <w:lang w:val="da-DK"/>
        </w:rPr>
        <w:t xml:space="preserve"> </w:t>
      </w:r>
      <w:r w:rsidRPr="002B0090">
        <w:rPr>
          <w:color w:val="000000" w:themeColor="text1"/>
          <w:sz w:val="24"/>
          <w:lang w:val="da-DK"/>
        </w:rPr>
        <w:t>–</w:t>
      </w:r>
      <w:r w:rsidRPr="002B0090">
        <w:rPr>
          <w:color w:val="000000" w:themeColor="text1"/>
          <w:sz w:val="24"/>
          <w:lang w:val="da-DK"/>
        </w:rPr>
        <w:tab/>
        <w:t>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5" w:history="1">
        <w:r w:rsidRPr="002B0090">
          <w:rPr>
            <w:rStyle w:val="Hyperlink"/>
            <w:sz w:val="24"/>
            <w:lang w:val="da-DK"/>
          </w:rPr>
          <w:t>http://data.europa.eu/eli/C/2025/1797/oj</w:t>
        </w:r>
      </w:hyperlink>
      <w:r w:rsidRPr="002B0090">
        <w:rPr>
          <w:color w:val="000000" w:themeColor="text1"/>
          <w:sz w:val="24"/>
          <w:lang w:val="da-DK"/>
        </w:rPr>
        <w:t>).</w:t>
      </w:r>
    </w:p>
    <w:p w:rsidR="004B47C0" w:rsidRPr="002B0090" w:rsidP="00AD6CD2" w14:paraId="13845096" w14:textId="06A862C4">
      <w:pPr>
        <w:pStyle w:val="FootnoteText"/>
        <w:ind w:left="1134" w:hanging="567"/>
        <w:rPr>
          <w:color w:val="000000" w:themeColor="text1"/>
          <w:sz w:val="24"/>
          <w:vertAlign w:val="superscript"/>
          <w:lang w:val="da-DK"/>
        </w:rPr>
      </w:pPr>
      <w:r w:rsidRPr="002B0090">
        <w:rPr>
          <w:color w:val="000000" w:themeColor="text1"/>
          <w:sz w:val="24"/>
          <w:lang w:val="da-DK"/>
        </w:rPr>
        <w:t xml:space="preserve"> </w:t>
      </w:r>
      <w:r w:rsidRPr="002B0090">
        <w:rPr>
          <w:color w:val="000000" w:themeColor="text1"/>
          <w:sz w:val="24"/>
          <w:lang w:val="da-DK"/>
        </w:rPr>
        <w:t>–</w:t>
      </w:r>
      <w:r w:rsidRPr="002B0090">
        <w:rPr>
          <w:color w:val="000000" w:themeColor="text1"/>
          <w:sz w:val="24"/>
          <w:lang w:val="da-DK"/>
        </w:rPr>
        <w:tab/>
        <w:t>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6" w:history="1">
        <w:r w:rsidRPr="002B0090">
          <w:rPr>
            <w:rStyle w:val="Hyperlink"/>
            <w:sz w:val="24"/>
            <w:lang w:val="da-DK"/>
          </w:rPr>
          <w:t>http://data.europa.eu/eli/C/2025/1798/oj</w:t>
        </w:r>
      </w:hyperlink>
      <w:r w:rsidRPr="002B0090">
        <w:rPr>
          <w:color w:val="000000" w:themeColor="text1"/>
          <w:sz w:val="24"/>
          <w:lang w:val="da-DK"/>
        </w:rPr>
        <w:t>)</w:t>
      </w:r>
    </w:p>
    <w:p w:rsidR="004B47C0" w:rsidRPr="002B0090" w:rsidP="00AD6CD2" w14:paraId="56143EDE" w14:textId="04E1AD5B">
      <w:pPr>
        <w:pStyle w:val="FootnoteText"/>
        <w:ind w:left="1134" w:hanging="567"/>
        <w:rPr>
          <w:color w:val="000000" w:themeColor="text1"/>
          <w:sz w:val="24"/>
          <w:vertAlign w:val="superscript"/>
          <w:lang w:val="da-DK"/>
        </w:rPr>
      </w:pPr>
      <w:r w:rsidRPr="002B0090">
        <w:rPr>
          <w:color w:val="000000" w:themeColor="text1"/>
          <w:sz w:val="24"/>
          <w:lang w:val="da-DK"/>
        </w:rPr>
        <w:t xml:space="preserve"> </w:t>
      </w:r>
      <w:r w:rsidRPr="002B0090">
        <w:rPr>
          <w:color w:val="000000" w:themeColor="text1"/>
          <w:sz w:val="24"/>
          <w:lang w:val="da-DK"/>
        </w:rPr>
        <w:t>–</w:t>
      </w:r>
      <w:r w:rsidRPr="002B0090">
        <w:rPr>
          <w:color w:val="000000" w:themeColor="text1"/>
          <w:sz w:val="24"/>
          <w:lang w:val="da-DK"/>
        </w:rPr>
        <w:tab/>
        <w:t>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7" w:history="1">
        <w:r w:rsidRPr="002B0090">
          <w:rPr>
            <w:rStyle w:val="Hyperlink"/>
            <w:sz w:val="24"/>
            <w:lang w:val="da-DK"/>
          </w:rPr>
          <w:t>http://data.europa.eu/eli/C/2025/1799/oj</w:t>
        </w:r>
      </w:hyperlink>
      <w:r w:rsidRPr="002B0090">
        <w:rPr>
          <w:color w:val="000000" w:themeColor="text1"/>
          <w:sz w:val="24"/>
          <w:lang w:val="da-DK"/>
        </w:rPr>
        <w:t>)</w:t>
      </w:r>
    </w:p>
    <w:p w:rsidR="004B47C0" w:rsidRPr="002B0090" w:rsidP="00AD6CD2" w14:paraId="61BCAEB7" w14:textId="60C43FB8">
      <w:pPr>
        <w:pStyle w:val="FootnoteText"/>
        <w:ind w:left="1134" w:hanging="567"/>
        <w:rPr>
          <w:color w:val="000000" w:themeColor="text1"/>
          <w:sz w:val="24"/>
          <w:vertAlign w:val="superscript"/>
          <w:lang w:val="da-DK"/>
        </w:rPr>
      </w:pPr>
      <w:r w:rsidRPr="002B0090">
        <w:rPr>
          <w:color w:val="000000" w:themeColor="text1"/>
          <w:sz w:val="24"/>
          <w:lang w:val="da-DK"/>
        </w:rPr>
        <w:t xml:space="preserve"> </w:t>
      </w:r>
      <w:r w:rsidRPr="002B0090">
        <w:rPr>
          <w:color w:val="000000" w:themeColor="text1"/>
          <w:sz w:val="24"/>
          <w:lang w:val="da-DK"/>
        </w:rPr>
        <w:t>–</w:t>
      </w:r>
      <w:r w:rsidRPr="002B0090">
        <w:rPr>
          <w:color w:val="000000" w:themeColor="text1"/>
          <w:sz w:val="24"/>
          <w:lang w:val="da-DK"/>
        </w:rPr>
        <w:tab/>
        <w:t>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8" w:history="1">
        <w:r w:rsidRPr="002B0090">
          <w:rPr>
            <w:rStyle w:val="Hyperlink"/>
            <w:sz w:val="24"/>
            <w:lang w:val="da-DK"/>
          </w:rPr>
          <w:t>http://data.europa.eu/eli/C/2025/1800/oj</w:t>
        </w:r>
      </w:hyperlink>
      <w:r w:rsidRPr="002B0090">
        <w:rPr>
          <w:color w:val="000000" w:themeColor="text1"/>
          <w:sz w:val="24"/>
          <w:lang w:val="da-DK"/>
        </w:rPr>
        <w:t>)</w:t>
      </w:r>
    </w:p>
    <w:p w:rsidR="004B47C0" w:rsidRPr="002B0090" w:rsidP="00AD6CD2" w14:paraId="1E877F65" w14:textId="63CD5081">
      <w:pPr>
        <w:pStyle w:val="FootnoteText"/>
        <w:ind w:left="1134" w:hanging="567"/>
        <w:rPr>
          <w:color w:val="000000" w:themeColor="text1"/>
          <w:sz w:val="24"/>
          <w:vertAlign w:val="superscript"/>
          <w:lang w:val="da-DK"/>
        </w:rPr>
      </w:pPr>
      <w:r w:rsidRPr="002B0090">
        <w:rPr>
          <w:color w:val="000000" w:themeColor="text1"/>
          <w:sz w:val="24"/>
          <w:lang w:val="da-DK"/>
        </w:rPr>
        <w:t xml:space="preserve"> </w:t>
      </w:r>
      <w:r w:rsidRPr="002B0090">
        <w:rPr>
          <w:color w:val="000000" w:themeColor="text1"/>
          <w:sz w:val="24"/>
          <w:lang w:val="da-DK"/>
        </w:rPr>
        <w:t>–</w:t>
      </w:r>
      <w:r w:rsidRPr="002B0090">
        <w:rPr>
          <w:color w:val="000000" w:themeColor="text1"/>
          <w:sz w:val="24"/>
          <w:lang w:val="da-DK"/>
        </w:rPr>
        <w:tab/>
        <w:t>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9" w:history="1">
        <w:r w:rsidRPr="002B0090">
          <w:rPr>
            <w:rStyle w:val="Hyperlink"/>
            <w:sz w:val="24"/>
            <w:lang w:val="da-DK"/>
          </w:rPr>
          <w:t>http://data.europa.eu/eli/C/2025/1801/oj</w:t>
        </w:r>
      </w:hyperlink>
      <w:r w:rsidRPr="002B0090">
        <w:rPr>
          <w:color w:val="000000" w:themeColor="text1"/>
          <w:sz w:val="24"/>
          <w:lang w:val="da-DK"/>
        </w:rPr>
        <w:t>)</w:t>
      </w:r>
    </w:p>
    <w:p w:rsidR="004B47C0" w:rsidRPr="002B0090" w:rsidP="00AD6CD2" w14:paraId="4F2F0228" w14:textId="56965CD3">
      <w:pPr>
        <w:pStyle w:val="FootnoteText"/>
        <w:ind w:left="1134" w:hanging="567"/>
        <w:rPr>
          <w:color w:val="000000" w:themeColor="text1"/>
          <w:sz w:val="24"/>
          <w:vertAlign w:val="superscript"/>
          <w:lang w:val="da-DK"/>
        </w:rPr>
      </w:pPr>
      <w:r w:rsidRPr="002B0090">
        <w:rPr>
          <w:color w:val="000000" w:themeColor="text1"/>
          <w:sz w:val="24"/>
          <w:lang w:val="da-DK"/>
        </w:rPr>
        <w:t xml:space="preserve"> </w:t>
      </w:r>
      <w:r w:rsidRPr="002B0090">
        <w:rPr>
          <w:color w:val="000000" w:themeColor="text1"/>
          <w:sz w:val="24"/>
          <w:lang w:val="da-DK"/>
        </w:rPr>
        <w:t>–</w:t>
      </w:r>
      <w:r w:rsidRPr="002B0090">
        <w:rPr>
          <w:color w:val="000000" w:themeColor="text1"/>
          <w:sz w:val="24"/>
          <w:lang w:val="da-DK"/>
        </w:rPr>
        <w:tab/>
        <w:t>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10" w:history="1">
        <w:r w:rsidRPr="002B0090">
          <w:rPr>
            <w:rStyle w:val="Hyperlink"/>
            <w:sz w:val="24"/>
            <w:lang w:val="da-DK"/>
          </w:rPr>
          <w:t>http://data.europa.eu/eli/C/2025/1802/oj</w:t>
        </w:r>
      </w:hyperlink>
      <w:r w:rsidRPr="002B0090">
        <w:rPr>
          <w:color w:val="000000" w:themeColor="text1"/>
          <w:sz w:val="24"/>
          <w:lang w:val="da-DK"/>
        </w:rPr>
        <w:t>)</w:t>
      </w:r>
    </w:p>
    <w:p w:rsidR="004B47C0" w:rsidRPr="002B0090" w:rsidP="00AD6CD2" w14:paraId="5972A8C6" w14:textId="6173DD12">
      <w:pPr>
        <w:pStyle w:val="FootnoteText"/>
        <w:ind w:left="1134" w:hanging="567"/>
        <w:rPr>
          <w:color w:val="000000" w:themeColor="text1"/>
          <w:sz w:val="24"/>
          <w:vertAlign w:val="superscript"/>
          <w:lang w:val="da-DK"/>
        </w:rPr>
      </w:pPr>
      <w:r w:rsidRPr="002B0090">
        <w:rPr>
          <w:color w:val="000000" w:themeColor="text1"/>
          <w:sz w:val="24"/>
          <w:lang w:val="da-DK"/>
        </w:rPr>
        <w:t xml:space="preserve"> </w:t>
      </w:r>
      <w:r w:rsidRPr="002B0090">
        <w:rPr>
          <w:color w:val="000000" w:themeColor="text1"/>
          <w:sz w:val="24"/>
          <w:lang w:val="da-DK"/>
        </w:rPr>
        <w:t>–</w:t>
      </w:r>
      <w:r w:rsidRPr="002B0090">
        <w:rPr>
          <w:color w:val="000000" w:themeColor="text1"/>
          <w:sz w:val="24"/>
          <w:lang w:val="da-DK"/>
        </w:rPr>
        <w:tab/>
        <w:t>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1" w:history="1">
        <w:r w:rsidRPr="002B0090">
          <w:rPr>
            <w:rStyle w:val="Hyperlink"/>
            <w:sz w:val="24"/>
            <w:lang w:val="da-DK"/>
          </w:rPr>
          <w:t>http://data.europa.eu/eli/C/2025/1803/oj</w:t>
        </w:r>
      </w:hyperlink>
      <w:r w:rsidRPr="002B0090">
        <w:rPr>
          <w:color w:val="000000" w:themeColor="text1"/>
          <w:sz w:val="24"/>
          <w:lang w:val="da-DK"/>
        </w:rPr>
        <w:t>)</w:t>
      </w:r>
    </w:p>
    <w:p w:rsidR="004B47C0" w:rsidRPr="002B0090" w:rsidP="00AD6CD2" w14:paraId="1EC19184" w14:textId="34F4F440">
      <w:pPr>
        <w:pStyle w:val="FootnoteText"/>
        <w:ind w:left="1134" w:hanging="567"/>
        <w:rPr>
          <w:color w:val="000000" w:themeColor="text1"/>
          <w:sz w:val="24"/>
          <w:vertAlign w:val="superscript"/>
          <w:lang w:val="da-DK"/>
        </w:rPr>
      </w:pPr>
      <w:r w:rsidRPr="002B0090">
        <w:rPr>
          <w:color w:val="000000" w:themeColor="text1"/>
          <w:sz w:val="24"/>
          <w:lang w:val="da-DK"/>
        </w:rPr>
        <w:t xml:space="preserve"> </w:t>
      </w:r>
      <w:r w:rsidRPr="002B0090">
        <w:rPr>
          <w:color w:val="000000" w:themeColor="text1"/>
          <w:sz w:val="24"/>
          <w:lang w:val="da-DK"/>
        </w:rPr>
        <w:t>–</w:t>
      </w:r>
      <w:r w:rsidRPr="002B0090">
        <w:rPr>
          <w:color w:val="000000" w:themeColor="text1"/>
          <w:sz w:val="24"/>
          <w:lang w:val="da-DK"/>
        </w:rPr>
        <w:tab/>
        <w:t>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2" w:history="1">
        <w:r w:rsidRPr="002B0090">
          <w:rPr>
            <w:rStyle w:val="Hyperlink"/>
            <w:sz w:val="24"/>
            <w:lang w:val="da-DK"/>
          </w:rPr>
          <w:t>http://data.europa.eu/eli/C/2025/1804/oj</w:t>
        </w:r>
      </w:hyperlink>
      <w:r w:rsidRPr="002B0090">
        <w:rPr>
          <w:color w:val="000000" w:themeColor="text1"/>
          <w:sz w:val="24"/>
          <w:lang w:val="da-DK"/>
        </w:rPr>
        <w:t>)</w:t>
      </w:r>
    </w:p>
    <w:p w:rsidR="004B47C0" w:rsidRPr="002B0090" w:rsidP="00AD6CD2" w14:paraId="02F849C7" w14:textId="344B06A1">
      <w:pPr>
        <w:pStyle w:val="FootnoteText"/>
        <w:ind w:left="1134" w:hanging="567"/>
        <w:rPr>
          <w:sz w:val="24"/>
          <w:vertAlign w:val="superscript"/>
          <w:lang w:val="da-DK"/>
        </w:rPr>
      </w:pPr>
      <w:r w:rsidRPr="002B0090">
        <w:rPr>
          <w:color w:val="000000" w:themeColor="text1"/>
          <w:sz w:val="24"/>
          <w:lang w:val="da-DK"/>
        </w:rPr>
        <w:t xml:space="preserve"> </w:t>
      </w:r>
      <w:r w:rsidRPr="002B0090">
        <w:rPr>
          <w:color w:val="000000" w:themeColor="text1"/>
          <w:sz w:val="24"/>
          <w:lang w:val="da-DK"/>
        </w:rPr>
        <w:t>–</w:t>
      </w:r>
      <w:r w:rsidRPr="002B0090">
        <w:rPr>
          <w:color w:val="000000" w:themeColor="text1"/>
          <w:sz w:val="24"/>
          <w:lang w:val="da-DK"/>
        </w:rPr>
        <w:tab/>
      </w:r>
      <w:r w:rsidRPr="002B0090">
        <w:rPr>
          <w:sz w:val="24"/>
          <w:lang w:val="da-DK"/>
        </w:rPr>
        <w:t>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3" w:history="1">
        <w:r w:rsidRPr="002B0090">
          <w:rPr>
            <w:rStyle w:val="Hyperlink"/>
            <w:sz w:val="24"/>
            <w:lang w:val="da-DK"/>
          </w:rPr>
          <w:t>http://data.europa.eu/eli/C/2025/2246/oj</w:t>
        </w:r>
      </w:hyperlink>
      <w:r w:rsidRPr="002B0090">
        <w:rPr>
          <w:sz w:val="24"/>
          <w:lang w:val="da-DK"/>
        </w:rPr>
        <w:t>)</w:t>
      </w:r>
    </w:p>
    <w:p w:rsidR="004B47C0" w:rsidRPr="002B0090" w:rsidP="00AD6CD2" w14:paraId="0A32FC16" w14:textId="3D4A1DFD">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4" w:history="1">
        <w:r w:rsidRPr="002B0090">
          <w:rPr>
            <w:rStyle w:val="Hyperlink"/>
            <w:sz w:val="24"/>
            <w:lang w:val="da-DK"/>
          </w:rPr>
          <w:t>http://data.europa.eu/eli/C/2025/2247/oj</w:t>
        </w:r>
      </w:hyperlink>
      <w:r w:rsidRPr="002B0090">
        <w:rPr>
          <w:sz w:val="24"/>
          <w:lang w:val="da-DK"/>
        </w:rPr>
        <w:t>)</w:t>
      </w:r>
    </w:p>
    <w:p w:rsidR="004B47C0" w:rsidRPr="002B0090" w:rsidP="00AD6CD2" w14:paraId="60FD9296" w14:textId="5F6D4208">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8. maj 2025 om udkast til Kommissionens gennemførelsesafgørelse om tilladelse til markedsføring af produkter, der indeholder, består af eller er fremstillet af genetisk modificeret MON 87705 × MON 87708 × MON 89788-sojabønne, i henhold til Europa-Parlamentets og Rådets forordning (EF) nr. 1829/2003 (EUT C, C/2026/586, 24.2.2026, ELI: </w:t>
      </w:r>
      <w:hyperlink r:id="rId15" w:tooltip="Giver adgang til dokumentet via dets ELI-URI." w:history="1">
        <w:r w:rsidRPr="002B0090">
          <w:rPr>
            <w:rStyle w:val="Hyperlink"/>
            <w:sz w:val="24"/>
            <w:lang w:val="da-DK"/>
          </w:rPr>
          <w:t>http://data.europa.eu/eli/C/2026/586/oj</w:t>
        </w:r>
      </w:hyperlink>
      <w:r w:rsidRPr="002B0090">
        <w:rPr>
          <w:sz w:val="24"/>
          <w:lang w:val="da-DK"/>
        </w:rPr>
        <w:t>)</w:t>
      </w:r>
    </w:p>
    <w:p w:rsidR="004B47C0" w:rsidRPr="002B0090" w:rsidP="00AD6CD2" w14:paraId="7AED76F8" w14:textId="7D8B25E9">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(EUT C, C/2026/1523, 15.4.2026, ELI: </w:t>
      </w:r>
      <w:hyperlink r:id="rId16" w:history="1">
        <w:r w:rsidRPr="002B0090">
          <w:rPr>
            <w:rStyle w:val="Hyperlink"/>
            <w:sz w:val="24"/>
            <w:lang w:val="da-DK"/>
          </w:rPr>
          <w:t>http://data.europa.eu/eli/C/2026/1523/oj</w:t>
        </w:r>
      </w:hyperlink>
      <w:r w:rsidRPr="002B0090">
        <w:rPr>
          <w:sz w:val="24"/>
          <w:lang w:val="da-DK"/>
        </w:rPr>
        <w:t>)</w:t>
      </w:r>
    </w:p>
    <w:p w:rsidR="004B47C0" w:rsidRPr="002B0090" w:rsidP="00AD6CD2" w14:paraId="02FA0DFF" w14:textId="5E3A6942">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25. november 2025 om udkast til Kommissionens gennemførelsesafgørelse om tilladelse til markedsføring af produkter, der indeholder, består af eller er fremstillet af genetisk modificeret DAS1131-majs, i henhold til Europa-Parlamentets og Rådets forordning (EF) nr. 1829/2003 (EUT C, C/2026/1703, 24.4.2026, ELI: </w:t>
      </w:r>
      <w:hyperlink r:id="rId17" w:history="1">
        <w:r w:rsidRPr="002B0090">
          <w:rPr>
            <w:rStyle w:val="Hyperlink"/>
            <w:sz w:val="24"/>
            <w:lang w:val="da-DK"/>
          </w:rPr>
          <w:t>http://data.europa.eu/eli/C/2026/1703/oj</w:t>
        </w:r>
      </w:hyperlink>
      <w:r w:rsidRPr="002B0090">
        <w:rPr>
          <w:sz w:val="24"/>
          <w:lang w:val="da-DK"/>
        </w:rPr>
        <w:t>)</w:t>
      </w:r>
    </w:p>
    <w:p w:rsidR="004B47C0" w:rsidRPr="002B0090" w:rsidP="00AD6CD2" w14:paraId="4DF79387" w14:textId="01E4EE82">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88913-bomuld (MON-88913-8), i henhold til Europa-Parlamentets og Rådets forordning (EF) nr. 1829/2003 (EUT C, C/2026/1704, 24.4.2026 </w:t>
      </w:r>
      <w:hyperlink r:id="rId18" w:history="1">
        <w:r w:rsidRPr="002B0090">
          <w:rPr>
            <w:rStyle w:val="Hyperlink"/>
            <w:sz w:val="24"/>
            <w:lang w:val="da-DK"/>
          </w:rPr>
          <w:t>http://data.europa.eu/eli/C/2026/1704/oj</w:t>
        </w:r>
      </w:hyperlink>
      <w:r w:rsidRPr="002B0090">
        <w:rPr>
          <w:sz w:val="24"/>
          <w:lang w:val="da-DK"/>
        </w:rPr>
        <w:t>)</w:t>
      </w:r>
    </w:p>
    <w:p w:rsidR="004B47C0" w:rsidRPr="002B0090" w:rsidP="00AD6CD2" w14:paraId="2DE37C1C" w14:textId="469EA96C">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88302-raps i henhold til Europa-Parlamentets og Rådets forordning (EF) nr. 1829/2003 (EUT C, C/2026/1705, 24.4.2026, ELI: </w:t>
      </w:r>
      <w:hyperlink r:id="rId19" w:history="1">
        <w:r w:rsidRPr="002B0090">
          <w:rPr>
            <w:rStyle w:val="Hyperlink"/>
            <w:sz w:val="24"/>
            <w:lang w:val="da-DK"/>
          </w:rPr>
          <w:t>http://data.europa.eu/eli/C/2026/1705/oj</w:t>
        </w:r>
      </w:hyperlink>
      <w:r w:rsidRPr="002B0090">
        <w:rPr>
          <w:sz w:val="24"/>
          <w:lang w:val="da-DK"/>
        </w:rPr>
        <w:t>)</w:t>
      </w:r>
    </w:p>
    <w:p w:rsidR="004B47C0" w:rsidRPr="002B0090" w:rsidP="00AD6CD2" w14:paraId="0B1D1564" w14:textId="4FD676EB">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25. november 2025 om Kommissionens gennemførelsesafgørelse om forlængelse af tilladelse til markedsføring af produkter, der indeholder, består af eller er fremstillet af genetisk modificeret MON 87708-sojabønne, i henhold til Europa-Parlamentets og Rådets forordning (EF) nr. 1829/2003 (EUT C, C/2026/1706, 24.4.2026, ELI: </w:t>
      </w:r>
      <w:hyperlink r:id="rId20" w:history="1">
        <w:r w:rsidRPr="002B0090">
          <w:rPr>
            <w:rStyle w:val="Hyperlink"/>
            <w:sz w:val="24"/>
            <w:lang w:val="da-DK"/>
          </w:rPr>
          <w:t>http://data.europa.eu/eli/C/2026/1706/oj</w:t>
        </w:r>
      </w:hyperlink>
      <w:r w:rsidRPr="002B0090">
        <w:rPr>
          <w:sz w:val="24"/>
          <w:lang w:val="da-DK"/>
        </w:rPr>
        <w:t>)</w:t>
      </w:r>
    </w:p>
    <w:p w:rsidR="004B47C0" w:rsidRPr="002B0090" w:rsidP="00AD6CD2" w14:paraId="75CA6149" w14:textId="719CE850">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25. november 2025 om udkast til Kommissionens gennemførelsesafgørelse om forlængelse af tilladelsen til markedsføring af produkter, der indeholder, består af eller er fremstillet af genetisk modificeret MON 87427-majs, i henhold til Europa-Parlamentets og Rådets forordning (EF) nr. 1829/2003 (EUT C, C/2026/1707, 24.4.2026, ELI: </w:t>
      </w:r>
      <w:hyperlink r:id="rId21" w:history="1">
        <w:r w:rsidRPr="002B0090">
          <w:rPr>
            <w:rStyle w:val="Hyperlink"/>
            <w:sz w:val="24"/>
            <w:lang w:val="da-DK"/>
          </w:rPr>
          <w:t>http://data.europa.eu/eli/C/2026/1707/oj</w:t>
        </w:r>
      </w:hyperlink>
      <w:r w:rsidRPr="002B0090">
        <w:rPr>
          <w:sz w:val="24"/>
          <w:lang w:val="da-DK"/>
        </w:rPr>
        <w:t>)</w:t>
      </w:r>
    </w:p>
    <w:p w:rsidR="004B47C0" w:rsidRPr="002B0090" w:rsidP="00AD6CD2" w14:paraId="7003240E" w14:textId="2B894830">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16. december 2025 om udkast til Kommissionens gennemførelsesafgørelse om forlængelse af tilladelsen til markedsføring af produkter, der indeholder, består af eller er fremstillet af genetisk modificeret NK603-majs, i henhold til Europa-Parlamentets og Rådets forordning (EF) nr. 1829/2003 (EUT C, C/2026/2150, 6.5.2026, ELI: </w:t>
      </w:r>
      <w:hyperlink r:id="rId22" w:history="1">
        <w:r w:rsidRPr="002B0090">
          <w:rPr>
            <w:rStyle w:val="Hyperlink"/>
            <w:sz w:val="24"/>
            <w:lang w:val="da-DK"/>
          </w:rPr>
          <w:t>http://data.europa.eu/eli/C/2026/2150/oj</w:t>
        </w:r>
      </w:hyperlink>
      <w:r w:rsidRPr="002B0090">
        <w:rPr>
          <w:sz w:val="24"/>
          <w:lang w:val="da-DK"/>
        </w:rPr>
        <w:t>)</w:t>
      </w:r>
    </w:p>
    <w:p w:rsidR="004B47C0" w:rsidRPr="002B0090" w:rsidP="00AD6CD2" w14:paraId="438B14B6" w14:textId="4CA32E7B">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16. december 2025 om udkast til Kommissionens gennemførelsesafgørelse om tilladelse til markedsføring af produkter, der indeholder, består af eller er fremstillet af genetisk modificeret KWS20-1-sukkerroe, i henhold til Europa-Parlamentets og Rådets forordning (EF) nr. 829/2003 (EUT C, C/2026/2151, 6.5.2026, ELI: </w:t>
      </w:r>
      <w:hyperlink r:id="rId23" w:history="1">
        <w:r w:rsidRPr="002B0090">
          <w:rPr>
            <w:rStyle w:val="Hyperlink"/>
            <w:sz w:val="24"/>
            <w:lang w:val="da-DK"/>
          </w:rPr>
          <w:t>http://data.europa.eu/eli/C/2026/2151/oj</w:t>
        </w:r>
      </w:hyperlink>
      <w:r w:rsidRPr="002B0090">
        <w:rPr>
          <w:sz w:val="24"/>
          <w:lang w:val="da-DK"/>
        </w:rPr>
        <w:t>).</w:t>
      </w:r>
    </w:p>
    <w:p w:rsidR="004B47C0" w:rsidRPr="002B0090" w:rsidP="00AD6CD2" w14:paraId="49A66C0C" w14:textId="2B3B04BE">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11. februar 2026 om udkast til Kommissionens gennemførelsesafgørelse om tilladelse til markedsføring af produkter, der indeholder, består af eller er fremstillet af genetisk modificeret DBN-09004-6-sojabønne, i henhold til Europa-Parlamentets og Rådets forordning (EF) nr. 1829/2003 (Vedtagne tekster, P10_</w:t>
      </w:r>
      <w:r w:rsidRPr="002B0090">
        <w:rPr>
          <w:sz w:val="24"/>
          <w:lang w:val="da-DK"/>
        </w:rPr>
        <w:t>TA(</w:t>
      </w:r>
      <w:r w:rsidRPr="002B0090">
        <w:rPr>
          <w:sz w:val="24"/>
          <w:lang w:val="da-DK"/>
        </w:rPr>
        <w:t>2026)0041)</w:t>
      </w:r>
    </w:p>
    <w:p w:rsidR="004B47C0" w:rsidRPr="002B0090" w:rsidP="00AD6CD2" w14:paraId="108BF1B6" w14:textId="1231C19F">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T25-majs (ACS-ZMØØ3-2), i henhold til Europa-Parlamentets og Rådets forordning (EF) nr. 1829/2003 (Vedtagne tekster, P10_</w:t>
      </w:r>
      <w:r w:rsidRPr="002B0090">
        <w:rPr>
          <w:sz w:val="24"/>
          <w:lang w:val="da-DK"/>
        </w:rPr>
        <w:t>TA(</w:t>
      </w:r>
      <w:r w:rsidRPr="002B0090">
        <w:rPr>
          <w:sz w:val="24"/>
          <w:lang w:val="da-DK"/>
        </w:rPr>
        <w:t>2026)0042)</w:t>
      </w:r>
    </w:p>
    <w:p w:rsidR="004B47C0" w:rsidRPr="002B0090" w:rsidP="00AD6CD2" w14:paraId="63C4956D" w14:textId="19DDA703">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GHB614 × LLCotton25-bomuld, i henhold til Europa-Parlamentets og Rådets forordning (EF) nr. 1829/2003 (Vedtagne tekster, P10_</w:t>
      </w:r>
      <w:r w:rsidRPr="002B0090">
        <w:rPr>
          <w:sz w:val="24"/>
          <w:lang w:val="da-DK"/>
        </w:rPr>
        <w:t>TA(</w:t>
      </w:r>
      <w:r w:rsidRPr="002B0090">
        <w:rPr>
          <w:sz w:val="24"/>
          <w:lang w:val="da-DK"/>
        </w:rPr>
        <w:t>2026)0043)</w:t>
      </w:r>
    </w:p>
    <w:p w:rsidR="004B47C0" w:rsidRPr="002B0090" w:rsidP="00AD6CD2" w14:paraId="07A56D4A" w14:textId="675CE50B">
      <w:pPr>
        <w:pStyle w:val="FootnoteText"/>
        <w:ind w:left="1134" w:hanging="567"/>
        <w:rPr>
          <w:sz w:val="24"/>
          <w:vertAlign w:val="superscript"/>
          <w:lang w:val="da-DK"/>
        </w:rPr>
      </w:pPr>
      <w:r w:rsidRPr="002B0090">
        <w:rPr>
          <w:sz w:val="24"/>
          <w:lang w:val="da-DK"/>
        </w:rPr>
        <w:t xml:space="preserve"> </w:t>
      </w:r>
      <w:r w:rsidRPr="002B0090">
        <w:rPr>
          <w:sz w:val="24"/>
          <w:lang w:val="da-DK"/>
        </w:rPr>
        <w:t>–</w:t>
      </w:r>
      <w:r w:rsidRPr="002B0090">
        <w:rPr>
          <w:sz w:val="24"/>
          <w:lang w:val="da-DK"/>
        </w:rPr>
        <w:tab/>
        <w:t>Europa-Parlamentets beslutning af 11. februar 2026 om udkast til Kommissionens gennemførelsesafgørelse om forlængelse af tilladelsen til markedsføring af produkter, der indeholder, består af eller er fremstillet af genetisk modificeret T304-40-bomuld, i henhold til Europa-Parlamentets og Rådets forordning (EF) nr. 1829/2003 (Vedtagne tekster, P10_</w:t>
      </w:r>
      <w:r w:rsidRPr="002B0090">
        <w:rPr>
          <w:sz w:val="24"/>
          <w:lang w:val="da-DK"/>
        </w:rPr>
        <w:t>TA(</w:t>
      </w:r>
      <w:r w:rsidRPr="002B0090">
        <w:rPr>
          <w:sz w:val="24"/>
          <w:lang w:val="da-DK"/>
        </w:rPr>
        <w:t>2026)0044)</w:t>
      </w:r>
    </w:p>
    <w:p w:rsidR="004B47C0" w:rsidRPr="002B0090" w:rsidP="00AD6CD2" w14:paraId="705E5891" w14:textId="71CBD7B8">
      <w:pPr>
        <w:pStyle w:val="FootnoteText"/>
        <w:ind w:left="1134" w:hanging="567"/>
        <w:rPr>
          <w:sz w:val="24"/>
          <w:lang w:val="da-DK"/>
        </w:rPr>
      </w:pPr>
      <w:r w:rsidRPr="002B0090">
        <w:rPr>
          <w:sz w:val="24"/>
          <w:lang w:val="da-DK"/>
        </w:rPr>
        <w:t xml:space="preserve"> </w:t>
      </w:r>
      <w:r w:rsidRPr="002B0090">
        <w:rPr>
          <w:sz w:val="24"/>
          <w:lang w:val="da-DK"/>
        </w:rPr>
        <w:t>–</w:t>
      </w:r>
      <w:r w:rsidRPr="002B0090">
        <w:rPr>
          <w:sz w:val="24"/>
          <w:lang w:val="da-DK"/>
        </w:rPr>
        <w:tab/>
        <w:t>Europa-Parlamentets beslutning af 29. april 2026 om udkast til Kommissionens gennemførelsesafgørelse om tilladelse til markedsføring af produkter, der indeholder, består af eller er fremstillet af genetisk modificeret sojabønne MON 94637, i henhold til Europa-Parlamentets og Rådets forordning (EF) nr. 1829/2003 (Vedtagne tekster, P10_</w:t>
      </w:r>
      <w:r w:rsidRPr="002B0090">
        <w:rPr>
          <w:sz w:val="24"/>
          <w:lang w:val="da-DK"/>
        </w:rPr>
        <w:t>TA(</w:t>
      </w:r>
      <w:r w:rsidRPr="002B0090">
        <w:rPr>
          <w:sz w:val="24"/>
          <w:lang w:val="da-DK"/>
        </w:rPr>
        <w:t>2026)0150).</w:t>
      </w:r>
    </w:p>
  </w:footnote>
  <w:footnote w:id="7">
    <w:p w:rsidR="004B47C0" w:rsidRPr="002B0090" w:rsidP="002B0090" w14:paraId="6E78A4B7" w14:textId="2074B4A9">
      <w:pPr>
        <w:pStyle w:val="FootnoteText"/>
        <w:ind w:left="567" w:hanging="567"/>
        <w:rPr>
          <w:sz w:val="24"/>
          <w:lang w:val="da-DK"/>
        </w:rPr>
      </w:pPr>
      <w:r w:rsidRPr="002B0090">
        <w:rPr>
          <w:rStyle w:val="FootnoteReference"/>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EFSA's</w:t>
      </w:r>
      <w:r w:rsidRPr="002B0090">
        <w:rPr>
          <w:sz w:val="24"/>
          <w:lang w:val="da-DK"/>
        </w:rPr>
        <w:t xml:space="preserve"> </w:t>
      </w:r>
      <w:r w:rsidR="00821E9C">
        <w:rPr>
          <w:sz w:val="24"/>
          <w:lang w:val="da-DK"/>
        </w:rPr>
        <w:t xml:space="preserve">videnskabelige </w:t>
      </w:r>
      <w:r w:rsidRPr="002B0090">
        <w:rPr>
          <w:sz w:val="24"/>
          <w:lang w:val="da-DK"/>
        </w:rPr>
        <w:t xml:space="preserve">udtalelse, </w:t>
      </w:r>
      <w:hyperlink r:id="rId4" w:history="1">
        <w:r w:rsidRPr="002B0090">
          <w:rPr>
            <w:rStyle w:val="Hyperlink"/>
            <w:sz w:val="24"/>
            <w:lang w:val="da-DK"/>
          </w:rPr>
          <w:t>https://doi.org/10.2903/j.efsa.2025.9746</w:t>
        </w:r>
      </w:hyperlink>
      <w:r w:rsidRPr="002B0090">
        <w:rPr>
          <w:sz w:val="24"/>
          <w:lang w:val="da-DK"/>
        </w:rPr>
        <w:t>, s. 7.</w:t>
      </w:r>
    </w:p>
  </w:footnote>
  <w:footnote w:id="8">
    <w:p w:rsidR="004B47C0" w:rsidRPr="002B0090" w:rsidP="002B0090" w14:paraId="2553EC01" w14:textId="16323C20">
      <w:pPr>
        <w:pStyle w:val="FootnoteText"/>
        <w:ind w:left="567" w:hanging="567"/>
        <w:rPr>
          <w:sz w:val="24"/>
          <w:lang w:val="da-DK"/>
        </w:rPr>
      </w:pPr>
      <w:r w:rsidRPr="002B0090">
        <w:rPr>
          <w:rStyle w:val="FootnoteReference"/>
          <w:sz w:val="24"/>
          <w:szCs w:val="24"/>
          <w:lang w:val="da-DK"/>
        </w:rPr>
        <w:footnoteRef/>
      </w:r>
      <w:r w:rsidRPr="002B0090" w:rsidR="002B0090">
        <w:rPr>
          <w:sz w:val="24"/>
          <w:shd w:val="clear" w:color="auto" w:fill="FFFFFF"/>
          <w:lang w:val="da-DK"/>
        </w:rPr>
        <w:t xml:space="preserve"> </w:t>
      </w:r>
      <w:r w:rsidRPr="002B0090" w:rsidR="002B0090">
        <w:rPr>
          <w:sz w:val="24"/>
          <w:shd w:val="clear" w:color="auto" w:fill="FFFFFF"/>
          <w:lang w:val="da-DK"/>
        </w:rPr>
        <w:tab/>
      </w:r>
      <w:r w:rsidRPr="002B0090">
        <w:rPr>
          <w:sz w:val="24"/>
          <w:shd w:val="clear" w:color="auto" w:fill="FFFFFF"/>
          <w:lang w:val="da-DK"/>
        </w:rPr>
        <w:t>Se f.eks. S. Bonny, "</w:t>
      </w:r>
      <w:r w:rsidRPr="002B0090">
        <w:rPr>
          <w:sz w:val="24"/>
          <w:shd w:val="clear" w:color="auto" w:fill="FFFFFF"/>
          <w:lang w:val="da-DK"/>
        </w:rPr>
        <w:t>Genetically</w:t>
      </w:r>
      <w:r w:rsidRPr="002B0090">
        <w:rPr>
          <w:sz w:val="24"/>
          <w:shd w:val="clear" w:color="auto" w:fill="FFFFFF"/>
          <w:lang w:val="da-DK"/>
        </w:rPr>
        <w:t xml:space="preserve"> </w:t>
      </w:r>
      <w:r w:rsidRPr="002B0090">
        <w:rPr>
          <w:sz w:val="24"/>
          <w:shd w:val="clear" w:color="auto" w:fill="FFFFFF"/>
          <w:lang w:val="da-DK"/>
        </w:rPr>
        <w:t>Modified</w:t>
      </w:r>
      <w:r w:rsidRPr="002B0090">
        <w:rPr>
          <w:sz w:val="24"/>
          <w:shd w:val="clear" w:color="auto" w:fill="FFFFFF"/>
          <w:lang w:val="da-DK"/>
        </w:rPr>
        <w:t xml:space="preserve"> </w:t>
      </w:r>
      <w:r w:rsidRPr="002B0090">
        <w:rPr>
          <w:sz w:val="24"/>
          <w:shd w:val="clear" w:color="auto" w:fill="FFFFFF"/>
          <w:lang w:val="da-DK"/>
        </w:rPr>
        <w:t>Herbicide</w:t>
      </w:r>
      <w:r w:rsidRPr="002B0090">
        <w:rPr>
          <w:sz w:val="24"/>
          <w:shd w:val="clear" w:color="auto" w:fill="FFFFFF"/>
          <w:lang w:val="da-DK"/>
        </w:rPr>
        <w:t xml:space="preserve">-Tolerant </w:t>
      </w:r>
      <w:r w:rsidRPr="002B0090">
        <w:rPr>
          <w:sz w:val="24"/>
          <w:shd w:val="clear" w:color="auto" w:fill="FFFFFF"/>
          <w:lang w:val="da-DK"/>
        </w:rPr>
        <w:t>Crops</w:t>
      </w:r>
      <w:r w:rsidRPr="002B0090">
        <w:rPr>
          <w:sz w:val="24"/>
          <w:shd w:val="clear" w:color="auto" w:fill="FFFFFF"/>
          <w:lang w:val="da-DK"/>
        </w:rPr>
        <w:t xml:space="preserve">, </w:t>
      </w:r>
      <w:r w:rsidRPr="002B0090">
        <w:rPr>
          <w:sz w:val="24"/>
          <w:shd w:val="clear" w:color="auto" w:fill="FFFFFF"/>
          <w:lang w:val="da-DK"/>
        </w:rPr>
        <w:t>Weeds</w:t>
      </w:r>
      <w:r w:rsidRPr="002B0090">
        <w:rPr>
          <w:sz w:val="24"/>
          <w:shd w:val="clear" w:color="auto" w:fill="FFFFFF"/>
          <w:lang w:val="da-DK"/>
        </w:rPr>
        <w:t xml:space="preserve">, and </w:t>
      </w:r>
      <w:r w:rsidRPr="002B0090">
        <w:rPr>
          <w:sz w:val="24"/>
          <w:shd w:val="clear" w:color="auto" w:fill="FFFFFF"/>
          <w:lang w:val="da-DK"/>
        </w:rPr>
        <w:t>Herbicides</w:t>
      </w:r>
      <w:r w:rsidRPr="002B0090">
        <w:rPr>
          <w:sz w:val="24"/>
          <w:shd w:val="clear" w:color="auto" w:fill="FFFFFF"/>
          <w:lang w:val="da-DK"/>
        </w:rPr>
        <w:t xml:space="preserve">: Overview and </w:t>
      </w:r>
      <w:r w:rsidRPr="002B0090">
        <w:rPr>
          <w:sz w:val="24"/>
          <w:shd w:val="clear" w:color="auto" w:fill="FFFFFF"/>
          <w:lang w:val="da-DK"/>
        </w:rPr>
        <w:t>Impact</w:t>
      </w:r>
      <w:r w:rsidRPr="002B0090">
        <w:rPr>
          <w:sz w:val="24"/>
          <w:shd w:val="clear" w:color="auto" w:fill="FFFFFF"/>
          <w:lang w:val="da-DK"/>
        </w:rPr>
        <w:t xml:space="preserve">", </w:t>
      </w:r>
      <w:r w:rsidRPr="002B0090">
        <w:rPr>
          <w:i/>
          <w:sz w:val="24"/>
          <w:shd w:val="clear" w:color="auto" w:fill="FFFFFF"/>
          <w:lang w:val="da-DK"/>
        </w:rPr>
        <w:t>Environmental</w:t>
      </w:r>
      <w:r w:rsidRPr="002B0090">
        <w:rPr>
          <w:i/>
          <w:sz w:val="24"/>
          <w:shd w:val="clear" w:color="auto" w:fill="FFFFFF"/>
          <w:lang w:val="da-DK"/>
        </w:rPr>
        <w:t xml:space="preserve"> Management</w:t>
      </w:r>
      <w:r w:rsidRPr="002B0090">
        <w:rPr>
          <w:sz w:val="24"/>
          <w:shd w:val="clear" w:color="auto" w:fill="FFFFFF"/>
          <w:lang w:val="da-DK"/>
        </w:rPr>
        <w:t xml:space="preserve">, januar 2016, 57(1), pp. 31-48, </w:t>
      </w:r>
      <w:hyperlink r:id="rId24" w:history="1">
        <w:r w:rsidRPr="002B0090">
          <w:rPr>
            <w:rStyle w:val="Hyperlink"/>
            <w:sz w:val="24"/>
            <w:shd w:val="clear" w:color="auto" w:fill="FFFFFF"/>
            <w:lang w:val="da-DK"/>
          </w:rPr>
          <w:t>https://doi.org/10.1007/s00267-015-0589-7</w:t>
        </w:r>
      </w:hyperlink>
      <w:r w:rsidRPr="002B0090">
        <w:rPr>
          <w:sz w:val="24"/>
          <w:shd w:val="clear" w:color="auto" w:fill="FFFFFF"/>
          <w:lang w:val="da-DK"/>
        </w:rPr>
        <w:t xml:space="preserve"> og </w:t>
      </w:r>
      <w:r w:rsidRPr="002B0090">
        <w:rPr>
          <w:sz w:val="24"/>
          <w:shd w:val="clear" w:color="auto" w:fill="FFFFFF"/>
          <w:lang w:val="da-DK"/>
        </w:rPr>
        <w:t>Benbrook</w:t>
      </w:r>
      <w:r w:rsidRPr="002B0090">
        <w:rPr>
          <w:sz w:val="24"/>
          <w:shd w:val="clear" w:color="auto" w:fill="FFFFFF"/>
          <w:lang w:val="da-DK"/>
        </w:rPr>
        <w:t>, C.M., "</w:t>
      </w:r>
      <w:r w:rsidRPr="002B0090">
        <w:rPr>
          <w:sz w:val="24"/>
          <w:shd w:val="clear" w:color="auto" w:fill="FFFFFF"/>
          <w:lang w:val="da-DK"/>
        </w:rPr>
        <w:t>Impacts</w:t>
      </w:r>
      <w:r w:rsidRPr="002B0090">
        <w:rPr>
          <w:sz w:val="24"/>
          <w:shd w:val="clear" w:color="auto" w:fill="FFFFFF"/>
          <w:lang w:val="da-DK"/>
        </w:rPr>
        <w:t xml:space="preserve"> of </w:t>
      </w:r>
      <w:r w:rsidRPr="002B0090">
        <w:rPr>
          <w:sz w:val="24"/>
          <w:shd w:val="clear" w:color="auto" w:fill="FFFFFF"/>
          <w:lang w:val="da-DK"/>
        </w:rPr>
        <w:t>genetically</w:t>
      </w:r>
      <w:r w:rsidRPr="002B0090">
        <w:rPr>
          <w:sz w:val="24"/>
          <w:shd w:val="clear" w:color="auto" w:fill="FFFFFF"/>
          <w:lang w:val="da-DK"/>
        </w:rPr>
        <w:t xml:space="preserve"> </w:t>
      </w:r>
      <w:r w:rsidRPr="002B0090">
        <w:rPr>
          <w:sz w:val="24"/>
          <w:shd w:val="clear" w:color="auto" w:fill="FFFFFF"/>
          <w:lang w:val="da-DK"/>
        </w:rPr>
        <w:t>engineered</w:t>
      </w:r>
      <w:r w:rsidRPr="002B0090">
        <w:rPr>
          <w:sz w:val="24"/>
          <w:shd w:val="clear" w:color="auto" w:fill="FFFFFF"/>
          <w:lang w:val="da-DK"/>
        </w:rPr>
        <w:t xml:space="preserve"> </w:t>
      </w:r>
      <w:r w:rsidRPr="002B0090">
        <w:rPr>
          <w:sz w:val="24"/>
          <w:shd w:val="clear" w:color="auto" w:fill="FFFFFF"/>
          <w:lang w:val="da-DK"/>
        </w:rPr>
        <w:t>crops</w:t>
      </w:r>
      <w:r w:rsidRPr="002B0090">
        <w:rPr>
          <w:sz w:val="24"/>
          <w:shd w:val="clear" w:color="auto" w:fill="FFFFFF"/>
          <w:lang w:val="da-DK"/>
        </w:rPr>
        <w:t xml:space="preserve"> on </w:t>
      </w:r>
      <w:r w:rsidRPr="002B0090">
        <w:rPr>
          <w:sz w:val="24"/>
          <w:shd w:val="clear" w:color="auto" w:fill="FFFFFF"/>
          <w:lang w:val="da-DK"/>
        </w:rPr>
        <w:t>pesticide</w:t>
      </w:r>
      <w:r w:rsidRPr="002B0090">
        <w:rPr>
          <w:sz w:val="24"/>
          <w:shd w:val="clear" w:color="auto" w:fill="FFFFFF"/>
          <w:lang w:val="da-DK"/>
        </w:rPr>
        <w:t xml:space="preserve"> </w:t>
      </w:r>
      <w:r w:rsidRPr="002B0090">
        <w:rPr>
          <w:sz w:val="24"/>
          <w:shd w:val="clear" w:color="auto" w:fill="FFFFFF"/>
          <w:lang w:val="da-DK"/>
        </w:rPr>
        <w:t>use</w:t>
      </w:r>
      <w:r w:rsidRPr="002B0090">
        <w:rPr>
          <w:sz w:val="24"/>
          <w:shd w:val="clear" w:color="auto" w:fill="FFFFFF"/>
          <w:lang w:val="da-DK"/>
        </w:rPr>
        <w:t xml:space="preserve"> in the U.S. - the </w:t>
      </w:r>
      <w:r w:rsidRPr="002B0090">
        <w:rPr>
          <w:sz w:val="24"/>
          <w:shd w:val="clear" w:color="auto" w:fill="FFFFFF"/>
          <w:lang w:val="da-DK"/>
        </w:rPr>
        <w:t>first</w:t>
      </w:r>
      <w:r w:rsidRPr="002B0090">
        <w:rPr>
          <w:sz w:val="24"/>
          <w:shd w:val="clear" w:color="auto" w:fill="FFFFFF"/>
          <w:lang w:val="da-DK"/>
        </w:rPr>
        <w:t xml:space="preserve"> </w:t>
      </w:r>
      <w:r w:rsidRPr="002B0090">
        <w:rPr>
          <w:sz w:val="24"/>
          <w:shd w:val="clear" w:color="auto" w:fill="FFFFFF"/>
          <w:lang w:val="da-DK"/>
        </w:rPr>
        <w:t>sixteen</w:t>
      </w:r>
      <w:r w:rsidRPr="002B0090">
        <w:rPr>
          <w:sz w:val="24"/>
          <w:shd w:val="clear" w:color="auto" w:fill="FFFFFF"/>
          <w:lang w:val="da-DK"/>
        </w:rPr>
        <w:t xml:space="preserve"> </w:t>
      </w:r>
      <w:r w:rsidRPr="002B0090">
        <w:rPr>
          <w:sz w:val="24"/>
          <w:shd w:val="clear" w:color="auto" w:fill="FFFFFF"/>
          <w:lang w:val="da-DK"/>
        </w:rPr>
        <w:t>years</w:t>
      </w:r>
      <w:r w:rsidRPr="002B0090">
        <w:rPr>
          <w:sz w:val="24"/>
          <w:shd w:val="clear" w:color="auto" w:fill="FFFFFF"/>
          <w:lang w:val="da-DK"/>
        </w:rPr>
        <w:t xml:space="preserve">", </w:t>
      </w:r>
      <w:r w:rsidRPr="002B0090">
        <w:rPr>
          <w:i/>
          <w:sz w:val="24"/>
          <w:shd w:val="clear" w:color="auto" w:fill="FFFFFF"/>
          <w:lang w:val="da-DK"/>
        </w:rPr>
        <w:t>Environmental</w:t>
      </w:r>
      <w:r w:rsidRPr="002B0090">
        <w:rPr>
          <w:i/>
          <w:sz w:val="24"/>
          <w:shd w:val="clear" w:color="auto" w:fill="FFFFFF"/>
          <w:lang w:val="da-DK"/>
        </w:rPr>
        <w:t xml:space="preserve"> Sciences Europe,</w:t>
      </w:r>
      <w:r w:rsidRPr="002B0090">
        <w:rPr>
          <w:sz w:val="24"/>
          <w:shd w:val="clear" w:color="auto" w:fill="FFFFFF"/>
          <w:lang w:val="da-DK"/>
        </w:rPr>
        <w:t xml:space="preserve"> 28.</w:t>
      </w:r>
      <w:r w:rsidR="008234B6">
        <w:rPr>
          <w:sz w:val="24"/>
          <w:shd w:val="clear" w:color="auto" w:fill="FFFFFF"/>
          <w:lang w:val="da-DK"/>
        </w:rPr>
        <w:t xml:space="preserve"> </w:t>
      </w:r>
      <w:r w:rsidRPr="002B0090">
        <w:rPr>
          <w:sz w:val="24"/>
          <w:shd w:val="clear" w:color="auto" w:fill="FFFFFF"/>
          <w:lang w:val="da-DK"/>
        </w:rPr>
        <w:t xml:space="preserve">september 2012, Vol. 24(1), </w:t>
      </w:r>
      <w:hyperlink r:id="rId25" w:history="1">
        <w:r w:rsidRPr="002B0090">
          <w:rPr>
            <w:rStyle w:val="Hyperlink"/>
            <w:sz w:val="24"/>
            <w:lang w:val="da-DK"/>
          </w:rPr>
          <w:t>https://doi.org/10.1186/2190-4715-24-24</w:t>
        </w:r>
      </w:hyperlink>
      <w:r w:rsidRPr="002B0090">
        <w:rPr>
          <w:sz w:val="24"/>
          <w:lang w:val="da-DK"/>
        </w:rPr>
        <w:t>.</w:t>
      </w:r>
    </w:p>
  </w:footnote>
  <w:footnote w:id="9">
    <w:p w:rsidR="004B47C0" w:rsidRPr="002B0090" w:rsidP="002B0090" w14:paraId="1F91AF04" w14:textId="55F77CDD">
      <w:pPr>
        <w:pStyle w:val="FootnoteText"/>
        <w:ind w:left="567" w:hanging="567"/>
        <w:rPr>
          <w:sz w:val="24"/>
          <w:lang w:val="da-DK"/>
        </w:rPr>
      </w:pPr>
      <w:r w:rsidRPr="002B0090">
        <w:rPr>
          <w:rStyle w:val="FootnoteReference"/>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Europa-Parlamentets og Rådets forordning (EF) nr. 1107/2009 af 21. oktober 2009 om markedsføring af plantebeskyttelsesmidler og om ophævelse af Rådets direktiv 79/117/EØF og 91/414/EØF (EUT L 309 af 24.11.2009, s. 1, ELI: </w:t>
      </w:r>
      <w:hyperlink r:id="rId26" w:tooltip="Giver adgang til dokumentet via dets ELI-URI." w:history="1">
        <w:r w:rsidRPr="002B0090">
          <w:rPr>
            <w:rStyle w:val="Hyperlink"/>
            <w:sz w:val="24"/>
            <w:lang w:val="da-DK"/>
          </w:rPr>
          <w:t>http://data.europa.eu/eli/reg/2009/1107/oj</w:t>
        </w:r>
      </w:hyperlink>
      <w:r w:rsidRPr="002B0090">
        <w:rPr>
          <w:sz w:val="24"/>
          <w:lang w:val="da-DK"/>
        </w:rPr>
        <w:t>).</w:t>
      </w:r>
    </w:p>
  </w:footnote>
  <w:footnote w:id="10">
    <w:p w:rsidR="004B47C0" w:rsidRPr="002B0090" w:rsidP="002B0090" w14:paraId="32F3FF53" w14:textId="3EBB103A">
      <w:pPr>
        <w:pStyle w:val="FootnoteText"/>
        <w:ind w:left="567" w:hanging="567"/>
        <w:rPr>
          <w:sz w:val="24"/>
          <w:lang w:val="da-DK"/>
        </w:rPr>
      </w:pPr>
      <w:r w:rsidRPr="002B0090">
        <w:rPr>
          <w:rStyle w:val="FootnoteReference"/>
          <w:sz w:val="24"/>
          <w:lang w:val="da-DK"/>
        </w:rPr>
        <w:footnoteRef/>
      </w:r>
      <w:r w:rsidRPr="002B0090" w:rsidR="002B0090">
        <w:rPr>
          <w:sz w:val="24"/>
          <w:lang w:val="da-DK"/>
        </w:rPr>
        <w:t xml:space="preserve"> </w:t>
      </w:r>
      <w:r w:rsidRPr="002B0090" w:rsidR="002B0090">
        <w:rPr>
          <w:sz w:val="24"/>
          <w:lang w:val="da-DK"/>
        </w:rPr>
        <w:tab/>
      </w:r>
      <w:hyperlink r:id="rId27" w:history="1">
        <w:r w:rsidRPr="00821E9C" w:rsidR="00821E9C">
          <w:rPr>
            <w:rStyle w:val="Hyperlink"/>
            <w:sz w:val="24"/>
            <w:lang w:val="da-DK"/>
          </w:rPr>
          <w:t>https://ec.europa.eu/food/plant/pesticides/eu-pesticides-database/start/screen/active-substances/details/79</w:t>
        </w:r>
      </w:hyperlink>
      <w:r w:rsidR="00821E9C">
        <w:rPr>
          <w:sz w:val="24"/>
          <w:lang w:val="da-DK"/>
        </w:rPr>
        <w:t>.</w:t>
      </w:r>
    </w:p>
  </w:footnote>
  <w:footnote w:id="11">
    <w:p w:rsidR="004B47C0" w:rsidRPr="002B0090" w:rsidP="002B0090" w14:paraId="5596E8F2" w14:textId="5A544C17">
      <w:pPr>
        <w:pStyle w:val="FootnoteText"/>
        <w:ind w:left="567" w:hanging="567"/>
        <w:rPr>
          <w:sz w:val="24"/>
          <w:lang w:val="da-DK"/>
        </w:rPr>
      </w:pPr>
      <w:r w:rsidRPr="002B0090">
        <w:rPr>
          <w:rStyle w:val="FootnoteReference"/>
          <w:sz w:val="24"/>
          <w:lang w:val="da-DK"/>
        </w:rPr>
        <w:footnoteRef/>
      </w:r>
      <w:r w:rsidRPr="002B0090" w:rsidR="002B0090">
        <w:rPr>
          <w:sz w:val="24"/>
          <w:shd w:val="clear" w:color="auto" w:fill="FFFFFF"/>
          <w:lang w:val="da-DK"/>
        </w:rPr>
        <w:t xml:space="preserve"> </w:t>
      </w:r>
      <w:r w:rsidRPr="002B0090" w:rsidR="002B0090">
        <w:rPr>
          <w:sz w:val="24"/>
          <w:shd w:val="clear" w:color="auto" w:fill="FFFFFF"/>
          <w:lang w:val="da-DK"/>
        </w:rPr>
        <w:tab/>
      </w:r>
      <w:r w:rsidRPr="002B0090">
        <w:rPr>
          <w:sz w:val="24"/>
          <w:shd w:val="clear" w:color="auto" w:fill="FFFFFF"/>
          <w:lang w:val="da-DK"/>
        </w:rPr>
        <w:t xml:space="preserve">Se f.eks. </w:t>
      </w:r>
      <w:hyperlink r:id="rId28" w:history="1">
        <w:r w:rsidRPr="002B0090">
          <w:rPr>
            <w:rStyle w:val="Hyperlink"/>
            <w:sz w:val="24"/>
            <w:lang w:val="da-DK"/>
          </w:rPr>
          <w:t>https://doi.org/10.1016/j.mrrev.2019.02.001</w:t>
        </w:r>
      </w:hyperlink>
      <w:r w:rsidRPr="002B0090">
        <w:rPr>
          <w:sz w:val="24"/>
          <w:lang w:val="da-DK"/>
        </w:rPr>
        <w:t xml:space="preserve">, </w:t>
      </w:r>
      <w:hyperlink r:id="rId29" w:history="1">
        <w:r w:rsidRPr="002B0090">
          <w:rPr>
            <w:rStyle w:val="Hyperlink"/>
            <w:sz w:val="24"/>
            <w:lang w:val="da-DK"/>
          </w:rPr>
          <w:t>https://doi.org/10.1093/ije/dyz017</w:t>
        </w:r>
      </w:hyperlink>
      <w:r w:rsidRPr="002B0090">
        <w:rPr>
          <w:sz w:val="24"/>
          <w:lang w:val="da-DK"/>
        </w:rPr>
        <w:t xml:space="preserve">, </w:t>
      </w:r>
      <w:hyperlink r:id="rId30" w:history="1">
        <w:r w:rsidRPr="002B0090">
          <w:rPr>
            <w:rStyle w:val="Hyperlink"/>
            <w:sz w:val="24"/>
            <w:lang w:val="da-DK"/>
          </w:rPr>
          <w:t>https://doi.org/10.1371/journal.pone.0219610</w:t>
        </w:r>
      </w:hyperlink>
      <w:r w:rsidRPr="002B0090">
        <w:rPr>
          <w:sz w:val="24"/>
          <w:lang w:val="da-DK"/>
        </w:rPr>
        <w:t xml:space="preserve"> og </w:t>
      </w:r>
      <w:hyperlink r:id="rId31" w:history="1">
        <w:r w:rsidRPr="002B0090">
          <w:rPr>
            <w:rStyle w:val="Hyperlink"/>
            <w:sz w:val="24"/>
            <w:lang w:val="da-DK"/>
          </w:rPr>
          <w:t>https://doi.org/10.1186/s13045-019-0767-9</w:t>
        </w:r>
      </w:hyperlink>
      <w:r w:rsidRPr="002B0090">
        <w:rPr>
          <w:sz w:val="24"/>
          <w:lang w:val="da-DK"/>
        </w:rPr>
        <w:t>.</w:t>
      </w:r>
    </w:p>
  </w:footnote>
  <w:footnote w:id="12">
    <w:p w:rsidR="004B47C0" w:rsidRPr="008234B6" w:rsidP="002B0090" w14:paraId="197364EE" w14:textId="7286A59B">
      <w:pPr>
        <w:pStyle w:val="FootnoteText"/>
        <w:ind w:left="567" w:hanging="567"/>
        <w:rPr>
          <w:sz w:val="24"/>
          <w:lang w:val="en-GB"/>
        </w:rPr>
      </w:pPr>
      <w:r w:rsidRPr="002B0090">
        <w:rPr>
          <w:rStyle w:val="FootnoteReference"/>
          <w:sz w:val="24"/>
          <w:lang w:val="da-DK"/>
        </w:rPr>
        <w:footnoteRef/>
      </w:r>
      <w:r w:rsidRPr="008234B6" w:rsidR="002B0090">
        <w:rPr>
          <w:sz w:val="24"/>
          <w:lang w:val="en-GB"/>
        </w:rPr>
        <w:t xml:space="preserve"> </w:t>
      </w:r>
      <w:r w:rsidRPr="008234B6" w:rsidR="002B0090">
        <w:rPr>
          <w:sz w:val="24"/>
          <w:lang w:val="en-GB"/>
        </w:rPr>
        <w:tab/>
      </w:r>
      <w:hyperlink r:id="rId32" w:tgtFrame="_blank" w:tooltip="Vedvarende link via digital objektidentifikator" w:history="1">
        <w:r w:rsidRPr="008234B6">
          <w:rPr>
            <w:rStyle w:val="Hyperlink"/>
            <w:sz w:val="24"/>
            <w:lang w:val="en-GB"/>
          </w:rPr>
          <w:t>https://doi.org/10.1006/rtph.1999.1371</w:t>
        </w:r>
      </w:hyperlink>
      <w:r w:rsidRPr="008234B6">
        <w:rPr>
          <w:sz w:val="24"/>
          <w:lang w:val="en-GB"/>
        </w:rPr>
        <w:t>.</w:t>
      </w:r>
    </w:p>
  </w:footnote>
  <w:footnote w:id="13">
    <w:p w:rsidR="004B47C0" w:rsidRPr="008234B6" w:rsidP="002B0090" w14:paraId="7AF3D034" w14:textId="66963CA2">
      <w:pPr>
        <w:pStyle w:val="FootnoteText"/>
        <w:ind w:left="567" w:hanging="567"/>
        <w:rPr>
          <w:sz w:val="24"/>
          <w:lang w:val="en-GB"/>
        </w:rPr>
      </w:pPr>
      <w:r w:rsidRPr="002B0090">
        <w:rPr>
          <w:rStyle w:val="FootnoteReference"/>
          <w:sz w:val="24"/>
          <w:lang w:val="da-DK"/>
        </w:rPr>
        <w:footnoteRef/>
      </w:r>
      <w:r w:rsidRPr="008234B6" w:rsidR="002B0090">
        <w:rPr>
          <w:sz w:val="24"/>
          <w:shd w:val="clear" w:color="auto" w:fill="FFFFFF"/>
          <w:lang w:val="en-GB"/>
        </w:rPr>
        <w:t xml:space="preserve"> </w:t>
      </w:r>
      <w:r w:rsidRPr="008234B6" w:rsidR="002B0090">
        <w:rPr>
          <w:sz w:val="24"/>
          <w:shd w:val="clear" w:color="auto" w:fill="FFFFFF"/>
          <w:lang w:val="en-GB"/>
        </w:rPr>
        <w:tab/>
      </w:r>
      <w:r w:rsidRPr="008234B6">
        <w:rPr>
          <w:sz w:val="24"/>
          <w:shd w:val="clear" w:color="auto" w:fill="FFFFFF"/>
          <w:lang w:val="en-GB"/>
        </w:rPr>
        <w:t>Lurquin</w:t>
      </w:r>
      <w:r w:rsidRPr="008234B6">
        <w:rPr>
          <w:sz w:val="24"/>
          <w:shd w:val="clear" w:color="auto" w:fill="FFFFFF"/>
          <w:lang w:val="en-GB"/>
        </w:rPr>
        <w:t xml:space="preserve">, P.F., "Production of a toxic metabolite in 2, 4-D-resistant GM crop plants", </w:t>
      </w:r>
      <w:r w:rsidRPr="008234B6">
        <w:rPr>
          <w:i/>
          <w:sz w:val="24"/>
          <w:shd w:val="clear" w:color="auto" w:fill="FFFFFF"/>
          <w:lang w:val="en-GB"/>
        </w:rPr>
        <w:t>3 Biotech</w:t>
      </w:r>
      <w:r w:rsidRPr="008234B6">
        <w:rPr>
          <w:sz w:val="24"/>
          <w:shd w:val="clear" w:color="auto" w:fill="FFFFFF"/>
          <w:lang w:val="en-GB"/>
        </w:rPr>
        <w:t xml:space="preserve"> 6, 82 (2016), </w:t>
      </w:r>
      <w:hyperlink r:id="rId33" w:history="1">
        <w:r w:rsidRPr="008234B6">
          <w:rPr>
            <w:rStyle w:val="Hyperlink"/>
            <w:sz w:val="24"/>
            <w:shd w:val="clear" w:color="auto" w:fill="FCFCFC"/>
            <w:lang w:val="en-GB"/>
          </w:rPr>
          <w:t>https://doi.org/10.1007/s13205-016-0387-9</w:t>
        </w:r>
      </w:hyperlink>
      <w:r w:rsidRPr="008234B6">
        <w:rPr>
          <w:sz w:val="24"/>
          <w:lang w:val="en-GB"/>
        </w:rPr>
        <w:t>.</w:t>
      </w:r>
    </w:p>
  </w:footnote>
  <w:footnote w:id="14">
    <w:p w:rsidR="004B47C0" w:rsidRPr="002B0090" w:rsidP="002B0090" w14:paraId="7687619C" w14:textId="15A917B6">
      <w:pPr>
        <w:pStyle w:val="FootnoteText"/>
        <w:ind w:left="567" w:hanging="567"/>
        <w:rPr>
          <w:sz w:val="24"/>
          <w:szCs w:val="24"/>
          <w:lang w:val="da-DK"/>
        </w:rPr>
      </w:pPr>
      <w:r w:rsidRPr="002B0090">
        <w:rPr>
          <w:rStyle w:val="FootnoteReference"/>
          <w:sz w:val="24"/>
          <w:lang w:val="da-DK"/>
        </w:rPr>
        <w:footnoteRef/>
      </w:r>
      <w:r w:rsidRPr="002B0090" w:rsidR="002B0090">
        <w:rPr>
          <w:sz w:val="24"/>
          <w:shd w:val="clear" w:color="auto" w:fill="FFFFFF"/>
          <w:lang w:val="da-DK"/>
        </w:rPr>
        <w:t xml:space="preserve"> </w:t>
      </w:r>
      <w:r w:rsidRPr="002B0090" w:rsidR="002B0090">
        <w:rPr>
          <w:sz w:val="24"/>
          <w:shd w:val="clear" w:color="auto" w:fill="FFFFFF"/>
          <w:lang w:val="da-DK"/>
        </w:rPr>
        <w:tab/>
      </w:r>
      <w:r w:rsidRPr="002B0090">
        <w:rPr>
          <w:sz w:val="24"/>
          <w:shd w:val="clear" w:color="auto" w:fill="FFFFFF"/>
          <w:lang w:val="da-DK"/>
        </w:rPr>
        <w:t xml:space="preserve">Dette er netop tilfældet for </w:t>
      </w:r>
      <w:r w:rsidRPr="002B0090">
        <w:rPr>
          <w:sz w:val="24"/>
          <w:shd w:val="clear" w:color="auto" w:fill="FFFFFF"/>
          <w:lang w:val="da-DK"/>
        </w:rPr>
        <w:t>glyphosat</w:t>
      </w:r>
      <w:r w:rsidRPr="002B0090">
        <w:rPr>
          <w:sz w:val="24"/>
          <w:shd w:val="clear" w:color="auto" w:fill="FFFFFF"/>
          <w:lang w:val="da-DK"/>
        </w:rPr>
        <w:t xml:space="preserve">, som anført i </w:t>
      </w:r>
      <w:r w:rsidRPr="002B0090">
        <w:rPr>
          <w:sz w:val="24"/>
          <w:shd w:val="clear" w:color="auto" w:fill="FFFFFF"/>
          <w:lang w:val="da-DK"/>
        </w:rPr>
        <w:t>EFSA's</w:t>
      </w:r>
      <w:r w:rsidRPr="002B0090">
        <w:rPr>
          <w:sz w:val="24"/>
          <w:shd w:val="clear" w:color="auto" w:fill="FFFFFF"/>
          <w:lang w:val="da-DK"/>
        </w:rPr>
        <w:t xml:space="preserve"> gennemgang af de eksisterende maksimalgrænseværdier for restkoncentrationer af </w:t>
      </w:r>
      <w:r w:rsidRPr="002B0090">
        <w:rPr>
          <w:sz w:val="24"/>
          <w:shd w:val="clear" w:color="auto" w:fill="FFFFFF"/>
          <w:lang w:val="da-DK"/>
        </w:rPr>
        <w:t>glyphosat</w:t>
      </w:r>
      <w:r w:rsidRPr="002B0090">
        <w:rPr>
          <w:sz w:val="24"/>
          <w:shd w:val="clear" w:color="auto" w:fill="FFFFFF"/>
          <w:lang w:val="da-DK"/>
        </w:rPr>
        <w:t xml:space="preserve"> i henhold til artikel 12 i forordning (EF) nr. 396/2005, EFSA Journal 2018;16(5):e5263, s. 12,</w:t>
      </w:r>
      <w:r w:rsidRPr="002B0090">
        <w:rPr>
          <w:sz w:val="24"/>
          <w:lang w:val="da-DK"/>
        </w:rPr>
        <w:t xml:space="preserve"> </w:t>
      </w:r>
      <w:hyperlink r:id="rId34" w:history="1">
        <w:r w:rsidRPr="002B0090">
          <w:rPr>
            <w:rStyle w:val="Hyperlink"/>
            <w:sz w:val="24"/>
            <w:lang w:val="da-DK"/>
          </w:rPr>
          <w:t>https://efsa.onlinelibrary.wiley.com/doi/abs/10.2903/j.efsa.2018.5263</w:t>
        </w:r>
      </w:hyperlink>
      <w:r w:rsidRPr="002B0090">
        <w:rPr>
          <w:sz w:val="24"/>
          <w:lang w:val="da-DK"/>
        </w:rPr>
        <w:t>.</w:t>
      </w:r>
    </w:p>
  </w:footnote>
  <w:footnote w:id="15">
    <w:p w:rsidR="004B47C0" w:rsidRPr="002B0090" w:rsidP="002B0090" w14:paraId="42B88E4A" w14:textId="1F9A1567">
      <w:pPr>
        <w:pStyle w:val="FootnoteText"/>
        <w:ind w:left="567" w:hanging="567"/>
        <w:rPr>
          <w:sz w:val="24"/>
          <w:lang w:val="da-DK"/>
        </w:rPr>
      </w:pPr>
      <w:r w:rsidRPr="002B0090">
        <w:rPr>
          <w:rStyle w:val="FootnoteReference"/>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 xml:space="preserve">EUT L 282 af 19.10.2016, s. 4. </w:t>
      </w:r>
    </w:p>
  </w:footnote>
  <w:footnote w:id="16">
    <w:p w:rsidR="004B47C0" w:rsidRPr="002B0090" w:rsidP="002B0090" w14:paraId="3D378706" w14:textId="296A58E3">
      <w:pPr>
        <w:pStyle w:val="FootnoteText"/>
        <w:ind w:left="567" w:hanging="567"/>
        <w:rPr>
          <w:sz w:val="24"/>
          <w:lang w:val="da-DK"/>
        </w:rPr>
      </w:pPr>
      <w:r w:rsidRPr="002B0090">
        <w:rPr>
          <w:rStyle w:val="FootnoteReference"/>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E</w:t>
      </w:r>
      <w:r w:rsidR="00821E9C">
        <w:rPr>
          <w:sz w:val="24"/>
          <w:lang w:val="da-DK"/>
        </w:rPr>
        <w:t>F</w:t>
      </w:r>
      <w:r w:rsidRPr="002B0090">
        <w:rPr>
          <w:sz w:val="24"/>
          <w:lang w:val="da-DK"/>
        </w:rPr>
        <w:t>T L 309 af 13.12.1993, s. 3, ELI: </w:t>
      </w:r>
      <w:hyperlink r:id="rId35" w:tooltip="Giver adgang til dokumentet via dets ELI-URI." w:history="1">
        <w:r w:rsidRPr="002B0090">
          <w:rPr>
            <w:rStyle w:val="Hyperlink"/>
            <w:sz w:val="24"/>
            <w:lang w:val="da-DK"/>
          </w:rPr>
          <w:t>http://data.europa.eu/eli/convention/1993/626/oj</w:t>
        </w:r>
      </w:hyperlink>
      <w:r w:rsidRPr="002B0090">
        <w:rPr>
          <w:sz w:val="24"/>
          <w:lang w:val="da-DK"/>
        </w:rPr>
        <w:t>.</w:t>
      </w:r>
    </w:p>
  </w:footnote>
  <w:footnote w:id="17">
    <w:p w:rsidR="004B47C0" w:rsidRPr="002B0090" w:rsidP="002B0090" w14:paraId="1643B85D" w14:textId="41CF9C88">
      <w:pPr>
        <w:pStyle w:val="FootnoteText"/>
        <w:ind w:left="567" w:hanging="567"/>
        <w:rPr>
          <w:sz w:val="24"/>
          <w:lang w:val="da-DK"/>
        </w:rPr>
      </w:pPr>
      <w:r w:rsidRPr="002B0090">
        <w:rPr>
          <w:rStyle w:val="FootnoteReference"/>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I december 2022 blev der på COP15 under FN's biodiversitetskonvention (CBD) vedtaget en global ramme for biodiversitet, som indeholder et globalt mål om at reducere risikoen ved plantegifte med mindst 50 % senest i 2030 (jf.:</w:t>
      </w:r>
      <w:r w:rsidRPr="002B0090">
        <w:rPr>
          <w:color w:val="000000" w:themeColor="text1"/>
          <w:sz w:val="24"/>
          <w:lang w:val="da-DK"/>
        </w:rPr>
        <w:t xml:space="preserve"> </w:t>
      </w:r>
      <w:hyperlink r:id="rId36" w:history="1">
        <w:r w:rsidRPr="002B0090">
          <w:rPr>
            <w:rStyle w:val="Hyperlink"/>
            <w:sz w:val="24"/>
            <w:lang w:val="da-DK"/>
          </w:rPr>
          <w:t>https://ec.europa.eu/commission/presscorner/detail/en/ip_22_7834</w:t>
        </w:r>
      </w:hyperlink>
      <w:r w:rsidRPr="002B0090">
        <w:rPr>
          <w:sz w:val="24"/>
          <w:lang w:val="da-DK"/>
        </w:rPr>
        <w:t xml:space="preserve">). </w:t>
      </w:r>
    </w:p>
  </w:footnote>
  <w:footnote w:id="18">
    <w:p w:rsidR="004B47C0" w:rsidRPr="002B0090" w:rsidP="002B0090" w14:paraId="3F0490B1" w14:textId="6CB130A5">
      <w:pPr>
        <w:pStyle w:val="FootnoteText"/>
        <w:ind w:left="567" w:hanging="567"/>
        <w:rPr>
          <w:sz w:val="24"/>
          <w:lang w:val="da-DK"/>
        </w:rPr>
      </w:pPr>
      <w:r w:rsidRPr="002B0090">
        <w:rPr>
          <w:rStyle w:val="FootnoteReference"/>
          <w:sz w:val="24"/>
          <w:lang w:val="da-DK"/>
        </w:rPr>
        <w:footnoteRef/>
      </w:r>
      <w:r w:rsidRPr="002B0090" w:rsidR="002B0090">
        <w:rPr>
          <w:sz w:val="24"/>
          <w:lang w:val="da-DK"/>
        </w:rPr>
        <w:t xml:space="preserve"> </w:t>
      </w:r>
      <w:r w:rsidRPr="002B0090" w:rsidR="002B0090">
        <w:rPr>
          <w:sz w:val="24"/>
          <w:lang w:val="da-DK"/>
        </w:rPr>
        <w:tab/>
      </w:r>
      <w:hyperlink r:id="rId37" w:history="1">
        <w:r w:rsidRPr="002B0090">
          <w:rPr>
            <w:rStyle w:val="Hyperlink"/>
            <w:sz w:val="24"/>
            <w:lang w:val="da-DK"/>
          </w:rPr>
          <w:t>https://commission.europa.eu/strategy-and-policy/priorities-2019-2024/european-green-deal/agriculture-and-green-deal/strategic-dialogue-future-eu-agriculture_da</w:t>
        </w:r>
      </w:hyperlink>
      <w:r w:rsidRPr="002B0090">
        <w:rPr>
          <w:rStyle w:val="Hyperlink"/>
          <w:sz w:val="24"/>
          <w:lang w:val="da-DK"/>
        </w:rPr>
        <w:t>.</w:t>
      </w:r>
      <w:r w:rsidRPr="002B0090">
        <w:rPr>
          <w:sz w:val="24"/>
          <w:lang w:val="da-DK"/>
        </w:rPr>
        <w:t xml:space="preserve"> </w:t>
      </w:r>
    </w:p>
  </w:footnote>
  <w:footnote w:id="19">
    <w:p w:rsidR="004B47C0" w:rsidRPr="002B0090" w:rsidP="002B0090" w14:paraId="2D2FA607" w14:textId="501E7170">
      <w:pPr>
        <w:pStyle w:val="FootnoteText"/>
        <w:ind w:left="567" w:hanging="567"/>
        <w:rPr>
          <w:sz w:val="24"/>
          <w:szCs w:val="24"/>
          <w:lang w:val="da-DK"/>
        </w:rPr>
      </w:pPr>
      <w:r w:rsidRPr="002B0090">
        <w:rPr>
          <w:rStyle w:val="FootnoteReference"/>
          <w:sz w:val="24"/>
          <w:lang w:val="da-DK"/>
        </w:rPr>
        <w:footnoteRef/>
      </w:r>
      <w:r w:rsidRPr="002B0090" w:rsidR="002B0090">
        <w:rPr>
          <w:sz w:val="24"/>
          <w:lang w:val="da-DK"/>
        </w:rPr>
        <w:t xml:space="preserve"> </w:t>
      </w:r>
      <w:r w:rsidRPr="002B0090" w:rsidR="002B0090">
        <w:rPr>
          <w:sz w:val="24"/>
          <w:lang w:val="da-DK"/>
        </w:rPr>
        <w:tab/>
      </w:r>
      <w:r w:rsidRPr="002B0090">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38" w:tooltip="Giver adgang til dokumentet via dets ELI-URI." w:history="1">
        <w:r w:rsidRPr="002B0090">
          <w:rPr>
            <w:rStyle w:val="Hyperlink"/>
            <w:sz w:val="24"/>
            <w:lang w:val="da-DK"/>
          </w:rPr>
          <w:t>http://data.europa.eu/eli/reg/2002/178/oj</w:t>
        </w:r>
      </w:hyperlink>
      <w:r w:rsidRPr="002B0090">
        <w:rPr>
          <w:sz w:val="24"/>
          <w:lang w:val="da-DK"/>
        </w:rPr>
        <w:t>).</w:t>
      </w:r>
    </w:p>
  </w:footnote>
  <w:footnote w:id="20">
    <w:p w:rsidR="004B47C0" w:rsidRPr="002B0090" w:rsidP="002B0090" w14:paraId="18011836" w14:textId="2140226A">
      <w:pPr>
        <w:pStyle w:val="FootnoteText"/>
        <w:ind w:left="567" w:hanging="567"/>
        <w:rPr>
          <w:sz w:val="24"/>
          <w:szCs w:val="24"/>
          <w:lang w:val="da-DK"/>
        </w:rPr>
      </w:pPr>
      <w:r w:rsidRPr="002B0090">
        <w:rPr>
          <w:rStyle w:val="FootnoteReference"/>
          <w:sz w:val="24"/>
          <w:szCs w:val="24"/>
          <w:lang w:val="da-DK"/>
        </w:rPr>
        <w:footnoteRef/>
      </w:r>
      <w:r w:rsidRPr="002B0090" w:rsidR="002B0090">
        <w:rPr>
          <w:sz w:val="24"/>
          <w:lang w:val="da-DK"/>
        </w:rPr>
        <w:t xml:space="preserve"> </w:t>
      </w:r>
      <w:r w:rsidRPr="002B0090" w:rsidR="002B0090">
        <w:rPr>
          <w:sz w:val="24"/>
          <w:lang w:val="da-DK"/>
        </w:rPr>
        <w:tab/>
      </w:r>
      <w:hyperlink r:id="rId39" w:history="1">
        <w:r w:rsidRPr="002B0090">
          <w:rPr>
            <w:rStyle w:val="Hyperlink"/>
            <w:sz w:val="24"/>
            <w:shd w:val="clear" w:color="auto" w:fill="FFFFFF"/>
            <w:lang w:val="da-DK"/>
          </w:rPr>
          <w:t>https://tillymetz.lu/wp-content/uploads/2020/09/Co-signed-letter-MEP-Metz.pdf</w:t>
        </w:r>
      </w:hyperlink>
      <w:r w:rsidRPr="002B0090">
        <w:rPr>
          <w:sz w:val="24"/>
          <w:lang w:val="da-DK"/>
        </w:rPr>
        <w:t>.</w:t>
      </w:r>
      <w:r w:rsidRPr="002B0090">
        <w:rPr>
          <w:sz w:val="24"/>
          <w:shd w:val="clear" w:color="auto" w:fill="FFFFFF"/>
          <w:lang w:val="da-DK"/>
        </w:rPr>
        <w:t xml:space="preserve"> </w:t>
      </w:r>
    </w:p>
  </w:footnote>
  <w:footnote w:id="21">
    <w:p w:rsidR="004B47C0" w:rsidRPr="002B0090" w:rsidP="002B0090" w14:paraId="7D0A95E6" w14:textId="2E5CD858">
      <w:pPr>
        <w:pStyle w:val="FootnoteText"/>
        <w:ind w:left="567" w:hanging="567"/>
        <w:rPr>
          <w:sz w:val="24"/>
          <w:lang w:val="da-DK"/>
        </w:rPr>
      </w:pPr>
      <w:r w:rsidRPr="002B0090">
        <w:rPr>
          <w:rStyle w:val="FootnoteReference"/>
          <w:sz w:val="24"/>
          <w:lang w:val="da-DK"/>
        </w:rPr>
        <w:footnoteRef/>
      </w:r>
      <w:r w:rsidRPr="002B0090" w:rsidR="002B0090">
        <w:rPr>
          <w:sz w:val="24"/>
          <w:shd w:val="clear" w:color="auto" w:fill="FFFFFF"/>
          <w:lang w:val="da-DK"/>
        </w:rPr>
        <w:t xml:space="preserve"> </w:t>
      </w:r>
      <w:r w:rsidRPr="002B0090" w:rsidR="002B0090">
        <w:rPr>
          <w:sz w:val="24"/>
          <w:shd w:val="clear" w:color="auto" w:fill="FFFFFF"/>
          <w:lang w:val="da-DK"/>
        </w:rPr>
        <w:tab/>
      </w:r>
      <w:r w:rsidRPr="002B0090">
        <w:rPr>
          <w:sz w:val="24"/>
          <w:shd w:val="clear" w:color="auto" w:fill="FFFFFF"/>
          <w:lang w:val="da-DK"/>
        </w:rPr>
        <w:t>Europa-Parlamentets beslutning af 15. januar 2020 om den europæiske grønne pagt (EUT C 270 af 7.7.2021, s. 2), punkt 102.</w:t>
      </w:r>
    </w:p>
  </w:footnote>
  <w:footnote w:id="22">
    <w:p w:rsidR="004B47C0" w:rsidRPr="002B0090" w:rsidP="002B0090" w14:paraId="1A2580EF" w14:textId="2B854B67">
      <w:pPr>
        <w:pStyle w:val="FootnoteText"/>
        <w:ind w:left="567" w:hanging="567"/>
        <w:rPr>
          <w:sz w:val="24"/>
          <w:szCs w:val="24"/>
          <w:lang w:val="da-DK"/>
        </w:rPr>
      </w:pPr>
      <w:r w:rsidRPr="002B0090">
        <w:rPr>
          <w:rStyle w:val="FootnoteReference"/>
          <w:sz w:val="24"/>
          <w:lang w:val="da-DK"/>
        </w:rPr>
        <w:footnoteRef/>
      </w:r>
      <w:r w:rsidRPr="002B0090" w:rsidR="002B0090">
        <w:rPr>
          <w:sz w:val="24"/>
          <w:shd w:val="clear" w:color="auto" w:fill="FFFFFF"/>
          <w:lang w:val="da-DK"/>
        </w:rPr>
        <w:t xml:space="preserve"> </w:t>
      </w:r>
      <w:r w:rsidRPr="002B0090" w:rsidR="002B0090">
        <w:rPr>
          <w:sz w:val="24"/>
          <w:shd w:val="clear" w:color="auto" w:fill="FFFFFF"/>
          <w:lang w:val="da-DK"/>
        </w:rPr>
        <w:tab/>
      </w:r>
      <w:r w:rsidRPr="002B0090">
        <w:rPr>
          <w:sz w:val="24"/>
          <w:shd w:val="clear" w:color="auto" w:fill="FFFFFF"/>
          <w:lang w:val="da-DK"/>
        </w:rPr>
        <w:t>EUT C 445 af 29.10.2021, s. 257.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0090" w14:paraId="55D798F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0090" w14:paraId="60076B9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B0090" w14:paraId="4539668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2055546465">
    <w:abstractNumId w:val="9"/>
  </w:num>
  <w:num w:numId="2" w16cid:durableId="716900556">
    <w:abstractNumId w:val="9"/>
  </w:num>
  <w:num w:numId="3" w16cid:durableId="2006198410">
    <w:abstractNumId w:val="7"/>
  </w:num>
  <w:num w:numId="4" w16cid:durableId="2142073680">
    <w:abstractNumId w:val="7"/>
  </w:num>
  <w:num w:numId="5" w16cid:durableId="815535344">
    <w:abstractNumId w:val="6"/>
  </w:num>
  <w:num w:numId="6" w16cid:durableId="1152914702">
    <w:abstractNumId w:val="6"/>
  </w:num>
  <w:num w:numId="7" w16cid:durableId="1868375428">
    <w:abstractNumId w:val="5"/>
  </w:num>
  <w:num w:numId="8" w16cid:durableId="837038526">
    <w:abstractNumId w:val="5"/>
  </w:num>
  <w:num w:numId="9" w16cid:durableId="533006868">
    <w:abstractNumId w:val="4"/>
  </w:num>
  <w:num w:numId="10" w16cid:durableId="738600912">
    <w:abstractNumId w:val="4"/>
  </w:num>
  <w:num w:numId="11" w16cid:durableId="2021541660">
    <w:abstractNumId w:val="8"/>
  </w:num>
  <w:num w:numId="12" w16cid:durableId="1173298959">
    <w:abstractNumId w:val="8"/>
  </w:num>
  <w:num w:numId="13" w16cid:durableId="15931240">
    <w:abstractNumId w:val="3"/>
  </w:num>
  <w:num w:numId="14" w16cid:durableId="779105785">
    <w:abstractNumId w:val="3"/>
  </w:num>
  <w:num w:numId="15" w16cid:durableId="347414954">
    <w:abstractNumId w:val="2"/>
  </w:num>
  <w:num w:numId="16" w16cid:durableId="35355101">
    <w:abstractNumId w:val="2"/>
  </w:num>
  <w:num w:numId="17" w16cid:durableId="847335158">
    <w:abstractNumId w:val="1"/>
  </w:num>
  <w:num w:numId="18" w16cid:durableId="1120689975">
    <w:abstractNumId w:val="1"/>
  </w:num>
  <w:num w:numId="19" w16cid:durableId="375393090">
    <w:abstractNumId w:val="0"/>
  </w:num>
  <w:num w:numId="20" w16cid:durableId="333269615">
    <w:abstractNumId w:val="0"/>
  </w:num>
  <w:num w:numId="21" w16cid:durableId="100683973">
    <w:abstractNumId w:val="9"/>
  </w:num>
  <w:num w:numId="22" w16cid:durableId="1261714678">
    <w:abstractNumId w:val="7"/>
  </w:num>
  <w:num w:numId="23" w16cid:durableId="1135678140">
    <w:abstractNumId w:val="6"/>
  </w:num>
  <w:num w:numId="24" w16cid:durableId="160630901">
    <w:abstractNumId w:val="5"/>
  </w:num>
  <w:num w:numId="25" w16cid:durableId="2050371882">
    <w:abstractNumId w:val="4"/>
  </w:num>
  <w:num w:numId="26" w16cid:durableId="2095277969">
    <w:abstractNumId w:val="8"/>
  </w:num>
  <w:num w:numId="27" w16cid:durableId="637496159">
    <w:abstractNumId w:val="3"/>
  </w:num>
  <w:num w:numId="28" w16cid:durableId="139882856">
    <w:abstractNumId w:val="2"/>
  </w:num>
  <w:num w:numId="29" w16cid:durableId="1990864839">
    <w:abstractNumId w:val="1"/>
  </w:num>
  <w:num w:numId="30" w16cid:durableId="1884174933">
    <w:abstractNumId w:val="0"/>
  </w:num>
  <w:num w:numId="31" w16cid:durableId="1074818765">
    <w:abstractNumId w:val="9"/>
  </w:num>
  <w:num w:numId="32" w16cid:durableId="947851187">
    <w:abstractNumId w:val="7"/>
  </w:num>
  <w:num w:numId="33" w16cid:durableId="1599943646">
    <w:abstractNumId w:val="6"/>
  </w:num>
  <w:num w:numId="34" w16cid:durableId="1079014305">
    <w:abstractNumId w:val="5"/>
  </w:num>
  <w:num w:numId="35" w16cid:durableId="336929790">
    <w:abstractNumId w:val="4"/>
  </w:num>
  <w:num w:numId="36" w16cid:durableId="449708290">
    <w:abstractNumId w:val="8"/>
  </w:num>
  <w:num w:numId="37" w16cid:durableId="79259234">
    <w:abstractNumId w:val="3"/>
  </w:num>
  <w:num w:numId="38" w16cid:durableId="535432267">
    <w:abstractNumId w:val="2"/>
  </w:num>
  <w:num w:numId="39" w16cid:durableId="1429812639">
    <w:abstractNumId w:val="1"/>
  </w:num>
  <w:num w:numId="40" w16cid:durableId="998851981">
    <w:abstractNumId w:val="0"/>
  </w:num>
  <w:num w:numId="41" w16cid:durableId="710375927">
    <w:abstractNumId w:val="10"/>
  </w:num>
  <w:num w:numId="42" w16cid:durableId="931284109">
    <w:abstractNumId w:val="10"/>
  </w:num>
  <w:num w:numId="43" w16cid:durableId="930551296">
    <w:abstractNumId w:val="10"/>
  </w:num>
  <w:num w:numId="44" w16cid:durableId="127162877">
    <w:abstractNumId w:val="11"/>
  </w:num>
  <w:num w:numId="45" w16cid:durableId="1944142484">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FC6"/>
    <w:rsid w:val="00002272"/>
    <w:rsid w:val="00064002"/>
    <w:rsid w:val="000677B9"/>
    <w:rsid w:val="000831BA"/>
    <w:rsid w:val="000A42CC"/>
    <w:rsid w:val="000E7DD9"/>
    <w:rsid w:val="0010095E"/>
    <w:rsid w:val="00125B37"/>
    <w:rsid w:val="00187494"/>
    <w:rsid w:val="001F32AE"/>
    <w:rsid w:val="002767FF"/>
    <w:rsid w:val="002B0090"/>
    <w:rsid w:val="002B18FE"/>
    <w:rsid w:val="002B5493"/>
    <w:rsid w:val="00343214"/>
    <w:rsid w:val="00361C00"/>
    <w:rsid w:val="00395FA1"/>
    <w:rsid w:val="003E15D4"/>
    <w:rsid w:val="004100B1"/>
    <w:rsid w:val="00411CCE"/>
    <w:rsid w:val="0041666E"/>
    <w:rsid w:val="00421060"/>
    <w:rsid w:val="00471C19"/>
    <w:rsid w:val="004867E3"/>
    <w:rsid w:val="00494A28"/>
    <w:rsid w:val="004B47C0"/>
    <w:rsid w:val="004C0004"/>
    <w:rsid w:val="004C1FC6"/>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ACC"/>
    <w:rsid w:val="007D1690"/>
    <w:rsid w:val="007E22AD"/>
    <w:rsid w:val="00817416"/>
    <w:rsid w:val="00821E9C"/>
    <w:rsid w:val="008234B6"/>
    <w:rsid w:val="00842779"/>
    <w:rsid w:val="00865F67"/>
    <w:rsid w:val="00881A7B"/>
    <w:rsid w:val="008840E5"/>
    <w:rsid w:val="00887B3E"/>
    <w:rsid w:val="00892D7D"/>
    <w:rsid w:val="008C2AC6"/>
    <w:rsid w:val="00930C23"/>
    <w:rsid w:val="0093193B"/>
    <w:rsid w:val="009509D8"/>
    <w:rsid w:val="00950B64"/>
    <w:rsid w:val="00981893"/>
    <w:rsid w:val="009E1E68"/>
    <w:rsid w:val="00A1687D"/>
    <w:rsid w:val="00A43E52"/>
    <w:rsid w:val="00A4678D"/>
    <w:rsid w:val="00A778C7"/>
    <w:rsid w:val="00A94377"/>
    <w:rsid w:val="00AB441E"/>
    <w:rsid w:val="00AB6293"/>
    <w:rsid w:val="00AD6CD2"/>
    <w:rsid w:val="00AE0928"/>
    <w:rsid w:val="00AF3B82"/>
    <w:rsid w:val="00B12E95"/>
    <w:rsid w:val="00B22876"/>
    <w:rsid w:val="00B558F0"/>
    <w:rsid w:val="00BD48FE"/>
    <w:rsid w:val="00BD7BD8"/>
    <w:rsid w:val="00BE6ADC"/>
    <w:rsid w:val="00BF41B6"/>
    <w:rsid w:val="00C05BFE"/>
    <w:rsid w:val="00C23CD4"/>
    <w:rsid w:val="00C61C0C"/>
    <w:rsid w:val="00C941CB"/>
    <w:rsid w:val="00CC2357"/>
    <w:rsid w:val="00CF071A"/>
    <w:rsid w:val="00D058B8"/>
    <w:rsid w:val="00D56C11"/>
    <w:rsid w:val="00D834A0"/>
    <w:rsid w:val="00D872DF"/>
    <w:rsid w:val="00D91E21"/>
    <w:rsid w:val="00DA7FCD"/>
    <w:rsid w:val="00E365E1"/>
    <w:rsid w:val="00E80DC9"/>
    <w:rsid w:val="00E820A4"/>
    <w:rsid w:val="00EB006A"/>
    <w:rsid w:val="00EB4772"/>
    <w:rsid w:val="00ED169E"/>
    <w:rsid w:val="00ED4235"/>
    <w:rsid w:val="00F04346"/>
    <w:rsid w:val="00F075DC"/>
    <w:rsid w:val="00F149E9"/>
    <w:rsid w:val="00F5134D"/>
    <w:rsid w:val="00F74202"/>
    <w:rsid w:val="00F75072"/>
    <w:rsid w:val="00F87713"/>
    <w:rsid w:val="00FB4360"/>
    <w:rsid w:val="00FD0C70"/>
  </w:rsids>
  <w:docVars>
    <w:docVar w:name="dvdocse" w:val="B10-0336/2026"/>
    <w:docVar w:name="dvlangue" w:val="DA"/>
    <w:docVar w:name="dvnumam" w:val="0"/>
    <w:docVar w:name="dvpe" w:val="789.025"/>
    <w:docVar w:name="dvtitre" w:val="Europa-Parlamentets beslutning af 8. juli 2026 om udkast til Kommissionens gennemførelsesafgørelse om tilladelse til markedsføring af produkter, der indeholder, består af eller er fremstillet af genetisk modificeret DP202216 x NK603 x DAS-40278-9-majs og dens underkombination DP202216 x NK603, DP202216 x DAS-40278-9, i henhold til Europa-Parlamentets og Rådets forordning (EF) nr. 1829/2003(D114997/04 – 2026/2746(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806E9FF"/>
  <w15:chartTrackingRefBased/>
  <w15:docId w15:val="{9800CB02-9D6F-40AA-B029-D8EB01F00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qFormat/>
    <w:rsid w:val="004B47C0"/>
    <w:pPr>
      <w:spacing w:after="240"/>
      <w:ind w:left="567" w:hanging="567"/>
    </w:pPr>
  </w:style>
  <w:style w:type="character" w:styleId="Hyperlink">
    <w:name w:val="Hyperlink"/>
    <w:basedOn w:val="DefaultParagraphFont"/>
    <w:uiPriority w:val="99"/>
    <w:rsid w:val="004B47C0"/>
    <w:rPr>
      <w:color w:val="0563C1" w:themeColor="hyperlink"/>
      <w:u w:val="single"/>
    </w:rPr>
  </w:style>
  <w:style w:type="paragraph" w:customStyle="1" w:styleId="Considrant">
    <w:name w:val="Considérant"/>
    <w:basedOn w:val="Normal"/>
    <w:uiPriority w:val="99"/>
    <w:semiHidden/>
    <w:rsid w:val="004B47C0"/>
    <w:pPr>
      <w:widowControl/>
      <w:numPr>
        <w:numId w:val="45"/>
      </w:numPr>
      <w:spacing w:before="120" w:after="120"/>
      <w:jc w:val="both"/>
    </w:pPr>
    <w:rPr>
      <w:rFonts w:eastAsiaTheme="minorHAnsi"/>
      <w:szCs w:val="22"/>
      <w:lang w:eastAsia="en-US"/>
    </w:rPr>
  </w:style>
  <w:style w:type="character" w:customStyle="1" w:styleId="Funotenzeichen">
    <w:name w:val="Fußnotenzeichen"/>
    <w:basedOn w:val="DefaultParagraphFont"/>
    <w:uiPriority w:val="99"/>
    <w:qFormat/>
    <w:rsid w:val="004B47C0"/>
    <w:rPr>
      <w:rFonts w:ascii="Times New Roman" w:hAnsi="Times New Roman" w:cs="Times New Roman" w:hint="default"/>
      <w:vertAlign w:val="superscript"/>
    </w:rPr>
  </w:style>
  <w:style w:type="paragraph" w:styleId="Revision">
    <w:name w:val="Revision"/>
    <w:hidden/>
    <w:uiPriority w:val="99"/>
    <w:semiHidden/>
    <w:rsid w:val="00892D7D"/>
    <w:rPr>
      <w:sz w:val="24"/>
      <w:lang w:val="da-DK"/>
    </w:rPr>
  </w:style>
  <w:style w:type="character" w:styleId="UnresolvedMention">
    <w:name w:val="Unresolved Mention"/>
    <w:basedOn w:val="DefaultParagraphFont"/>
    <w:uiPriority w:val="99"/>
    <w:semiHidden/>
    <w:unhideWhenUsed/>
    <w:rsid w:val="00892D7D"/>
    <w:rPr>
      <w:color w:val="605E5C"/>
      <w:shd w:val="clear" w:color="auto" w:fill="E1DFDD"/>
    </w:rPr>
  </w:style>
  <w:style w:type="character" w:styleId="FollowedHyperlink">
    <w:name w:val="FollowedHyperlink"/>
    <w:basedOn w:val="DefaultParagraphFont"/>
    <w:rsid w:val="00821E9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ec_impl/2026/1443/oj" TargetMode="External" /><Relationship Id="rId10" Type="http://schemas.openxmlformats.org/officeDocument/2006/relationships/hyperlink" Target="http://data.europa.eu/eli/C/2025/1802/oj" TargetMode="External" /><Relationship Id="rId11" Type="http://schemas.openxmlformats.org/officeDocument/2006/relationships/hyperlink" Target="http://data.europa.eu/eli/C/2025/1803/oj" TargetMode="External" /><Relationship Id="rId12" Type="http://schemas.openxmlformats.org/officeDocument/2006/relationships/hyperlink" Target="http://data.europa.eu/eli/C/2025/1804/oj" TargetMode="External" /><Relationship Id="rId13" Type="http://schemas.openxmlformats.org/officeDocument/2006/relationships/hyperlink" Target="http://data.europa.eu/eli/C/2025/2246/oj" TargetMode="External" /><Relationship Id="rId14" Type="http://schemas.openxmlformats.org/officeDocument/2006/relationships/hyperlink" Target="http://data.europa.eu/eli/C/2025/2247/oj" TargetMode="External" /><Relationship Id="rId15" Type="http://schemas.openxmlformats.org/officeDocument/2006/relationships/hyperlink" Target="http://data.europa.eu/eli/C/2026/586/oj" TargetMode="External" /><Relationship Id="rId16" Type="http://schemas.openxmlformats.org/officeDocument/2006/relationships/hyperlink" Target="http://data.europa.eu/eli/C/2026/1523/oj" TargetMode="External" /><Relationship Id="rId17" Type="http://schemas.openxmlformats.org/officeDocument/2006/relationships/hyperlink" Target="http://data.europa.eu/eli/C/2026/1703/oj" TargetMode="External" /><Relationship Id="rId18" Type="http://schemas.openxmlformats.org/officeDocument/2006/relationships/hyperlink" Target="http://data.europa.eu/eli/C/2026/1704/oj" TargetMode="External" /><Relationship Id="rId19" Type="http://schemas.openxmlformats.org/officeDocument/2006/relationships/hyperlink" Target="http://data.europa.eu/eli/C/2026/1705/oj" TargetMode="External" /><Relationship Id="rId2" Type="http://schemas.openxmlformats.org/officeDocument/2006/relationships/hyperlink" Target="http://data.europa.eu/eli/reg/2003/1829/oj" TargetMode="External" /><Relationship Id="rId20" Type="http://schemas.openxmlformats.org/officeDocument/2006/relationships/hyperlink" Target="http://data.europa.eu/eli/C/2026/1706/oj" TargetMode="External" /><Relationship Id="rId21" Type="http://schemas.openxmlformats.org/officeDocument/2006/relationships/hyperlink" Target="http://data.europa.eu/eli/C/2026/1707/oj" TargetMode="External" /><Relationship Id="rId22" Type="http://schemas.openxmlformats.org/officeDocument/2006/relationships/hyperlink" Target="http://data.europa.eu/eli/C/2026/2150/oj" TargetMode="External" /><Relationship Id="rId23" Type="http://schemas.openxmlformats.org/officeDocument/2006/relationships/hyperlink" Target="http://data.europa.eu/eli/C/2026/2151/oj" TargetMode="External" /><Relationship Id="rId24" Type="http://schemas.openxmlformats.org/officeDocument/2006/relationships/hyperlink" Target="https://doi.org/10.1007/s00267-015-0589-7" TargetMode="External" /><Relationship Id="rId25" Type="http://schemas.openxmlformats.org/officeDocument/2006/relationships/hyperlink" Target="https://doi.org/10.1186/2190-4715-24-24" TargetMode="External" /><Relationship Id="rId26" Type="http://schemas.openxmlformats.org/officeDocument/2006/relationships/hyperlink" Target="http://data.europa.eu/eli/reg/2009/1107/oj" TargetMode="External" /><Relationship Id="rId27" Type="http://schemas.openxmlformats.org/officeDocument/2006/relationships/hyperlink" Target="https://ec.europa.eu/food/plant/pesticides/eu-pesticides-database/start/screen/active-substances/details/79" TargetMode="External" /><Relationship Id="rId28" Type="http://schemas.openxmlformats.org/officeDocument/2006/relationships/hyperlink" Target="https://doi.org/10.1016/j.mrrev.2019.02.001" TargetMode="External" /><Relationship Id="rId29" Type="http://schemas.openxmlformats.org/officeDocument/2006/relationships/hyperlink" Target="https://doi.org/10.1093/ije/dyz017" TargetMode="External" /><Relationship Id="rId3" Type="http://schemas.openxmlformats.org/officeDocument/2006/relationships/hyperlink" Target="http://data.europa.eu/eli/reg/2011/182/oj" TargetMode="External" /><Relationship Id="rId30" Type="http://schemas.openxmlformats.org/officeDocument/2006/relationships/hyperlink" Target="https://doi.org/10.1371/journal.pone.0219610" TargetMode="External" /><Relationship Id="rId31" Type="http://schemas.openxmlformats.org/officeDocument/2006/relationships/hyperlink" Target="https://doi.org/10.1186/s13045-019-0767-9" TargetMode="External" /><Relationship Id="rId32" Type="http://schemas.openxmlformats.org/officeDocument/2006/relationships/hyperlink" Target="https://doi.org/10.1006/rtph.1999.1371" TargetMode="External" /><Relationship Id="rId33" Type="http://schemas.openxmlformats.org/officeDocument/2006/relationships/hyperlink" Target="https://doi.org/10.1007/s13205-016-0387-9" TargetMode="External" /><Relationship Id="rId34" Type="http://schemas.openxmlformats.org/officeDocument/2006/relationships/hyperlink" Target="https://doi.org/10.2903/j.efsa.2018.5263" TargetMode="External" /><Relationship Id="rId35" Type="http://schemas.openxmlformats.org/officeDocument/2006/relationships/hyperlink" Target="http://data.europa.eu/eli/convention/1993/626/oj" TargetMode="External" /><Relationship Id="rId36" Type="http://schemas.openxmlformats.org/officeDocument/2006/relationships/hyperlink" Target="https://ec.europa.eu/commission/presscorner/detail/en/ip_22_7834" TargetMode="External" /><Relationship Id="rId37" Type="http://schemas.openxmlformats.org/officeDocument/2006/relationships/hyperlink" Target="https://commission.europa.eu/strategy-and-policy/priorities-2019-2024/european-green-deal/agriculture-and-green-deal/strategic-dialogue-future-eu-agriculture_da" TargetMode="External" /><Relationship Id="rId38" Type="http://schemas.openxmlformats.org/officeDocument/2006/relationships/hyperlink" Target="http://data.europa.eu/eli/reg/2002/178/oj" TargetMode="External" /><Relationship Id="rId39" Type="http://schemas.openxmlformats.org/officeDocument/2006/relationships/hyperlink" Target="https://tillymetz.lu/wp-content/uploads/2020/09/Co-signed-letter-MEP-Metz.pdf" TargetMode="External" /><Relationship Id="rId4" Type="http://schemas.openxmlformats.org/officeDocument/2006/relationships/hyperlink" Target="https://doi.org/10.2903/j.efsa.2025.9746" TargetMode="External" /><Relationship Id="rId5" Type="http://schemas.openxmlformats.org/officeDocument/2006/relationships/hyperlink" Target="http://data.europa.eu/eli/C/2025/1797/oj" TargetMode="External" /><Relationship Id="rId6" Type="http://schemas.openxmlformats.org/officeDocument/2006/relationships/hyperlink" Target="http://data.europa.eu/eli/C/2025/1798/oj" TargetMode="External" /><Relationship Id="rId7" Type="http://schemas.openxmlformats.org/officeDocument/2006/relationships/hyperlink" Target="http://data.europa.eu/eli/C/2025/1799/oj" TargetMode="External" /><Relationship Id="rId8" Type="http://schemas.openxmlformats.org/officeDocument/2006/relationships/hyperlink" Target="http://data.europa.eu/eli/C/2025/1800/oj" TargetMode="External" /><Relationship Id="rId9" Type="http://schemas.openxmlformats.org/officeDocument/2006/relationships/hyperlink" Target="http://data.europa.eu/eli/C/2025/180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2164</Words>
  <Characters>13477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2026-08-04T07:46:00Z</dcterms:created>
  <dcterms:modified xsi:type="dcterms:W3CDTF">2026-08-04T07:46:00Z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P10_TA-PROV(2026)0265_B10-0336_2026_</vt:lpwstr>
  </property>
  <property fmtid="{D5CDD505-2E9C-101B-9397-08002B2CF9AE}" pid="4" name="&lt;Type&gt;">
    <vt:lpwstr>RR</vt:lpwstr>
  </property>
</Properties>
</file>