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683EF71" w14:textId="77777777" w:rsidTr="0010095E">
        <w:tblPrEx>
          <w:tblW w:w="9072" w:type="dxa"/>
          <w:tblLook w:val="01E0"/>
        </w:tblPrEx>
        <w:trPr>
          <w:trHeight w:hRule="exact" w:val="1418"/>
        </w:trPr>
        <w:tc>
          <w:tcPr>
            <w:tcW w:w="6804" w:type="dxa"/>
            <w:shd w:val="clear" w:color="auto" w:fill="auto"/>
            <w:vAlign w:val="center"/>
          </w:tcPr>
          <w:p w:rsidR="00751A4A" w:rsidRPr="00106072" w:rsidP="0010095E" w14:paraId="06A5A7F1" w14:textId="77777777">
            <w:pPr>
              <w:pStyle w:val="EPName"/>
            </w:pPr>
            <w:r w:rsidRPr="00106072">
              <w:t>Ευρωπαϊκό Κοινοβούλιο</w:t>
            </w:r>
          </w:p>
          <w:p w:rsidR="00751A4A" w:rsidRPr="00106072" w:rsidP="005F1B17" w14:paraId="1C288851" w14:textId="77777777">
            <w:pPr>
              <w:pStyle w:val="EPTerm"/>
              <w:rPr>
                <w:rStyle w:val="HideTWBExt"/>
                <w:noProof w:val="0"/>
                <w:vanish w:val="0"/>
                <w:color w:val="auto"/>
              </w:rPr>
            </w:pPr>
            <w:r w:rsidRPr="00106072">
              <w:t>2024</w:t>
            </w:r>
            <w:r w:rsidRPr="00106072" w:rsidR="00817416">
              <w:t>-202</w:t>
            </w:r>
            <w:r w:rsidRPr="00106072">
              <w:t>9</w:t>
            </w:r>
          </w:p>
        </w:tc>
        <w:tc>
          <w:tcPr>
            <w:tcW w:w="2268" w:type="dxa"/>
            <w:shd w:val="clear" w:color="auto" w:fill="auto"/>
          </w:tcPr>
          <w:p w:rsidR="00751A4A" w:rsidRPr="00106072" w:rsidP="0010095E" w14:paraId="5A025501" w14:textId="77777777">
            <w:pPr>
              <w:pStyle w:val="EPLogo"/>
            </w:pPr>
            <w:r w:rsidRPr="0010607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06072" w:rsidP="004C5D52" w14:paraId="2E8580FE" w14:textId="77777777">
      <w:pPr>
        <w:pStyle w:val="LineTop"/>
      </w:pPr>
    </w:p>
    <w:p w:rsidR="00680577" w:rsidRPr="00106072" w:rsidP="00680577" w14:paraId="52B259ED" w14:textId="77777777">
      <w:pPr>
        <w:pStyle w:val="EPBodyTA1"/>
      </w:pPr>
      <w:r w:rsidRPr="00106072">
        <w:t>ΚΕΙΜΕΝΑ ΠΟΥ ΕΓΚΡΙΘΗΚΑΝ</w:t>
      </w:r>
    </w:p>
    <w:p w:rsidR="00D058B8" w:rsidRPr="00106072" w:rsidP="00D058B8" w14:paraId="1F30C825" w14:textId="77777777">
      <w:pPr>
        <w:pStyle w:val="LineBottom"/>
      </w:pPr>
    </w:p>
    <w:p w:rsidR="006917B7" w:rsidRPr="00106072" w:rsidP="006917B7" w14:paraId="2D7AEE43" w14:textId="2DB02B3C">
      <w:pPr>
        <w:pStyle w:val="ATHeading1"/>
      </w:pPr>
      <w:bookmarkStart w:id="0" w:name="TANumber"/>
      <w:r w:rsidRPr="00106072">
        <w:t>P10_TA(2026)0</w:t>
      </w:r>
      <w:r w:rsidR="0071298A">
        <w:t>265</w:t>
      </w:r>
      <w:bookmarkEnd w:id="0"/>
    </w:p>
    <w:p w:rsidR="006917B7" w:rsidRPr="009B1995" w:rsidP="009B1995" w14:paraId="60134A5E" w14:textId="329558A6">
      <w:pPr>
        <w:pStyle w:val="ATHeading2"/>
      </w:pPr>
      <w:bookmarkStart w:id="1" w:name="_Hlk234243133"/>
      <w:bookmarkStart w:id="2" w:name="title"/>
      <w:r>
        <w:t xml:space="preserve">Γενετικώς τροποποιημένος αραβόσιτος DP202216 </w:t>
      </w:r>
      <w:r w:rsidRPr="00B5730B" w:rsidR="002135A7">
        <w:t>×</w:t>
      </w:r>
      <w:r>
        <w:t xml:space="preserve"> NK603 </w:t>
      </w:r>
      <w:r w:rsidRPr="00B5730B" w:rsidR="002135A7">
        <w:t>×</w:t>
      </w:r>
      <w:r>
        <w:t xml:space="preserve"> DAS-40278-9 και από οι επιμέρους συνδυασμοί του </w:t>
      </w:r>
      <w:r w:rsidRPr="0071298A">
        <w:rPr>
          <w:lang w:val="de-DE"/>
        </w:rPr>
        <w:t>DP</w:t>
      </w:r>
      <w:r w:rsidRPr="009B1995">
        <w:t xml:space="preserve">202216 </w:t>
      </w:r>
      <w:r w:rsidRPr="00B5730B" w:rsidR="002135A7">
        <w:t>×</w:t>
      </w:r>
      <w:r w:rsidRPr="009B1995">
        <w:t xml:space="preserve"> </w:t>
      </w:r>
      <w:r w:rsidRPr="0071298A">
        <w:rPr>
          <w:lang w:val="de-DE"/>
        </w:rPr>
        <w:t>NK</w:t>
      </w:r>
      <w:r w:rsidRPr="009B1995">
        <w:t xml:space="preserve">603, </w:t>
      </w:r>
      <w:r w:rsidRPr="0071298A">
        <w:rPr>
          <w:lang w:val="de-DE"/>
        </w:rPr>
        <w:t>DP</w:t>
      </w:r>
      <w:r w:rsidRPr="009B1995">
        <w:t xml:space="preserve">202216 </w:t>
      </w:r>
      <w:r w:rsidRPr="00B5730B" w:rsidR="002135A7">
        <w:t>×</w:t>
      </w:r>
      <w:r w:rsidRPr="009B1995">
        <w:t xml:space="preserve"> </w:t>
      </w:r>
      <w:r w:rsidRPr="0071298A">
        <w:rPr>
          <w:lang w:val="de-DE"/>
        </w:rPr>
        <w:t>DAS</w:t>
      </w:r>
      <w:r w:rsidRPr="009B1995">
        <w:t>-40278-9</w:t>
      </w:r>
      <w:bookmarkEnd w:id="1"/>
      <w:bookmarkEnd w:id="2"/>
    </w:p>
    <w:p w:rsidR="006917B7" w:rsidRPr="00106072" w:rsidP="006917B7" w14:paraId="5F18E3AB" w14:textId="77777777">
      <w:pPr>
        <w:rPr>
          <w:i/>
          <w:vanish/>
        </w:rPr>
      </w:pPr>
      <w:r>
        <w:rPr>
          <w:i/>
        </w:rPr>
        <w:fldChar w:fldCharType="begin"/>
      </w:r>
      <w:r w:rsidRPr="00106072">
        <w:rPr>
          <w:i/>
        </w:rPr>
        <w:instrText xml:space="preserve"> TC"(</w:instrText>
      </w:r>
      <w:bookmarkStart w:id="3" w:name="DocNumber"/>
      <w:r w:rsidRPr="00106072">
        <w:rPr>
          <w:i/>
        </w:rPr>
        <w:instrText>B10-0336/2026</w:instrText>
      </w:r>
      <w:bookmarkEnd w:id="3"/>
      <w:r w:rsidRPr="00106072">
        <w:rPr>
          <w:i/>
        </w:rPr>
        <w:instrText xml:space="preserve">)"\l3 \n&gt; \* MERGEFORMAT </w:instrText>
      </w:r>
      <w:r>
        <w:rPr>
          <w:i/>
        </w:rPr>
        <w:fldChar w:fldCharType="end"/>
      </w:r>
    </w:p>
    <w:p w:rsidR="006917B7" w:rsidRPr="00106072" w:rsidP="006917B7" w14:paraId="58E30A0F" w14:textId="77777777">
      <w:pPr>
        <w:rPr>
          <w:vanish/>
        </w:rPr>
      </w:pPr>
      <w:bookmarkStart w:id="4" w:name="PE"/>
      <w:r w:rsidRPr="00106072">
        <w:rPr>
          <w:vanish/>
        </w:rPr>
        <w:t>PE789.025</w:t>
      </w:r>
      <w:bookmarkEnd w:id="4"/>
    </w:p>
    <w:p w:rsidR="006917B7" w:rsidRPr="00106072" w:rsidP="006917B7" w14:paraId="1905D3B8" w14:textId="1A62F17B">
      <w:pPr>
        <w:pStyle w:val="ATHeading3"/>
      </w:pPr>
      <w:bookmarkStart w:id="5" w:name="Sujet"/>
      <w:r w:rsidRPr="00106072">
        <w:t xml:space="preserve">Ψήφισμα του Ευρωπαϊκού Κοινοβουλίου της </w:t>
      </w:r>
      <w:r w:rsidR="009B1995">
        <w:t>8ης Ιουλίου</w:t>
      </w:r>
      <w:r w:rsidRPr="00106072">
        <w:t xml:space="preserve"> 2026 σχετικά με τ</w:t>
      </w:r>
      <w:r w:rsidR="009B1995">
        <w:t>ην</w:t>
      </w:r>
      <w:r w:rsidRPr="00106072">
        <w:t xml:space="preserve"> εκτελεστική απόφαση</w:t>
      </w:r>
      <w:r w:rsidR="009B1995">
        <w:t xml:space="preserve"> (ΕΕ) 2026/1443</w:t>
      </w:r>
      <w:r w:rsidRPr="00106072">
        <w:t xml:space="preserve"> της Επιτροπής</w:t>
      </w:r>
      <w:r w:rsidR="009B1995">
        <w:t>, της 29ης Ιουνίου 2026,</w:t>
      </w:r>
      <w:r w:rsidRPr="00106072">
        <w:t xml:space="preserve"> για την έγκριση της διάθεσης στην αγορά προϊόντων που περιέχουν, αποτελούνται ή παράγονται από γενετικώς τροποποιημένο αραβόσιτο DP202216 </w:t>
      </w:r>
      <w:r w:rsidRPr="00800EDB" w:rsidR="00800EDB">
        <w:t>×</w:t>
      </w:r>
      <w:r w:rsidRPr="00106072">
        <w:t xml:space="preserve"> NK603 </w:t>
      </w:r>
      <w:r w:rsidRPr="00800EDB" w:rsidR="00800EDB">
        <w:t>×</w:t>
      </w:r>
      <w:r w:rsidRPr="00106072">
        <w:t xml:space="preserve"> DAS-40278-9 και τους επιμέρους συνδυασμούς DP202216 </w:t>
      </w:r>
      <w:r w:rsidRPr="00800EDB" w:rsidR="00800EDB">
        <w:t>×</w:t>
      </w:r>
      <w:r w:rsidRPr="00106072">
        <w:t xml:space="preserve"> NK603, DP202216 </w:t>
      </w:r>
      <w:r w:rsidRPr="00800EDB" w:rsidR="00800EDB">
        <w:t>×</w:t>
      </w:r>
      <w:r w:rsidRPr="00106072">
        <w:t xml:space="preserve"> DAS-40278-9, σύμφωνα με τον κανονισμό (ΕΚ) αριθ. 1829/2003 του Ευρωπαϊκού Κοινοβουλίου και του Συμβουλίου</w:t>
      </w:r>
      <w:bookmarkEnd w:id="5"/>
      <w:r w:rsidRPr="00106072">
        <w:t xml:space="preserve"> </w:t>
      </w:r>
      <w:bookmarkStart w:id="6" w:name="References"/>
      <w:r w:rsidRPr="00106072">
        <w:t>(2026/2746(RSP))</w:t>
      </w:r>
      <w:bookmarkEnd w:id="6"/>
    </w:p>
    <w:p w:rsidR="00C3477F" w:rsidP="00757DCE" w14:paraId="0CE703CC" w14:textId="77777777">
      <w:pPr>
        <w:pStyle w:val="NormalHanging12a"/>
        <w:tabs>
          <w:tab w:val="center" w:pos="4535"/>
        </w:tabs>
        <w:spacing w:before="240"/>
        <w:rPr>
          <w:i/>
        </w:rPr>
      </w:pPr>
      <w:bookmarkStart w:id="7" w:name="TextBodyBegin"/>
      <w:bookmarkEnd w:id="7"/>
    </w:p>
    <w:p w:rsidR="00757DCE" w:rsidRPr="00106072" w:rsidP="00757DCE" w14:paraId="2302E85B" w14:textId="5F52F753">
      <w:pPr>
        <w:pStyle w:val="NormalHanging12a"/>
        <w:tabs>
          <w:tab w:val="center" w:pos="4535"/>
        </w:tabs>
        <w:spacing w:before="240"/>
      </w:pPr>
      <w:r w:rsidRPr="00106072">
        <w:rPr>
          <w:i/>
        </w:rPr>
        <w:t>Το Ευρωπαϊκό Κοινοβούλιο</w:t>
      </w:r>
      <w:r w:rsidRPr="00106072">
        <w:t>,</w:t>
      </w:r>
    </w:p>
    <w:p w:rsidR="00757DCE" w:rsidRPr="00106072" w:rsidP="00757DCE" w14:paraId="41989EFC" w14:textId="2726F646">
      <w:pPr>
        <w:pStyle w:val="NormalHanging12a"/>
      </w:pPr>
      <w:r w:rsidRPr="00106072">
        <w:t>–</w:t>
      </w:r>
      <w:r w:rsidRPr="00106072">
        <w:tab/>
        <w:t>έχοντας υπόψη τ</w:t>
      </w:r>
      <w:r w:rsidR="009B1995">
        <w:t>ην</w:t>
      </w:r>
      <w:r w:rsidRPr="00106072">
        <w:t xml:space="preserve"> εκτελεστική απόφαση </w:t>
      </w:r>
      <w:r w:rsidR="009B1995">
        <w:t xml:space="preserve">(ΕΕ) 2026/1443 </w:t>
      </w:r>
      <w:r w:rsidRPr="00106072">
        <w:t>της Επιτροπής</w:t>
      </w:r>
      <w:r w:rsidR="009B1995">
        <w:t>, της 29ης</w:t>
      </w:r>
      <w:r w:rsidR="00C3477F">
        <w:t> </w:t>
      </w:r>
      <w:r w:rsidR="009B1995">
        <w:t>Ιουνίου 2026,</w:t>
      </w:r>
      <w:r w:rsidRPr="00106072">
        <w:t xml:space="preserve"> για την έγκριση της διάθεσης στην αγορά προϊόντων που περιέχουν, αποτελούνται ή παράγονται από γενετικώς τροποποιημένο αραβόσιτο DP202216 </w:t>
      </w:r>
      <w:r w:rsidRPr="00800EDB" w:rsidR="00800EDB">
        <w:t>×</w:t>
      </w:r>
      <w:r w:rsidRPr="00106072">
        <w:t xml:space="preserve"> NK603 </w:t>
      </w:r>
      <w:r w:rsidRPr="00800EDB" w:rsidR="00800EDB">
        <w:t>×</w:t>
      </w:r>
      <w:r w:rsidRPr="00106072">
        <w:t xml:space="preserve"> DAS-40278-9 και τους επιμέρους συνδυασμούς DP202216 </w:t>
      </w:r>
      <w:r w:rsidRPr="00800EDB" w:rsidR="00800EDB">
        <w:t>×</w:t>
      </w:r>
      <w:r w:rsidRPr="00106072">
        <w:t xml:space="preserve"> NK603, DP202216 </w:t>
      </w:r>
      <w:r w:rsidRPr="00800EDB" w:rsidR="00800EDB">
        <w:t>×</w:t>
      </w:r>
      <w:r w:rsidRPr="00106072">
        <w:t xml:space="preserve"> DAS-40278-9, σύμφωνα με τον κανονισμό (ΕΚ) αριθ. 1829/2003 του Ευρωπαϊκού Κοινοβουλίου και του Συμβουλίου</w:t>
      </w:r>
      <w:r>
        <w:rPr>
          <w:rStyle w:val="FootnoteReference"/>
        </w:rPr>
        <w:footnoteReference w:id="2"/>
      </w:r>
      <w:r w:rsidRPr="00106072">
        <w:t>,</w:t>
      </w:r>
    </w:p>
    <w:p w:rsidR="00757DCE" w:rsidRPr="00106072" w:rsidP="00757DCE" w14:paraId="1717FEAB" w14:textId="77777777">
      <w:pPr>
        <w:pStyle w:val="NormalHanging12a"/>
      </w:pPr>
      <w:r w:rsidRPr="00106072">
        <w:t>–</w:t>
      </w:r>
      <w:r w:rsidRPr="00106072">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Pr>
          <w:rStyle w:val="FootnoteReference"/>
        </w:rPr>
        <w:footnoteReference w:id="3"/>
      </w:r>
      <w:r w:rsidRPr="00106072">
        <w:t>, και ιδίως το άρθρο 7 παράγραφος 3 και το άρθρο 19 παράγραφος 3,</w:t>
      </w:r>
    </w:p>
    <w:p w:rsidR="00757DCE" w:rsidRPr="00106072" w:rsidP="00757DCE" w14:paraId="0E91A6CA" w14:textId="77777777">
      <w:pPr>
        <w:pStyle w:val="NormalHanging12a"/>
      </w:pPr>
      <w:r w:rsidRPr="00106072">
        <w:t>–</w:t>
      </w:r>
      <w:r w:rsidRPr="00106072">
        <w:tab/>
        <w:t>έχοντας υπόψη την ψηφοφορία στη Μόνιμη Επιτροπή Φυτών, Ζώων, Τροφίμων και Ζωοτροφών κατά το άρθρο 35 του κανονισμού (ΕΚ) αριθ. 1829/2003, η οποία πραγματοποιήθηκε στις 27 Απριλίου 2026 και κατά την οποία δεν εκδόθηκε γνωμοδότηση, και την ψηφοφορία στην Επιτροπή Προσφυγών στις 2 Ιουνίου 2026, που κατέληξε επίσης σε μη έκδοση γνωμοδότησης,</w:t>
      </w:r>
    </w:p>
    <w:p w:rsidR="00757DCE" w:rsidRPr="00106072" w:rsidP="00757DCE" w14:paraId="04B83D7F" w14:textId="6F8C3339">
      <w:pPr>
        <w:pStyle w:val="NormalHanging12a"/>
      </w:pPr>
      <w:r w:rsidRPr="00106072">
        <w:t>–</w:t>
      </w:r>
      <w:r w:rsidRPr="00106072">
        <w:tab/>
        <w:t xml:space="preserve">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w:t>
      </w:r>
      <w:r w:rsidRPr="00106072">
        <w:t>άσκησης των εκτελεστικών αρμοδιοτήτων από την Επιτροπή</w:t>
      </w:r>
      <w:r>
        <w:rPr>
          <w:rStyle w:val="FootnoteReference"/>
        </w:rPr>
        <w:footnoteReference w:id="4"/>
      </w:r>
      <w:r w:rsidRPr="00106072">
        <w:t>,</w:t>
      </w:r>
    </w:p>
    <w:p w:rsidR="00757DCE" w:rsidRPr="00106072" w:rsidP="00757DCE" w14:paraId="2B1BE7C3" w14:textId="77777777">
      <w:pPr>
        <w:pStyle w:val="NormalHanging12a"/>
      </w:pPr>
      <w:r w:rsidRPr="00106072">
        <w:t>–</w:t>
      </w:r>
      <w:r w:rsidRPr="00106072">
        <w:tab/>
        <w:t>έχοντας υπόψη τη γνώμη που εκδόθηκε από την Ευρωπαϊκή Αρχή για την Ασφάλεια των Τροφίμων (EFSA) στις 30 Οκτωβρίου 2025 και δημοσιεύθηκε στις 5 Δεκεμβρίου 2025</w:t>
      </w:r>
      <w:r>
        <w:rPr>
          <w:rStyle w:val="FootnoteReference"/>
        </w:rPr>
        <w:footnoteReference w:id="5"/>
      </w:r>
      <w:r w:rsidRPr="00106072">
        <w:t>,</w:t>
      </w:r>
    </w:p>
    <w:p w:rsidR="00757DCE" w:rsidRPr="00106072" w:rsidP="00757DCE" w14:paraId="6896E746" w14:textId="42148377">
      <w:pPr>
        <w:pStyle w:val="NormalHanging12a"/>
      </w:pPr>
      <w:r w:rsidRPr="00106072">
        <w:t>–</w:t>
      </w:r>
      <w:r w:rsidRPr="00106072">
        <w:tab/>
        <w:t>έχοντας υπόψη τα προηγούμενα ψηφίσματά του που ήταν αντίθετα στην έγκριση γενετικώς τροποποιημένων οργανισμών (</w:t>
      </w:r>
      <w:r w:rsidR="00800EDB">
        <w:t>«</w:t>
      </w:r>
      <w:r w:rsidRPr="00106072">
        <w:t>ΓΤΟ</w:t>
      </w:r>
      <w:r w:rsidR="00800EDB">
        <w:t>»</w:t>
      </w:r>
      <w:r w:rsidRPr="00106072">
        <w:t>)</w:t>
      </w:r>
      <w:r>
        <w:rPr>
          <w:rStyle w:val="FootnoteReference"/>
        </w:rPr>
        <w:footnoteReference w:id="6"/>
      </w:r>
      <w:r w:rsidRPr="00106072">
        <w:t>,</w:t>
      </w:r>
    </w:p>
    <w:p w:rsidR="00757DCE" w:rsidRPr="00106072" w:rsidP="00757DCE" w14:paraId="0033548E" w14:textId="77777777">
      <w:pPr>
        <w:pStyle w:val="NormalHanging12a"/>
      </w:pPr>
      <w:r w:rsidRPr="00106072">
        <w:t>–</w:t>
      </w:r>
      <w:r w:rsidRPr="00106072">
        <w:tab/>
        <w:t>έχοντας υπόψη το άρθρο 115 παράγραφοι 2 και 3 του Κανονισμού,</w:t>
      </w:r>
    </w:p>
    <w:p w:rsidR="00757DCE" w:rsidRPr="00106072" w:rsidP="00757DCE" w14:paraId="4C3F832F" w14:textId="77777777">
      <w:pPr>
        <w:pStyle w:val="NormalHanging12a"/>
      </w:pPr>
      <w:r w:rsidRPr="00106072">
        <w:t>–</w:t>
      </w:r>
      <w:r w:rsidRPr="00106072">
        <w:tab/>
        <w:t>έχοντας υπόψη την πρόταση ψηφίσματος της Επιτροπής Περιβάλλοντος, Κλίματος και Ασφάλειας των Τροφίμων,</w:t>
      </w:r>
    </w:p>
    <w:p w:rsidR="00757DCE" w:rsidRPr="00106072" w:rsidP="009B1995" w14:paraId="3B987360" w14:textId="77777777">
      <w:pPr>
        <w:pStyle w:val="Considrant"/>
        <w:numPr>
          <w:ilvl w:val="0"/>
          <w:numId w:val="0"/>
        </w:numPr>
        <w:spacing w:after="240"/>
        <w:ind w:left="567" w:hanging="567"/>
        <w:jc w:val="left"/>
        <w:rPr>
          <w:szCs w:val="24"/>
        </w:rPr>
      </w:pPr>
      <w:r w:rsidRPr="00106072">
        <w:t>Α.</w:t>
      </w:r>
      <w:r w:rsidRPr="00106072">
        <w:tab/>
        <w:t xml:space="preserve">λαμβάνοντας υπόψη ότι, στις 10 Μαρτίου 2023, η </w:t>
      </w:r>
      <w:r w:rsidRPr="00106072">
        <w:rPr>
          <w:snapToGrid w:val="0"/>
        </w:rPr>
        <w:t>Corteva</w:t>
      </w:r>
      <w:r w:rsidRPr="00106072">
        <w:rPr>
          <w:snapToGrid w:val="0"/>
        </w:rPr>
        <w:t xml:space="preserve"> </w:t>
      </w:r>
      <w:r w:rsidRPr="00106072">
        <w:rPr>
          <w:snapToGrid w:val="0"/>
        </w:rPr>
        <w:t>Agriscience</w:t>
      </w:r>
      <w:r w:rsidRPr="00106072">
        <w:rPr>
          <w:snapToGrid w:val="0"/>
        </w:rPr>
        <w:t xml:space="preserve"> </w:t>
      </w:r>
      <w:r w:rsidRPr="00106072">
        <w:rPr>
          <w:snapToGrid w:val="0"/>
        </w:rPr>
        <w:t>Belgium</w:t>
      </w:r>
      <w:r w:rsidRPr="00106072">
        <w:rPr>
          <w:snapToGrid w:val="0"/>
        </w:rPr>
        <w:t xml:space="preserve"> B.V., με έδρα το Βέλγιο, εξ ονόματος της </w:t>
      </w:r>
      <w:r w:rsidRPr="00106072">
        <w:rPr>
          <w:snapToGrid w:val="0"/>
        </w:rPr>
        <w:t>Corteva</w:t>
      </w:r>
      <w:r w:rsidRPr="00106072">
        <w:rPr>
          <w:snapToGrid w:val="0"/>
        </w:rPr>
        <w:t xml:space="preserve"> </w:t>
      </w:r>
      <w:r w:rsidRPr="00106072">
        <w:rPr>
          <w:snapToGrid w:val="0"/>
        </w:rPr>
        <w:t>Agriscience</w:t>
      </w:r>
      <w:r w:rsidRPr="00106072">
        <w:rPr>
          <w:snapToGrid w:val="0"/>
        </w:rPr>
        <w:t xml:space="preserve"> LLC, με έδρα τις Ηνωμένες Πολιτείες, υπέβαλε αίτηση για τη</w:t>
      </w:r>
      <w:r w:rsidRPr="00106072">
        <w:t xml:space="preserve"> διάθεση στην αγορά τροφίμων, συστατικών τροφίμων και ζωοτροφών που περιέχουν, αποτελούνται ή παράγονται από γενετικώς τροποποιημένο αραβόσιτο DP202216 × NK603 × DAS-40279-9 («ΓΤ αραβόσιτος»), σύμφωνα με τα άρθρα 5 και 17 του κανονισμού (ΕΚ) αριθ. 1829/2003· λαμβάνοντας υπόψη ότι η αίτηση κάλυπτε επίσης τη διάθεση στην αγορά προϊόντων που περιέχουν ή </w:t>
      </w:r>
      <w:r w:rsidRPr="00106072">
        <w:t>αποτελούνται από ΓΤ αραβόσιτο και προορίζονται για χρήσεις διαφορετικές από τη χρήση σε τρόφιμα και ζωοτροφές, εξαιρουμένης της καλλιέργειας·</w:t>
      </w:r>
    </w:p>
    <w:p w:rsidR="00757DCE" w:rsidRPr="00106072" w:rsidP="009B1995" w14:paraId="628EEECF" w14:textId="7095F296">
      <w:pPr>
        <w:widowControl/>
        <w:shd w:val="clear" w:color="auto" w:fill="FFFFFF"/>
        <w:spacing w:after="240"/>
        <w:ind w:left="567" w:hanging="567"/>
        <w:rPr>
          <w:szCs w:val="24"/>
        </w:rPr>
      </w:pPr>
      <w:r w:rsidRPr="00106072">
        <w:t>Β.</w:t>
      </w:r>
      <w:r w:rsidRPr="00106072">
        <w:tab/>
        <w:t xml:space="preserve">λαμβάνοντας υπόψη ότι στις 30 Οκτωβρίου 2025 η EFSA εξέδωσε θετική επιστημονική γνώμη σχετικά με την έγκριση για τον ΓΤ αραβόσιτο, η οποία δημοσιεύθηκε στις </w:t>
      </w:r>
      <w:r w:rsidRPr="00106072">
        <w:rPr>
          <w:shd w:val="clear" w:color="auto" w:fill="FFFFFF"/>
        </w:rPr>
        <w:t>5</w:t>
      </w:r>
      <w:r w:rsidR="00C3477F">
        <w:rPr>
          <w:shd w:val="clear" w:color="auto" w:fill="FFFFFF"/>
        </w:rPr>
        <w:t> </w:t>
      </w:r>
      <w:r w:rsidRPr="00106072">
        <w:rPr>
          <w:shd w:val="clear" w:color="auto" w:fill="FFFFFF"/>
        </w:rPr>
        <w:t>Δεκεμβρίου 2025</w:t>
      </w:r>
      <w:r w:rsidRPr="00106072">
        <w:t>·</w:t>
      </w:r>
    </w:p>
    <w:p w:rsidR="00757DCE" w:rsidRPr="00106072" w:rsidP="009B1995" w14:paraId="206C593D" w14:textId="77777777">
      <w:pPr>
        <w:widowControl/>
        <w:autoSpaceDE w:val="0"/>
        <w:autoSpaceDN w:val="0"/>
        <w:adjustRightInd w:val="0"/>
        <w:spacing w:after="240"/>
        <w:ind w:left="567" w:hanging="567"/>
        <w:rPr>
          <w:rFonts w:eastAsiaTheme="minorHAnsi"/>
          <w:szCs w:val="24"/>
        </w:rPr>
      </w:pPr>
      <w:r w:rsidRPr="00106072">
        <w:t>Γ.</w:t>
      </w:r>
      <w:r w:rsidRPr="00106072">
        <w:tab/>
        <w:t>λαμβάνοντας υπόψη ότι η EFSA κατέληξε στο συμπέρασμα ότι ο ΓΤ αραβόσιτος και οι επιμέρους συνδυασμοί του, όπως περιγράφονται στην αίτηση, είναι εξίσου ασφαλείς με το συμβατικό αντίστοιχό τους και τις μη γενετικώς τροποποιημένες ποικιλίες αναφοράς που δοκιμάστηκαν όσον αφορά τις πιθανές επιπτώσεις στην υγεία του ανθρώπου και των ζώων και στο περιβάλλον· λαμβάνοντας υπόψη ότι η EFSA κατέληξε επίσης στο συμπέρασμα ότι η κατανάλωση τροφίμων και ζωοτροφών από ΓΤ αραβόσιτο και τους επιμέρους συνδυασμούς του δεν αποτελεί πηγή διατροφικής ανησυχίας για τον άνθρωπο και τα ζώα· λαμβάνοντας υπόψη ότι η γνώμη δεν εξέτασε αρκετές ευρύτερες περιβαλλοντικές, κοινωνικοοικονομικές και σωρευτικές επιπτώσεις που η EFSA θεωρεί ότι δεν εμπίπτουν στην αρμοδιότητά της·</w:t>
      </w:r>
    </w:p>
    <w:p w:rsidR="00757DCE" w:rsidRPr="00106072" w:rsidP="009B1995" w14:paraId="77A82B0F" w14:textId="43885F73">
      <w:pPr>
        <w:widowControl/>
        <w:autoSpaceDE w:val="0"/>
        <w:autoSpaceDN w:val="0"/>
        <w:adjustRightInd w:val="0"/>
        <w:spacing w:after="240"/>
        <w:ind w:left="567" w:hanging="567"/>
        <w:rPr>
          <w:rFonts w:eastAsiaTheme="minorHAnsi"/>
          <w:szCs w:val="24"/>
        </w:rPr>
      </w:pPr>
      <w:r w:rsidRPr="00106072">
        <w:t>Δ.</w:t>
      </w:r>
      <w:r w:rsidRPr="00106072">
        <w:tab/>
        <w:t xml:space="preserve">λαμβάνοντας υπόψη ότι ο ΓΤ αραβόσιτος αναπτύχθηκε μέσω διασταύρωσης, ώστε να συνδυάζει τα ακόλουθα τρία μεμονωμένα συμβάντα: το DP202216, το οποίο εκφράζει το ένζυμο </w:t>
      </w:r>
      <w:r w:rsidRPr="00106072">
        <w:t>ακετυλοτρανσφεράση</w:t>
      </w:r>
      <w:r w:rsidRPr="00106072">
        <w:t xml:space="preserve"> </w:t>
      </w:r>
      <w:r w:rsidRPr="00106072">
        <w:t>φωσφινοθρικίνης</w:t>
      </w:r>
      <w:r w:rsidRPr="00106072">
        <w:t xml:space="preserve"> (PAT) για την παροχή ανθεκτικότητας σε ζιζανιοκτόνα που περιέχουν </w:t>
      </w:r>
      <w:r w:rsidRPr="00106072">
        <w:t>γλυφοσινικό</w:t>
      </w:r>
      <w:r w:rsidRPr="00106072">
        <w:t xml:space="preserve"> αμμώνιο, καθώς και την ενδογενή πρωτεΐνη αραβοσίτου με τροποποιημένη έκφραση (EPAE) ZMM28, η οποία προσφέρει τη δυνατότητα ενίσχυσης της απόδοσης (YE) σε πραγματικές συνθήκες· το NK603, το οποίο εκφράζει το CP4 EPSPS και το CP4 EPSPS L214P για την παροχή ανθεκτικότητας σε ζιζανιοκτόνα με βάση τη γλυφοσάτη· και το DAS-40278-9, το οποίο εκφράζει την </w:t>
      </w:r>
      <w:r w:rsidRPr="00106072">
        <w:t>αρυλοξυαλκανοϊκή</w:t>
      </w:r>
      <w:r w:rsidRPr="00106072">
        <w:t xml:space="preserve"> </w:t>
      </w:r>
      <w:r w:rsidRPr="00106072">
        <w:t>διοξυγενάση</w:t>
      </w:r>
      <w:r w:rsidRPr="00106072">
        <w:t xml:space="preserve"> (AAD-1) για την εξασφάλιση ανθεκτικότητας στο 2,4-διχλωροφαινοξυοξικό οξύ (2,4-D) και στα </w:t>
      </w:r>
      <w:r w:rsidRPr="00106072">
        <w:t>αρυλοξυφαινοξυπροπιονικά</w:t>
      </w:r>
      <w:r w:rsidRPr="00106072">
        <w:t xml:space="preserve"> (AOPP) ζιζανιοκτόνα</w:t>
      </w:r>
      <w:r>
        <w:rPr>
          <w:rStyle w:val="FootnoteReference"/>
          <w:rFonts w:eastAsiaTheme="minorHAnsi"/>
          <w:szCs w:val="24"/>
        </w:rPr>
        <w:footnoteReference w:id="7"/>
      </w:r>
      <w:r w:rsidRPr="00106072">
        <w:t>·</w:t>
      </w:r>
    </w:p>
    <w:p w:rsidR="00757DCE" w:rsidRPr="00106072" w:rsidP="009B1995" w14:paraId="0988DD9B" w14:textId="2C50EC59">
      <w:pPr>
        <w:spacing w:after="240"/>
        <w:ind w:left="567" w:hanging="567"/>
        <w:rPr>
          <w:rFonts w:eastAsiaTheme="minorHAnsi"/>
          <w:szCs w:val="24"/>
        </w:rPr>
      </w:pPr>
      <w:r w:rsidRPr="00106072">
        <w:t>Ε.</w:t>
      </w:r>
      <w:r w:rsidRPr="00106072">
        <w:tab/>
        <w:t xml:space="preserve">λαμβάνοντας υπόψη ότι μόνο ο επιμέρους συνδυασμός NK603 × DAS- 40278-9 έχει αξιολογηθεί προηγουμένως από την EFSA· λαμβάνοντας υπόψη ότι δεν υποβλήθηκαν πειραματικά δεδομένα από τον αιτούντα για τους επιμέρους συνδυασμούς DP202216 </w:t>
      </w:r>
      <w:r w:rsidR="00800EDB">
        <w:t>×</w:t>
      </w:r>
      <w:r w:rsidRPr="00106072">
        <w:t xml:space="preserve"> NK603 και DP202216 </w:t>
      </w:r>
      <w:r w:rsidR="00800EDB">
        <w:t>×</w:t>
      </w:r>
      <w:r w:rsidRPr="00106072">
        <w:t xml:space="preserve"> DAS-40278-9, οι οποίοι δεν έχουν αξιολογηθεί προηγουμένως από την EFSA· λαμβάνοντας υπόψη ότι, παρά το γεγονός αυτό, η EFSA κατέληξε στο συμπέρασμα ότι ο εν λόγω επιμέρους συνδυασμός δεν εγείρει ανησυχίες για την ασφάλεια·</w:t>
      </w:r>
    </w:p>
    <w:p w:rsidR="00757DCE" w:rsidRPr="00106072" w:rsidP="009B1995" w14:paraId="62AA4039" w14:textId="77777777">
      <w:pPr>
        <w:spacing w:after="240"/>
        <w:ind w:left="567" w:hanging="567"/>
        <w:rPr>
          <w:rFonts w:eastAsiaTheme="minorHAnsi"/>
          <w:szCs w:val="24"/>
        </w:rPr>
      </w:pPr>
      <w:r w:rsidRPr="00106072">
        <w:t>ΣΤ.</w:t>
      </w:r>
      <w:r w:rsidRPr="00106072">
        <w:tab/>
        <w:t>λαμβάνοντας υπόψη ότι οι εκτιμήσεις κινδύνου που διενήργησε η EFSA δεν περιλάμβαναν μακροπρόθεσμες τοξικολογικές μελέτες ούτε λεπτομερή ανάλυση των σωρευτικών και συνδυαστικών επιπτώσεων, συμπεριλαμβανομένων πιθανών αλληλεπιδράσεων με κατάλοιπα φυτοφαρμάκων που χρησιμοποιούνται συνήθως στην καλλιέργεια αραβόσιτου·</w:t>
      </w:r>
    </w:p>
    <w:p w:rsidR="00757DCE" w:rsidRPr="00106072" w:rsidP="009B1995" w14:paraId="386EBE66" w14:textId="77777777">
      <w:pPr>
        <w:spacing w:after="240"/>
        <w:ind w:left="567" w:hanging="567"/>
        <w:rPr>
          <w:rFonts w:eastAsiaTheme="minorHAnsi"/>
          <w:szCs w:val="24"/>
        </w:rPr>
      </w:pPr>
      <w:r w:rsidRPr="00106072">
        <w:t>Ζ.</w:t>
      </w:r>
      <w:r w:rsidRPr="00106072">
        <w:tab/>
        <w:t xml:space="preserve">λαμβάνοντας υπόψη ότι στη συντριπτική τους πλειονότητα οι γενετικώς τροποποιημένες καλλιέργειες, συμπεριλαμβανομένου του ΓΤ αραβόσιτου, έχουν τροποποιηθεί γενετικώς ώστε να είναι ανθεκτικές σε ένα ή περισσότερα «συμπληρωματικά» ζιζανιοκτόνα που μπορούν να χρησιμοποιηθούν καθ’ όλη τη διάρκεια του κύκλου ζωής της ΓΤ καλλιέργειας, χωρίς να πεθάνει η καλλιέργεια, όπως </w:t>
      </w:r>
      <w:r w:rsidRPr="00106072">
        <w:t>θα συνέβαινε στην περίπτωση μιας καλλιέργειας που δεν είναι ανθεκτική στα ζιζανιοκτόνα· λαμβάνοντας υπόψη ότι διάφορες μελέτες καταδεικνύουν πως η καλλιέργεια ΓΤ φυτών που είναι ανθεκτικά στα ζιζανιοκτόνα οδηγεί σε μεγαλύτερη χρήση συμπληρωματικών ζιζανιοκτόνων, κυρίως λόγω της εμφάνισης ζιζανίων ανθεκτικών στα ζιζανιοκτόνα·</w:t>
      </w:r>
    </w:p>
    <w:p w:rsidR="00757DCE" w:rsidRPr="00106072" w:rsidP="009B1995" w14:paraId="0B8B13EB" w14:textId="77777777">
      <w:pPr>
        <w:spacing w:after="240"/>
        <w:ind w:left="567" w:hanging="567"/>
        <w:rPr>
          <w:rFonts w:eastAsiaTheme="minorHAnsi"/>
          <w:szCs w:val="24"/>
        </w:rPr>
      </w:pPr>
      <w:r w:rsidRPr="00106072">
        <w:t>Η.</w:t>
      </w:r>
      <w:r w:rsidRPr="00106072">
        <w:tab/>
        <w:t>λαμβάνοντας υπόψη ότι οι ανθεκτικές στα ζιζανιοκτόνα ΓΤ καλλιέργειες εγκλωβίζουν τους γεωργούς σε ένα σύστημα διαχείρισης ζιζανίων που εξαρτάται σε μεγάλο βαθμό ή εξ ολοκλήρου από ζιζανιοκτόνα, ενώ παράλληλα δημιουργείται εξάρτηση από τη χρήση συμπληρωματικών ζιζανιοκτόνων ως αναπόσπαστο μέρος του συστήματος παραγωγής· λαμβάνοντας υπόψη ότι η αυξημένη εξάρτηση από συμπληρωματικά ζιζανιοκτόνα σε γεωργικές εκμεταλλεύσεις ΓΤ αραβόσιτου θα επιταχύνει την εμφάνιση και την εξάπλωση ζιζανίων ανθεκτικών στα εν λόγω ζιζανιοκτόνα και θα δημιουργήσει έτσι την ανάγκη για ακόμη μεγαλύτερη χρήση ζιζανιοκτόνων, καταλήγοντας σε έναν φαύλο κύκλο γνωστό ως «</w:t>
      </w:r>
      <w:r w:rsidRPr="00106072">
        <w:t>herbicide</w:t>
      </w:r>
      <w:r w:rsidRPr="00106072">
        <w:t xml:space="preserve"> </w:t>
      </w:r>
      <w:r w:rsidRPr="00106072">
        <w:t>treadmill</w:t>
      </w:r>
      <w:r w:rsidRPr="00106072">
        <w:t>» («κυλιόμενος τάπητας ζιζανιοκτόνων»)· λαμβάνοντας υπόψη ότι, κατά συνέπεια, οι δυσμενείς επιπτώσεις της υπερβολικής εξάρτησης από ζιζανιοκτόνα θα επιδεινώσουν την υγεία του εδάφους, την ποιότητα των υδάτων και την υπέργεια και υπόγεια βιοποικιλότητα, οδηγώντας επίσης σε αυξημένη έκθεση των ανθρώπων και των ζώων, ενδεχομένως και με την αύξηση των καταλοίπων ζιζανιοκτόνων στα τρόφιμα και τις ζωοτροφές·</w:t>
      </w:r>
    </w:p>
    <w:p w:rsidR="00757DCE" w:rsidRPr="00106072" w:rsidP="009B1995" w14:paraId="7187CF12" w14:textId="77777777">
      <w:pPr>
        <w:autoSpaceDE w:val="0"/>
        <w:autoSpaceDN w:val="0"/>
        <w:adjustRightInd w:val="0"/>
        <w:spacing w:after="240"/>
        <w:ind w:left="567" w:hanging="567"/>
        <w:rPr>
          <w:rFonts w:eastAsiaTheme="minorHAnsi"/>
          <w:szCs w:val="24"/>
        </w:rPr>
      </w:pPr>
      <w:r w:rsidRPr="00106072">
        <w:t>Θ.</w:t>
      </w:r>
      <w:r w:rsidRPr="00106072">
        <w:tab/>
        <w:t>λαμβάνοντας υπόψη ότι διάφορες μελέτες καταδεικνύουν πως η καλλιέργεια ΓΤ φυτών που είναι ανθεκτικά στα ζιζανιοκτόνα οδηγεί σε μεγαλύτερη χρήση συμπληρωματικών ζιζανιοκτόνων, κυρίως λόγω της εμφάνισης ζιζανίων ανθεκτικών στα ζιζανιοκτόνα</w:t>
      </w:r>
      <w:r>
        <w:rPr>
          <w:rFonts w:eastAsiaTheme="minorHAnsi"/>
          <w:vertAlign w:val="superscript"/>
        </w:rPr>
        <w:footnoteReference w:id="8"/>
      </w:r>
      <w:r w:rsidRPr="00106072">
        <w:t xml:space="preserve">· λαμβάνοντας υπόψη ότι, κατά συνέπεια, πρέπει να θεωρείται αναμενόμενη η έκθεση του ΓΤ αραβοσίτου σε αυξημένες και επαναλαμβανόμενες δόσεις γλυφοσάτης, </w:t>
      </w:r>
      <w:r w:rsidRPr="00106072">
        <w:t>γλυφοσινικού</w:t>
      </w:r>
      <w:r w:rsidRPr="00106072">
        <w:t>, AOPP και ζιζανιοκτόνων που περιέχουν 2,4-D και, κατ’ επέκταση, ενδέχεται να είναι μεγαλύτερη η ποσότητα καταλοίπων και των προϊόντων διάσπασής τους («μεταβολίτες») στη συγκομιδή·</w:t>
      </w:r>
    </w:p>
    <w:p w:rsidR="00757DCE" w:rsidRPr="00106072" w:rsidP="009B1995" w14:paraId="021FE84B" w14:textId="77777777">
      <w:pPr>
        <w:autoSpaceDE w:val="0"/>
        <w:autoSpaceDN w:val="0"/>
        <w:adjustRightInd w:val="0"/>
        <w:spacing w:after="240"/>
        <w:ind w:left="567" w:hanging="567"/>
        <w:rPr>
          <w:rFonts w:eastAsiaTheme="minorHAnsi"/>
          <w:szCs w:val="24"/>
        </w:rPr>
      </w:pPr>
      <w:r w:rsidRPr="00106072">
        <w:t>Ι.</w:t>
      </w:r>
      <w:r w:rsidRPr="00106072">
        <w:tab/>
        <w:t xml:space="preserve">λαμβάνοντας υπόψη ότι το </w:t>
      </w:r>
      <w:r w:rsidRPr="00106072">
        <w:t>γλυφοσινικό</w:t>
      </w:r>
      <w:r w:rsidRPr="00106072">
        <w:t xml:space="preserve"> έχει ταξινομηθεί ως τοξική για την αναπαραγωγή ουσία κατηγορίας 1B και πληροί, επομένως, τα κριτήρια αποκλεισμού που ορίζονται στον κανονισμό (ΕΚ) αριθ. 1107/2009 του Ευρωπαϊκού Κοινοβουλίου και του Συμβουλίου</w:t>
      </w:r>
      <w:r>
        <w:rPr>
          <w:rFonts w:eastAsiaTheme="minorHAnsi"/>
          <w:vertAlign w:val="superscript"/>
        </w:rPr>
        <w:footnoteReference w:id="9"/>
      </w:r>
      <w:r w:rsidRPr="00106072">
        <w:t xml:space="preserve">· λαμβάνοντας υπόψη ότι η έγκριση του </w:t>
      </w:r>
      <w:r w:rsidRPr="00106072">
        <w:t>γλυφοσινικού</w:t>
      </w:r>
      <w:r w:rsidRPr="00106072">
        <w:t xml:space="preserve"> για χρήση </w:t>
      </w:r>
      <w:r w:rsidRPr="00106072">
        <w:t>στην Ένωση έληξε στις 31 Ιουλίου 2018</w:t>
      </w:r>
      <w:r>
        <w:rPr>
          <w:rFonts w:eastAsiaTheme="minorHAnsi"/>
          <w:vertAlign w:val="superscript"/>
        </w:rPr>
        <w:footnoteReference w:id="10"/>
      </w:r>
      <w:r w:rsidRPr="00106072">
        <w:t>·</w:t>
      </w:r>
    </w:p>
    <w:p w:rsidR="00757DCE" w:rsidRPr="00106072" w:rsidP="009B1995" w14:paraId="1D1F3760" w14:textId="77777777">
      <w:pPr>
        <w:autoSpaceDE w:val="0"/>
        <w:autoSpaceDN w:val="0"/>
        <w:adjustRightInd w:val="0"/>
        <w:spacing w:after="240"/>
        <w:ind w:left="567" w:hanging="567"/>
        <w:rPr>
          <w:rFonts w:eastAsiaTheme="minorHAnsi"/>
          <w:szCs w:val="24"/>
        </w:rPr>
      </w:pPr>
      <w:r w:rsidRPr="00106072">
        <w:t>ΙΑ.</w:t>
      </w:r>
      <w:r w:rsidRPr="00106072">
        <w:tab/>
        <w:t>λαμβάνοντας υπόψη ότι εξακολουθούν να υπάρχουν σημαντικές επιστημονικές αβεβαιότητες σχετικά με την ασφάλεια της γλυφοσάτης για την ανθρώπινη υγεία και το περιβάλλον· λαμβάνοντας υπόψη ότι τον Νοέμβριο του 2015 η EFSA κατέληξε στο συμπέρασμα πως, κατά πάσα πιθανότητα, η γλυφοσάτη δεν είναι καρκινογόνος, και τον Μάρτιο του 2017 ο Ευρωπαϊκός Οργανισμός Χημικών Προϊόντων κατέληξε στο συμπέρασμα πως δεν απαιτείται ταξινόμηση· λαμβάνοντας υπόψη ότι, αντιθέτως, το 2015 ο Διεθνής Οργανισμός Ερευνών για τον Καρκίνο —η ειδική υπηρεσία του Παγκόσμιου Οργανισμού Υγείας για τον καρκίνο— ταξινόμησε τη γλυφοσάτη στις πιθανώς καρκινογόνους για τον άνθρωπο ουσίες· λαμβάνοντας υπόψη ότι σειρά από άλλες πρόσφατες επιστημονικές μελέτες αξιολογηθείσες από ομοτίμους επιβεβαιώνουν ότι η γλυφοσάτη είναι δυνητικά καρκινογόνος</w:t>
      </w:r>
      <w:r>
        <w:rPr>
          <w:rFonts w:eastAsiaTheme="minorHAnsi"/>
          <w:vertAlign w:val="superscript"/>
        </w:rPr>
        <w:footnoteReference w:id="11"/>
      </w:r>
      <w:r w:rsidRPr="00106072">
        <w:t xml:space="preserve">· λαμβάνοντας υπόψη ότι το περιοδικό </w:t>
      </w:r>
      <w:r w:rsidRPr="00106072">
        <w:t>Regulatory</w:t>
      </w:r>
      <w:r w:rsidRPr="00106072">
        <w:t xml:space="preserve"> </w:t>
      </w:r>
      <w:r w:rsidRPr="00106072">
        <w:t>Toxicology</w:t>
      </w:r>
      <w:r w:rsidRPr="00106072">
        <w:t xml:space="preserve"> and </w:t>
      </w:r>
      <w:r w:rsidRPr="00106072">
        <w:t>Pharmacology</w:t>
      </w:r>
      <w:r w:rsidRPr="00106072">
        <w:t xml:space="preserve"> ανακάλεσε επίσημα την επιστημονική μελέτη με τίτλο </w:t>
      </w:r>
      <w:r w:rsidRPr="00106072">
        <w:rPr>
          <w:shd w:val="clear" w:color="auto" w:fill="FFFFFF"/>
        </w:rPr>
        <w:t>«</w:t>
      </w:r>
      <w:r w:rsidRPr="00106072">
        <w:t>Safety</w:t>
      </w:r>
      <w:r w:rsidRPr="00106072">
        <w:t xml:space="preserve"> </w:t>
      </w:r>
      <w:r w:rsidRPr="00106072">
        <w:t>Evaluation</w:t>
      </w:r>
      <w:r w:rsidRPr="00106072">
        <w:t xml:space="preserve"> and </w:t>
      </w:r>
      <w:r w:rsidRPr="00106072">
        <w:t>Risk</w:t>
      </w:r>
      <w:r w:rsidRPr="00106072">
        <w:t xml:space="preserve"> </w:t>
      </w:r>
      <w:r w:rsidRPr="00106072">
        <w:t>Assessment</w:t>
      </w:r>
      <w:r w:rsidRPr="00106072">
        <w:t xml:space="preserve"> of the </w:t>
      </w:r>
      <w:r w:rsidRPr="00106072">
        <w:t>Herbicide</w:t>
      </w:r>
      <w:r w:rsidRPr="00106072">
        <w:t xml:space="preserve"> </w:t>
      </w:r>
      <w:r w:rsidRPr="00106072">
        <w:t>Roundup</w:t>
      </w:r>
      <w:r w:rsidRPr="00106072">
        <w:t xml:space="preserve"> and </w:t>
      </w:r>
      <w:r w:rsidRPr="00106072">
        <w:t>Its</w:t>
      </w:r>
      <w:r w:rsidRPr="00106072">
        <w:t xml:space="preserve"> </w:t>
      </w:r>
      <w:r w:rsidRPr="00106072">
        <w:t>Active</w:t>
      </w:r>
      <w:r w:rsidRPr="00106072">
        <w:t xml:space="preserve"> </w:t>
      </w:r>
      <w:r w:rsidRPr="00106072">
        <w:t>Ingredient</w:t>
      </w:r>
      <w:r w:rsidRPr="00106072">
        <w:t xml:space="preserve">, </w:t>
      </w:r>
      <w:r w:rsidRPr="00106072">
        <w:t>Glyphosate</w:t>
      </w:r>
      <w:r w:rsidRPr="00106072">
        <w:t xml:space="preserve">, for </w:t>
      </w:r>
      <w:r w:rsidRPr="00106072">
        <w:t>Humans</w:t>
      </w:r>
      <w:r w:rsidRPr="00106072">
        <w:rPr>
          <w:shd w:val="clear" w:color="auto" w:fill="FFFFFF"/>
        </w:rPr>
        <w:t>»</w:t>
      </w:r>
      <w:r w:rsidRPr="00106072">
        <w:t xml:space="preserve"> [Αξιολόγηση ασφάλειας και εκτίμηση κινδύνου του ζιζανιοκτόνου </w:t>
      </w:r>
      <w:r w:rsidRPr="00106072">
        <w:t>Roundup</w:t>
      </w:r>
      <w:r w:rsidRPr="00106072">
        <w:t xml:space="preserve"> και του δραστικού συστατικού του (γλυφοσάτη) για τους ανθρώπους]. η οποία δημοσιεύθηκε το 2000 και χρησιμοποιήθηκε για να υποστηριχθεί η ασφάλεια της γλυφοσάτης σε πολλές εκτιμήσεις κινδύνου, καθώς </w:t>
      </w:r>
      <w:r w:rsidRPr="00106072">
        <w:rPr>
          <w:shd w:val="clear" w:color="auto" w:fill="FFFFFF"/>
        </w:rPr>
        <w:t>«</w:t>
      </w:r>
      <w:r w:rsidRPr="00106072">
        <w:t>εκφράστηκαν ανησυχίες σχετικά με τους συγγραφείς του, την εγκυρότητα των ερευνητικών πορισμάτων λόγω ανακριβειών ως προς την παρουσίαση των συνεισφορών από τους συγγραφείς, τον χορηγό της μελέτης και σχετικά με δυνητικές συγκρούσεις συμφερόντων των συγγραφέων»</w:t>
      </w:r>
      <w:r>
        <w:rPr>
          <w:rStyle w:val="FootnoteReference"/>
        </w:rPr>
        <w:footnoteReference w:id="12"/>
      </w:r>
      <w:r w:rsidRPr="00106072">
        <w:t>·</w:t>
      </w:r>
    </w:p>
    <w:p w:rsidR="00757DCE" w:rsidRPr="00106072" w:rsidP="009B1995" w14:paraId="519C2535" w14:textId="77777777">
      <w:pPr>
        <w:autoSpaceDE w:val="0"/>
        <w:autoSpaceDN w:val="0"/>
        <w:adjustRightInd w:val="0"/>
        <w:spacing w:after="240"/>
        <w:ind w:left="567" w:hanging="567"/>
        <w:rPr>
          <w:rFonts w:eastAsiaTheme="minorHAnsi"/>
          <w:szCs w:val="24"/>
        </w:rPr>
      </w:pPr>
      <w:r w:rsidRPr="00106072">
        <w:t>ΙΒ.</w:t>
      </w:r>
      <w:r w:rsidRPr="00106072">
        <w:tab/>
        <w:t xml:space="preserve">λαμβάνοντας υπόψη ότι σε </w:t>
      </w:r>
      <w:r w:rsidRPr="00106072">
        <w:t>αξιολογηθέν</w:t>
      </w:r>
      <w:r w:rsidRPr="00106072">
        <w:t xml:space="preserve"> από ομοτίμους επιστημονικό άρθρο εμπειρογνώμονα ο οποίος συμμετέχει στην ανάπτυξη γενετικώς τροποποιημένων φυτών αμφισβητείται η ασφάλεια των γενετικώς τροποποιημένων καλλιεργειών που είναι ανθεκτικές στην ουσία 2,4-D, λόγω της αποδόμησής της σε </w:t>
      </w:r>
      <w:r w:rsidRPr="00106072">
        <w:t>κυτταροτοξικά</w:t>
      </w:r>
      <w:r w:rsidRPr="00106072">
        <w:t xml:space="preserve"> προϊόντα διάσπασης</w:t>
      </w:r>
      <w:r>
        <w:rPr>
          <w:rFonts w:eastAsiaTheme="minorHAnsi"/>
          <w:vertAlign w:val="superscript"/>
        </w:rPr>
        <w:footnoteReference w:id="13"/>
      </w:r>
      <w:r w:rsidRPr="00106072">
        <w:t>·</w:t>
      </w:r>
    </w:p>
    <w:p w:rsidR="00757DCE" w:rsidRPr="00106072" w:rsidP="009B1995" w14:paraId="6E4C5019" w14:textId="77777777">
      <w:pPr>
        <w:autoSpaceDE w:val="0"/>
        <w:autoSpaceDN w:val="0"/>
        <w:adjustRightInd w:val="0"/>
        <w:spacing w:after="240"/>
        <w:ind w:left="567" w:hanging="567"/>
        <w:rPr>
          <w:rFonts w:eastAsiaTheme="minorHAnsi"/>
          <w:szCs w:val="24"/>
        </w:rPr>
      </w:pPr>
      <w:r w:rsidRPr="00106072">
        <w:t>ΙΓ.</w:t>
      </w:r>
      <w:r w:rsidRPr="00106072">
        <w:tab/>
        <w:t xml:space="preserve">λαμβάνοντας υπόψη ότι η αξιολόγηση των καταλοίπων ζιζανιοκτόνων και των μεταβολιτών τους που απαντούν σε ΓΤ φυτά θεωρείται ότι δεν εμπίπτει στο πεδίο αρμοδιοτήτων της Επιστημονικής ομάδας της EFSA για τους γενετικώς τροποποιημένους οργανισμούς, με αποτέλεσμα να μην διενεργείται τέτοια αξιολόγηση στο πλαίσιο της διαδικασίας χορήγησης άδειας για ΓΤΟ· λαμβάνοντας υπόψη ότι αυτό δημιουργεί προβλήματα, καθώς ο τρόπος διάσπασης των συμπληρωματικών ζιζανιοκτόνων από το εξεταζόμενο ΓΤ φυτό και η σύνθεση και, κατ’ επέκταση, η τοξικότητα των μεταβολιτών μπορούν να επηρεάζονται από την ίδια τη γενετική </w:t>
      </w:r>
      <w:r w:rsidRPr="00106072">
        <w:t>τροποποίηση</w:t>
      </w:r>
      <w:r>
        <w:rPr>
          <w:rFonts w:eastAsiaTheme="minorHAnsi"/>
          <w:vertAlign w:val="superscript"/>
        </w:rPr>
        <w:footnoteReference w:id="14"/>
      </w:r>
      <w:r w:rsidRPr="00106072">
        <w:t>·</w:t>
      </w:r>
    </w:p>
    <w:p w:rsidR="00757DCE" w:rsidRPr="00106072" w:rsidP="009B1995" w14:paraId="00A9B3DD" w14:textId="77777777">
      <w:pPr>
        <w:autoSpaceDE w:val="0"/>
        <w:autoSpaceDN w:val="0"/>
        <w:adjustRightInd w:val="0"/>
        <w:spacing w:after="240"/>
        <w:ind w:left="567" w:hanging="567"/>
        <w:rPr>
          <w:rFonts w:eastAsiaTheme="minorHAnsi"/>
          <w:szCs w:val="24"/>
        </w:rPr>
      </w:pPr>
      <w:r w:rsidRPr="00106072">
        <w:t>ΙΔ.</w:t>
      </w:r>
      <w:r w:rsidRPr="00106072">
        <w:tab/>
        <w:t>λαμβάνοντας υπόψη ότι ο κανονισμός (ΕΚ) αριθ. 1829/2003 απαιτεί τα ΓΤ τρόφιμα ή οι ΓΤ ζωοτροφές να μην έχουν δυσμενείς επιπτώσεις στην υγεία των ανθρώπων, στην υγεία των ζώων ή στο περιβάλλον, και ότι η Επιτροπή, κατά τη σύνταξη της απόφασής της, οφείλει να συνεκτιμά τυχόν συναφείς διατάξεις της ενωσιακής νομοθεσίας και άλλους θεμιτούς παράγοντες σχετικούς με το υπό εξέταση αντικείμενο· λαμβάνοντας υπόψη ότι στους εν λόγω παράγοντες θα πρέπει να περιλαμβάνονται οι υποχρεώσεις της Ένωσης στο πλαίσιο των Στόχων Βιώσιμης Ανάπτυξης των Ηνωμένων Εθνών, της Συμφωνίας του Παρισιού για το κλίμα</w:t>
      </w:r>
      <w:r>
        <w:rPr>
          <w:rStyle w:val="FootnoteReference"/>
          <w:rFonts w:eastAsiaTheme="minorHAnsi"/>
          <w:szCs w:val="24"/>
        </w:rPr>
        <w:footnoteReference w:id="15"/>
      </w:r>
      <w:r w:rsidRPr="00106072">
        <w:t xml:space="preserve"> και της Σύμβασης των Ηνωμένων Εθνών για τη βιολογική ποικιλότητα</w:t>
      </w:r>
      <w:r>
        <w:rPr>
          <w:rStyle w:val="FootnoteReference"/>
          <w:rFonts w:eastAsiaTheme="minorHAnsi"/>
          <w:szCs w:val="24"/>
        </w:rPr>
        <w:footnoteReference w:id="16"/>
      </w:r>
      <w:r w:rsidRPr="00106072">
        <w:t xml:space="preserve"> (ΣΒΠ)·</w:t>
      </w:r>
    </w:p>
    <w:p w:rsidR="00757DCE" w:rsidRPr="00106072" w:rsidP="009B1995" w14:paraId="0965E49A" w14:textId="77777777">
      <w:pPr>
        <w:autoSpaceDE w:val="0"/>
        <w:autoSpaceDN w:val="0"/>
        <w:adjustRightInd w:val="0"/>
        <w:spacing w:after="240"/>
        <w:ind w:left="567" w:hanging="567"/>
        <w:rPr>
          <w:rFonts w:eastAsiaTheme="minorHAnsi"/>
          <w:szCs w:val="24"/>
        </w:rPr>
      </w:pPr>
      <w:r w:rsidRPr="00106072">
        <w:t>ΙΕ.</w:t>
      </w:r>
      <w:r w:rsidRPr="00106072">
        <w:tab/>
        <w:t>λαμβάνοντας υπόψη ότι η ανεξάρτητη παρακολούθηση και επιτήρηση των δυνητικών δυσμενών επιπτώσεων στη βιοποικιλότητα, την υγεία του εδάφους, τους επικονιαστές και τους μη στοχευόμενους οργανισμούς εξακολουθεί να μην διασφαλίζεται επαρκώς·</w:t>
      </w:r>
    </w:p>
    <w:p w:rsidR="00757DCE" w:rsidRPr="00106072" w:rsidP="009B1995" w14:paraId="24FFAE15" w14:textId="77777777">
      <w:pPr>
        <w:autoSpaceDE w:val="0"/>
        <w:autoSpaceDN w:val="0"/>
        <w:adjustRightInd w:val="0"/>
        <w:spacing w:after="240"/>
        <w:ind w:left="567" w:hanging="567"/>
        <w:rPr>
          <w:rFonts w:eastAsiaTheme="minorHAnsi"/>
          <w:szCs w:val="24"/>
        </w:rPr>
      </w:pPr>
      <w:r w:rsidRPr="00106072">
        <w:t>ΙΣΤ.</w:t>
      </w:r>
      <w:r w:rsidRPr="00106072">
        <w:tab/>
        <w:t>λαμβάνοντας υπόψη ότι η αρχή της προφύλαξης, η οποία κατοχυρώνεται στο άρθρο 191 της Συνθήκης για τη λειτουργία της Ευρωπαϊκής Ένωσης, θα πρέπει να εφαρμόζεται σε περιπτώσεις επιστημονικής αβεβαιότητας·</w:t>
      </w:r>
    </w:p>
    <w:p w:rsidR="00757DCE" w:rsidRPr="00106072" w:rsidP="009B1995" w14:paraId="7FC61B34" w14:textId="77777777">
      <w:pPr>
        <w:autoSpaceDE w:val="0"/>
        <w:autoSpaceDN w:val="0"/>
        <w:adjustRightInd w:val="0"/>
        <w:spacing w:after="240"/>
        <w:ind w:left="567" w:hanging="567"/>
        <w:rPr>
          <w:rFonts w:eastAsiaTheme="minorHAnsi"/>
          <w:szCs w:val="24"/>
        </w:rPr>
      </w:pPr>
      <w:r w:rsidRPr="00106072">
        <w:t>ΙΖ.</w:t>
      </w:r>
      <w:r w:rsidRPr="00106072">
        <w:tab/>
        <w:t>λαμβάνοντας υπόψη ότι η Ένωση, ως συμβαλλόμενο μέρος της ΣΒΠ των Ηνωμένων Εθνών και σύμφωνα με το άρθρο 3 αυτής, έχει την ευθύνη να διασφαλίζει ότι οι δραστηριότητες που εμπίπτουν στη δικαιοδοσία ή στον έλεγχό της δεν προκαλούν ζημία στο περιβάλλον άλλων κρατών·</w:t>
      </w:r>
    </w:p>
    <w:p w:rsidR="00757DCE" w:rsidRPr="00106072" w:rsidP="009B1995" w14:paraId="6E0E8B98" w14:textId="77777777">
      <w:pPr>
        <w:autoSpaceDE w:val="0"/>
        <w:autoSpaceDN w:val="0"/>
        <w:adjustRightInd w:val="0"/>
        <w:spacing w:after="240"/>
        <w:ind w:left="567" w:hanging="567"/>
        <w:rPr>
          <w:rFonts w:eastAsiaTheme="minorHAnsi"/>
          <w:szCs w:val="24"/>
        </w:rPr>
      </w:pPr>
      <w:r w:rsidRPr="00106072">
        <w:t>ΙΗ.</w:t>
      </w:r>
      <w:r w:rsidRPr="00106072">
        <w:tab/>
        <w:t>λαμβάνοντας υπόψη ότι η ανανέωση της έγκρισης του ΓΤ αραβόσιτου από την Ένωση δεν θα ήταν σύμφωνη με τις διεθνείς δεσμεύσεις για τη μείωση των φυτοφαρμάκων</w:t>
      </w:r>
      <w:r>
        <w:rPr>
          <w:rFonts w:eastAsiaTheme="minorHAnsi"/>
          <w:vertAlign w:val="superscript"/>
        </w:rPr>
        <w:footnoteReference w:id="17"/>
      </w:r>
      <w:r w:rsidRPr="00106072">
        <w:t xml:space="preserve">, δεδομένης της αυξημένης έκθεσης του ανθρώπου, των ζώων και του περιβάλλοντος στη γλυφοσάτη και στο </w:t>
      </w:r>
      <w:r w:rsidRPr="00106072">
        <w:t>γλυφοσινικό</w:t>
      </w:r>
      <w:r w:rsidRPr="00106072">
        <w:t xml:space="preserve"> σε χώρες με ΓΤ καλλιέργειες ανθεκτικές σε ζιζανιοκτόνα, καθώς και των δυνητικά σοβαρών σχετικών προβλημάτων υγείας·</w:t>
      </w:r>
    </w:p>
    <w:p w:rsidR="00757DCE" w:rsidRPr="00106072" w:rsidP="009B1995" w14:paraId="3F0E2574" w14:textId="77777777">
      <w:pPr>
        <w:autoSpaceDE w:val="0"/>
        <w:autoSpaceDN w:val="0"/>
        <w:adjustRightInd w:val="0"/>
        <w:spacing w:after="240"/>
        <w:ind w:left="567" w:hanging="567"/>
        <w:rPr>
          <w:rFonts w:eastAsiaTheme="minorHAnsi"/>
          <w:szCs w:val="24"/>
        </w:rPr>
      </w:pPr>
      <w:r w:rsidRPr="00106072">
        <w:t>ΙΘ.</w:t>
      </w:r>
      <w:r w:rsidRPr="00106072">
        <w:tab/>
        <w:t>λαμβάνοντας υπόψη ότι η καλλιέργεια ΓΤ αραβόσιτου δεν επιτρέπεται στην Ένωση·</w:t>
      </w:r>
    </w:p>
    <w:p w:rsidR="00757DCE" w:rsidRPr="00106072" w:rsidP="009B1995" w14:paraId="1CBFA7E3" w14:textId="14A0BEC7">
      <w:pPr>
        <w:autoSpaceDE w:val="0"/>
        <w:autoSpaceDN w:val="0"/>
        <w:adjustRightInd w:val="0"/>
        <w:spacing w:after="240"/>
        <w:ind w:left="567" w:hanging="567"/>
        <w:rPr>
          <w:rFonts w:eastAsiaTheme="minorHAnsi"/>
          <w:szCs w:val="24"/>
        </w:rPr>
      </w:pPr>
      <w:r w:rsidRPr="00106072">
        <w:t>Κ.</w:t>
      </w:r>
      <w:r w:rsidRPr="00106072">
        <w:tab/>
        <w:t xml:space="preserve">λαμβάνοντας υπόψη ότι </w:t>
      </w:r>
      <w:r w:rsidR="00DA6047">
        <w:t>η</w:t>
      </w:r>
      <w:r w:rsidRPr="00106072">
        <w:t xml:space="preserve"> εκτελεστική απόφαση </w:t>
      </w:r>
      <w:r w:rsidR="00DA6047">
        <w:t xml:space="preserve">(ΕΕ) 2026/1443 </w:t>
      </w:r>
      <w:r w:rsidRPr="00106072">
        <w:t>της Επιτροπής θα επιτρέψει εισαγωγές στην ΕΕ που δεν συμμορφώνονται με τα πρότυπα που τηρούν οι γεωργοί της Ένωσης, με αποτέλεσμα να περιέρχονται οι τελευταίοι σε μειονεκτική θέση ως προς την ανταγωνιστικότητα·</w:t>
      </w:r>
    </w:p>
    <w:p w:rsidR="00757DCE" w:rsidRPr="00106072" w:rsidP="009B1995" w14:paraId="7F9873A5" w14:textId="77777777">
      <w:pPr>
        <w:autoSpaceDE w:val="0"/>
        <w:autoSpaceDN w:val="0"/>
        <w:adjustRightInd w:val="0"/>
        <w:spacing w:after="240"/>
        <w:ind w:left="567" w:hanging="567"/>
        <w:rPr>
          <w:rFonts w:eastAsiaTheme="minorHAnsi"/>
          <w:szCs w:val="24"/>
        </w:rPr>
      </w:pPr>
      <w:r w:rsidRPr="00106072">
        <w:t>ΚΑ.</w:t>
      </w:r>
      <w:r w:rsidRPr="00106072">
        <w:tab/>
        <w:t>λαμβάνοντας υπόψη ότι, στα συμπεράσματα του στρατηγικού διαλόγου για το μέλλον της γεωργίας της ΕΕ</w:t>
      </w:r>
      <w:r>
        <w:rPr>
          <w:rFonts w:eastAsiaTheme="minorHAnsi"/>
          <w:vertAlign w:val="superscript"/>
        </w:rPr>
        <w:footnoteReference w:id="18"/>
      </w:r>
      <w:r w:rsidRPr="00106072">
        <w:t>, απευθύνεται έκκληση στην Επιτροπή να επαναξιολογήσει την προσέγγισή της όσον αφορά την πρόσβαση των εισαγωγών και των εξαγωγών γεωργικών ειδών διατροφής στην αγορά, δεδομένης της πρόκλησης που τίθεται από τα αποκλίνοντα πρότυπα της Ένωσης και των εμπορικών εταίρων της· λαμβάνοντας υπόψη ότι μία από τις κύριες απαιτήσεις των γεωργών κατά τις διαδηλώσεις του 2023, του 2024 και του 2025 ήταν οι δικαιότερες εμπορικές σχέσεις σε παγκόσμιο επίπεδο, που να συνάδουν με τους στόχους για ένα υγιές περιβάλλον·</w:t>
      </w:r>
    </w:p>
    <w:p w:rsidR="00757DCE" w:rsidRPr="00106072" w:rsidP="009B1995" w14:paraId="16998C63" w14:textId="77777777">
      <w:pPr>
        <w:autoSpaceDE w:val="0"/>
        <w:autoSpaceDN w:val="0"/>
        <w:adjustRightInd w:val="0"/>
        <w:spacing w:after="360"/>
        <w:ind w:left="567" w:hanging="567"/>
        <w:rPr>
          <w:rFonts w:eastAsiaTheme="minorHAnsi"/>
          <w:szCs w:val="24"/>
        </w:rPr>
      </w:pPr>
      <w:r w:rsidRPr="00106072">
        <w:t>ΚΒ.</w:t>
      </w:r>
      <w:r w:rsidRPr="00106072">
        <w:tab/>
        <w:t xml:space="preserve">λαμβάνοντας υπόψη ότι το Κοινοβούλιο έχει επανειλημμένα τονίσει ότι η Επιτροπή δεν θα πρέπει να εγκρίνει ΓΤΟ σε περιπτώσεις όπου δεν επιτυγχάνεται ειδική πλειοψηφία από τα κράτη μέλη στη Μόνιμη Επιτροπή Φυτών, Ζώων, Τροφίμων και Ζωοτροφών ή στην Επιτροπή Προσφυγών, προκειμένου να αντιμετωπιστεί το συνεχιζόμενο δημοκρατικό έλλειμμα· </w:t>
      </w:r>
    </w:p>
    <w:p w:rsidR="00757DCE" w:rsidRPr="00106072" w:rsidP="009B1995" w14:paraId="1BAB66CB" w14:textId="77777777">
      <w:pPr>
        <w:autoSpaceDE w:val="0"/>
        <w:autoSpaceDN w:val="0"/>
        <w:adjustRightInd w:val="0"/>
        <w:spacing w:after="360"/>
        <w:ind w:left="567" w:hanging="567"/>
        <w:rPr>
          <w:rFonts w:eastAsiaTheme="minorHAnsi"/>
          <w:szCs w:val="24"/>
        </w:rPr>
      </w:pPr>
      <w:r w:rsidRPr="00106072">
        <w:t>ΚΓ.</w:t>
      </w:r>
      <w:r w:rsidRPr="00106072">
        <w:tab/>
        <w:t>λαμβάνοντας υπόψη ότι η Επιτροπή εξακολουθεί να εγκρίνει ΓΤΟ, μολονότι αναγνωρίζει και η ίδια την ύπαρξη δημοκρατικού ελλείμματος, την έλλειψη στήριξης από την πλευρά των κρατών μελών και τις αντιρρήσεις του Κοινοβουλίου·</w:t>
      </w:r>
    </w:p>
    <w:p w:rsidR="00757DCE" w:rsidRPr="00106072" w:rsidP="009B1995" w14:paraId="19932F66" w14:textId="77777777">
      <w:pPr>
        <w:autoSpaceDE w:val="0"/>
        <w:autoSpaceDN w:val="0"/>
        <w:adjustRightInd w:val="0"/>
        <w:spacing w:after="360"/>
        <w:ind w:left="567" w:hanging="567"/>
      </w:pPr>
      <w:r w:rsidRPr="00106072">
        <w:t>ΚΔ.</w:t>
      </w:r>
      <w:r w:rsidRPr="00106072">
        <w:tab/>
        <w:t>λαμβάνοντας υπόψη ότι η προσέγγιση «Μία υγεία» απαιτεί να συνεκτιμάται η αλληλεξάρτηση μεταξύ της υγείας των ανθρώπων, των ζώων, των φυτών και του περιβάλλοντος κατά την αξιολόγηση της διαρκούς βιωσιμότητας και ασφάλειας των ΓΤΟ·</w:t>
      </w:r>
    </w:p>
    <w:p w:rsidR="00757DCE" w:rsidRPr="00106072" w:rsidP="0071298A" w14:paraId="3E8E11A1" w14:textId="0DC114AA">
      <w:pPr>
        <w:pStyle w:val="NormalHanging12a"/>
        <w:ind w:hanging="570"/>
      </w:pPr>
      <w:r w:rsidRPr="00106072">
        <w:t>1.</w:t>
      </w:r>
      <w:r w:rsidRPr="00106072">
        <w:tab/>
      </w:r>
      <w:r w:rsidRPr="00106072">
        <w:t xml:space="preserve">εκτιμά ότι </w:t>
      </w:r>
      <w:r w:rsidR="00DA6047">
        <w:t>η</w:t>
      </w:r>
      <w:r w:rsidRPr="00106072">
        <w:t xml:space="preserve"> εκτελεστική απόφαση </w:t>
      </w:r>
      <w:bookmarkStart w:id="8" w:name="_Hlk234245374"/>
      <w:r w:rsidR="00DA6047">
        <w:t>(ΕΕ) 2026/1443</w:t>
      </w:r>
      <w:bookmarkEnd w:id="8"/>
      <w:r w:rsidR="00214D55">
        <w:t xml:space="preserve"> </w:t>
      </w:r>
      <w:r w:rsidRPr="00106072">
        <w:t>της Επιτροπής υπερβαίνει τις εκτελεστικές αρμοδιότητες που προβλέπει ο κανονισμός (ΕΚ) αριθ. 1829/2003·</w:t>
      </w:r>
    </w:p>
    <w:p w:rsidR="00757DCE" w:rsidRPr="00106072" w:rsidP="0071298A" w14:paraId="6B472274" w14:textId="327D58B6">
      <w:pPr>
        <w:pStyle w:val="NormalHanging12a"/>
        <w:ind w:hanging="570"/>
      </w:pPr>
      <w:r w:rsidRPr="00106072">
        <w:t>2.</w:t>
      </w:r>
      <w:r w:rsidRPr="00106072">
        <w:tab/>
      </w:r>
      <w:r w:rsidRPr="00106072">
        <w:t xml:space="preserve">θεωρεί ότι </w:t>
      </w:r>
      <w:r w:rsidR="00DA6047">
        <w:t>η</w:t>
      </w:r>
      <w:r w:rsidRPr="00106072">
        <w:t xml:space="preserve"> εκτελεστική απόφαση </w:t>
      </w:r>
      <w:r w:rsidR="00DA6047">
        <w:t xml:space="preserve">(ΕΕ) 2026/1443 </w:t>
      </w:r>
      <w:r w:rsidRPr="00106072">
        <w:t>της Επιτροπής δεν είναι σύμφων</w:t>
      </w:r>
      <w:r w:rsidR="00A1007C">
        <w:t>η</w:t>
      </w:r>
      <w:r w:rsidRPr="00106072">
        <w:t xml:space="preserve">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Pr>
          <w:vertAlign w:val="superscript"/>
        </w:rPr>
        <w:footnoteReference w:id="19"/>
      </w:r>
      <w:r w:rsidRPr="00106072">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ζωοτροφές, εξασφαλίζοντας παράλληλα την αποτελεσματική λειτουργία της εσωτερικής αγοράς·</w:t>
      </w:r>
    </w:p>
    <w:p w:rsidR="00757DCE" w:rsidRPr="00106072" w:rsidP="0071298A" w14:paraId="2301BB99" w14:textId="48D51B19">
      <w:pPr>
        <w:pStyle w:val="NormalHanging12a"/>
        <w:ind w:hanging="570"/>
      </w:pPr>
      <w:r w:rsidRPr="00106072">
        <w:t>3.</w:t>
      </w:r>
      <w:r w:rsidRPr="00106072">
        <w:tab/>
      </w:r>
      <w:r w:rsidRPr="00106072">
        <w:t xml:space="preserve">ζητεί από την Επιτροπή να </w:t>
      </w:r>
      <w:r w:rsidR="00DA6047">
        <w:t>καταργήσει</w:t>
      </w:r>
      <w:r w:rsidRPr="00106072" w:rsidR="00DA6047">
        <w:t xml:space="preserve"> </w:t>
      </w:r>
      <w:r w:rsidRPr="00106072">
        <w:t>την εκτελεστική απόφασή της</w:t>
      </w:r>
      <w:r w:rsidRPr="0071298A" w:rsidR="00DA6047">
        <w:t xml:space="preserve"> </w:t>
      </w:r>
      <w:r w:rsidRPr="00DA6047" w:rsidR="00DA6047">
        <w:t>(ΕΕ) 2026/1443</w:t>
      </w:r>
      <w:r w:rsidRPr="00106072">
        <w:t>·</w:t>
      </w:r>
    </w:p>
    <w:p w:rsidR="00757DCE" w:rsidRPr="00106072" w:rsidP="0071298A" w14:paraId="14868F03" w14:textId="0897F66B">
      <w:pPr>
        <w:pStyle w:val="NormalHanging12a"/>
        <w:ind w:hanging="570"/>
      </w:pPr>
      <w:r w:rsidRPr="00106072">
        <w:t>4.</w:t>
      </w:r>
      <w:r w:rsidRPr="00106072">
        <w:tab/>
      </w:r>
      <w:r w:rsidRPr="00106072">
        <w:t xml:space="preserve">καλεί την Επιτροπή να μην εγκρίνει την εισαγωγή ΓΤ καλλιεργειών ανθεκτικών στα ζιζανιοκτόνα, λόγω της επακόλουθης αυξημένης χρήσης συμπληρωματικών ζιζανιοκτόνων και, συνακόλουθα, των αυξημένων κινδύνων για τη βιοποικιλότητα, την </w:t>
      </w:r>
      <w:r w:rsidRPr="00106072">
        <w:t>ασφάλεια των τροφίμων και την υγεία των εργαζομένων·</w:t>
      </w:r>
    </w:p>
    <w:p w:rsidR="00757DCE" w:rsidRPr="00106072" w:rsidP="0071298A" w14:paraId="092922EF" w14:textId="0C7F3EC6">
      <w:pPr>
        <w:pStyle w:val="NormalHanging12a"/>
        <w:ind w:hanging="570"/>
      </w:pPr>
      <w:r w:rsidRPr="00106072">
        <w:t>5.</w:t>
      </w:r>
      <w:r w:rsidRPr="00106072">
        <w:tab/>
      </w:r>
      <w:r w:rsidRPr="00106072">
        <w:t>επικροτεί το γεγονός ότι η Επιτροπή αναγνώρισε, στην από 11ης Σεπτεμβρίου 2020 επιστολή της προς τους βουλευτές, την ανάγκη να συνεκτιμάται η βιωσιμότητα κατά τη λήψη αποφάσεων για την έγκριση ΓΤΟ</w:t>
      </w:r>
      <w:r>
        <w:rPr>
          <w:vertAlign w:val="superscript"/>
        </w:rPr>
        <w:footnoteReference w:id="20"/>
      </w:r>
      <w:r w:rsidRPr="00106072">
        <w:t>· εκφράζει, ωστόσο, τη βαθιά απογοήτευσή του καθώς έκτοτε η Επιτροπή συνεχίζει να εγκρίνει ΓΤΟ για εισαγωγή στην Ένωση, παρά τις επανειλημμένες αντιρρήσεις του Κοινοβουλίου και το γεγονός ότι η πλειοψηφία των κρατών μελών ψηφίζει απορριπτικά·</w:t>
      </w:r>
    </w:p>
    <w:p w:rsidR="00757DCE" w:rsidRPr="00106072" w:rsidP="0071298A" w14:paraId="0A2DF12F" w14:textId="59D6476E">
      <w:pPr>
        <w:pStyle w:val="NormalHanging12a"/>
        <w:ind w:hanging="570"/>
      </w:pPr>
      <w:r w:rsidRPr="00106072">
        <w:t>6.</w:t>
      </w:r>
      <w:r w:rsidRPr="00106072">
        <w:tab/>
      </w:r>
      <w:r w:rsidRPr="00106072">
        <w:t xml:space="preserve">για άλλη μια φορά, καλεί επιτακτικά την Επιτροπή να λάβει υπόψη τις υποχρεώσεις της Ένωσης στο πλαίσιο διεθνών συμφωνιών, όπως η συμφωνία του Παρισιού για το κλίμα, η ΣΒΠ και οι ΣΒΑ των Ηνωμένων Εθνών· επαναλαμβάνει την έκκλησή του να συνοδεύονται τα σχέδια εκτελεστικών πράξεων από αιτιολογική έκθεση στην οποία να εξηγείται πώς συμμορφώνονται με την αρχή του μη </w:t>
      </w:r>
      <w:r w:rsidRPr="00106072">
        <w:t>βλάπτειν</w:t>
      </w:r>
      <w:r>
        <w:rPr>
          <w:vertAlign w:val="superscript"/>
        </w:rPr>
        <w:footnoteReference w:id="21"/>
      </w:r>
      <w:r w:rsidRPr="00106072">
        <w:t>·</w:t>
      </w:r>
    </w:p>
    <w:p w:rsidR="00757DCE" w:rsidRPr="00106072" w:rsidP="0071298A" w14:paraId="1F8A610F" w14:textId="2B7C47AB">
      <w:pPr>
        <w:pStyle w:val="NormalHanging12a"/>
        <w:ind w:hanging="570"/>
      </w:pPr>
      <w:r w:rsidRPr="00106072">
        <w:t>7.</w:t>
      </w:r>
      <w:r w:rsidRPr="00106072">
        <w:tab/>
      </w:r>
      <w:r w:rsidRPr="00106072">
        <w:t>τονίζει ότι οι τροπολογίες που ενέκρινε το Ευρωπαϊκό Κοινοβούλιο στις 17 Δεκεμβρίου 2020 επί της πρότασης κανονισμού του Ευρωπαϊκού Κοινοβουλίου και του Συμβουλίου για την τροποποίηση του κανονισμού (ΕΕ) αριθ. 182/2011</w:t>
      </w:r>
      <w:r>
        <w:rPr>
          <w:vertAlign w:val="superscript"/>
        </w:rPr>
        <w:footnoteReference w:id="22"/>
      </w:r>
      <w:r w:rsidRPr="00106072">
        <w:t>, οι οποίες εγκρίθηκαν από το Κοινοβούλιο ως βάση για τις διαπραγματεύσεις με το Συμβούλιο, αναφέρουν ότι η Επιτροπή δεν εγκρίνει ΓΤΟ όταν δεν υπάρχει ειδική πλειοψηφία των κρατών μελών υπέρ· επιμένει ότι η Επιτροπή πρέπει να σεβαστεί τη θέση αυτή και καλεί το Συμβούλιο να συνεχίσει τις εργασίες του και να εγκρίνει επειγόντως μια γενική προσέγγιση επί του φακέλου αυτού·</w:t>
      </w:r>
    </w:p>
    <w:p w:rsidR="00106072" w:rsidRPr="00106072" w:rsidP="0071298A" w14:paraId="1ABA2CC8" w14:textId="310BC473">
      <w:pPr>
        <w:pStyle w:val="NormalHanging12a"/>
        <w:ind w:hanging="570"/>
      </w:pPr>
      <w:r w:rsidRPr="00106072">
        <w:t>8.</w:t>
      </w:r>
      <w:r w:rsidRPr="00106072">
        <w:tab/>
      </w:r>
      <w:r w:rsidRPr="00106072" w:rsidR="00757DCE">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rsidR="00E365E1" w:rsidRPr="00106072" w:rsidP="006917B7" w14:paraId="56C7D625" w14:textId="118BA082"/>
    <w:sectPr w:rsidSect="0010607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6072" w14:paraId="471F57A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6072" w14:paraId="7894B77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6072" w14:paraId="4954F92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917B7" w:rsidRPr="00106072" w14:paraId="0356C550" w14:textId="77777777">
      <w:r w:rsidRPr="00106072">
        <w:separator/>
      </w:r>
    </w:p>
  </w:footnote>
  <w:footnote w:type="continuationSeparator" w:id="1">
    <w:p w:rsidR="006917B7" w:rsidRPr="00106072" w14:paraId="45F38681" w14:textId="77777777">
      <w:r w:rsidRPr="00106072">
        <w:continuationSeparator/>
      </w:r>
    </w:p>
  </w:footnote>
  <w:footnote w:id="2">
    <w:p w:rsidR="009B1995" w:rsidRPr="0071298A" w:rsidP="0071298A" w14:paraId="3FD45084" w14:textId="09B9F2BF">
      <w:pPr>
        <w:pStyle w:val="FootnoteText"/>
        <w:spacing w:line="240" w:lineRule="auto"/>
        <w:ind w:left="567" w:hanging="567"/>
        <w:rPr>
          <w:sz w:val="24"/>
          <w:szCs w:val="24"/>
          <w:lang w:val="fi-FI"/>
        </w:rPr>
      </w:pPr>
      <w:r w:rsidRPr="0071298A">
        <w:rPr>
          <w:rStyle w:val="FootnoteReference"/>
          <w:sz w:val="24"/>
          <w:szCs w:val="24"/>
        </w:rPr>
        <w:footnoteRef/>
      </w:r>
      <w:r w:rsidRPr="0071298A">
        <w:rPr>
          <w:sz w:val="24"/>
          <w:szCs w:val="24"/>
          <w:lang w:val="fi-FI"/>
        </w:rPr>
        <w:t xml:space="preserve"> </w:t>
      </w:r>
      <w:r w:rsidRPr="0071298A">
        <w:rPr>
          <w:sz w:val="24"/>
          <w:szCs w:val="24"/>
          <w:lang w:val="fi-FI"/>
        </w:rPr>
        <w:tab/>
      </w:r>
      <w:r w:rsidR="00DA6047">
        <w:rPr>
          <w:sz w:val="24"/>
          <w:szCs w:val="24"/>
          <w:lang w:val="el-GR"/>
        </w:rPr>
        <w:t>ΕΕ</w:t>
      </w:r>
      <w:r w:rsidRPr="0071298A">
        <w:rPr>
          <w:sz w:val="24"/>
          <w:szCs w:val="24"/>
          <w:lang w:val="fi-FI"/>
        </w:rPr>
        <w:t xml:space="preserve"> L, 2026/1443, 3.7.2026, ELI: </w:t>
      </w:r>
      <w:hyperlink r:id="rId1" w:history="1">
        <w:r w:rsidRPr="0071298A">
          <w:rPr>
            <w:rStyle w:val="Hyperlink"/>
            <w:sz w:val="24"/>
            <w:szCs w:val="24"/>
            <w:lang w:val="fi-FI"/>
          </w:rPr>
          <w:t>http://data.europa.eu/eli/dec_impl/2026/1443/oj</w:t>
        </w:r>
      </w:hyperlink>
      <w:r w:rsidRPr="0071298A">
        <w:rPr>
          <w:sz w:val="24"/>
          <w:szCs w:val="24"/>
          <w:lang w:val="fi-FI"/>
        </w:rPr>
        <w:t xml:space="preserve">. </w:t>
      </w:r>
    </w:p>
  </w:footnote>
  <w:footnote w:id="3">
    <w:p w:rsidR="00757DCE" w:rsidRPr="00106072" w:rsidP="0071298A" w14:paraId="12ABC78D" w14:textId="10E0F1E1">
      <w:pPr>
        <w:pStyle w:val="FootnoteText"/>
        <w:spacing w:line="240" w:lineRule="auto"/>
        <w:ind w:left="567" w:hanging="567"/>
        <w:rPr>
          <w:sz w:val="24"/>
          <w:lang w:val="el-GR"/>
        </w:rPr>
      </w:pPr>
      <w:r w:rsidRPr="00106072">
        <w:rPr>
          <w:rStyle w:val="Funotenzeichen"/>
          <w:sz w:val="24"/>
          <w:lang w:val="el-GR"/>
        </w:rPr>
        <w:footnoteRef/>
      </w:r>
      <w:r w:rsidRPr="00106072" w:rsidR="00106072">
        <w:rPr>
          <w:sz w:val="24"/>
          <w:lang w:val="el-GR"/>
        </w:rPr>
        <w:t xml:space="preserve"> </w:t>
      </w:r>
      <w:r w:rsidRPr="00106072" w:rsidR="00106072">
        <w:rPr>
          <w:sz w:val="24"/>
          <w:lang w:val="el-GR"/>
        </w:rPr>
        <w:tab/>
      </w:r>
      <w:r w:rsidRPr="00106072">
        <w:rPr>
          <w:sz w:val="24"/>
          <w:lang w:val="el-GR"/>
        </w:rPr>
        <w:t xml:space="preserve">ΕΕ L 268 της 18.10.2003, σ. </w:t>
      </w:r>
      <w:r w:rsidRPr="00106072">
        <w:rPr>
          <w:sz w:val="24"/>
          <w:lang w:val="el-GR"/>
        </w:rPr>
        <w:t>1, ELI:</w:t>
      </w:r>
      <w:r w:rsidR="009B1995">
        <w:rPr>
          <w:sz w:val="24"/>
          <w:lang w:val="el-GR"/>
        </w:rPr>
        <w:t xml:space="preserve"> </w:t>
      </w:r>
      <w:hyperlink r:id="rId2" w:tooltip="Πρόσβαση στο έγγραφο μέσω URI τύπου ELI." w:history="1">
        <w:r w:rsidRPr="00106072">
          <w:rPr>
            <w:rStyle w:val="Hyperlink"/>
            <w:sz w:val="24"/>
            <w:lang w:val="el-GR"/>
          </w:rPr>
          <w:t>http://data.europa.eu/eli/reg/2003/1829/oj</w:t>
        </w:r>
      </w:hyperlink>
      <w:r w:rsidRPr="00106072">
        <w:rPr>
          <w:sz w:val="24"/>
          <w:lang w:val="el-GR"/>
        </w:rPr>
        <w:t>.</w:t>
      </w:r>
    </w:p>
  </w:footnote>
  <w:footnote w:id="4">
    <w:p w:rsidR="00757DCE" w:rsidRPr="00106072" w:rsidP="0071298A" w14:paraId="63132AC9" w14:textId="1234E5B4">
      <w:pPr>
        <w:pStyle w:val="FootnoteText"/>
        <w:spacing w:line="240" w:lineRule="auto"/>
        <w:ind w:left="567" w:hanging="567"/>
        <w:rPr>
          <w:sz w:val="24"/>
          <w:lang w:val="el-GR"/>
        </w:rPr>
      </w:pPr>
      <w:r w:rsidRPr="00106072">
        <w:rPr>
          <w:rStyle w:val="FootnoteReference"/>
          <w:sz w:val="24"/>
          <w:lang w:val="el-GR"/>
        </w:rPr>
        <w:footnoteRef/>
      </w:r>
      <w:r w:rsidRPr="00106072" w:rsidR="00106072">
        <w:rPr>
          <w:sz w:val="24"/>
          <w:lang w:val="el-GR"/>
        </w:rPr>
        <w:t xml:space="preserve"> </w:t>
      </w:r>
      <w:r w:rsidRPr="00106072" w:rsidR="00106072">
        <w:rPr>
          <w:sz w:val="24"/>
          <w:lang w:val="el-GR"/>
        </w:rPr>
        <w:tab/>
      </w:r>
      <w:r w:rsidRPr="00106072">
        <w:rPr>
          <w:sz w:val="24"/>
          <w:lang w:val="el-GR"/>
        </w:rPr>
        <w:t xml:space="preserve">ΕΕ L 55 της 28.2.2011, σ. </w:t>
      </w:r>
      <w:r w:rsidRPr="00106072">
        <w:rPr>
          <w:sz w:val="24"/>
          <w:lang w:val="el-GR"/>
        </w:rPr>
        <w:t>13, ELI: </w:t>
      </w:r>
      <w:hyperlink r:id="rId3" w:history="1">
        <w:r w:rsidRPr="00106072">
          <w:rPr>
            <w:rStyle w:val="Hyperlink"/>
            <w:sz w:val="24"/>
            <w:lang w:val="el-GR"/>
          </w:rPr>
          <w:t>http://data.europa.eu/eli/reg/2011/182/oj</w:t>
        </w:r>
      </w:hyperlink>
      <w:r w:rsidRPr="00106072">
        <w:rPr>
          <w:sz w:val="24"/>
          <w:lang w:val="el-GR"/>
        </w:rPr>
        <w:t>.</w:t>
      </w:r>
    </w:p>
  </w:footnote>
  <w:footnote w:id="5">
    <w:p w:rsidR="00757DCE" w:rsidRPr="00106072" w:rsidP="0071298A" w14:paraId="2481CF3D" w14:textId="0361AD16">
      <w:pPr>
        <w:pStyle w:val="FootnoteText"/>
        <w:spacing w:line="240" w:lineRule="auto"/>
        <w:ind w:left="567" w:hanging="567"/>
        <w:rPr>
          <w:sz w:val="24"/>
          <w:lang w:val="el-GR"/>
        </w:rPr>
      </w:pPr>
      <w:r w:rsidRPr="00106072">
        <w:rPr>
          <w:rStyle w:val="Funotenzeichen"/>
          <w:sz w:val="24"/>
          <w:lang w:val="el-GR"/>
        </w:rPr>
        <w:footnoteRef/>
      </w:r>
      <w:r w:rsidRPr="00106072" w:rsidR="00106072">
        <w:rPr>
          <w:sz w:val="24"/>
          <w:lang w:val="el-GR"/>
        </w:rPr>
        <w:t xml:space="preserve"> </w:t>
      </w:r>
      <w:r w:rsidRPr="00106072" w:rsidR="00106072">
        <w:rPr>
          <w:sz w:val="24"/>
          <w:lang w:val="el-GR"/>
        </w:rPr>
        <w:tab/>
      </w:r>
      <w:r w:rsidRPr="00106072">
        <w:rPr>
          <w:sz w:val="24"/>
          <w:lang w:val="el-GR"/>
        </w:rPr>
        <w:t>Επιστημονική γνώμη της ομάδας της EFSA για τους γενετικώς τροποποιημένους οργανισμούς σχετικά με την αξιολόγηση του γενετικώς τροποποιημένου αραβόσιτου DP202216 × NK603 × DAS-40278-9 (αίτηση GMFF-2022-</w:t>
      </w:r>
      <w:r w:rsidRPr="00800EDB">
        <w:rPr>
          <w:sz w:val="24"/>
          <w:lang w:val="el-GR"/>
        </w:rPr>
        <w:t>6232), EFSA Journal, 2025</w:t>
      </w:r>
      <w:r w:rsidRPr="00106072">
        <w:rPr>
          <w:sz w:val="24"/>
          <w:lang w:val="el-GR"/>
        </w:rPr>
        <w:t xml:space="preserve">, 23(12):e9746, </w:t>
      </w:r>
      <w:hyperlink r:id="rId4" w:history="1">
        <w:r w:rsidRPr="00106072">
          <w:rPr>
            <w:rStyle w:val="Hyperlink"/>
            <w:sz w:val="24"/>
            <w:lang w:val="el-GR"/>
          </w:rPr>
          <w:t>https://doi.org/10.2903/j.efsa.2025.9746</w:t>
        </w:r>
      </w:hyperlink>
      <w:r w:rsidRPr="00106072">
        <w:rPr>
          <w:rStyle w:val="Hyperlink"/>
          <w:sz w:val="24"/>
          <w:lang w:val="el-GR"/>
        </w:rPr>
        <w:t>.</w:t>
      </w:r>
    </w:p>
  </w:footnote>
  <w:footnote w:id="6">
    <w:p w:rsidR="00757DCE" w:rsidRPr="00106072" w:rsidP="0071298A" w14:paraId="22F8102F" w14:textId="2677DA7F">
      <w:pPr>
        <w:pStyle w:val="FootnoteText"/>
        <w:spacing w:line="240" w:lineRule="auto"/>
        <w:ind w:left="567" w:hanging="567"/>
        <w:rPr>
          <w:color w:val="000000" w:themeColor="text1"/>
          <w:sz w:val="24"/>
          <w:vertAlign w:val="superscript"/>
          <w:lang w:val="el-GR"/>
        </w:rPr>
      </w:pPr>
      <w:r w:rsidRPr="00106072">
        <w:rPr>
          <w:rStyle w:val="Funotenzeichen"/>
          <w:sz w:val="24"/>
          <w:lang w:val="el-GR"/>
        </w:rPr>
        <w:footnoteRef/>
      </w:r>
      <w:r w:rsidRPr="00106072" w:rsidR="00106072">
        <w:rPr>
          <w:sz w:val="24"/>
          <w:lang w:val="el-GR"/>
        </w:rPr>
        <w:t xml:space="preserve"> </w:t>
      </w:r>
      <w:r w:rsidRPr="00106072" w:rsidR="00106072">
        <w:rPr>
          <w:sz w:val="24"/>
          <w:lang w:val="el-GR"/>
        </w:rPr>
        <w:tab/>
      </w:r>
      <w:r w:rsidRPr="00106072">
        <w:rPr>
          <w:sz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w:t>
      </w:r>
      <w:r w:rsidRPr="00106072">
        <w:rPr>
          <w:color w:val="000000" w:themeColor="text1"/>
          <w:sz w:val="24"/>
          <w:lang w:val="el-GR"/>
        </w:rPr>
        <w:t xml:space="preserve"> Επιπλέον, κατά τη δέκατη κοινοβουλευτική του περίοδο, το Κοινοβούλιο έχει εγκρίνει τα ακόλουθα ψηφίσματα:</w:t>
      </w:r>
    </w:p>
    <w:p w:rsidR="00757DCE" w:rsidRPr="00106072" w:rsidP="0071298A" w14:paraId="21919752" w14:textId="5539D1B4">
      <w:pPr>
        <w:pStyle w:val="FootnoteText"/>
        <w:spacing w:line="240" w:lineRule="auto"/>
        <w:ind w:left="1134" w:hanging="567"/>
        <w:rPr>
          <w:color w:val="000000" w:themeColor="text1"/>
          <w:sz w:val="24"/>
          <w:vertAlign w:val="superscript"/>
          <w:lang w:val="el-GR"/>
        </w:rPr>
      </w:pPr>
      <w:r w:rsidRPr="00106072">
        <w:rPr>
          <w:color w:val="000000" w:themeColor="text1"/>
          <w:sz w:val="24"/>
          <w:lang w:val="el-GR"/>
        </w:rPr>
        <w:t>–</w:t>
      </w:r>
      <w:r w:rsidRPr="00106072">
        <w:rPr>
          <w:color w:val="000000" w:themeColor="text1"/>
          <w:sz w:val="24"/>
          <w:lang w:val="el-GR"/>
        </w:rPr>
        <w:tab/>
        <w:t xml:space="preserve">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w:t>
      </w:r>
      <w:r w:rsidRPr="00106072">
        <w:rPr>
          <w:color w:val="000000" w:themeColor="text1"/>
          <w:sz w:val="24"/>
          <w:lang w:val="el-GR"/>
        </w:rPr>
        <w:t>1829/2003 του Ευρωπαϊκού Κοινοβουλίου και του Συμβουλίου (ΕΕ C, C/2025/1797, 4.4.2025, ELI: </w:t>
      </w:r>
      <w:hyperlink r:id="rId5" w:history="1">
        <w:r w:rsidRPr="00106072">
          <w:rPr>
            <w:rStyle w:val="Hyperlink"/>
            <w:sz w:val="24"/>
            <w:lang w:val="el-GR"/>
          </w:rPr>
          <w:t>http://data.europa.eu/eli/C/2025/1797/oj</w:t>
        </w:r>
      </w:hyperlink>
      <w:r w:rsidRPr="00106072">
        <w:rPr>
          <w:color w:val="000000" w:themeColor="text1"/>
          <w:sz w:val="24"/>
          <w:lang w:val="el-GR"/>
        </w:rPr>
        <w:t>).</w:t>
      </w:r>
    </w:p>
    <w:p w:rsidR="00757DCE" w:rsidRPr="00106072" w:rsidP="0071298A" w14:paraId="6966D9C3" w14:textId="262ED8F0">
      <w:pPr>
        <w:pStyle w:val="FootnoteText"/>
        <w:spacing w:line="240" w:lineRule="auto"/>
        <w:ind w:left="1134" w:hanging="567"/>
        <w:rPr>
          <w:color w:val="000000" w:themeColor="text1"/>
          <w:sz w:val="24"/>
          <w:vertAlign w:val="superscript"/>
          <w:lang w:val="el-GR"/>
        </w:rPr>
      </w:pPr>
      <w:r w:rsidRPr="00106072">
        <w:rPr>
          <w:color w:val="000000" w:themeColor="text1"/>
          <w:sz w:val="24"/>
          <w:lang w:val="el-GR"/>
        </w:rPr>
        <w:t>–</w:t>
      </w:r>
      <w:r w:rsidRPr="00106072">
        <w:rPr>
          <w:color w:val="000000" w:themeColor="text1"/>
          <w:sz w:val="24"/>
          <w:lang w:val="el-GR"/>
        </w:rPr>
        <w:tab/>
        <w:t>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(ΕΕ C, C/2025/1798, 4.4.2025, ELI: </w:t>
      </w:r>
      <w:hyperlink r:id="rId6" w:history="1">
        <w:r w:rsidRPr="00106072">
          <w:rPr>
            <w:rStyle w:val="Hyperlink"/>
            <w:sz w:val="24"/>
            <w:lang w:val="el-GR"/>
          </w:rPr>
          <w:t>http://data.europa.eu/eli/C/2025/1798/oj</w:t>
        </w:r>
      </w:hyperlink>
      <w:r w:rsidRPr="00106072">
        <w:rPr>
          <w:color w:val="000000" w:themeColor="text1"/>
          <w:sz w:val="24"/>
          <w:lang w:val="el-GR"/>
        </w:rPr>
        <w:t>).</w:t>
      </w:r>
    </w:p>
    <w:p w:rsidR="00757DCE" w:rsidRPr="00106072" w:rsidP="0071298A" w14:paraId="29BCF7CA" w14:textId="6E45467A">
      <w:pPr>
        <w:pStyle w:val="FootnoteText"/>
        <w:spacing w:line="240" w:lineRule="auto"/>
        <w:ind w:left="1134" w:hanging="567"/>
        <w:rPr>
          <w:color w:val="000000" w:themeColor="text1"/>
          <w:sz w:val="24"/>
          <w:vertAlign w:val="superscript"/>
          <w:lang w:val="el-GR"/>
        </w:rPr>
      </w:pPr>
      <w:r w:rsidRPr="00106072">
        <w:rPr>
          <w:color w:val="000000" w:themeColor="text1"/>
          <w:sz w:val="24"/>
          <w:lang w:val="el-GR"/>
        </w:rPr>
        <w:t>–</w:t>
      </w:r>
      <w:r w:rsidRPr="00106072">
        <w:rPr>
          <w:color w:val="000000" w:themeColor="text1"/>
          <w:sz w:val="24"/>
          <w:lang w:val="el-GR"/>
        </w:rPr>
        <w:tab/>
        <w:t>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(ΕΕ C, C/2025/1799, 4.4.2025, ELI: </w:t>
      </w:r>
      <w:hyperlink r:id="rId7" w:history="1">
        <w:r w:rsidRPr="00106072">
          <w:rPr>
            <w:rStyle w:val="Hyperlink"/>
            <w:sz w:val="24"/>
            <w:lang w:val="el-GR"/>
          </w:rPr>
          <w:t>http://data.europa.eu/eli/C/2025/1799/oj</w:t>
        </w:r>
      </w:hyperlink>
      <w:r w:rsidRPr="00106072">
        <w:rPr>
          <w:color w:val="000000" w:themeColor="text1"/>
          <w:sz w:val="24"/>
          <w:lang w:val="el-GR"/>
        </w:rPr>
        <w:t>).</w:t>
      </w:r>
    </w:p>
    <w:p w:rsidR="00757DCE" w:rsidRPr="00106072" w:rsidP="0071298A" w14:paraId="517AD414" w14:textId="72ADA79C">
      <w:pPr>
        <w:pStyle w:val="FootnoteText"/>
        <w:spacing w:line="240" w:lineRule="auto"/>
        <w:ind w:left="1134" w:hanging="567"/>
        <w:rPr>
          <w:color w:val="000000" w:themeColor="text1"/>
          <w:sz w:val="24"/>
          <w:vertAlign w:val="superscript"/>
          <w:lang w:val="el-GR"/>
        </w:rPr>
      </w:pPr>
      <w:r w:rsidRPr="00106072">
        <w:rPr>
          <w:color w:val="000000" w:themeColor="text1"/>
          <w:sz w:val="24"/>
          <w:lang w:val="el-GR"/>
        </w:rPr>
        <w:t>–</w:t>
      </w:r>
      <w:r w:rsidRPr="00106072">
        <w:rPr>
          <w:color w:val="000000" w:themeColor="text1"/>
          <w:sz w:val="24"/>
          <w:lang w:val="el-GR"/>
        </w:rPr>
        <w:tab/>
        <w:t>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(ΕΕ C, C/2025/1800, 4.4.2025, ELI: </w:t>
      </w:r>
      <w:hyperlink r:id="rId8" w:history="1">
        <w:r w:rsidRPr="00106072">
          <w:rPr>
            <w:rStyle w:val="Hyperlink"/>
            <w:sz w:val="24"/>
            <w:lang w:val="el-GR"/>
          </w:rPr>
          <w:t>http://data.europa.eu/eli/C/2025/1800/oj</w:t>
        </w:r>
      </w:hyperlink>
      <w:r w:rsidRPr="00106072">
        <w:rPr>
          <w:color w:val="000000" w:themeColor="text1"/>
          <w:sz w:val="24"/>
          <w:lang w:val="el-GR"/>
        </w:rPr>
        <w:t>).</w:t>
      </w:r>
    </w:p>
    <w:p w:rsidR="00757DCE" w:rsidRPr="00106072" w:rsidP="0071298A" w14:paraId="7026D8FB" w14:textId="0B03FE17">
      <w:pPr>
        <w:pStyle w:val="FootnoteText"/>
        <w:spacing w:line="240" w:lineRule="auto"/>
        <w:ind w:left="1134" w:hanging="567"/>
        <w:rPr>
          <w:color w:val="000000" w:themeColor="text1"/>
          <w:sz w:val="24"/>
          <w:vertAlign w:val="superscript"/>
          <w:lang w:val="el-GR"/>
        </w:rPr>
      </w:pPr>
      <w:r w:rsidRPr="00106072">
        <w:rPr>
          <w:color w:val="000000" w:themeColor="text1"/>
          <w:sz w:val="24"/>
          <w:lang w:val="el-GR"/>
        </w:rPr>
        <w:t>–</w:t>
      </w:r>
      <w:r w:rsidRPr="00106072">
        <w:rPr>
          <w:color w:val="000000" w:themeColor="text1"/>
          <w:sz w:val="24"/>
          <w:lang w:val="el-GR"/>
        </w:rPr>
        <w:tab/>
        <w:t>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(ΕΕ C, C/2025/1801, 4.4.2025, ELI: </w:t>
      </w:r>
      <w:hyperlink r:id="rId9" w:history="1">
        <w:r w:rsidRPr="00106072">
          <w:rPr>
            <w:rStyle w:val="Hyperlink"/>
            <w:sz w:val="24"/>
            <w:lang w:val="el-GR"/>
          </w:rPr>
          <w:t>http://data.europa.eu/eli/C/2025/1801/oj</w:t>
        </w:r>
      </w:hyperlink>
      <w:r w:rsidRPr="00106072">
        <w:rPr>
          <w:color w:val="000000" w:themeColor="text1"/>
          <w:sz w:val="24"/>
          <w:lang w:val="el-GR"/>
        </w:rPr>
        <w:t>).</w:t>
      </w:r>
    </w:p>
    <w:p w:rsidR="00757DCE" w:rsidRPr="00106072" w:rsidP="0071298A" w14:paraId="1D5F0D99" w14:textId="333779EB">
      <w:pPr>
        <w:pStyle w:val="FootnoteText"/>
        <w:spacing w:line="240" w:lineRule="auto"/>
        <w:ind w:left="1134" w:hanging="567"/>
        <w:rPr>
          <w:color w:val="000000" w:themeColor="text1"/>
          <w:sz w:val="24"/>
          <w:vertAlign w:val="superscript"/>
          <w:lang w:val="el-GR"/>
        </w:rPr>
      </w:pPr>
      <w:r w:rsidRPr="00106072">
        <w:rPr>
          <w:color w:val="000000" w:themeColor="text1"/>
          <w:sz w:val="24"/>
          <w:lang w:val="el-GR"/>
        </w:rPr>
        <w:t>–</w:t>
      </w:r>
      <w:r w:rsidRPr="00106072">
        <w:rPr>
          <w:color w:val="000000" w:themeColor="text1"/>
          <w:sz w:val="24"/>
          <w:lang w:val="el-GR"/>
        </w:rPr>
        <w:tab/>
        <w:t>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(ΕΕ C, C/2025/1802, 4.4.2025, ELI: </w:t>
      </w:r>
      <w:hyperlink r:id="rId10" w:history="1">
        <w:r w:rsidRPr="00106072">
          <w:rPr>
            <w:rStyle w:val="Hyperlink"/>
            <w:sz w:val="24"/>
            <w:lang w:val="el-GR"/>
          </w:rPr>
          <w:t>http://data.europa.eu/eli/C/2025/1802/oj</w:t>
        </w:r>
      </w:hyperlink>
      <w:r w:rsidRPr="00106072">
        <w:rPr>
          <w:color w:val="000000" w:themeColor="text1"/>
          <w:sz w:val="24"/>
          <w:lang w:val="el-GR"/>
        </w:rPr>
        <w:t>).</w:t>
      </w:r>
    </w:p>
    <w:p w:rsidR="00757DCE" w:rsidRPr="00106072" w:rsidP="0071298A" w14:paraId="62995629" w14:textId="724D03BC">
      <w:pPr>
        <w:pStyle w:val="FootnoteText"/>
        <w:spacing w:line="240" w:lineRule="auto"/>
        <w:ind w:left="1134" w:hanging="567"/>
        <w:rPr>
          <w:color w:val="000000" w:themeColor="text1"/>
          <w:sz w:val="24"/>
          <w:vertAlign w:val="superscript"/>
          <w:lang w:val="el-GR"/>
        </w:rPr>
      </w:pPr>
      <w:r w:rsidRPr="00106072">
        <w:rPr>
          <w:color w:val="000000" w:themeColor="text1"/>
          <w:sz w:val="24"/>
          <w:lang w:val="el-GR"/>
        </w:rPr>
        <w:t>–</w:t>
      </w:r>
      <w:r w:rsidRPr="00106072">
        <w:rPr>
          <w:color w:val="000000" w:themeColor="text1"/>
          <w:sz w:val="24"/>
          <w:lang w:val="el-GR"/>
        </w:rPr>
        <w:tab/>
        <w:t>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(ΕΕ C, C/2025/1803, 4.4.2025, ELI: </w:t>
      </w:r>
      <w:hyperlink r:id="rId11" w:history="1">
        <w:r w:rsidRPr="00106072">
          <w:rPr>
            <w:rStyle w:val="Hyperlink"/>
            <w:sz w:val="24"/>
            <w:lang w:val="el-GR"/>
          </w:rPr>
          <w:t>http://data.europa.eu/eli/C/2025/1803/oj</w:t>
        </w:r>
      </w:hyperlink>
      <w:r w:rsidRPr="00106072">
        <w:rPr>
          <w:color w:val="000000" w:themeColor="text1"/>
          <w:sz w:val="24"/>
          <w:lang w:val="el-GR"/>
        </w:rPr>
        <w:t>).</w:t>
      </w:r>
    </w:p>
    <w:p w:rsidR="00757DCE" w:rsidRPr="00106072" w:rsidP="0071298A" w14:paraId="2F8B49D9" w14:textId="0F953B8F">
      <w:pPr>
        <w:pStyle w:val="FootnoteText"/>
        <w:spacing w:line="240" w:lineRule="auto"/>
        <w:ind w:left="1134" w:hanging="567"/>
        <w:rPr>
          <w:color w:val="000000" w:themeColor="text1"/>
          <w:sz w:val="24"/>
          <w:vertAlign w:val="superscript"/>
          <w:lang w:val="el-GR"/>
        </w:rPr>
      </w:pPr>
      <w:r w:rsidRPr="00106072">
        <w:rPr>
          <w:color w:val="000000" w:themeColor="text1"/>
          <w:sz w:val="24"/>
          <w:lang w:val="el-GR"/>
        </w:rPr>
        <w:t>–</w:t>
      </w:r>
      <w:r w:rsidRPr="00106072">
        <w:rPr>
          <w:color w:val="000000" w:themeColor="text1"/>
          <w:sz w:val="24"/>
          <w:lang w:val="el-GR"/>
        </w:rPr>
        <w:tab/>
        <w:t>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(ΕΕ C, C/2025/1804, 4.4.2025, ELI: </w:t>
      </w:r>
      <w:hyperlink r:id="rId12" w:history="1">
        <w:r w:rsidRPr="00106072">
          <w:rPr>
            <w:rStyle w:val="Hyperlink"/>
            <w:sz w:val="24"/>
            <w:lang w:val="el-GR"/>
          </w:rPr>
          <w:t>http://data.europa.eu/eli/C/2025/1804/oj</w:t>
        </w:r>
      </w:hyperlink>
      <w:r w:rsidRPr="00106072">
        <w:rPr>
          <w:color w:val="000000" w:themeColor="text1"/>
          <w:sz w:val="24"/>
          <w:lang w:val="el-GR"/>
        </w:rPr>
        <w:t>).</w:t>
      </w:r>
    </w:p>
    <w:p w:rsidR="00757DCE" w:rsidRPr="00106072" w:rsidP="0071298A" w14:paraId="0D9CD357" w14:textId="6B1AA4F4">
      <w:pPr>
        <w:pStyle w:val="FootnoteText"/>
        <w:spacing w:line="240" w:lineRule="auto"/>
        <w:ind w:left="1134" w:hanging="567"/>
        <w:rPr>
          <w:sz w:val="24"/>
          <w:vertAlign w:val="superscript"/>
          <w:lang w:val="el-GR"/>
        </w:rPr>
      </w:pPr>
      <w:r w:rsidRPr="00106072">
        <w:rPr>
          <w:color w:val="000000" w:themeColor="text1"/>
          <w:sz w:val="24"/>
          <w:lang w:val="el-GR"/>
        </w:rPr>
        <w:t>–</w:t>
      </w:r>
      <w:r w:rsidRPr="00106072">
        <w:rPr>
          <w:color w:val="000000" w:themeColor="text1"/>
          <w:sz w:val="24"/>
          <w:lang w:val="el-GR"/>
        </w:rPr>
        <w:tab/>
      </w:r>
      <w:r w:rsidRPr="00106072">
        <w:rPr>
          <w:sz w:val="24"/>
          <w:lang w:val="el-GR"/>
        </w:rPr>
        <w:t>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 (ΕΕ C, C/2025/2246, 29.4.2025, ELI: </w:t>
      </w:r>
      <w:hyperlink r:id="rId13" w:history="1">
        <w:r w:rsidRPr="00106072">
          <w:rPr>
            <w:rStyle w:val="Hyperlink"/>
            <w:sz w:val="24"/>
            <w:lang w:val="el-GR"/>
          </w:rPr>
          <w:t>http://data.europa.eu/eli/C/2025/2246/oj</w:t>
        </w:r>
      </w:hyperlink>
      <w:r w:rsidRPr="00106072">
        <w:rPr>
          <w:sz w:val="24"/>
          <w:lang w:val="el-GR"/>
        </w:rPr>
        <w:t>).</w:t>
      </w:r>
    </w:p>
    <w:p w:rsidR="00757DCE" w:rsidRPr="00106072" w:rsidP="0071298A" w14:paraId="54646B59" w14:textId="783713D5">
      <w:pPr>
        <w:pStyle w:val="FootnoteText"/>
        <w:spacing w:line="240" w:lineRule="auto"/>
        <w:ind w:left="1134" w:hanging="567"/>
        <w:rPr>
          <w:sz w:val="24"/>
          <w:vertAlign w:val="superscript"/>
          <w:lang w:val="el-GR"/>
        </w:rPr>
      </w:pPr>
      <w:r w:rsidRPr="00106072">
        <w:rPr>
          <w:sz w:val="24"/>
          <w:lang w:val="el-GR"/>
        </w:rPr>
        <w:t>–</w:t>
      </w:r>
      <w:r w:rsidRPr="00106072">
        <w:rPr>
          <w:sz w:val="24"/>
          <w:lang w:val="el-GR"/>
        </w:rPr>
        <w:tab/>
        <w:t>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 (ΕΕ C, C/2025/2247, 29.4.2025, ELI: </w:t>
      </w:r>
      <w:hyperlink r:id="rId14" w:history="1">
        <w:r w:rsidRPr="00106072">
          <w:rPr>
            <w:rStyle w:val="Hyperlink"/>
            <w:sz w:val="24"/>
            <w:lang w:val="el-GR"/>
          </w:rPr>
          <w:t>http://data.europa.eu/eli/C/2025/2247/oj</w:t>
        </w:r>
      </w:hyperlink>
      <w:r w:rsidRPr="00106072">
        <w:rPr>
          <w:sz w:val="24"/>
          <w:lang w:val="el-GR"/>
        </w:rPr>
        <w:t>).</w:t>
      </w:r>
    </w:p>
    <w:p w:rsidR="00757DCE" w:rsidRPr="00106072" w:rsidP="0071298A" w14:paraId="2B771EC2" w14:textId="7400C17F">
      <w:pPr>
        <w:pStyle w:val="FootnoteText"/>
        <w:spacing w:line="240" w:lineRule="auto"/>
        <w:ind w:left="1134" w:hanging="567"/>
        <w:rPr>
          <w:sz w:val="24"/>
          <w:vertAlign w:val="superscript"/>
          <w:lang w:val="el-GR"/>
        </w:rPr>
      </w:pPr>
      <w:r w:rsidRPr="00106072">
        <w:rPr>
          <w:sz w:val="24"/>
          <w:lang w:val="el-GR"/>
        </w:rPr>
        <w:t>–</w:t>
      </w:r>
      <w:r w:rsidRPr="00106072">
        <w:rPr>
          <w:sz w:val="24"/>
          <w:lang w:val="el-GR"/>
        </w:rPr>
        <w:tab/>
        <w:t>Ψήφισμα του Ευρωπαϊκού Κοινοβουλίου της 8ης Μαΐου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 (EE C, C/2026/586, 24.2.2026, ELI: </w:t>
      </w:r>
      <w:hyperlink r:id="rId15" w:tooltip="Πρόσβαση στο έγγραφο μέσω URI τύπου ELI." w:history="1">
        <w:r w:rsidRPr="00106072">
          <w:rPr>
            <w:rStyle w:val="Hyperlink"/>
            <w:sz w:val="24"/>
            <w:lang w:val="el-GR"/>
          </w:rPr>
          <w:t>http://data.europa.eu/eli/C/2026/586/oj</w:t>
        </w:r>
      </w:hyperlink>
      <w:r w:rsidRPr="00106072">
        <w:rPr>
          <w:sz w:val="24"/>
          <w:lang w:val="el-GR"/>
        </w:rPr>
        <w:t>).</w:t>
      </w:r>
    </w:p>
    <w:p w:rsidR="00757DCE" w:rsidRPr="00106072" w:rsidP="0071298A" w14:paraId="13E3C1C2" w14:textId="65C826B0">
      <w:pPr>
        <w:pStyle w:val="FootnoteText"/>
        <w:spacing w:line="240" w:lineRule="auto"/>
        <w:ind w:left="1134" w:hanging="567"/>
        <w:rPr>
          <w:sz w:val="24"/>
          <w:vertAlign w:val="superscript"/>
          <w:lang w:val="el-GR"/>
        </w:rPr>
      </w:pPr>
      <w:r w:rsidRPr="00106072">
        <w:rPr>
          <w:sz w:val="24"/>
          <w:lang w:val="el-GR"/>
        </w:rPr>
        <w:t>–</w:t>
      </w:r>
      <w:r w:rsidRPr="00106072">
        <w:rPr>
          <w:sz w:val="24"/>
          <w:lang w:val="el-GR"/>
        </w:rPr>
        <w:tab/>
        <w:t xml:space="preserve">Ψήφισμα του Ευρωπαϊκού Κοινοβουλίου της 8ης Οκτωβρίου 2025 σχετικά με την εκτελεστική απόφαση (ΕΕ) 2025/1898 της Επιτροπής, της 22ας Σεπτεμβρίου 2025, για την έγκριση της διάθεσης στην αγορά προϊόντων που περιέχουν, αποτελούνται ή παράγονται από γενετικώς τροποποιημένο αραβόσιτο DP51291, σύμφωνα με τον κανονισμό (ΕΚ) αριθ. 1829/2003 του Ευρωπαϊκού Κοινοβουλίου και του Συμβουλίου (ΕΕ C, C/2026/1523, </w:t>
      </w:r>
      <w:r w:rsidR="00740D29">
        <w:rPr>
          <w:sz w:val="24"/>
          <w:lang w:val="el-GR"/>
        </w:rPr>
        <w:t>15</w:t>
      </w:r>
      <w:r w:rsidRPr="00106072">
        <w:rPr>
          <w:sz w:val="24"/>
          <w:lang w:val="el-GR"/>
        </w:rPr>
        <w:t>.4.202</w:t>
      </w:r>
      <w:r w:rsidR="00740D29">
        <w:rPr>
          <w:sz w:val="24"/>
          <w:lang w:val="el-GR"/>
        </w:rPr>
        <w:t>6</w:t>
      </w:r>
      <w:r w:rsidRPr="00106072">
        <w:rPr>
          <w:sz w:val="24"/>
          <w:lang w:val="el-GR"/>
        </w:rPr>
        <w:t>, ELI: </w:t>
      </w:r>
      <w:hyperlink r:id="rId16" w:history="1">
        <w:r w:rsidRPr="00106072">
          <w:rPr>
            <w:rStyle w:val="Hyperlink"/>
            <w:sz w:val="24"/>
            <w:lang w:val="el-GR"/>
          </w:rPr>
          <w:t>http://data.europa.eu/eli/C/2026/1523/oj</w:t>
        </w:r>
      </w:hyperlink>
      <w:r w:rsidRPr="00106072">
        <w:rPr>
          <w:sz w:val="24"/>
          <w:lang w:val="el-GR"/>
        </w:rPr>
        <w:t>).</w:t>
      </w:r>
    </w:p>
    <w:p w:rsidR="00757DCE" w:rsidRPr="00106072" w:rsidP="0071298A" w14:paraId="238CFBAE" w14:textId="2EA39461">
      <w:pPr>
        <w:pStyle w:val="FootnoteText"/>
        <w:spacing w:line="240" w:lineRule="auto"/>
        <w:ind w:left="1134" w:hanging="567"/>
        <w:rPr>
          <w:sz w:val="24"/>
          <w:vertAlign w:val="superscript"/>
          <w:lang w:val="el-GR"/>
        </w:rPr>
      </w:pPr>
      <w:r w:rsidRPr="00106072">
        <w:rPr>
          <w:sz w:val="24"/>
          <w:lang w:val="el-GR"/>
        </w:rPr>
        <w:t>–</w:t>
      </w:r>
      <w:r w:rsidRPr="00106072">
        <w:rPr>
          <w:sz w:val="24"/>
          <w:lang w:val="el-GR"/>
        </w:rPr>
        <w:tab/>
        <w:t>Ψήφισμα του Ευρωπαϊκού Κοινοβουλίου της 25ης Νοεμβρίου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DAS1131, σύμφωνα με τον κανονισμό (ΕΚ) αριθ. 1829/2003 του Ευρωπαϊκού Κοινοβουλίου και του Συμβουλίου (ΕΕ C, C/2026/1703, 2</w:t>
      </w:r>
      <w:r w:rsidR="00927183">
        <w:rPr>
          <w:sz w:val="24"/>
          <w:lang w:val="el-GR"/>
        </w:rPr>
        <w:t>4</w:t>
      </w:r>
      <w:r w:rsidRPr="00106072">
        <w:rPr>
          <w:sz w:val="24"/>
          <w:lang w:val="el-GR"/>
        </w:rPr>
        <w:t>.4.202</w:t>
      </w:r>
      <w:r w:rsidR="00927183">
        <w:rPr>
          <w:sz w:val="24"/>
          <w:lang w:val="el-GR"/>
        </w:rPr>
        <w:t>6</w:t>
      </w:r>
      <w:r w:rsidRPr="00106072">
        <w:rPr>
          <w:sz w:val="24"/>
          <w:lang w:val="el-GR"/>
        </w:rPr>
        <w:t>, ELI: </w:t>
      </w:r>
      <w:hyperlink r:id="rId17" w:history="1">
        <w:r w:rsidRPr="00106072">
          <w:rPr>
            <w:rStyle w:val="Hyperlink"/>
            <w:sz w:val="24"/>
            <w:lang w:val="el-GR"/>
          </w:rPr>
          <w:t>http://data.europa.eu/eli/C/2026/1703/oj</w:t>
        </w:r>
      </w:hyperlink>
      <w:r w:rsidRPr="00106072">
        <w:rPr>
          <w:sz w:val="24"/>
          <w:lang w:val="el-GR"/>
        </w:rPr>
        <w:t>).</w:t>
      </w:r>
    </w:p>
    <w:p w:rsidR="00757DCE" w:rsidRPr="00106072" w:rsidP="0071298A" w14:paraId="72A011A2" w14:textId="49D69C0A">
      <w:pPr>
        <w:pStyle w:val="FootnoteText"/>
        <w:spacing w:line="240" w:lineRule="auto"/>
        <w:ind w:left="1134" w:hanging="567"/>
        <w:rPr>
          <w:sz w:val="24"/>
          <w:vertAlign w:val="superscript"/>
          <w:lang w:val="el-GR"/>
        </w:rPr>
      </w:pPr>
      <w:r w:rsidRPr="00106072">
        <w:rPr>
          <w:sz w:val="24"/>
          <w:lang w:val="el-GR"/>
        </w:rPr>
        <w:t>–</w:t>
      </w:r>
      <w:r w:rsidRPr="00106072">
        <w:rPr>
          <w:sz w:val="24"/>
          <w:lang w:val="el-GR"/>
        </w:rPr>
        <w:tab/>
        <w:t>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MON 88913 (MON-88913-8), σύμφωνα με τον κανονισμό (ΕΚ) αριθ. 1829/2003 του Ευρωπαϊκού Κοινοβουλίου και του Συμβουλίου (ΕΕ C, C/2026/1704, 24.4.2026, ELI: </w:t>
      </w:r>
      <w:hyperlink r:id="rId18" w:history="1">
        <w:r w:rsidRPr="00106072">
          <w:rPr>
            <w:rStyle w:val="Hyperlink"/>
            <w:sz w:val="24"/>
            <w:lang w:val="el-GR"/>
          </w:rPr>
          <w:t>http://data.europa.eu/eli/C/2026/1704/oj</w:t>
        </w:r>
      </w:hyperlink>
      <w:r w:rsidRPr="00106072">
        <w:rPr>
          <w:sz w:val="24"/>
          <w:lang w:val="el-GR"/>
        </w:rPr>
        <w:t>).</w:t>
      </w:r>
    </w:p>
    <w:p w:rsidR="00757DCE" w:rsidRPr="00106072" w:rsidP="0071298A" w14:paraId="01D16260" w14:textId="492D174E">
      <w:pPr>
        <w:pStyle w:val="FootnoteText"/>
        <w:spacing w:line="240" w:lineRule="auto"/>
        <w:ind w:left="1134" w:hanging="567"/>
        <w:rPr>
          <w:sz w:val="24"/>
          <w:vertAlign w:val="superscript"/>
          <w:lang w:val="el-GR"/>
        </w:rPr>
      </w:pPr>
      <w:r w:rsidRPr="00106072">
        <w:rPr>
          <w:sz w:val="24"/>
          <w:lang w:val="el-GR"/>
        </w:rPr>
        <w:t>–</w:t>
      </w:r>
      <w:r w:rsidRPr="00106072">
        <w:rPr>
          <w:sz w:val="24"/>
          <w:lang w:val="el-GR"/>
        </w:rPr>
        <w:tab/>
        <w:t>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ελαιοκράμβη MON 88302, σύμφωνα με τον κανονισμό (ΕΚ) αριθ. 1829/2003 του Ευρωπαϊκού Κοινοβουλίου και του Συμβουλίου (ΕΕ C, C/2026/1705, 24.4.2026, ELI: </w:t>
      </w:r>
      <w:hyperlink r:id="rId19" w:history="1">
        <w:r w:rsidRPr="00106072">
          <w:rPr>
            <w:rStyle w:val="Hyperlink"/>
            <w:sz w:val="24"/>
            <w:lang w:val="el-GR"/>
          </w:rPr>
          <w:t>http://data.europa.eu/eli/C/2026/1705/oj</w:t>
        </w:r>
      </w:hyperlink>
      <w:r w:rsidRPr="00106072">
        <w:rPr>
          <w:sz w:val="24"/>
          <w:lang w:val="el-GR"/>
        </w:rPr>
        <w:t>).</w:t>
      </w:r>
    </w:p>
    <w:p w:rsidR="00757DCE" w:rsidRPr="00106072" w:rsidP="0071298A" w14:paraId="58B7AD5A" w14:textId="61E3E5D9">
      <w:pPr>
        <w:pStyle w:val="FootnoteText"/>
        <w:spacing w:line="240" w:lineRule="auto"/>
        <w:ind w:left="1134" w:hanging="567"/>
        <w:rPr>
          <w:sz w:val="24"/>
          <w:vertAlign w:val="superscript"/>
          <w:lang w:val="el-GR"/>
        </w:rPr>
      </w:pPr>
      <w:r w:rsidRPr="00106072">
        <w:rPr>
          <w:sz w:val="24"/>
          <w:lang w:val="el-GR"/>
        </w:rPr>
        <w:t>–</w:t>
      </w:r>
      <w:r w:rsidRPr="00106072">
        <w:rPr>
          <w:sz w:val="24"/>
          <w:lang w:val="el-GR"/>
        </w:rPr>
        <w:tab/>
        <w:t>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τροποποιημένη σόγια MON 87708, σύμφωνα με τον κανονισμό (ΕΚ) αριθ. 1829/2003 του Ευρωπαϊκού Κοινοβουλίου και του Συμβουλίου (ΕΕ C, C/2026/1706, 24.4.2026, ELI: </w:t>
      </w:r>
      <w:hyperlink r:id="rId20" w:history="1">
        <w:r w:rsidRPr="00106072">
          <w:rPr>
            <w:rStyle w:val="Hyperlink"/>
            <w:sz w:val="24"/>
            <w:lang w:val="el-GR"/>
          </w:rPr>
          <w:t>http://data.europa.eu/eli/C/2026/1706/oj</w:t>
        </w:r>
      </w:hyperlink>
      <w:r w:rsidRPr="00106072">
        <w:rPr>
          <w:sz w:val="24"/>
          <w:lang w:val="el-GR"/>
        </w:rPr>
        <w:t>).</w:t>
      </w:r>
    </w:p>
    <w:p w:rsidR="00757DCE" w:rsidRPr="00106072" w:rsidP="0071298A" w14:paraId="1982438C" w14:textId="7EF59FDA">
      <w:pPr>
        <w:pStyle w:val="FootnoteText"/>
        <w:spacing w:line="240" w:lineRule="auto"/>
        <w:ind w:left="1134" w:hanging="567"/>
        <w:rPr>
          <w:sz w:val="24"/>
          <w:vertAlign w:val="superscript"/>
          <w:lang w:val="el-GR"/>
        </w:rPr>
      </w:pPr>
      <w:r w:rsidRPr="00106072">
        <w:rPr>
          <w:sz w:val="24"/>
          <w:lang w:val="el-GR"/>
        </w:rPr>
        <w:t>–</w:t>
      </w:r>
      <w:r w:rsidRPr="00106072">
        <w:rPr>
          <w:sz w:val="24"/>
          <w:lang w:val="el-GR"/>
        </w:rPr>
        <w:tab/>
        <w:t>Ψήφισμα του Ευρωπαϊκού Κοινοβουλίου της 25ης Νοεμβρίου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87427, σύμφωνα με τον κανονισμό (ΕΚ) αριθ. 1829/2003 του Ευρωπαϊκού Κοινοβουλίου και του Συμβουλίου (ΕΕ C, C/2026/1707, 24.4.2026, ELI: </w:t>
      </w:r>
      <w:hyperlink r:id="rId21" w:history="1">
        <w:r w:rsidRPr="00106072">
          <w:rPr>
            <w:rStyle w:val="Hyperlink"/>
            <w:sz w:val="24"/>
            <w:lang w:val="el-GR"/>
          </w:rPr>
          <w:t>http://data.europa.eu/eli/C/2026/1707/oj</w:t>
        </w:r>
      </w:hyperlink>
      <w:r w:rsidRPr="00106072">
        <w:rPr>
          <w:sz w:val="24"/>
          <w:lang w:val="el-GR"/>
        </w:rPr>
        <w:t>).</w:t>
      </w:r>
    </w:p>
    <w:p w:rsidR="00757DCE" w:rsidRPr="00106072" w:rsidP="0071298A" w14:paraId="356600EA" w14:textId="30026F39">
      <w:pPr>
        <w:pStyle w:val="FootnoteText"/>
        <w:spacing w:line="240" w:lineRule="auto"/>
        <w:ind w:left="1134" w:hanging="567"/>
        <w:rPr>
          <w:sz w:val="24"/>
          <w:vertAlign w:val="superscript"/>
          <w:lang w:val="el-GR"/>
        </w:rPr>
      </w:pPr>
      <w:r w:rsidRPr="00106072">
        <w:rPr>
          <w:sz w:val="24"/>
          <w:lang w:val="el-GR"/>
        </w:rPr>
        <w:t>–</w:t>
      </w:r>
      <w:r w:rsidRPr="00106072">
        <w:rPr>
          <w:sz w:val="24"/>
          <w:lang w:val="el-GR"/>
        </w:rPr>
        <w:tab/>
        <w:t>Ψήφισμα του Ευρωπαϊκού Κοινοβουλίου της 16ης Δεκεμβρίου 2025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NK603, σύμφωνα με τον κανονισμό (ΕΚ) αριθ. 1829/2003 του Ευρωπαϊκού Κοινοβουλίου και του Συμβουλίου (ΕΕ C, C/2026/2150, 6.5.2026, ELI: </w:t>
      </w:r>
      <w:hyperlink r:id="rId22" w:history="1">
        <w:r w:rsidRPr="00106072">
          <w:rPr>
            <w:rStyle w:val="Hyperlink"/>
            <w:sz w:val="24"/>
            <w:lang w:val="el-GR"/>
          </w:rPr>
          <w:t>http://data.europa.eu/eli/C/2026/2150/oj</w:t>
        </w:r>
      </w:hyperlink>
      <w:r w:rsidRPr="00106072">
        <w:rPr>
          <w:sz w:val="24"/>
          <w:lang w:val="el-GR"/>
        </w:rPr>
        <w:t>).</w:t>
      </w:r>
    </w:p>
    <w:p w:rsidR="00757DCE" w:rsidRPr="00106072" w:rsidP="0071298A" w14:paraId="253DED8C" w14:textId="6871AF74">
      <w:pPr>
        <w:pStyle w:val="FootnoteText"/>
        <w:spacing w:line="240" w:lineRule="auto"/>
        <w:ind w:left="1134" w:hanging="567"/>
        <w:rPr>
          <w:sz w:val="24"/>
          <w:vertAlign w:val="superscript"/>
          <w:lang w:val="el-GR"/>
        </w:rPr>
      </w:pPr>
      <w:r w:rsidRPr="00106072">
        <w:rPr>
          <w:sz w:val="24"/>
          <w:lang w:val="el-GR"/>
        </w:rPr>
        <w:t>–</w:t>
      </w:r>
      <w:r w:rsidRPr="00106072">
        <w:rPr>
          <w:sz w:val="24"/>
          <w:lang w:val="el-GR"/>
        </w:rPr>
        <w:tab/>
        <w:t>Ψήφισμα του Ευρωπαϊκού Κοινοβουλίου της 16ης Δεκεμβρίου 2025 σχετικά με το σχέδιο εκτελεστικής απόφασης της Επιτροπής όσον αφορά την έγκριση της διάθεσης στην αγορά τροφίμων, συστατικών τροφίμων και ζωοτροφών που παράγονται από γενετικώς τροποποιημένα ζαχαρότευτλα KWS20-1, σύμφωνα με τον κανονισμό (ΕΚ) αριθ. 829/2003 του Ευρωπαϊκού Κοινοβουλίου και του Συμβουλίου (ΕΕ C, C/2026/2151, 6.5.2026, ELI: </w:t>
      </w:r>
      <w:hyperlink r:id="rId23" w:history="1">
        <w:r w:rsidRPr="00106072">
          <w:rPr>
            <w:rStyle w:val="Hyperlink"/>
            <w:sz w:val="24"/>
            <w:lang w:val="el-GR"/>
          </w:rPr>
          <w:t>http://data.europa.eu/eli/C/2026/2151/oj</w:t>
        </w:r>
      </w:hyperlink>
      <w:r w:rsidRPr="00106072">
        <w:rPr>
          <w:sz w:val="24"/>
          <w:lang w:val="el-GR"/>
        </w:rPr>
        <w:t>).</w:t>
      </w:r>
    </w:p>
    <w:p w:rsidR="00757DCE" w:rsidRPr="00106072" w:rsidP="0071298A" w14:paraId="53CED3D9" w14:textId="2BFD5B83">
      <w:pPr>
        <w:pStyle w:val="FootnoteText"/>
        <w:spacing w:line="240" w:lineRule="auto"/>
        <w:ind w:left="1134" w:hanging="567"/>
        <w:rPr>
          <w:sz w:val="24"/>
          <w:vertAlign w:val="superscript"/>
          <w:lang w:val="el-GR"/>
        </w:rPr>
      </w:pPr>
      <w:r w:rsidRPr="00106072">
        <w:rPr>
          <w:sz w:val="24"/>
          <w:lang w:val="el-GR"/>
        </w:rPr>
        <w:t>–</w:t>
      </w:r>
      <w:r w:rsidRPr="00106072">
        <w:rPr>
          <w:sz w:val="24"/>
          <w:lang w:val="el-GR"/>
        </w:rPr>
        <w:tab/>
        <w:t xml:space="preserve">Ψήφισμα του Ευρωπαϊκού Κοινοβουλίου της 11ης Φεβρουαρίου 2026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DBN-09004-6, σύμφωνα με τον κανονισμό (ΕΚ) αριθ. 1829/2003 του Ευρωπαϊκού Κοινοβουλίου και του Συμβουλίου </w:t>
      </w:r>
      <w:r w:rsidR="002135A7">
        <w:rPr>
          <w:sz w:val="24"/>
          <w:lang w:val="el-GR"/>
        </w:rPr>
        <w:t>(</w:t>
      </w:r>
      <w:r w:rsidRPr="00106072">
        <w:rPr>
          <w:sz w:val="24"/>
          <w:lang w:val="el-GR"/>
        </w:rPr>
        <w:t>Κείμενα που εγκρίθηκαν, P10_TA(2026)0041</w:t>
      </w:r>
      <w:r w:rsidR="002135A7">
        <w:rPr>
          <w:sz w:val="24"/>
          <w:lang w:val="el-GR"/>
        </w:rPr>
        <w:t>)</w:t>
      </w:r>
      <w:r w:rsidRPr="00106072">
        <w:rPr>
          <w:sz w:val="24"/>
          <w:lang w:val="el-GR"/>
        </w:rPr>
        <w:t>.</w:t>
      </w:r>
    </w:p>
    <w:p w:rsidR="00757DCE" w:rsidRPr="00106072" w:rsidP="0071298A" w14:paraId="40A20A51" w14:textId="349D5E55">
      <w:pPr>
        <w:pStyle w:val="FootnoteText"/>
        <w:spacing w:line="240" w:lineRule="auto"/>
        <w:ind w:left="1134" w:hanging="567"/>
        <w:rPr>
          <w:sz w:val="24"/>
          <w:vertAlign w:val="superscript"/>
          <w:lang w:val="el-GR"/>
        </w:rPr>
      </w:pPr>
      <w:r w:rsidRPr="00106072">
        <w:rPr>
          <w:sz w:val="24"/>
          <w:lang w:val="el-GR"/>
        </w:rPr>
        <w:t>–</w:t>
      </w:r>
      <w:r w:rsidRPr="00106072">
        <w:rPr>
          <w:sz w:val="24"/>
          <w:lang w:val="el-GR"/>
        </w:rPr>
        <w:tab/>
        <w:t xml:space="preserve">Ψήφισμα του Ευρωπαϊκού Κοινοβουλίου της 11ης Φεβρουαρίου 2026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T25 (ACS-ZMØØ3-2), σύμφωνα με τον κανονισμό (ΕΚ) αριθ. 1829/2003 του Ευρωπαϊκού Κοινοβουλίου και του Συμβουλίου </w:t>
      </w:r>
      <w:r w:rsidR="002135A7">
        <w:rPr>
          <w:sz w:val="24"/>
          <w:lang w:val="el-GR"/>
        </w:rPr>
        <w:t>(</w:t>
      </w:r>
      <w:r w:rsidRPr="00106072">
        <w:rPr>
          <w:sz w:val="24"/>
          <w:lang w:val="el-GR"/>
        </w:rPr>
        <w:t>Κείμενα που εγκρίθηκαν, P10_TA(2026)0042</w:t>
      </w:r>
      <w:r w:rsidR="002135A7">
        <w:rPr>
          <w:sz w:val="24"/>
          <w:lang w:val="el-GR"/>
        </w:rPr>
        <w:t>)</w:t>
      </w:r>
      <w:r w:rsidRPr="00106072">
        <w:rPr>
          <w:sz w:val="24"/>
          <w:lang w:val="el-GR"/>
        </w:rPr>
        <w:t>.</w:t>
      </w:r>
    </w:p>
    <w:p w:rsidR="00757DCE" w:rsidRPr="00106072" w:rsidP="0071298A" w14:paraId="2372A124" w14:textId="0D64D3C1">
      <w:pPr>
        <w:pStyle w:val="FootnoteText"/>
        <w:spacing w:line="240" w:lineRule="auto"/>
        <w:ind w:left="1134" w:hanging="567"/>
        <w:rPr>
          <w:sz w:val="24"/>
          <w:vertAlign w:val="superscript"/>
          <w:lang w:val="el-GR"/>
        </w:rPr>
      </w:pPr>
      <w:r w:rsidRPr="00106072">
        <w:rPr>
          <w:sz w:val="24"/>
          <w:lang w:val="el-GR"/>
        </w:rPr>
        <w:t>–</w:t>
      </w:r>
      <w:r w:rsidRPr="00106072">
        <w:rPr>
          <w:sz w:val="24"/>
          <w:lang w:val="el-GR"/>
        </w:rPr>
        <w:tab/>
        <w:t xml:space="preserve">Ψήφισμα του Ευρωπαϊκού Κοινοβουλίου της 11ης Φεβρουαρίου 2026 σχετικά με το σχέδιο εκτελεστικής απόφασης της Επιτροπής για την ανανέωση της έγκρισης της διάθεσης στην αγορά προϊόντων που περιέχουν, αποτελούνται ή παράγονται από γενετικώς τροποποιημένο βαμβάκι GHB614 × LLCotton25, σύμφωνα με τον κανονισμό (ΕΚ) αριθ. 1829/2003 του Ευρωπαϊκού Κοινοβουλίου και του Συμβουλίου </w:t>
      </w:r>
      <w:r w:rsidR="002135A7">
        <w:rPr>
          <w:sz w:val="24"/>
          <w:lang w:val="el-GR"/>
        </w:rPr>
        <w:t>(</w:t>
      </w:r>
      <w:r w:rsidRPr="00106072">
        <w:rPr>
          <w:sz w:val="24"/>
          <w:lang w:val="el-GR"/>
        </w:rPr>
        <w:t>Κείμενα που εγκρίθηκαν, P10_TA(2026)0043</w:t>
      </w:r>
      <w:r w:rsidR="002135A7">
        <w:rPr>
          <w:sz w:val="24"/>
          <w:lang w:val="el-GR"/>
        </w:rPr>
        <w:t>)</w:t>
      </w:r>
      <w:r w:rsidRPr="00106072">
        <w:rPr>
          <w:sz w:val="24"/>
          <w:lang w:val="el-GR"/>
        </w:rPr>
        <w:t>.</w:t>
      </w:r>
    </w:p>
    <w:p w:rsidR="00757DCE" w:rsidRPr="00106072" w:rsidP="0071298A" w14:paraId="7F9CA223" w14:textId="1084C3A8">
      <w:pPr>
        <w:pStyle w:val="FootnoteText"/>
        <w:spacing w:line="240" w:lineRule="auto"/>
        <w:ind w:left="1134" w:hanging="567"/>
        <w:rPr>
          <w:sz w:val="24"/>
          <w:vertAlign w:val="superscript"/>
          <w:lang w:val="el-GR"/>
        </w:rPr>
      </w:pPr>
      <w:r w:rsidRPr="00106072">
        <w:rPr>
          <w:sz w:val="24"/>
          <w:lang w:val="el-GR"/>
        </w:rPr>
        <w:t>–</w:t>
      </w:r>
      <w:r w:rsidRPr="00106072">
        <w:rPr>
          <w:sz w:val="24"/>
          <w:lang w:val="el-GR"/>
        </w:rPr>
        <w:tab/>
        <w:t xml:space="preserve">Ψήφισμα του Ευρωπαϊκού Κοινοβουλίου της 11ης Φεβρουαρίου 2026 σχετικά με το σχέδιο εκτελεστικής απόφασης της Επιτροπής που ανανεώνει την έγκριση της διάθεσης στην αγορά προϊόντων που περιέχουν, αποτελούνται ή παράγονται από γενετικώς τροποποιημένο βαμβάκι T304-40, σύμφωνα με τον κανονισμό (ΕΚ) αριθ. 1829/2003 του Ευρωπαϊκού Κοινοβουλίου και του Συμβουλίου </w:t>
      </w:r>
      <w:r w:rsidR="002135A7">
        <w:rPr>
          <w:sz w:val="24"/>
          <w:lang w:val="el-GR"/>
        </w:rPr>
        <w:t>(</w:t>
      </w:r>
      <w:r w:rsidRPr="00106072">
        <w:rPr>
          <w:sz w:val="24"/>
          <w:lang w:val="el-GR"/>
        </w:rPr>
        <w:t>Κείμενα που εγκρίθηκαν, P10_TA(2026)0044</w:t>
      </w:r>
      <w:r w:rsidR="002135A7">
        <w:rPr>
          <w:sz w:val="24"/>
          <w:lang w:val="el-GR"/>
        </w:rPr>
        <w:t>)</w:t>
      </w:r>
      <w:r w:rsidRPr="00106072">
        <w:rPr>
          <w:sz w:val="24"/>
          <w:lang w:val="el-GR"/>
        </w:rPr>
        <w:t>.</w:t>
      </w:r>
    </w:p>
    <w:p w:rsidR="00757DCE" w:rsidRPr="00106072" w:rsidP="0071298A" w14:paraId="37052488" w14:textId="3EAE69DF">
      <w:pPr>
        <w:pStyle w:val="FootnoteText"/>
        <w:spacing w:line="240" w:lineRule="auto"/>
        <w:ind w:left="1134" w:hanging="567"/>
        <w:rPr>
          <w:sz w:val="24"/>
          <w:lang w:val="el-GR"/>
        </w:rPr>
      </w:pPr>
      <w:r w:rsidRPr="00106072">
        <w:rPr>
          <w:sz w:val="24"/>
          <w:lang w:val="el-GR"/>
        </w:rPr>
        <w:t>–</w:t>
      </w:r>
      <w:r w:rsidRPr="00106072">
        <w:rPr>
          <w:sz w:val="24"/>
          <w:lang w:val="el-GR"/>
        </w:rPr>
        <w:tab/>
        <w:t xml:space="preserve">Ψήφισμα του Ευρωπαϊκού Κοινοβουλίου της 29ης Απριλίου 2026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MON 94637 σύμφωνα με τον κανονισμό (ΕΚ) αριθ. 1829/2003 του Ευρωπαϊκού Κοινοβουλίου και του Συμβουλίου </w:t>
      </w:r>
      <w:r w:rsidR="002135A7">
        <w:rPr>
          <w:sz w:val="24"/>
          <w:lang w:val="el-GR"/>
        </w:rPr>
        <w:t>(</w:t>
      </w:r>
      <w:r w:rsidRPr="00106072">
        <w:rPr>
          <w:sz w:val="24"/>
          <w:lang w:val="el-GR"/>
        </w:rPr>
        <w:t>Κείμενα που εγκρίθηκαν, P10_TA(2026)0150</w:t>
      </w:r>
      <w:r w:rsidR="002135A7">
        <w:rPr>
          <w:sz w:val="24"/>
          <w:lang w:val="el-GR"/>
        </w:rPr>
        <w:t>)</w:t>
      </w:r>
      <w:r w:rsidRPr="00106072">
        <w:rPr>
          <w:sz w:val="24"/>
          <w:lang w:val="el-GR"/>
        </w:rPr>
        <w:t>.</w:t>
      </w:r>
    </w:p>
  </w:footnote>
  <w:footnote w:id="7">
    <w:p w:rsidR="00757DCE" w:rsidRPr="00106072" w:rsidP="0071298A" w14:paraId="5B574D25" w14:textId="44206EF2">
      <w:pPr>
        <w:pStyle w:val="FootnoteText"/>
        <w:spacing w:line="240" w:lineRule="auto"/>
        <w:ind w:left="567" w:hanging="567"/>
        <w:rPr>
          <w:sz w:val="24"/>
          <w:lang w:val="el-GR"/>
        </w:rPr>
      </w:pPr>
      <w:r w:rsidRPr="00106072">
        <w:rPr>
          <w:rStyle w:val="FootnoteReference"/>
          <w:sz w:val="24"/>
          <w:lang w:val="el-GR"/>
        </w:rPr>
        <w:footnoteRef/>
      </w:r>
      <w:r w:rsidRPr="00106072" w:rsidR="00106072">
        <w:rPr>
          <w:sz w:val="24"/>
          <w:lang w:val="el-GR"/>
        </w:rPr>
        <w:t xml:space="preserve"> </w:t>
      </w:r>
      <w:r w:rsidRPr="00106072" w:rsidR="00106072">
        <w:rPr>
          <w:sz w:val="24"/>
          <w:lang w:val="el-GR"/>
        </w:rPr>
        <w:tab/>
      </w:r>
      <w:r w:rsidR="00DA6047">
        <w:rPr>
          <w:sz w:val="24"/>
          <w:lang w:val="el-GR"/>
        </w:rPr>
        <w:t>Επιστημονική γ</w:t>
      </w:r>
      <w:r w:rsidRPr="00106072">
        <w:rPr>
          <w:sz w:val="24"/>
          <w:lang w:val="el-GR"/>
        </w:rPr>
        <w:t xml:space="preserve">νώμη της EFSA, </w:t>
      </w:r>
      <w:hyperlink r:id="rId4" w:history="1">
        <w:r w:rsidRPr="00106072">
          <w:rPr>
            <w:rStyle w:val="Hyperlink"/>
            <w:sz w:val="24"/>
            <w:lang w:val="el-GR"/>
          </w:rPr>
          <w:t>https://doi.org/10.2903/j.efsa.2025.9746</w:t>
        </w:r>
      </w:hyperlink>
      <w:r w:rsidRPr="00106072">
        <w:rPr>
          <w:sz w:val="24"/>
          <w:lang w:val="el-GR"/>
        </w:rPr>
        <w:t>, σ. 7.</w:t>
      </w:r>
    </w:p>
  </w:footnote>
  <w:footnote w:id="8">
    <w:p w:rsidR="00757DCE" w:rsidRPr="00106072" w:rsidP="0071298A" w14:paraId="3F37792E" w14:textId="7F2BBDFA">
      <w:pPr>
        <w:pStyle w:val="FootnoteText"/>
        <w:spacing w:line="240" w:lineRule="auto"/>
        <w:ind w:left="567" w:hanging="567"/>
        <w:rPr>
          <w:sz w:val="24"/>
          <w:lang w:val="el-GR"/>
        </w:rPr>
      </w:pPr>
      <w:r w:rsidRPr="00106072">
        <w:rPr>
          <w:rStyle w:val="FootnoteReference"/>
          <w:sz w:val="24"/>
          <w:szCs w:val="24"/>
          <w:lang w:val="el-GR"/>
        </w:rPr>
        <w:footnoteRef/>
      </w:r>
      <w:r w:rsidRPr="00106072" w:rsidR="00106072">
        <w:rPr>
          <w:sz w:val="24"/>
          <w:shd w:val="clear" w:color="auto" w:fill="FFFFFF"/>
          <w:lang w:val="el-GR"/>
        </w:rPr>
        <w:t xml:space="preserve"> </w:t>
      </w:r>
      <w:r w:rsidRPr="00106072" w:rsidR="00106072">
        <w:rPr>
          <w:sz w:val="24"/>
          <w:shd w:val="clear" w:color="auto" w:fill="FFFFFF"/>
          <w:lang w:val="el-GR"/>
        </w:rPr>
        <w:tab/>
      </w:r>
      <w:r w:rsidRPr="00106072">
        <w:rPr>
          <w:sz w:val="24"/>
          <w:shd w:val="clear" w:color="auto" w:fill="FFFFFF"/>
          <w:lang w:val="el-GR"/>
        </w:rPr>
        <w:t xml:space="preserve">Βλ., για παράδειγμα, </w:t>
      </w:r>
      <w:r w:rsidRPr="00106072">
        <w:rPr>
          <w:sz w:val="24"/>
          <w:shd w:val="clear" w:color="auto" w:fill="FFFFFF"/>
          <w:lang w:val="el-GR"/>
        </w:rPr>
        <w:t>Bonny</w:t>
      </w:r>
      <w:r w:rsidRPr="00106072">
        <w:rPr>
          <w:sz w:val="24"/>
          <w:shd w:val="clear" w:color="auto" w:fill="FFFFFF"/>
          <w:lang w:val="el-GR"/>
        </w:rPr>
        <w:t>, S., «</w:t>
      </w:r>
      <w:r w:rsidRPr="00106072">
        <w:rPr>
          <w:sz w:val="24"/>
          <w:shd w:val="clear" w:color="auto" w:fill="FFFFFF"/>
          <w:lang w:val="el-GR"/>
        </w:rPr>
        <w:t>Genetically</w:t>
      </w:r>
      <w:r w:rsidRPr="00106072">
        <w:rPr>
          <w:sz w:val="24"/>
          <w:shd w:val="clear" w:color="auto" w:fill="FFFFFF"/>
          <w:lang w:val="el-GR"/>
        </w:rPr>
        <w:t xml:space="preserve"> </w:t>
      </w:r>
      <w:r w:rsidRPr="00106072">
        <w:rPr>
          <w:sz w:val="24"/>
          <w:shd w:val="clear" w:color="auto" w:fill="FFFFFF"/>
          <w:lang w:val="el-GR"/>
        </w:rPr>
        <w:t>Modified</w:t>
      </w:r>
      <w:r w:rsidRPr="00106072">
        <w:rPr>
          <w:sz w:val="24"/>
          <w:shd w:val="clear" w:color="auto" w:fill="FFFFFF"/>
          <w:lang w:val="el-GR"/>
        </w:rPr>
        <w:t xml:space="preserve"> </w:t>
      </w:r>
      <w:r w:rsidRPr="00106072">
        <w:rPr>
          <w:sz w:val="24"/>
          <w:shd w:val="clear" w:color="auto" w:fill="FFFFFF"/>
          <w:lang w:val="el-GR"/>
        </w:rPr>
        <w:t>Herbicide-Tolerant</w:t>
      </w:r>
      <w:r w:rsidRPr="00106072">
        <w:rPr>
          <w:sz w:val="24"/>
          <w:shd w:val="clear" w:color="auto" w:fill="FFFFFF"/>
          <w:lang w:val="el-GR"/>
        </w:rPr>
        <w:t xml:space="preserve"> </w:t>
      </w:r>
      <w:r w:rsidRPr="00106072">
        <w:rPr>
          <w:sz w:val="24"/>
          <w:shd w:val="clear" w:color="auto" w:fill="FFFFFF"/>
          <w:lang w:val="el-GR"/>
        </w:rPr>
        <w:t>Crops</w:t>
      </w:r>
      <w:r w:rsidRPr="00106072">
        <w:rPr>
          <w:sz w:val="24"/>
          <w:shd w:val="clear" w:color="auto" w:fill="FFFFFF"/>
          <w:lang w:val="el-GR"/>
        </w:rPr>
        <w:t xml:space="preserve">, </w:t>
      </w:r>
      <w:r w:rsidRPr="00106072">
        <w:rPr>
          <w:sz w:val="24"/>
          <w:shd w:val="clear" w:color="auto" w:fill="FFFFFF"/>
          <w:lang w:val="el-GR"/>
        </w:rPr>
        <w:t>Weeds</w:t>
      </w:r>
      <w:r w:rsidRPr="00106072">
        <w:rPr>
          <w:sz w:val="24"/>
          <w:shd w:val="clear" w:color="auto" w:fill="FFFFFF"/>
          <w:lang w:val="el-GR"/>
        </w:rPr>
        <w:t xml:space="preserve">, and </w:t>
      </w:r>
      <w:r w:rsidRPr="00106072">
        <w:rPr>
          <w:sz w:val="24"/>
          <w:shd w:val="clear" w:color="auto" w:fill="FFFFFF"/>
          <w:lang w:val="el-GR"/>
        </w:rPr>
        <w:t>Herbicides</w:t>
      </w:r>
      <w:r w:rsidRPr="00106072">
        <w:rPr>
          <w:sz w:val="24"/>
          <w:shd w:val="clear" w:color="auto" w:fill="FFFFFF"/>
          <w:lang w:val="el-GR"/>
        </w:rPr>
        <w:t xml:space="preserve">: </w:t>
      </w:r>
      <w:r w:rsidRPr="00106072">
        <w:rPr>
          <w:sz w:val="24"/>
          <w:shd w:val="clear" w:color="auto" w:fill="FFFFFF"/>
          <w:lang w:val="el-GR"/>
        </w:rPr>
        <w:t>Overview</w:t>
      </w:r>
      <w:r w:rsidRPr="00106072">
        <w:rPr>
          <w:sz w:val="24"/>
          <w:shd w:val="clear" w:color="auto" w:fill="FFFFFF"/>
          <w:lang w:val="el-GR"/>
        </w:rPr>
        <w:t xml:space="preserve"> and </w:t>
      </w:r>
      <w:r w:rsidRPr="00106072">
        <w:rPr>
          <w:sz w:val="24"/>
          <w:shd w:val="clear" w:color="auto" w:fill="FFFFFF"/>
          <w:lang w:val="el-GR"/>
        </w:rPr>
        <w:t>Impact</w:t>
      </w:r>
      <w:r w:rsidRPr="00106072">
        <w:rPr>
          <w:sz w:val="24"/>
          <w:shd w:val="clear" w:color="auto" w:fill="FFFFFF"/>
          <w:lang w:val="el-GR"/>
        </w:rPr>
        <w:t>» (Ανθεκτικές στα ζιζανιοκτόνα γενετικώς τροποποιημένες καλλιέργειες, ζιζάνια και ζιζανιοκτόνα: επισκόπηση και αντίκτυπος),</w:t>
      </w:r>
      <w:r w:rsidRPr="00106072">
        <w:rPr>
          <w:i/>
          <w:sz w:val="24"/>
          <w:shd w:val="clear" w:color="auto" w:fill="FFFFFF"/>
          <w:lang w:val="el-GR"/>
        </w:rPr>
        <w:t xml:space="preserve"> </w:t>
      </w:r>
      <w:r w:rsidRPr="00106072">
        <w:rPr>
          <w:i/>
          <w:sz w:val="24"/>
          <w:shd w:val="clear" w:color="auto" w:fill="FFFFFF"/>
          <w:lang w:val="el-GR"/>
        </w:rPr>
        <w:t>Environmental</w:t>
      </w:r>
      <w:r w:rsidRPr="00106072">
        <w:rPr>
          <w:i/>
          <w:sz w:val="24"/>
          <w:shd w:val="clear" w:color="auto" w:fill="FFFFFF"/>
          <w:lang w:val="el-GR"/>
        </w:rPr>
        <w:t xml:space="preserve"> Management</w:t>
      </w:r>
      <w:r w:rsidRPr="00106072">
        <w:rPr>
          <w:sz w:val="24"/>
          <w:shd w:val="clear" w:color="auto" w:fill="FFFFFF"/>
          <w:lang w:val="el-GR"/>
        </w:rPr>
        <w:t xml:space="preserve">, Ιανουάριος 2016, 57(1), σ. </w:t>
      </w:r>
      <w:r w:rsidRPr="00106072">
        <w:rPr>
          <w:sz w:val="24"/>
          <w:shd w:val="clear" w:color="auto" w:fill="FFFFFF"/>
          <w:lang w:val="el-GR"/>
        </w:rPr>
        <w:t>31-48,</w:t>
      </w:r>
      <w:hyperlink r:id="rId24" w:history="1">
        <w:r w:rsidRPr="00106072">
          <w:rPr>
            <w:rStyle w:val="Hyperlink"/>
            <w:sz w:val="24"/>
            <w:shd w:val="clear" w:color="auto" w:fill="FFFFFF"/>
            <w:lang w:val="el-GR"/>
          </w:rPr>
          <w:t>https://doi.org/10.1007/s00267-015-0589-7</w:t>
        </w:r>
      </w:hyperlink>
      <w:r w:rsidRPr="00106072">
        <w:rPr>
          <w:sz w:val="24"/>
          <w:shd w:val="clear" w:color="auto" w:fill="FFFFFF"/>
          <w:lang w:val="el-GR"/>
        </w:rPr>
        <w:t xml:space="preserve"> και </w:t>
      </w:r>
      <w:r w:rsidRPr="00106072">
        <w:rPr>
          <w:sz w:val="24"/>
          <w:shd w:val="clear" w:color="auto" w:fill="FFFFFF"/>
          <w:lang w:val="el-GR"/>
        </w:rPr>
        <w:t>Benbrook</w:t>
      </w:r>
      <w:r w:rsidRPr="00106072">
        <w:rPr>
          <w:sz w:val="24"/>
          <w:shd w:val="clear" w:color="auto" w:fill="FFFFFF"/>
          <w:lang w:val="el-GR"/>
        </w:rPr>
        <w:t>, C.M., «</w:t>
      </w:r>
      <w:r w:rsidRPr="00106072">
        <w:rPr>
          <w:sz w:val="24"/>
          <w:shd w:val="clear" w:color="auto" w:fill="FFFFFF"/>
          <w:lang w:val="el-GR"/>
        </w:rPr>
        <w:t>Impacts</w:t>
      </w:r>
      <w:r w:rsidRPr="00106072">
        <w:rPr>
          <w:sz w:val="24"/>
          <w:shd w:val="clear" w:color="auto" w:fill="FFFFFF"/>
          <w:lang w:val="el-GR"/>
        </w:rPr>
        <w:t xml:space="preserve"> of </w:t>
      </w:r>
      <w:r w:rsidRPr="00106072">
        <w:rPr>
          <w:sz w:val="24"/>
          <w:shd w:val="clear" w:color="auto" w:fill="FFFFFF"/>
          <w:lang w:val="el-GR"/>
        </w:rPr>
        <w:t>genetically</w:t>
      </w:r>
      <w:r w:rsidRPr="00106072">
        <w:rPr>
          <w:sz w:val="24"/>
          <w:shd w:val="clear" w:color="auto" w:fill="FFFFFF"/>
          <w:lang w:val="el-GR"/>
        </w:rPr>
        <w:t xml:space="preserve"> </w:t>
      </w:r>
      <w:r w:rsidRPr="00106072">
        <w:rPr>
          <w:sz w:val="24"/>
          <w:shd w:val="clear" w:color="auto" w:fill="FFFFFF"/>
          <w:lang w:val="el-GR"/>
        </w:rPr>
        <w:t>engineered</w:t>
      </w:r>
      <w:r w:rsidRPr="00106072">
        <w:rPr>
          <w:sz w:val="24"/>
          <w:shd w:val="clear" w:color="auto" w:fill="FFFFFF"/>
          <w:lang w:val="el-GR"/>
        </w:rPr>
        <w:t xml:space="preserve"> </w:t>
      </w:r>
      <w:r w:rsidRPr="00106072">
        <w:rPr>
          <w:sz w:val="24"/>
          <w:shd w:val="clear" w:color="auto" w:fill="FFFFFF"/>
          <w:lang w:val="el-GR"/>
        </w:rPr>
        <w:t>crops</w:t>
      </w:r>
      <w:r w:rsidRPr="00106072">
        <w:rPr>
          <w:sz w:val="24"/>
          <w:shd w:val="clear" w:color="auto" w:fill="FFFFFF"/>
          <w:lang w:val="el-GR"/>
        </w:rPr>
        <w:t xml:space="preserve"> on </w:t>
      </w:r>
      <w:r w:rsidRPr="00106072">
        <w:rPr>
          <w:sz w:val="24"/>
          <w:shd w:val="clear" w:color="auto" w:fill="FFFFFF"/>
          <w:lang w:val="el-GR"/>
        </w:rPr>
        <w:t>pesticide</w:t>
      </w:r>
      <w:r w:rsidRPr="00106072">
        <w:rPr>
          <w:sz w:val="24"/>
          <w:shd w:val="clear" w:color="auto" w:fill="FFFFFF"/>
          <w:lang w:val="el-GR"/>
        </w:rPr>
        <w:t xml:space="preserve"> </w:t>
      </w:r>
      <w:r w:rsidRPr="00106072">
        <w:rPr>
          <w:sz w:val="24"/>
          <w:shd w:val="clear" w:color="auto" w:fill="FFFFFF"/>
          <w:lang w:val="el-GR"/>
        </w:rPr>
        <w:t>use</w:t>
      </w:r>
      <w:r w:rsidRPr="00106072">
        <w:rPr>
          <w:sz w:val="24"/>
          <w:shd w:val="clear" w:color="auto" w:fill="FFFFFF"/>
          <w:lang w:val="el-GR"/>
        </w:rPr>
        <w:t xml:space="preserve"> in the U.S. – the </w:t>
      </w:r>
      <w:r w:rsidRPr="00106072">
        <w:rPr>
          <w:sz w:val="24"/>
          <w:shd w:val="clear" w:color="auto" w:fill="FFFFFF"/>
          <w:lang w:val="el-GR"/>
        </w:rPr>
        <w:t>first</w:t>
      </w:r>
      <w:r w:rsidRPr="00106072">
        <w:rPr>
          <w:sz w:val="24"/>
          <w:shd w:val="clear" w:color="auto" w:fill="FFFFFF"/>
          <w:lang w:val="el-GR"/>
        </w:rPr>
        <w:t xml:space="preserve"> </w:t>
      </w:r>
      <w:r w:rsidRPr="00106072">
        <w:rPr>
          <w:sz w:val="24"/>
          <w:shd w:val="clear" w:color="auto" w:fill="FFFFFF"/>
          <w:lang w:val="el-GR"/>
        </w:rPr>
        <w:t>sixteen</w:t>
      </w:r>
      <w:r w:rsidRPr="00106072">
        <w:rPr>
          <w:sz w:val="24"/>
          <w:shd w:val="clear" w:color="auto" w:fill="FFFFFF"/>
          <w:lang w:val="el-GR"/>
        </w:rPr>
        <w:t xml:space="preserve"> </w:t>
      </w:r>
      <w:r w:rsidRPr="00106072">
        <w:rPr>
          <w:sz w:val="24"/>
          <w:shd w:val="clear" w:color="auto" w:fill="FFFFFF"/>
          <w:lang w:val="el-GR"/>
        </w:rPr>
        <w:t>years</w:t>
      </w:r>
      <w:r w:rsidRPr="00106072">
        <w:rPr>
          <w:sz w:val="24"/>
          <w:shd w:val="clear" w:color="auto" w:fill="FFFFFF"/>
          <w:lang w:val="el-GR"/>
        </w:rPr>
        <w:t xml:space="preserve">» (Επιπτώσεις των γενετικώς τροποποιημένων καλλιεργειών στη χρήση γεωργικών φαρμάκων στις ΗΠΑ - τα πρώτα 16 χρόνια), </w:t>
      </w:r>
      <w:r w:rsidRPr="00106072">
        <w:rPr>
          <w:i/>
          <w:sz w:val="24"/>
          <w:shd w:val="clear" w:color="auto" w:fill="FFFFFF"/>
          <w:lang w:val="el-GR"/>
        </w:rPr>
        <w:t>Environmental</w:t>
      </w:r>
      <w:r w:rsidRPr="00106072">
        <w:rPr>
          <w:i/>
          <w:sz w:val="24"/>
          <w:shd w:val="clear" w:color="auto" w:fill="FFFFFF"/>
          <w:lang w:val="el-GR"/>
        </w:rPr>
        <w:t xml:space="preserve"> </w:t>
      </w:r>
      <w:r w:rsidRPr="00106072">
        <w:rPr>
          <w:i/>
          <w:sz w:val="24"/>
          <w:shd w:val="clear" w:color="auto" w:fill="FFFFFF"/>
          <w:lang w:val="el-GR"/>
        </w:rPr>
        <w:t>Sciences</w:t>
      </w:r>
      <w:r w:rsidRPr="00106072">
        <w:rPr>
          <w:i/>
          <w:sz w:val="24"/>
          <w:shd w:val="clear" w:color="auto" w:fill="FFFFFF"/>
          <w:lang w:val="el-GR"/>
        </w:rPr>
        <w:t xml:space="preserve"> Europe</w:t>
      </w:r>
      <w:r w:rsidRPr="00106072">
        <w:rPr>
          <w:sz w:val="24"/>
          <w:shd w:val="clear" w:color="auto" w:fill="FFFFFF"/>
          <w:lang w:val="el-GR"/>
        </w:rPr>
        <w:t>, 28 Σεπτεμβρίου 2012, τόμος 24, τεύχος 1,</w:t>
      </w:r>
      <w:r w:rsidRPr="00106072">
        <w:rPr>
          <w:sz w:val="24"/>
          <w:lang w:val="el-GR"/>
        </w:rPr>
        <w:t xml:space="preserve"> </w:t>
      </w:r>
      <w:hyperlink r:id="rId25" w:history="1">
        <w:r w:rsidRPr="00106072">
          <w:rPr>
            <w:rStyle w:val="Hyperlink"/>
            <w:sz w:val="24"/>
            <w:lang w:val="el-GR"/>
          </w:rPr>
          <w:t>https://doi.org/10.1186/2190-4715-24-24</w:t>
        </w:r>
      </w:hyperlink>
      <w:r w:rsidRPr="00106072">
        <w:rPr>
          <w:sz w:val="24"/>
          <w:lang w:val="el-GR"/>
        </w:rPr>
        <w:t>.</w:t>
      </w:r>
    </w:p>
  </w:footnote>
  <w:footnote w:id="9">
    <w:p w:rsidR="00757DCE" w:rsidRPr="00106072" w:rsidP="0071298A" w14:paraId="4E30B366" w14:textId="6237B503">
      <w:pPr>
        <w:pStyle w:val="FootnoteText"/>
        <w:spacing w:line="240" w:lineRule="auto"/>
        <w:ind w:left="567" w:hanging="567"/>
        <w:rPr>
          <w:sz w:val="24"/>
          <w:lang w:val="el-GR"/>
        </w:rPr>
      </w:pPr>
      <w:r w:rsidRPr="00106072">
        <w:rPr>
          <w:rStyle w:val="FootnoteReference"/>
          <w:sz w:val="24"/>
          <w:lang w:val="el-GR"/>
        </w:rPr>
        <w:footnoteRef/>
      </w:r>
      <w:r w:rsidRPr="00106072" w:rsidR="00106072">
        <w:rPr>
          <w:sz w:val="24"/>
          <w:lang w:val="el-GR"/>
        </w:rPr>
        <w:t xml:space="preserve"> </w:t>
      </w:r>
      <w:r w:rsidRPr="00106072" w:rsidR="00106072">
        <w:rPr>
          <w:sz w:val="24"/>
          <w:lang w:val="el-GR"/>
        </w:rPr>
        <w:tab/>
      </w:r>
      <w:r w:rsidRPr="00106072">
        <w:rPr>
          <w:sz w:val="24"/>
          <w:lang w:val="el-GR"/>
        </w:rPr>
        <w:t xml:space="preserve">Κανονισμός (ΕΚ) αριθ. 1107/2009 του Ευρωπαϊκού Κοινοβουλίου και του Συμβουλίου, της 21ης Οκτωβρίου 2009, σχετικά με τη διάθεση φυτοπροστατευτικών προϊόντων στην αγορά και την κατάργηση των οδηγιών 79/117/ΕΟΚ και 91/414/ΕΟΚ του Συμβουλίου (ΕΕ L 309 της 24.11.2009, σ. </w:t>
      </w:r>
      <w:r w:rsidRPr="00106072">
        <w:rPr>
          <w:sz w:val="24"/>
          <w:lang w:val="el-GR"/>
        </w:rPr>
        <w:t>1, ELI: </w:t>
      </w:r>
      <w:hyperlink r:id="rId26" w:tooltip="Πρόσβαση στο έγγραφο μέσω URI τύπου ELI." w:history="1">
        <w:r w:rsidRPr="00106072">
          <w:rPr>
            <w:rStyle w:val="Hyperlink"/>
            <w:sz w:val="24"/>
            <w:lang w:val="el-GR"/>
          </w:rPr>
          <w:t>http://data.europa.eu/eli/reg/2009/1107/oj</w:t>
        </w:r>
      </w:hyperlink>
      <w:r w:rsidRPr="00106072">
        <w:rPr>
          <w:sz w:val="24"/>
          <w:lang w:val="el-GR"/>
        </w:rPr>
        <w:t>).</w:t>
      </w:r>
    </w:p>
  </w:footnote>
  <w:footnote w:id="10">
    <w:p w:rsidR="00757DCE" w:rsidRPr="00106072" w:rsidP="0071298A" w14:paraId="3D5F3A27" w14:textId="2B4D1913">
      <w:pPr>
        <w:pStyle w:val="FootnoteText"/>
        <w:spacing w:line="240" w:lineRule="auto"/>
        <w:ind w:left="567" w:hanging="567"/>
        <w:rPr>
          <w:sz w:val="24"/>
          <w:lang w:val="el-GR"/>
        </w:rPr>
      </w:pPr>
      <w:r w:rsidRPr="00106072">
        <w:rPr>
          <w:rStyle w:val="FootnoteReference"/>
          <w:sz w:val="24"/>
          <w:lang w:val="el-GR"/>
        </w:rPr>
        <w:footnoteRef/>
      </w:r>
      <w:r w:rsidRPr="00106072" w:rsidR="00106072">
        <w:rPr>
          <w:sz w:val="24"/>
          <w:lang w:val="el-GR"/>
        </w:rPr>
        <w:t xml:space="preserve"> </w:t>
      </w:r>
      <w:r w:rsidRPr="00106072" w:rsidR="00106072">
        <w:rPr>
          <w:sz w:val="24"/>
          <w:lang w:val="el-GR"/>
        </w:rPr>
        <w:tab/>
      </w:r>
      <w:hyperlink r:id="rId27" w:history="1">
        <w:r w:rsidRPr="007A0C54" w:rsidR="007A0C54">
          <w:rPr>
            <w:rStyle w:val="Hyperlink"/>
            <w:sz w:val="24"/>
            <w:lang w:val="en-GB"/>
          </w:rPr>
          <w:t>https</w:t>
        </w:r>
        <w:r w:rsidRPr="0071298A" w:rsidR="007A0C54">
          <w:rPr>
            <w:rStyle w:val="Hyperlink"/>
            <w:sz w:val="24"/>
            <w:lang w:val="el-GR"/>
          </w:rPr>
          <w:t>://</w:t>
        </w:r>
        <w:r w:rsidRPr="007A0C54" w:rsidR="007A0C54">
          <w:rPr>
            <w:rStyle w:val="Hyperlink"/>
            <w:sz w:val="24"/>
            <w:lang w:val="en-GB"/>
          </w:rPr>
          <w:t>ec</w:t>
        </w:r>
        <w:r w:rsidRPr="0071298A" w:rsidR="007A0C54">
          <w:rPr>
            <w:rStyle w:val="Hyperlink"/>
            <w:sz w:val="24"/>
            <w:lang w:val="el-GR"/>
          </w:rPr>
          <w:t>.</w:t>
        </w:r>
        <w:r w:rsidRPr="007A0C54" w:rsidR="007A0C54">
          <w:rPr>
            <w:rStyle w:val="Hyperlink"/>
            <w:sz w:val="24"/>
            <w:lang w:val="en-GB"/>
          </w:rPr>
          <w:t>europa</w:t>
        </w:r>
        <w:r w:rsidRPr="0071298A" w:rsidR="007A0C54">
          <w:rPr>
            <w:rStyle w:val="Hyperlink"/>
            <w:sz w:val="24"/>
            <w:lang w:val="el-GR"/>
          </w:rPr>
          <w:t>.</w:t>
        </w:r>
        <w:r w:rsidRPr="007A0C54" w:rsidR="007A0C54">
          <w:rPr>
            <w:rStyle w:val="Hyperlink"/>
            <w:sz w:val="24"/>
            <w:lang w:val="en-GB"/>
          </w:rPr>
          <w:t>eu</w:t>
        </w:r>
        <w:r w:rsidRPr="0071298A" w:rsidR="007A0C54">
          <w:rPr>
            <w:rStyle w:val="Hyperlink"/>
            <w:sz w:val="24"/>
            <w:lang w:val="el-GR"/>
          </w:rPr>
          <w:t>/</w:t>
        </w:r>
        <w:r w:rsidRPr="007A0C54" w:rsidR="007A0C54">
          <w:rPr>
            <w:rStyle w:val="Hyperlink"/>
            <w:sz w:val="24"/>
            <w:lang w:val="en-GB"/>
          </w:rPr>
          <w:t>food</w:t>
        </w:r>
        <w:r w:rsidRPr="0071298A" w:rsidR="007A0C54">
          <w:rPr>
            <w:rStyle w:val="Hyperlink"/>
            <w:sz w:val="24"/>
            <w:lang w:val="el-GR"/>
          </w:rPr>
          <w:t>/</w:t>
        </w:r>
        <w:r w:rsidRPr="007A0C54" w:rsidR="007A0C54">
          <w:rPr>
            <w:rStyle w:val="Hyperlink"/>
            <w:sz w:val="24"/>
            <w:lang w:val="en-GB"/>
          </w:rPr>
          <w:t>plant</w:t>
        </w:r>
        <w:r w:rsidRPr="0071298A" w:rsidR="007A0C54">
          <w:rPr>
            <w:rStyle w:val="Hyperlink"/>
            <w:sz w:val="24"/>
            <w:lang w:val="el-GR"/>
          </w:rPr>
          <w:t>/</w:t>
        </w:r>
        <w:r w:rsidRPr="007A0C54" w:rsidR="007A0C54">
          <w:rPr>
            <w:rStyle w:val="Hyperlink"/>
            <w:sz w:val="24"/>
            <w:lang w:val="en-GB"/>
          </w:rPr>
          <w:t>pesticides</w:t>
        </w:r>
        <w:r w:rsidRPr="0071298A" w:rsidR="007A0C54">
          <w:rPr>
            <w:rStyle w:val="Hyperlink"/>
            <w:sz w:val="24"/>
            <w:lang w:val="el-GR"/>
          </w:rPr>
          <w:t>/</w:t>
        </w:r>
        <w:r w:rsidRPr="007A0C54" w:rsidR="007A0C54">
          <w:rPr>
            <w:rStyle w:val="Hyperlink"/>
            <w:sz w:val="24"/>
            <w:lang w:val="en-GB"/>
          </w:rPr>
          <w:t>eu</w:t>
        </w:r>
        <w:r w:rsidRPr="0071298A" w:rsidR="007A0C54">
          <w:rPr>
            <w:rStyle w:val="Hyperlink"/>
            <w:sz w:val="24"/>
            <w:lang w:val="el-GR"/>
          </w:rPr>
          <w:t>-</w:t>
        </w:r>
        <w:r w:rsidRPr="007A0C54" w:rsidR="007A0C54">
          <w:rPr>
            <w:rStyle w:val="Hyperlink"/>
            <w:sz w:val="24"/>
            <w:lang w:val="en-GB"/>
          </w:rPr>
          <w:t>pesticides</w:t>
        </w:r>
        <w:r w:rsidRPr="0071298A" w:rsidR="007A0C54">
          <w:rPr>
            <w:rStyle w:val="Hyperlink"/>
            <w:sz w:val="24"/>
            <w:lang w:val="el-GR"/>
          </w:rPr>
          <w:t>-</w:t>
        </w:r>
        <w:r w:rsidRPr="007A0C54" w:rsidR="007A0C54">
          <w:rPr>
            <w:rStyle w:val="Hyperlink"/>
            <w:sz w:val="24"/>
            <w:lang w:val="en-GB"/>
          </w:rPr>
          <w:t>database</w:t>
        </w:r>
        <w:r w:rsidRPr="0071298A" w:rsidR="007A0C54">
          <w:rPr>
            <w:rStyle w:val="Hyperlink"/>
            <w:sz w:val="24"/>
            <w:lang w:val="el-GR"/>
          </w:rPr>
          <w:t>/</w:t>
        </w:r>
        <w:r w:rsidRPr="007A0C54" w:rsidR="007A0C54">
          <w:rPr>
            <w:rStyle w:val="Hyperlink"/>
            <w:sz w:val="24"/>
            <w:lang w:val="en-GB"/>
          </w:rPr>
          <w:t>start</w:t>
        </w:r>
        <w:r w:rsidRPr="0071298A" w:rsidR="007A0C54">
          <w:rPr>
            <w:rStyle w:val="Hyperlink"/>
            <w:sz w:val="24"/>
            <w:lang w:val="el-GR"/>
          </w:rPr>
          <w:t>/</w:t>
        </w:r>
        <w:r w:rsidRPr="007A0C54" w:rsidR="007A0C54">
          <w:rPr>
            <w:rStyle w:val="Hyperlink"/>
            <w:sz w:val="24"/>
            <w:lang w:val="en-GB"/>
          </w:rPr>
          <w:t>screen</w:t>
        </w:r>
        <w:r w:rsidRPr="0071298A" w:rsidR="007A0C54">
          <w:rPr>
            <w:rStyle w:val="Hyperlink"/>
            <w:sz w:val="24"/>
            <w:lang w:val="el-GR"/>
          </w:rPr>
          <w:t>/</w:t>
        </w:r>
        <w:r w:rsidRPr="007A0C54" w:rsidR="007A0C54">
          <w:rPr>
            <w:rStyle w:val="Hyperlink"/>
            <w:sz w:val="24"/>
            <w:lang w:val="en-GB"/>
          </w:rPr>
          <w:t>active</w:t>
        </w:r>
        <w:r w:rsidRPr="0071298A" w:rsidR="007A0C54">
          <w:rPr>
            <w:rStyle w:val="Hyperlink"/>
            <w:sz w:val="24"/>
            <w:lang w:val="el-GR"/>
          </w:rPr>
          <w:t>-</w:t>
        </w:r>
        <w:r w:rsidRPr="007A0C54" w:rsidR="007A0C54">
          <w:rPr>
            <w:rStyle w:val="Hyperlink"/>
            <w:sz w:val="24"/>
            <w:lang w:val="en-GB"/>
          </w:rPr>
          <w:t>substances</w:t>
        </w:r>
        <w:r w:rsidRPr="0071298A" w:rsidR="007A0C54">
          <w:rPr>
            <w:rStyle w:val="Hyperlink"/>
            <w:sz w:val="24"/>
            <w:lang w:val="el-GR"/>
          </w:rPr>
          <w:t>/</w:t>
        </w:r>
        <w:r w:rsidRPr="007A0C54" w:rsidR="007A0C54">
          <w:rPr>
            <w:rStyle w:val="Hyperlink"/>
            <w:sz w:val="24"/>
            <w:lang w:val="en-GB"/>
          </w:rPr>
          <w:t>details</w:t>
        </w:r>
        <w:r w:rsidRPr="0071298A" w:rsidR="007A0C54">
          <w:rPr>
            <w:rStyle w:val="Hyperlink"/>
            <w:sz w:val="24"/>
            <w:lang w:val="el-GR"/>
          </w:rPr>
          <w:t>/79</w:t>
        </w:r>
      </w:hyperlink>
      <w:r w:rsidR="007A0C54">
        <w:rPr>
          <w:sz w:val="24"/>
          <w:lang w:val="el-GR"/>
        </w:rPr>
        <w:t>.</w:t>
      </w:r>
      <w:r w:rsidRPr="00106072">
        <w:rPr>
          <w:sz w:val="24"/>
          <w:lang w:val="el-GR"/>
        </w:rPr>
        <w:t xml:space="preserve"> </w:t>
      </w:r>
    </w:p>
  </w:footnote>
  <w:footnote w:id="11">
    <w:p w:rsidR="00757DCE" w:rsidRPr="00106072" w:rsidP="0071298A" w14:paraId="0946CBCE" w14:textId="25EE5631">
      <w:pPr>
        <w:pStyle w:val="FootnoteText"/>
        <w:spacing w:line="240" w:lineRule="auto"/>
        <w:ind w:left="567" w:hanging="567"/>
        <w:rPr>
          <w:sz w:val="24"/>
          <w:lang w:val="el-GR"/>
        </w:rPr>
      </w:pPr>
      <w:r w:rsidRPr="00106072">
        <w:rPr>
          <w:rStyle w:val="FootnoteReference"/>
          <w:sz w:val="24"/>
          <w:lang w:val="el-GR"/>
        </w:rPr>
        <w:footnoteRef/>
      </w:r>
      <w:r w:rsidRPr="00106072" w:rsidR="00106072">
        <w:rPr>
          <w:sz w:val="24"/>
          <w:shd w:val="clear" w:color="auto" w:fill="FFFFFF"/>
          <w:lang w:val="el-GR"/>
        </w:rPr>
        <w:t xml:space="preserve"> </w:t>
      </w:r>
      <w:r w:rsidRPr="00106072" w:rsidR="00106072">
        <w:rPr>
          <w:sz w:val="24"/>
          <w:shd w:val="clear" w:color="auto" w:fill="FFFFFF"/>
          <w:lang w:val="el-GR"/>
        </w:rPr>
        <w:tab/>
      </w:r>
      <w:r w:rsidRPr="00106072">
        <w:rPr>
          <w:sz w:val="24"/>
          <w:shd w:val="clear" w:color="auto" w:fill="FFFFFF"/>
          <w:lang w:val="el-GR"/>
        </w:rPr>
        <w:t xml:space="preserve">Βλ., για παράδειγμα, </w:t>
      </w:r>
      <w:hyperlink r:id="rId28" w:history="1">
        <w:r w:rsidRPr="00106072">
          <w:rPr>
            <w:rStyle w:val="Hyperlink"/>
            <w:sz w:val="24"/>
            <w:lang w:val="el-GR"/>
          </w:rPr>
          <w:t>https://doi.org/10.1016/j.mrrev.2019.02.001</w:t>
        </w:r>
      </w:hyperlink>
      <w:r w:rsidRPr="00106072">
        <w:rPr>
          <w:sz w:val="24"/>
          <w:lang w:val="el-GR"/>
        </w:rPr>
        <w:t xml:space="preserve">, </w:t>
      </w:r>
      <w:hyperlink r:id="rId29" w:history="1">
        <w:r w:rsidRPr="00106072">
          <w:rPr>
            <w:rStyle w:val="Hyperlink"/>
            <w:sz w:val="24"/>
            <w:lang w:val="el-GR"/>
          </w:rPr>
          <w:t>https://doi.org/10.1093/ije/dyz017</w:t>
        </w:r>
      </w:hyperlink>
      <w:r w:rsidRPr="00106072">
        <w:rPr>
          <w:sz w:val="24"/>
          <w:lang w:val="el-GR"/>
        </w:rPr>
        <w:t xml:space="preserve">, </w:t>
      </w:r>
      <w:hyperlink r:id="rId30" w:history="1">
        <w:r w:rsidRPr="00106072">
          <w:rPr>
            <w:rStyle w:val="Hyperlink"/>
            <w:sz w:val="24"/>
            <w:lang w:val="el-GR"/>
          </w:rPr>
          <w:t>https://doi.org/10.1371/journal.pone.0219610</w:t>
        </w:r>
      </w:hyperlink>
      <w:r w:rsidRPr="00106072">
        <w:rPr>
          <w:sz w:val="24"/>
          <w:lang w:val="el-GR"/>
        </w:rPr>
        <w:t xml:space="preserve"> και </w:t>
      </w:r>
      <w:hyperlink r:id="rId31" w:history="1">
        <w:r w:rsidRPr="00106072">
          <w:rPr>
            <w:rStyle w:val="Hyperlink"/>
            <w:sz w:val="24"/>
            <w:lang w:val="el-GR"/>
          </w:rPr>
          <w:t>https://doi.org/10.1186/s13045-019-0767-9</w:t>
        </w:r>
      </w:hyperlink>
      <w:r w:rsidRPr="00106072">
        <w:rPr>
          <w:sz w:val="24"/>
          <w:lang w:val="el-GR"/>
        </w:rPr>
        <w:t>.</w:t>
      </w:r>
    </w:p>
  </w:footnote>
  <w:footnote w:id="12">
    <w:p w:rsidR="00757DCE" w:rsidRPr="00106072" w:rsidP="0071298A" w14:paraId="7C0544F2" w14:textId="41207BE2">
      <w:pPr>
        <w:pStyle w:val="FootnoteText"/>
        <w:spacing w:line="240" w:lineRule="auto"/>
        <w:ind w:left="567" w:hanging="567"/>
        <w:rPr>
          <w:sz w:val="24"/>
          <w:lang w:val="el-GR"/>
        </w:rPr>
      </w:pPr>
      <w:r w:rsidRPr="00106072">
        <w:rPr>
          <w:rStyle w:val="FootnoteReference"/>
          <w:sz w:val="24"/>
          <w:lang w:val="el-GR"/>
        </w:rPr>
        <w:footnoteRef/>
      </w:r>
      <w:r w:rsidRPr="00106072" w:rsidR="00106072">
        <w:rPr>
          <w:sz w:val="24"/>
          <w:lang w:val="el-GR"/>
        </w:rPr>
        <w:t xml:space="preserve"> </w:t>
      </w:r>
      <w:r w:rsidRPr="00106072" w:rsidR="00106072">
        <w:rPr>
          <w:sz w:val="24"/>
          <w:lang w:val="el-GR"/>
        </w:rPr>
        <w:tab/>
      </w:r>
      <w:hyperlink r:id="rId32" w:tgtFrame="_blank" w:tooltip="Μόνιμος υπερσύνδεσμος με αναγνωριστικό κωδικό ψηφιακού αντικειμένου" w:history="1">
        <w:r w:rsidRPr="00106072">
          <w:rPr>
            <w:rStyle w:val="Hyperlink"/>
            <w:sz w:val="24"/>
            <w:lang w:val="el-GR"/>
          </w:rPr>
          <w:t>https://doi.org/10.1006/rtph.1999.1371</w:t>
        </w:r>
      </w:hyperlink>
      <w:r w:rsidRPr="00106072">
        <w:rPr>
          <w:sz w:val="24"/>
          <w:lang w:val="el-GR"/>
        </w:rPr>
        <w:t>.</w:t>
      </w:r>
    </w:p>
  </w:footnote>
  <w:footnote w:id="13">
    <w:p w:rsidR="00757DCE" w:rsidRPr="00106072" w:rsidP="0071298A" w14:paraId="7132F112" w14:textId="66D2C04C">
      <w:pPr>
        <w:pStyle w:val="FootnoteText"/>
        <w:spacing w:line="240" w:lineRule="auto"/>
        <w:ind w:left="567" w:hanging="567"/>
        <w:rPr>
          <w:sz w:val="24"/>
          <w:lang w:val="el-GR"/>
        </w:rPr>
      </w:pPr>
      <w:r w:rsidRPr="00106072">
        <w:rPr>
          <w:rStyle w:val="FootnoteReference"/>
          <w:sz w:val="24"/>
          <w:lang w:val="el-GR"/>
        </w:rPr>
        <w:footnoteRef/>
      </w:r>
      <w:r w:rsidRPr="00106072" w:rsidR="00106072">
        <w:rPr>
          <w:sz w:val="24"/>
          <w:shd w:val="clear" w:color="auto" w:fill="FFFFFF"/>
          <w:lang w:val="el-GR"/>
        </w:rPr>
        <w:t xml:space="preserve"> </w:t>
      </w:r>
      <w:r w:rsidRPr="00106072" w:rsidR="00106072">
        <w:rPr>
          <w:sz w:val="24"/>
          <w:shd w:val="clear" w:color="auto" w:fill="FFFFFF"/>
          <w:lang w:val="el-GR"/>
        </w:rPr>
        <w:tab/>
      </w:r>
      <w:r w:rsidRPr="00106072">
        <w:rPr>
          <w:sz w:val="24"/>
          <w:shd w:val="clear" w:color="auto" w:fill="FFFFFF"/>
          <w:lang w:val="el-GR"/>
        </w:rPr>
        <w:t>Lurquin</w:t>
      </w:r>
      <w:r w:rsidRPr="00106072">
        <w:rPr>
          <w:sz w:val="24"/>
          <w:shd w:val="clear" w:color="auto" w:fill="FFFFFF"/>
          <w:lang w:val="el-GR"/>
        </w:rPr>
        <w:t>, P.F., «</w:t>
      </w:r>
      <w:r w:rsidRPr="00106072">
        <w:rPr>
          <w:sz w:val="24"/>
          <w:shd w:val="clear" w:color="auto" w:fill="FFFFFF"/>
          <w:lang w:val="el-GR"/>
        </w:rPr>
        <w:t>Production</w:t>
      </w:r>
      <w:r w:rsidRPr="00106072">
        <w:rPr>
          <w:sz w:val="24"/>
          <w:shd w:val="clear" w:color="auto" w:fill="FFFFFF"/>
          <w:lang w:val="el-GR"/>
        </w:rPr>
        <w:t xml:space="preserve"> of a </w:t>
      </w:r>
      <w:r w:rsidRPr="00106072">
        <w:rPr>
          <w:sz w:val="24"/>
          <w:shd w:val="clear" w:color="auto" w:fill="FFFFFF"/>
          <w:lang w:val="el-GR"/>
        </w:rPr>
        <w:t>toxic</w:t>
      </w:r>
      <w:r w:rsidRPr="00106072">
        <w:rPr>
          <w:sz w:val="24"/>
          <w:shd w:val="clear" w:color="auto" w:fill="FFFFFF"/>
          <w:lang w:val="el-GR"/>
        </w:rPr>
        <w:t xml:space="preserve"> </w:t>
      </w:r>
      <w:r w:rsidRPr="00106072">
        <w:rPr>
          <w:sz w:val="24"/>
          <w:shd w:val="clear" w:color="auto" w:fill="FFFFFF"/>
          <w:lang w:val="el-GR"/>
        </w:rPr>
        <w:t>metabolite</w:t>
      </w:r>
      <w:r w:rsidRPr="00106072">
        <w:rPr>
          <w:sz w:val="24"/>
          <w:shd w:val="clear" w:color="auto" w:fill="FFFFFF"/>
          <w:lang w:val="el-GR"/>
        </w:rPr>
        <w:t xml:space="preserve"> in 2, 4-D-resistant GM </w:t>
      </w:r>
      <w:r w:rsidRPr="00106072">
        <w:rPr>
          <w:sz w:val="24"/>
          <w:shd w:val="clear" w:color="auto" w:fill="FFFFFF"/>
          <w:lang w:val="el-GR"/>
        </w:rPr>
        <w:t>crop</w:t>
      </w:r>
      <w:r w:rsidRPr="00106072">
        <w:rPr>
          <w:sz w:val="24"/>
          <w:shd w:val="clear" w:color="auto" w:fill="FFFFFF"/>
          <w:lang w:val="el-GR"/>
        </w:rPr>
        <w:t xml:space="preserve"> </w:t>
      </w:r>
      <w:r w:rsidRPr="00106072">
        <w:rPr>
          <w:sz w:val="24"/>
          <w:shd w:val="clear" w:color="auto" w:fill="FFFFFF"/>
          <w:lang w:val="el-GR"/>
        </w:rPr>
        <w:t>plants</w:t>
      </w:r>
      <w:r w:rsidRPr="00106072">
        <w:rPr>
          <w:sz w:val="24"/>
          <w:shd w:val="clear" w:color="auto" w:fill="FFFFFF"/>
          <w:lang w:val="el-GR"/>
        </w:rPr>
        <w:t xml:space="preserve">» (Παραγωγή τοξικού </w:t>
      </w:r>
      <w:r w:rsidRPr="00106072">
        <w:rPr>
          <w:sz w:val="24"/>
          <w:shd w:val="clear" w:color="auto" w:fill="FFFFFF"/>
          <w:lang w:val="el-GR"/>
        </w:rPr>
        <w:t>μεταβολίτη</w:t>
      </w:r>
      <w:r w:rsidRPr="00106072">
        <w:rPr>
          <w:sz w:val="24"/>
          <w:shd w:val="clear" w:color="auto" w:fill="FFFFFF"/>
          <w:lang w:val="el-GR"/>
        </w:rPr>
        <w:t xml:space="preserve"> σε γενετικώς τροποποιημένες καλλιέργειες που είναι ανθεκτικές στην ουσία 2,4-D), </w:t>
      </w:r>
      <w:r w:rsidRPr="00106072">
        <w:rPr>
          <w:i/>
          <w:sz w:val="24"/>
          <w:shd w:val="clear" w:color="auto" w:fill="FFFFFF"/>
          <w:lang w:val="el-GR"/>
        </w:rPr>
        <w:t xml:space="preserve">3 </w:t>
      </w:r>
      <w:r w:rsidRPr="00106072">
        <w:rPr>
          <w:i/>
          <w:sz w:val="24"/>
          <w:shd w:val="clear" w:color="auto" w:fill="FFFFFF"/>
          <w:lang w:val="el-GR"/>
        </w:rPr>
        <w:t>Biotech</w:t>
      </w:r>
      <w:r w:rsidRPr="00106072">
        <w:rPr>
          <w:sz w:val="24"/>
          <w:shd w:val="clear" w:color="auto" w:fill="FFFFFF"/>
          <w:lang w:val="el-GR"/>
        </w:rPr>
        <w:t xml:space="preserve"> 6, 82 (2016), </w:t>
      </w:r>
      <w:hyperlink r:id="rId33" w:history="1">
        <w:r w:rsidRPr="00106072">
          <w:rPr>
            <w:rStyle w:val="Hyperlink"/>
            <w:sz w:val="24"/>
            <w:shd w:val="clear" w:color="auto" w:fill="FCFCFC"/>
            <w:lang w:val="el-GR"/>
          </w:rPr>
          <w:t>https://doi.org/10.1007/s13205-016-0387-9</w:t>
        </w:r>
      </w:hyperlink>
      <w:r w:rsidRPr="00106072">
        <w:rPr>
          <w:sz w:val="24"/>
          <w:lang w:val="el-GR"/>
        </w:rPr>
        <w:t>.</w:t>
      </w:r>
    </w:p>
  </w:footnote>
  <w:footnote w:id="14">
    <w:p w:rsidR="00757DCE" w:rsidRPr="00106072" w:rsidP="0071298A" w14:paraId="4A5734CD" w14:textId="18365E26">
      <w:pPr>
        <w:pStyle w:val="FootnoteText"/>
        <w:spacing w:line="240" w:lineRule="auto"/>
        <w:ind w:left="567" w:hanging="567"/>
        <w:rPr>
          <w:sz w:val="24"/>
          <w:szCs w:val="24"/>
          <w:lang w:val="el-GR"/>
        </w:rPr>
      </w:pPr>
      <w:r w:rsidRPr="00106072">
        <w:rPr>
          <w:rStyle w:val="FootnoteReference"/>
          <w:sz w:val="24"/>
          <w:lang w:val="el-GR"/>
        </w:rPr>
        <w:footnoteRef/>
      </w:r>
      <w:r w:rsidRPr="00106072" w:rsidR="00106072">
        <w:rPr>
          <w:sz w:val="24"/>
          <w:shd w:val="clear" w:color="auto" w:fill="FFFFFF"/>
          <w:lang w:val="el-GR"/>
        </w:rPr>
        <w:t xml:space="preserve"> </w:t>
      </w:r>
      <w:r w:rsidRPr="00106072" w:rsidR="00106072">
        <w:rPr>
          <w:sz w:val="24"/>
          <w:shd w:val="clear" w:color="auto" w:fill="FFFFFF"/>
          <w:lang w:val="el-GR"/>
        </w:rPr>
        <w:tab/>
      </w:r>
      <w:r w:rsidRPr="00106072">
        <w:rPr>
          <w:sz w:val="24"/>
          <w:shd w:val="clear" w:color="auto" w:fill="FFFFFF"/>
          <w:lang w:val="el-GR"/>
        </w:rPr>
        <w:t xml:space="preserve">Αυτό ισχύει όντως στην περίπτωση της γλυφοσάτης, όπως αναφέρεται στη δημοσίευση της EFSA «Review of the </w:t>
      </w:r>
      <w:r w:rsidRPr="00106072">
        <w:rPr>
          <w:sz w:val="24"/>
          <w:shd w:val="clear" w:color="auto" w:fill="FFFFFF"/>
          <w:lang w:val="el-GR"/>
        </w:rPr>
        <w:t>existing</w:t>
      </w:r>
      <w:r w:rsidRPr="00106072">
        <w:rPr>
          <w:sz w:val="24"/>
          <w:shd w:val="clear" w:color="auto" w:fill="FFFFFF"/>
          <w:lang w:val="el-GR"/>
        </w:rPr>
        <w:t xml:space="preserve"> </w:t>
      </w:r>
      <w:r w:rsidRPr="00106072">
        <w:rPr>
          <w:sz w:val="24"/>
          <w:shd w:val="clear" w:color="auto" w:fill="FFFFFF"/>
          <w:lang w:val="el-GR"/>
        </w:rPr>
        <w:t>maximum</w:t>
      </w:r>
      <w:r w:rsidRPr="00106072">
        <w:rPr>
          <w:sz w:val="24"/>
          <w:shd w:val="clear" w:color="auto" w:fill="FFFFFF"/>
          <w:lang w:val="el-GR"/>
        </w:rPr>
        <w:t xml:space="preserve"> </w:t>
      </w:r>
      <w:r w:rsidRPr="00106072">
        <w:rPr>
          <w:sz w:val="24"/>
          <w:shd w:val="clear" w:color="auto" w:fill="FFFFFF"/>
          <w:lang w:val="el-GR"/>
        </w:rPr>
        <w:t>residue</w:t>
      </w:r>
      <w:r w:rsidRPr="00106072">
        <w:rPr>
          <w:sz w:val="24"/>
          <w:shd w:val="clear" w:color="auto" w:fill="FFFFFF"/>
          <w:lang w:val="el-GR"/>
        </w:rPr>
        <w:t xml:space="preserve"> </w:t>
      </w:r>
      <w:r w:rsidRPr="00106072">
        <w:rPr>
          <w:sz w:val="24"/>
          <w:shd w:val="clear" w:color="auto" w:fill="FFFFFF"/>
          <w:lang w:val="el-GR"/>
        </w:rPr>
        <w:t>levels</w:t>
      </w:r>
      <w:r w:rsidRPr="00106072">
        <w:rPr>
          <w:sz w:val="24"/>
          <w:shd w:val="clear" w:color="auto" w:fill="FFFFFF"/>
          <w:lang w:val="el-GR"/>
        </w:rPr>
        <w:t xml:space="preserve"> for </w:t>
      </w:r>
      <w:r w:rsidRPr="00106072">
        <w:rPr>
          <w:sz w:val="24"/>
          <w:shd w:val="clear" w:color="auto" w:fill="FFFFFF"/>
          <w:lang w:val="el-GR"/>
        </w:rPr>
        <w:t>glyphosate</w:t>
      </w:r>
      <w:r w:rsidRPr="00106072">
        <w:rPr>
          <w:sz w:val="24"/>
          <w:shd w:val="clear" w:color="auto" w:fill="FFFFFF"/>
          <w:lang w:val="el-GR"/>
        </w:rPr>
        <w:t xml:space="preserve"> </w:t>
      </w:r>
      <w:r w:rsidRPr="00106072">
        <w:rPr>
          <w:sz w:val="24"/>
          <w:shd w:val="clear" w:color="auto" w:fill="FFFFFF"/>
          <w:lang w:val="el-GR"/>
        </w:rPr>
        <w:t>according</w:t>
      </w:r>
      <w:r w:rsidRPr="00106072">
        <w:rPr>
          <w:sz w:val="24"/>
          <w:shd w:val="clear" w:color="auto" w:fill="FFFFFF"/>
          <w:lang w:val="el-GR"/>
        </w:rPr>
        <w:t xml:space="preserve"> </w:t>
      </w:r>
      <w:r w:rsidRPr="00106072">
        <w:rPr>
          <w:sz w:val="24"/>
          <w:shd w:val="clear" w:color="auto" w:fill="FFFFFF"/>
          <w:lang w:val="el-GR"/>
        </w:rPr>
        <w:t>to</w:t>
      </w:r>
      <w:r w:rsidRPr="00106072">
        <w:rPr>
          <w:sz w:val="24"/>
          <w:shd w:val="clear" w:color="auto" w:fill="FFFFFF"/>
          <w:lang w:val="el-GR"/>
        </w:rPr>
        <w:t xml:space="preserve"> </w:t>
      </w:r>
      <w:r w:rsidRPr="00106072">
        <w:rPr>
          <w:sz w:val="24"/>
          <w:shd w:val="clear" w:color="auto" w:fill="FFFFFF"/>
          <w:lang w:val="el-GR"/>
        </w:rPr>
        <w:t>Article</w:t>
      </w:r>
      <w:r w:rsidRPr="00106072">
        <w:rPr>
          <w:sz w:val="24"/>
          <w:shd w:val="clear" w:color="auto" w:fill="FFFFFF"/>
          <w:lang w:val="el-GR"/>
        </w:rPr>
        <w:t xml:space="preserve"> 12 of </w:t>
      </w:r>
      <w:r w:rsidRPr="00106072">
        <w:rPr>
          <w:sz w:val="24"/>
          <w:shd w:val="clear" w:color="auto" w:fill="FFFFFF"/>
          <w:lang w:val="el-GR"/>
        </w:rPr>
        <w:t>Regulation</w:t>
      </w:r>
      <w:r w:rsidRPr="00106072">
        <w:rPr>
          <w:sz w:val="24"/>
          <w:shd w:val="clear" w:color="auto" w:fill="FFFFFF"/>
          <w:lang w:val="el-GR"/>
        </w:rPr>
        <w:t xml:space="preserve"> (EC) </w:t>
      </w:r>
      <w:r w:rsidRPr="00106072">
        <w:rPr>
          <w:sz w:val="24"/>
          <w:shd w:val="clear" w:color="auto" w:fill="FFFFFF"/>
          <w:lang w:val="el-GR"/>
        </w:rPr>
        <w:t>No</w:t>
      </w:r>
      <w:r w:rsidRPr="00106072">
        <w:rPr>
          <w:sz w:val="24"/>
          <w:shd w:val="clear" w:color="auto" w:fill="FFFFFF"/>
          <w:lang w:val="el-GR"/>
        </w:rPr>
        <w:t xml:space="preserve"> 396/2005» (Αξιολόγηση των υφιστάμενων ανώτατων ορίων καταλοίπων για τη γλυφοσάτη σύμφωνα με το άρθρο 12 του κανονισμού (ΕΚ) αριθ. 396/2005), </w:t>
      </w:r>
      <w:r w:rsidRPr="00106072">
        <w:rPr>
          <w:i/>
          <w:sz w:val="24"/>
          <w:shd w:val="clear" w:color="auto" w:fill="FFFFFF"/>
          <w:lang w:val="el-GR"/>
        </w:rPr>
        <w:t>EFSA Journal</w:t>
      </w:r>
      <w:r w:rsidRPr="00106072">
        <w:rPr>
          <w:sz w:val="24"/>
          <w:shd w:val="clear" w:color="auto" w:fill="FFFFFF"/>
          <w:lang w:val="el-GR"/>
        </w:rPr>
        <w:t xml:space="preserve">, 2018·16(5):e5263, σ. </w:t>
      </w:r>
      <w:r w:rsidRPr="00106072">
        <w:rPr>
          <w:sz w:val="24"/>
          <w:shd w:val="clear" w:color="auto" w:fill="FFFFFF"/>
          <w:lang w:val="el-GR"/>
        </w:rPr>
        <w:t xml:space="preserve">12, </w:t>
      </w:r>
      <w:hyperlink r:id="rId34" w:history="1">
        <w:r w:rsidRPr="00106072">
          <w:rPr>
            <w:rStyle w:val="Hyperlink"/>
            <w:sz w:val="24"/>
            <w:lang w:val="el-GR"/>
          </w:rPr>
          <w:t>https://doi.org/10.2903/j.efsa.2018.5263</w:t>
        </w:r>
      </w:hyperlink>
      <w:r w:rsidRPr="00106072">
        <w:rPr>
          <w:sz w:val="24"/>
          <w:lang w:val="el-GR"/>
        </w:rPr>
        <w:t>.</w:t>
      </w:r>
    </w:p>
  </w:footnote>
  <w:footnote w:id="15">
    <w:p w:rsidR="00757DCE" w:rsidRPr="00106072" w:rsidP="0071298A" w14:paraId="0E9180A8" w14:textId="77919005">
      <w:pPr>
        <w:pStyle w:val="FootnoteText"/>
        <w:spacing w:line="240" w:lineRule="auto"/>
        <w:ind w:left="567" w:hanging="567"/>
        <w:rPr>
          <w:sz w:val="24"/>
          <w:lang w:val="el-GR"/>
        </w:rPr>
      </w:pPr>
      <w:r w:rsidRPr="00106072">
        <w:rPr>
          <w:rStyle w:val="FootnoteReference"/>
          <w:sz w:val="24"/>
          <w:lang w:val="el-GR"/>
        </w:rPr>
        <w:footnoteRef/>
      </w:r>
      <w:r w:rsidRPr="00106072" w:rsidR="00106072">
        <w:rPr>
          <w:sz w:val="24"/>
          <w:lang w:val="el-GR"/>
        </w:rPr>
        <w:t xml:space="preserve"> </w:t>
      </w:r>
      <w:r w:rsidRPr="00106072" w:rsidR="00106072">
        <w:rPr>
          <w:sz w:val="24"/>
          <w:lang w:val="el-GR"/>
        </w:rPr>
        <w:tab/>
      </w:r>
      <w:r w:rsidRPr="00106072">
        <w:rPr>
          <w:sz w:val="24"/>
          <w:lang w:val="el-GR"/>
        </w:rPr>
        <w:t xml:space="preserve">ΕΕ L 282 της 19.10.2016, σ. 4. </w:t>
      </w:r>
    </w:p>
  </w:footnote>
  <w:footnote w:id="16">
    <w:p w:rsidR="00757DCE" w:rsidRPr="00106072" w:rsidP="0071298A" w14:paraId="7F015AE2" w14:textId="69B5BD60">
      <w:pPr>
        <w:pStyle w:val="FootnoteText"/>
        <w:spacing w:line="240" w:lineRule="auto"/>
        <w:ind w:left="567" w:hanging="567"/>
        <w:rPr>
          <w:sz w:val="24"/>
          <w:lang w:val="el-GR"/>
        </w:rPr>
      </w:pPr>
      <w:r w:rsidRPr="00106072">
        <w:rPr>
          <w:rStyle w:val="FootnoteReference"/>
          <w:sz w:val="24"/>
          <w:lang w:val="el-GR"/>
        </w:rPr>
        <w:footnoteRef/>
      </w:r>
      <w:r w:rsidRPr="00106072" w:rsidR="00106072">
        <w:rPr>
          <w:sz w:val="24"/>
          <w:lang w:val="el-GR"/>
        </w:rPr>
        <w:t xml:space="preserve"> </w:t>
      </w:r>
      <w:r w:rsidRPr="00106072" w:rsidR="00106072">
        <w:rPr>
          <w:sz w:val="24"/>
          <w:lang w:val="el-GR"/>
        </w:rPr>
        <w:tab/>
      </w:r>
      <w:r w:rsidRPr="00106072">
        <w:rPr>
          <w:sz w:val="24"/>
          <w:lang w:val="el-GR"/>
        </w:rPr>
        <w:t xml:space="preserve">ΕΕ L 309 της 13.12.1993, σ. </w:t>
      </w:r>
      <w:r w:rsidRPr="00106072">
        <w:rPr>
          <w:sz w:val="24"/>
          <w:lang w:val="el-GR"/>
        </w:rPr>
        <w:t>3, ELI: </w:t>
      </w:r>
      <w:hyperlink r:id="rId35" w:tooltip="Πρόσβαση στο έγγραφο μέσω URI τύπου ELI." w:history="1">
        <w:r w:rsidRPr="00106072">
          <w:rPr>
            <w:rStyle w:val="Hyperlink"/>
            <w:sz w:val="24"/>
            <w:lang w:val="el-GR"/>
          </w:rPr>
          <w:t>http://data.europa.eu/eli/convention/1993/626/oj</w:t>
        </w:r>
      </w:hyperlink>
      <w:r w:rsidRPr="00106072">
        <w:rPr>
          <w:sz w:val="24"/>
          <w:lang w:val="el-GR"/>
        </w:rPr>
        <w:t>.</w:t>
      </w:r>
    </w:p>
  </w:footnote>
  <w:footnote w:id="17">
    <w:p w:rsidR="00757DCE" w:rsidRPr="0071298A" w:rsidP="0071298A" w14:paraId="72089698" w14:textId="0F80824A">
      <w:pPr>
        <w:pStyle w:val="FootnoteText"/>
        <w:spacing w:line="240" w:lineRule="auto"/>
        <w:ind w:left="567" w:hanging="567"/>
        <w:rPr>
          <w:sz w:val="24"/>
        </w:rPr>
      </w:pPr>
      <w:r w:rsidRPr="00106072">
        <w:rPr>
          <w:rStyle w:val="FootnoteReference"/>
          <w:sz w:val="24"/>
          <w:lang w:val="el-GR"/>
        </w:rPr>
        <w:footnoteRef/>
      </w:r>
      <w:r w:rsidRPr="00106072" w:rsidR="00106072">
        <w:rPr>
          <w:sz w:val="24"/>
          <w:lang w:val="el-GR"/>
        </w:rPr>
        <w:t xml:space="preserve"> </w:t>
      </w:r>
      <w:r w:rsidRPr="00106072" w:rsidR="00106072">
        <w:rPr>
          <w:sz w:val="24"/>
          <w:lang w:val="el-GR"/>
        </w:rPr>
        <w:tab/>
      </w:r>
      <w:r w:rsidRPr="00106072">
        <w:rPr>
          <w:sz w:val="24"/>
          <w:lang w:val="el-GR"/>
        </w:rPr>
        <w:t>Τον Δεκέμβριο του 2022 συμφωνήθηκε ένα παγκόσμιο πλαίσιο για τη βιοποικιλότητα στην COP15 της ΣΒΠ των Ηνωμένων Εθνών, το οποίο περιλαμβάνει έναν παγκόσμιο στόχο για τη μείωση του κινδύνου των φυτοφαρμάκων κατά τουλάχιστον 50 % έως το 2030 (βλ.</w:t>
      </w:r>
      <w:r w:rsidRPr="00106072">
        <w:rPr>
          <w:color w:val="000000" w:themeColor="text1"/>
          <w:sz w:val="24"/>
          <w:lang w:val="el-GR"/>
        </w:rPr>
        <w:t xml:space="preserve"> </w:t>
      </w:r>
      <w:hyperlink r:id="rId36" w:history="1">
        <w:r w:rsidRPr="0071298A">
          <w:rPr>
            <w:rStyle w:val="Hyperlink"/>
            <w:sz w:val="24"/>
          </w:rPr>
          <w:t>https://ec.europa.eu/commission/presscorner/detail/el/ip_22_7834</w:t>
        </w:r>
      </w:hyperlink>
      <w:r w:rsidRPr="0071298A">
        <w:rPr>
          <w:sz w:val="24"/>
        </w:rPr>
        <w:t xml:space="preserve">). </w:t>
      </w:r>
    </w:p>
  </w:footnote>
  <w:footnote w:id="18">
    <w:p w:rsidR="00757DCE" w:rsidRPr="0071298A" w:rsidP="0071298A" w14:paraId="4E864738" w14:textId="20710B88">
      <w:pPr>
        <w:pStyle w:val="FootnoteText"/>
        <w:spacing w:line="240" w:lineRule="auto"/>
        <w:ind w:left="567" w:hanging="567"/>
        <w:rPr>
          <w:sz w:val="24"/>
        </w:rPr>
      </w:pPr>
      <w:r w:rsidRPr="00106072">
        <w:rPr>
          <w:rStyle w:val="FootnoteReference"/>
          <w:sz w:val="24"/>
          <w:lang w:val="el-GR"/>
        </w:rPr>
        <w:footnoteRef/>
      </w:r>
      <w:r w:rsidRPr="0071298A" w:rsidR="00106072">
        <w:rPr>
          <w:sz w:val="24"/>
        </w:rPr>
        <w:t xml:space="preserve"> </w:t>
      </w:r>
      <w:r w:rsidRPr="0071298A" w:rsidR="00106072">
        <w:rPr>
          <w:sz w:val="24"/>
        </w:rPr>
        <w:tab/>
      </w:r>
      <w:hyperlink r:id="rId37" w:history="1">
        <w:r w:rsidRPr="0071298A">
          <w:rPr>
            <w:rStyle w:val="Hyperlink"/>
            <w:sz w:val="24"/>
          </w:rPr>
          <w:t>https://commission.europa.eu/strategy-and-policy/priorities-2019-2024/european-green-deal/agriculture-and-green-deal/strategic-dialogue-future-eu-agriculture_el</w:t>
        </w:r>
      </w:hyperlink>
      <w:r w:rsidRPr="0071298A">
        <w:rPr>
          <w:rStyle w:val="Hyperlink"/>
          <w:sz w:val="24"/>
        </w:rPr>
        <w:t>.</w:t>
      </w:r>
      <w:r w:rsidRPr="0071298A">
        <w:rPr>
          <w:sz w:val="24"/>
        </w:rPr>
        <w:t xml:space="preserve"> </w:t>
      </w:r>
    </w:p>
  </w:footnote>
  <w:footnote w:id="19">
    <w:p w:rsidR="00757DCE" w:rsidRPr="00106072" w:rsidP="0071298A" w14:paraId="10670EE1" w14:textId="01F06E62">
      <w:pPr>
        <w:pStyle w:val="FootnoteText"/>
        <w:spacing w:line="240" w:lineRule="auto"/>
        <w:ind w:left="567" w:hanging="567"/>
        <w:rPr>
          <w:sz w:val="24"/>
          <w:szCs w:val="24"/>
          <w:lang w:val="el-GR"/>
        </w:rPr>
      </w:pPr>
      <w:r w:rsidRPr="00106072">
        <w:rPr>
          <w:rStyle w:val="FootnoteReference"/>
          <w:sz w:val="24"/>
          <w:lang w:val="el-GR"/>
        </w:rPr>
        <w:footnoteRef/>
      </w:r>
      <w:r w:rsidRPr="00106072" w:rsidR="00106072">
        <w:rPr>
          <w:sz w:val="24"/>
          <w:lang w:val="el-GR"/>
        </w:rPr>
        <w:t xml:space="preserve"> </w:t>
      </w:r>
      <w:r w:rsidRPr="00106072" w:rsidR="00106072">
        <w:rPr>
          <w:sz w:val="24"/>
          <w:lang w:val="el-GR"/>
        </w:rPr>
        <w:tab/>
      </w:r>
      <w:r w:rsidRPr="00106072">
        <w:rPr>
          <w:sz w:val="24"/>
          <w:lang w:val="el-GR"/>
        </w:rPr>
        <w:t xml:space="preserve">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w:t>
      </w:r>
      <w:r w:rsidRPr="00106072">
        <w:rPr>
          <w:sz w:val="24"/>
          <w:lang w:val="el-GR"/>
        </w:rPr>
        <w:t>1, ELI: </w:t>
      </w:r>
      <w:hyperlink r:id="rId38" w:tooltip="Πρόσβαση στο έγγραφο μέσω URI τύπου ELI." w:history="1">
        <w:r w:rsidRPr="00106072">
          <w:rPr>
            <w:rStyle w:val="Hyperlink"/>
            <w:sz w:val="24"/>
            <w:lang w:val="el-GR"/>
          </w:rPr>
          <w:t>http://data.europa.eu/eli/reg/2002/178/oj</w:t>
        </w:r>
      </w:hyperlink>
      <w:r w:rsidRPr="00106072">
        <w:rPr>
          <w:sz w:val="24"/>
          <w:lang w:val="el-GR"/>
        </w:rPr>
        <w:t>).</w:t>
      </w:r>
    </w:p>
  </w:footnote>
  <w:footnote w:id="20">
    <w:p w:rsidR="00757DCE" w:rsidRPr="00106072" w:rsidP="0071298A" w14:paraId="5CB297EA" w14:textId="2D2B4E4B">
      <w:pPr>
        <w:pStyle w:val="FootnoteText"/>
        <w:spacing w:line="240" w:lineRule="auto"/>
        <w:ind w:left="567" w:hanging="567"/>
        <w:rPr>
          <w:sz w:val="24"/>
          <w:szCs w:val="24"/>
          <w:lang w:val="el-GR"/>
        </w:rPr>
      </w:pPr>
      <w:r w:rsidRPr="00106072">
        <w:rPr>
          <w:rStyle w:val="FootnoteReference"/>
          <w:sz w:val="24"/>
          <w:szCs w:val="24"/>
          <w:lang w:val="el-GR"/>
        </w:rPr>
        <w:footnoteRef/>
      </w:r>
      <w:r w:rsidRPr="00106072" w:rsidR="00106072">
        <w:rPr>
          <w:sz w:val="24"/>
          <w:lang w:val="el-GR"/>
        </w:rPr>
        <w:t xml:space="preserve"> </w:t>
      </w:r>
      <w:r w:rsidRPr="00106072" w:rsidR="00106072">
        <w:rPr>
          <w:sz w:val="24"/>
          <w:lang w:val="el-GR"/>
        </w:rPr>
        <w:tab/>
      </w:r>
      <w:hyperlink r:id="rId39" w:history="1">
        <w:r w:rsidRPr="00106072">
          <w:rPr>
            <w:rStyle w:val="Hyperlink"/>
            <w:sz w:val="24"/>
            <w:shd w:val="clear" w:color="auto" w:fill="FFFFFF"/>
            <w:lang w:val="el-GR"/>
          </w:rPr>
          <w:t>https://tillymetz.lu/wp-content/uploads/2020/09/Co-signed-letter-MEP-Metz.pdf</w:t>
        </w:r>
      </w:hyperlink>
      <w:r w:rsidRPr="00106072">
        <w:rPr>
          <w:sz w:val="24"/>
          <w:lang w:val="el-GR"/>
        </w:rPr>
        <w:t>.</w:t>
      </w:r>
      <w:r w:rsidRPr="00106072">
        <w:rPr>
          <w:sz w:val="24"/>
          <w:shd w:val="clear" w:color="auto" w:fill="FFFFFF"/>
          <w:lang w:val="el-GR"/>
        </w:rPr>
        <w:t xml:space="preserve"> </w:t>
      </w:r>
    </w:p>
  </w:footnote>
  <w:footnote w:id="21">
    <w:p w:rsidR="00757DCE" w:rsidRPr="00106072" w:rsidP="0071298A" w14:paraId="4A7AE577" w14:textId="1D0D5D7C">
      <w:pPr>
        <w:pStyle w:val="FootnoteText"/>
        <w:spacing w:line="240" w:lineRule="auto"/>
        <w:ind w:left="567" w:hanging="567"/>
        <w:rPr>
          <w:sz w:val="24"/>
          <w:lang w:val="el-GR"/>
        </w:rPr>
      </w:pPr>
      <w:r w:rsidRPr="00106072">
        <w:rPr>
          <w:rStyle w:val="FootnoteReference"/>
          <w:sz w:val="24"/>
          <w:lang w:val="el-GR"/>
        </w:rPr>
        <w:footnoteRef/>
      </w:r>
      <w:r w:rsidRPr="00106072" w:rsidR="00106072">
        <w:rPr>
          <w:sz w:val="24"/>
          <w:shd w:val="clear" w:color="auto" w:fill="FFFFFF"/>
          <w:lang w:val="el-GR"/>
        </w:rPr>
        <w:t xml:space="preserve"> </w:t>
      </w:r>
      <w:r w:rsidRPr="00106072" w:rsidR="00106072">
        <w:rPr>
          <w:sz w:val="24"/>
          <w:shd w:val="clear" w:color="auto" w:fill="FFFFFF"/>
          <w:lang w:val="el-GR"/>
        </w:rPr>
        <w:tab/>
      </w:r>
      <w:r w:rsidRPr="00106072">
        <w:rPr>
          <w:sz w:val="24"/>
          <w:shd w:val="clear" w:color="auto" w:fill="FFFFFF"/>
          <w:lang w:val="el-GR"/>
        </w:rPr>
        <w:t>Ψήφισμα του Ευρωπαϊκού Κοινοβουλίου της 15ης Ιανουαρίου 2020 σχετικά με την Ευρωπαϊκή Πράσινη Συμφωνία (ΕΕ C 270 της 7.7.2021, σ. 2), παράγραφος 102.</w:t>
      </w:r>
    </w:p>
  </w:footnote>
  <w:footnote w:id="22">
    <w:p w:rsidR="00757DCE" w:rsidRPr="00106072" w:rsidP="0071298A" w14:paraId="67C1F0ED" w14:textId="5474EAA5">
      <w:pPr>
        <w:pStyle w:val="FootnoteText"/>
        <w:spacing w:line="240" w:lineRule="auto"/>
        <w:ind w:left="567" w:hanging="567"/>
        <w:rPr>
          <w:sz w:val="24"/>
          <w:szCs w:val="24"/>
          <w:lang w:val="el-GR"/>
        </w:rPr>
      </w:pPr>
      <w:r w:rsidRPr="00106072">
        <w:rPr>
          <w:rStyle w:val="FootnoteReference"/>
          <w:sz w:val="24"/>
          <w:lang w:val="el-GR"/>
        </w:rPr>
        <w:footnoteRef/>
      </w:r>
      <w:r w:rsidRPr="00106072" w:rsidR="00106072">
        <w:rPr>
          <w:sz w:val="24"/>
          <w:shd w:val="clear" w:color="auto" w:fill="FFFFFF"/>
          <w:lang w:val="el-GR"/>
        </w:rPr>
        <w:t xml:space="preserve"> </w:t>
      </w:r>
      <w:r w:rsidRPr="00106072" w:rsidR="00106072">
        <w:rPr>
          <w:sz w:val="24"/>
          <w:shd w:val="clear" w:color="auto" w:fill="FFFFFF"/>
          <w:lang w:val="el-GR"/>
        </w:rPr>
        <w:tab/>
      </w:r>
      <w:r w:rsidRPr="00106072">
        <w:rPr>
          <w:sz w:val="24"/>
          <w:shd w:val="clear" w:color="auto" w:fill="FFFFFF"/>
          <w:lang w:val="el-GR"/>
        </w:rPr>
        <w:t>ΕΕ C 445 της 29</w:t>
      </w:r>
      <w:r w:rsidR="00C3477F">
        <w:rPr>
          <w:sz w:val="24"/>
          <w:shd w:val="clear" w:color="auto" w:fill="FFFFFF"/>
          <w:lang w:val="el-GR"/>
        </w:rPr>
        <w:t>.</w:t>
      </w:r>
      <w:r w:rsidRPr="00106072">
        <w:rPr>
          <w:sz w:val="24"/>
          <w:shd w:val="clear" w:color="auto" w:fill="FFFFFF"/>
          <w:lang w:val="el-GR"/>
        </w:rPr>
        <w:t>10</w:t>
      </w:r>
      <w:r w:rsidR="00C3477F">
        <w:rPr>
          <w:sz w:val="24"/>
          <w:shd w:val="clear" w:color="auto" w:fill="FFFFFF"/>
          <w:lang w:val="el-GR"/>
        </w:rPr>
        <w:t>.</w:t>
      </w:r>
      <w:r w:rsidRPr="00106072">
        <w:rPr>
          <w:sz w:val="24"/>
          <w:shd w:val="clear" w:color="auto" w:fill="FFFFFF"/>
          <w:lang w:val="el-GR"/>
        </w:rPr>
        <w:t>2021, σ.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6072" w14:paraId="5FA37A7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6072" w14:paraId="7B9D5D6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6072" w14:paraId="668E79F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44497616"/>
    <w:multiLevelType w:val="hybridMultilevel"/>
    <w:tmpl w:val="A424A8F8"/>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00171B2"/>
    <w:multiLevelType w:val="hybridMultilevel"/>
    <w:tmpl w:val="11924F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648092360">
    <w:abstractNumId w:val="9"/>
  </w:num>
  <w:num w:numId="2" w16cid:durableId="134758234">
    <w:abstractNumId w:val="9"/>
  </w:num>
  <w:num w:numId="3" w16cid:durableId="1874920743">
    <w:abstractNumId w:val="7"/>
  </w:num>
  <w:num w:numId="4" w16cid:durableId="2135321477">
    <w:abstractNumId w:val="7"/>
  </w:num>
  <w:num w:numId="5" w16cid:durableId="957685925">
    <w:abstractNumId w:val="6"/>
  </w:num>
  <w:num w:numId="6" w16cid:durableId="1591161744">
    <w:abstractNumId w:val="6"/>
  </w:num>
  <w:num w:numId="7" w16cid:durableId="2048600909">
    <w:abstractNumId w:val="5"/>
  </w:num>
  <w:num w:numId="8" w16cid:durableId="1863473856">
    <w:abstractNumId w:val="5"/>
  </w:num>
  <w:num w:numId="9" w16cid:durableId="1820465152">
    <w:abstractNumId w:val="4"/>
  </w:num>
  <w:num w:numId="10" w16cid:durableId="1767849883">
    <w:abstractNumId w:val="4"/>
  </w:num>
  <w:num w:numId="11" w16cid:durableId="1319460285">
    <w:abstractNumId w:val="8"/>
  </w:num>
  <w:num w:numId="12" w16cid:durableId="1637711522">
    <w:abstractNumId w:val="8"/>
  </w:num>
  <w:num w:numId="13" w16cid:durableId="1146318773">
    <w:abstractNumId w:val="3"/>
  </w:num>
  <w:num w:numId="14" w16cid:durableId="1672759465">
    <w:abstractNumId w:val="3"/>
  </w:num>
  <w:num w:numId="15" w16cid:durableId="492375781">
    <w:abstractNumId w:val="2"/>
  </w:num>
  <w:num w:numId="16" w16cid:durableId="3216404">
    <w:abstractNumId w:val="2"/>
  </w:num>
  <w:num w:numId="17" w16cid:durableId="546141174">
    <w:abstractNumId w:val="1"/>
  </w:num>
  <w:num w:numId="18" w16cid:durableId="399527212">
    <w:abstractNumId w:val="1"/>
  </w:num>
  <w:num w:numId="19" w16cid:durableId="1267885848">
    <w:abstractNumId w:val="0"/>
  </w:num>
  <w:num w:numId="20" w16cid:durableId="166100079">
    <w:abstractNumId w:val="0"/>
  </w:num>
  <w:num w:numId="21" w16cid:durableId="1633052457">
    <w:abstractNumId w:val="9"/>
  </w:num>
  <w:num w:numId="22" w16cid:durableId="211230955">
    <w:abstractNumId w:val="7"/>
  </w:num>
  <w:num w:numId="23" w16cid:durableId="105078504">
    <w:abstractNumId w:val="6"/>
  </w:num>
  <w:num w:numId="24" w16cid:durableId="919362502">
    <w:abstractNumId w:val="5"/>
  </w:num>
  <w:num w:numId="25" w16cid:durableId="1821995240">
    <w:abstractNumId w:val="4"/>
  </w:num>
  <w:num w:numId="26" w16cid:durableId="1723945759">
    <w:abstractNumId w:val="8"/>
  </w:num>
  <w:num w:numId="27" w16cid:durableId="65038773">
    <w:abstractNumId w:val="3"/>
  </w:num>
  <w:num w:numId="28" w16cid:durableId="1635942260">
    <w:abstractNumId w:val="2"/>
  </w:num>
  <w:num w:numId="29" w16cid:durableId="327247419">
    <w:abstractNumId w:val="1"/>
  </w:num>
  <w:num w:numId="30" w16cid:durableId="1539319702">
    <w:abstractNumId w:val="0"/>
  </w:num>
  <w:num w:numId="31" w16cid:durableId="1815902067">
    <w:abstractNumId w:val="9"/>
  </w:num>
  <w:num w:numId="32" w16cid:durableId="1362901801">
    <w:abstractNumId w:val="7"/>
  </w:num>
  <w:num w:numId="33" w16cid:durableId="970860706">
    <w:abstractNumId w:val="6"/>
  </w:num>
  <w:num w:numId="34" w16cid:durableId="2001613940">
    <w:abstractNumId w:val="5"/>
  </w:num>
  <w:num w:numId="35" w16cid:durableId="545601770">
    <w:abstractNumId w:val="4"/>
  </w:num>
  <w:num w:numId="36" w16cid:durableId="1312248937">
    <w:abstractNumId w:val="8"/>
  </w:num>
  <w:num w:numId="37" w16cid:durableId="1671329807">
    <w:abstractNumId w:val="3"/>
  </w:num>
  <w:num w:numId="38" w16cid:durableId="142704049">
    <w:abstractNumId w:val="2"/>
  </w:num>
  <w:num w:numId="39" w16cid:durableId="330842378">
    <w:abstractNumId w:val="1"/>
  </w:num>
  <w:num w:numId="40" w16cid:durableId="1324888968">
    <w:abstractNumId w:val="0"/>
  </w:num>
  <w:num w:numId="41" w16cid:durableId="369308935">
    <w:abstractNumId w:val="10"/>
  </w:num>
  <w:num w:numId="42" w16cid:durableId="1649087022">
    <w:abstractNumId w:val="10"/>
  </w:num>
  <w:num w:numId="43" w16cid:durableId="771819264">
    <w:abstractNumId w:val="10"/>
  </w:num>
  <w:num w:numId="44" w16cid:durableId="1152065762">
    <w:abstractNumId w:val="11"/>
  </w:num>
  <w:num w:numId="45" w16cid:durableId="1944142484">
    <w:abstractNumId w:val="14"/>
    <w:lvlOverride w:ilvl="0">
      <w:startOverride w:val="1"/>
    </w:lvlOverride>
  </w:num>
  <w:num w:numId="46" w16cid:durableId="1778674623">
    <w:abstractNumId w:val="13"/>
  </w:num>
  <w:num w:numId="47" w16cid:durableId="45017618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7B7"/>
    <w:rsid w:val="00002272"/>
    <w:rsid w:val="00064002"/>
    <w:rsid w:val="000677B9"/>
    <w:rsid w:val="000831BA"/>
    <w:rsid w:val="000A42CC"/>
    <w:rsid w:val="000E7DD9"/>
    <w:rsid w:val="0010095E"/>
    <w:rsid w:val="00106072"/>
    <w:rsid w:val="00125B37"/>
    <w:rsid w:val="00187494"/>
    <w:rsid w:val="001E002C"/>
    <w:rsid w:val="001F32AE"/>
    <w:rsid w:val="002135A7"/>
    <w:rsid w:val="00214D55"/>
    <w:rsid w:val="002767FF"/>
    <w:rsid w:val="002B18FE"/>
    <w:rsid w:val="002B5493"/>
    <w:rsid w:val="00343214"/>
    <w:rsid w:val="00361C00"/>
    <w:rsid w:val="00395FA1"/>
    <w:rsid w:val="003D50E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561"/>
    <w:rsid w:val="005F1B17"/>
    <w:rsid w:val="006037C0"/>
    <w:rsid w:val="006631B6"/>
    <w:rsid w:val="00680577"/>
    <w:rsid w:val="006917B7"/>
    <w:rsid w:val="006F74FA"/>
    <w:rsid w:val="0071298A"/>
    <w:rsid w:val="00731ADD"/>
    <w:rsid w:val="00734777"/>
    <w:rsid w:val="00740D29"/>
    <w:rsid w:val="00747932"/>
    <w:rsid w:val="00751A4A"/>
    <w:rsid w:val="00756632"/>
    <w:rsid w:val="00757DCE"/>
    <w:rsid w:val="00762C74"/>
    <w:rsid w:val="00786EC0"/>
    <w:rsid w:val="007A0C54"/>
    <w:rsid w:val="007D1690"/>
    <w:rsid w:val="007E22AD"/>
    <w:rsid w:val="00800EDB"/>
    <w:rsid w:val="00817416"/>
    <w:rsid w:val="00842779"/>
    <w:rsid w:val="00865F67"/>
    <w:rsid w:val="00881A7B"/>
    <w:rsid w:val="008840E5"/>
    <w:rsid w:val="00887B3E"/>
    <w:rsid w:val="008C2AC6"/>
    <w:rsid w:val="00927183"/>
    <w:rsid w:val="00930C23"/>
    <w:rsid w:val="0093193B"/>
    <w:rsid w:val="009509D8"/>
    <w:rsid w:val="00950B64"/>
    <w:rsid w:val="00967DD7"/>
    <w:rsid w:val="00981893"/>
    <w:rsid w:val="009B1995"/>
    <w:rsid w:val="00A1007C"/>
    <w:rsid w:val="00A1687D"/>
    <w:rsid w:val="00A43E52"/>
    <w:rsid w:val="00A4678D"/>
    <w:rsid w:val="00A778C7"/>
    <w:rsid w:val="00AB441E"/>
    <w:rsid w:val="00AB6293"/>
    <w:rsid w:val="00AE0928"/>
    <w:rsid w:val="00AF2D3E"/>
    <w:rsid w:val="00AF3B82"/>
    <w:rsid w:val="00B12E95"/>
    <w:rsid w:val="00B22876"/>
    <w:rsid w:val="00B558F0"/>
    <w:rsid w:val="00B5730B"/>
    <w:rsid w:val="00BD48FE"/>
    <w:rsid w:val="00BD7BD8"/>
    <w:rsid w:val="00BE6ADC"/>
    <w:rsid w:val="00C05BFE"/>
    <w:rsid w:val="00C23CD4"/>
    <w:rsid w:val="00C3477F"/>
    <w:rsid w:val="00C61C0C"/>
    <w:rsid w:val="00C941CB"/>
    <w:rsid w:val="00CC2357"/>
    <w:rsid w:val="00CF071A"/>
    <w:rsid w:val="00D058B8"/>
    <w:rsid w:val="00D06ECA"/>
    <w:rsid w:val="00D56C11"/>
    <w:rsid w:val="00D834A0"/>
    <w:rsid w:val="00D872DF"/>
    <w:rsid w:val="00D91E21"/>
    <w:rsid w:val="00DA6047"/>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6/2026"/>
    <w:docVar w:name="dvlangue" w:val="EL"/>
    <w:docVar w:name="dvnumam" w:val="0"/>
    <w:docVar w:name="dvpe" w:val="789.025"/>
    <w:docVar w:name="dvtitre" w:val="Ψήφισμα του Ευρωπαϊκού Κοινοβουλίου της ... 2026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202216 x NK603 x DAS-40278-9 και τους επιμέρους συνδυασμούς DP202216 x NK603, DP202216 x DAS-40278-9, σύμφωνα με τον κανονισμό (ΕΚ) αριθ. 1829/2003 του Ευρωπαϊκού Κοινοβουλίου και του Συμβουλίου(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3E43941"/>
  <w15:chartTrackingRefBased/>
  <w15:docId w15:val="{09A02030-EDB0-4CEC-BC7E-CAD19B383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qFormat/>
    <w:rsid w:val="00757DCE"/>
    <w:pPr>
      <w:spacing w:after="240"/>
      <w:ind w:left="567" w:hanging="567"/>
    </w:pPr>
  </w:style>
  <w:style w:type="character" w:styleId="Hyperlink">
    <w:name w:val="Hyperlink"/>
    <w:basedOn w:val="DefaultParagraphFont"/>
    <w:uiPriority w:val="99"/>
    <w:rsid w:val="00757DCE"/>
    <w:rPr>
      <w:color w:val="0563C1" w:themeColor="hyperlink"/>
      <w:u w:val="single"/>
    </w:rPr>
  </w:style>
  <w:style w:type="paragraph" w:customStyle="1" w:styleId="Considrant">
    <w:name w:val="Considérant"/>
    <w:basedOn w:val="Normal"/>
    <w:uiPriority w:val="99"/>
    <w:semiHidden/>
    <w:rsid w:val="00757DCE"/>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757DCE"/>
    <w:rPr>
      <w:rFonts w:ascii="Times New Roman" w:hAnsi="Times New Roman" w:cs="Times New Roman" w:hint="default"/>
      <w:vertAlign w:val="superscript"/>
    </w:rPr>
  </w:style>
  <w:style w:type="paragraph" w:styleId="Revision">
    <w:name w:val="Revision"/>
    <w:hidden/>
    <w:uiPriority w:val="99"/>
    <w:semiHidden/>
    <w:rsid w:val="009B1995"/>
    <w:rPr>
      <w:sz w:val="24"/>
      <w:lang w:val="el-GR"/>
    </w:rPr>
  </w:style>
  <w:style w:type="character" w:styleId="UnresolvedMention">
    <w:name w:val="Unresolved Mention"/>
    <w:basedOn w:val="DefaultParagraphFont"/>
    <w:uiPriority w:val="99"/>
    <w:semiHidden/>
    <w:unhideWhenUsed/>
    <w:rsid w:val="009B1995"/>
    <w:rPr>
      <w:color w:val="605E5C"/>
      <w:shd w:val="clear" w:color="auto" w:fill="E1DFDD"/>
    </w:rPr>
  </w:style>
  <w:style w:type="character" w:styleId="FollowedHyperlink">
    <w:name w:val="FollowedHyperlink"/>
    <w:basedOn w:val="DefaultParagraphFont"/>
    <w:rsid w:val="00DA60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ec.europa.eu/food/plant/pesticides/eu-pesticides-database/start/screen/active-substances/details/79"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el/ip_22_7834" TargetMode="External" /><Relationship Id="rId37" Type="http://schemas.openxmlformats.org/officeDocument/2006/relationships/hyperlink" Target="https://commission.europa.eu/topics/agriculture-and-rural-development/strategic-dialogue-future-eu-agriculture_el"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2484</Words>
  <Characters>14829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2026-09-28T09:04:00Z</dcterms:created>
  <dcterms:modified xsi:type="dcterms:W3CDTF">2026-09-28T09:04:00Z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P10_TA(2026)0265_</vt:lpwstr>
  </property>
  <property fmtid="{D5CDD505-2E9C-101B-9397-08002B2CF9AE}" pid="4" name="&lt;Type&gt;">
    <vt:lpwstr>RR</vt:lpwstr>
  </property>
</Properties>
</file>