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05E777B" w14:textId="77777777" w:rsidTr="0010095E">
        <w:tblPrEx>
          <w:tblW w:w="9072" w:type="dxa"/>
          <w:tblLook w:val="01E0"/>
        </w:tblPrEx>
        <w:trPr>
          <w:trHeight w:hRule="exact" w:val="1418"/>
        </w:trPr>
        <w:tc>
          <w:tcPr>
            <w:tcW w:w="6804" w:type="dxa"/>
            <w:shd w:val="clear" w:color="auto" w:fill="auto"/>
            <w:vAlign w:val="center"/>
          </w:tcPr>
          <w:p w:rsidR="00751A4A" w:rsidRPr="00266451" w:rsidP="0010095E" w14:paraId="0BB2121B" w14:textId="77777777">
            <w:pPr>
              <w:pStyle w:val="EPName"/>
            </w:pPr>
            <w:r w:rsidRPr="00266451">
              <w:t>Euroopa Parlament</w:t>
            </w:r>
          </w:p>
          <w:p w:rsidR="00751A4A" w:rsidRPr="00266451" w:rsidP="005F1B17" w14:paraId="496D5A38" w14:textId="77777777">
            <w:pPr>
              <w:pStyle w:val="EPTerm"/>
              <w:rPr>
                <w:rStyle w:val="HideTWBExt"/>
                <w:noProof w:val="0"/>
                <w:vanish w:val="0"/>
                <w:color w:val="auto"/>
              </w:rPr>
            </w:pPr>
            <w:r w:rsidRPr="00266451">
              <w:t>2024</w:t>
            </w:r>
            <w:r w:rsidRPr="00266451" w:rsidR="00817416">
              <w:t>-202</w:t>
            </w:r>
            <w:r w:rsidRPr="00266451">
              <w:t>9</w:t>
            </w:r>
          </w:p>
        </w:tc>
        <w:tc>
          <w:tcPr>
            <w:tcW w:w="2268" w:type="dxa"/>
            <w:shd w:val="clear" w:color="auto" w:fill="auto"/>
          </w:tcPr>
          <w:p w:rsidR="00751A4A" w:rsidRPr="00266451" w:rsidP="0010095E" w14:paraId="032AE9F8" w14:textId="77777777">
            <w:pPr>
              <w:pStyle w:val="EPLogo"/>
            </w:pPr>
            <w:r w:rsidRPr="0026645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66451" w:rsidP="004C5D52" w14:paraId="631A7FDA" w14:textId="77777777">
      <w:pPr>
        <w:pStyle w:val="LineTop"/>
      </w:pPr>
    </w:p>
    <w:p w:rsidR="00680577" w:rsidRPr="00266451" w:rsidP="00680577" w14:paraId="0AA7BAB2" w14:textId="77777777">
      <w:pPr>
        <w:pStyle w:val="EPBodyTA1"/>
      </w:pPr>
      <w:r w:rsidRPr="00266451">
        <w:t>VASTUVÕETUD TEKSTID</w:t>
      </w:r>
    </w:p>
    <w:p w:rsidR="00D058B8" w:rsidRPr="00266451" w:rsidP="00D058B8" w14:paraId="5FB1F2BD" w14:textId="77777777">
      <w:pPr>
        <w:pStyle w:val="LineBottom"/>
      </w:pPr>
    </w:p>
    <w:p w:rsidR="00977C4F" w:rsidRPr="00266451" w:rsidP="00977C4F" w14:paraId="48BA1FB7" w14:textId="0F70C68B">
      <w:pPr>
        <w:pStyle w:val="ATHeading1"/>
      </w:pPr>
      <w:bookmarkStart w:id="0" w:name="TANumber"/>
      <w:r w:rsidRPr="00266451">
        <w:t>P10_TA(2026)0</w:t>
      </w:r>
      <w:r w:rsidRPr="00266451" w:rsidR="008C18D3">
        <w:t>265</w:t>
      </w:r>
      <w:bookmarkEnd w:id="0"/>
    </w:p>
    <w:p w:rsidR="00977C4F" w:rsidRPr="00266451" w:rsidP="00977C4F" w14:paraId="275F8E44" w14:textId="77777777">
      <w:pPr>
        <w:pStyle w:val="ATHeading2"/>
      </w:pPr>
      <w:bookmarkStart w:id="1" w:name="title"/>
      <w:r w:rsidRPr="00266451">
        <w:t>Vastuväide kodukorra artikli 115 lõigete 2 ja 3 alusel: geneetiliselt muundatud mais DP202216 x NK603 x DAS-40278-9 ja selle alakombinatsioonid DP202216 x NK603, DP202216 x DAS-40278-9</w:t>
      </w:r>
      <w:bookmarkEnd w:id="1"/>
    </w:p>
    <w:p w:rsidR="00977C4F" w:rsidRPr="00266451" w:rsidP="00977C4F" w14:paraId="17E197EE" w14:textId="77777777">
      <w:pPr>
        <w:rPr>
          <w:i/>
          <w:vanish/>
        </w:rPr>
      </w:pPr>
      <w:r>
        <w:rPr>
          <w:i/>
        </w:rPr>
        <w:fldChar w:fldCharType="begin"/>
      </w:r>
      <w:r w:rsidRPr="00266451">
        <w:rPr>
          <w:i/>
        </w:rPr>
        <w:instrText xml:space="preserve"> TC"(</w:instrText>
      </w:r>
      <w:bookmarkStart w:id="2" w:name="DocNumber"/>
      <w:r w:rsidRPr="00266451">
        <w:rPr>
          <w:i/>
        </w:rPr>
        <w:instrText>B10-0336/2026</w:instrText>
      </w:r>
      <w:bookmarkEnd w:id="2"/>
      <w:r w:rsidRPr="00266451">
        <w:rPr>
          <w:i/>
        </w:rPr>
        <w:instrText xml:space="preserve">)"\l3 \n&gt; \* MERGEFORMAT </w:instrText>
      </w:r>
      <w:r>
        <w:rPr>
          <w:i/>
        </w:rPr>
        <w:fldChar w:fldCharType="end"/>
      </w:r>
    </w:p>
    <w:p w:rsidR="00977C4F" w:rsidRPr="00266451" w:rsidP="00977C4F" w14:paraId="448E350A" w14:textId="77777777">
      <w:pPr>
        <w:rPr>
          <w:vanish/>
        </w:rPr>
      </w:pPr>
      <w:bookmarkStart w:id="3" w:name="PE"/>
      <w:r w:rsidRPr="00266451">
        <w:rPr>
          <w:vanish/>
        </w:rPr>
        <w:t>PE789.025</w:t>
      </w:r>
      <w:bookmarkEnd w:id="3"/>
    </w:p>
    <w:p w:rsidR="00977C4F" w:rsidRPr="00266451" w:rsidP="00977C4F" w14:paraId="1E95A796" w14:textId="187A5C59">
      <w:pPr>
        <w:pStyle w:val="ATHeading3"/>
      </w:pPr>
      <w:bookmarkStart w:id="4" w:name="Sujet"/>
      <w:r w:rsidRPr="00266451">
        <w:t xml:space="preserve">Euroopa Parlamendi </w:t>
      </w:r>
      <w:r w:rsidRPr="00266451" w:rsidR="002B3D5B">
        <w:t>8. juuli</w:t>
      </w:r>
      <w:r w:rsidRPr="00266451">
        <w:t xml:space="preserve"> 2026. aasta resolutsioon komisjoni </w:t>
      </w:r>
      <w:r w:rsidRPr="00266451" w:rsidR="002B3D5B">
        <w:t xml:space="preserve">29. juuni 2026. aasta </w:t>
      </w:r>
      <w:r w:rsidRPr="00266451">
        <w:t xml:space="preserve">rakendusotsuse </w:t>
      </w:r>
      <w:r w:rsidRPr="00266451" w:rsidR="002B3D5B">
        <w:t xml:space="preserve">(EL) 2026/1443 </w:t>
      </w:r>
      <w:r w:rsidRPr="00266451">
        <w:t>kohta, millega lubatakse lasta turule geneetiliselt muundatud maisi DP202216 x NK603 x DAS-40278-9 ja selle alakombinatsioone DP202216 x NK603 ja DP202216 x DAS-40278-9 sisaldavaid, sellest koosnevaid või sellest valmistatud tooteid vastavalt Euroopa Parlamendi ja nõukogu määrusele (EÜ) nr 1829/2003</w:t>
      </w:r>
      <w:bookmarkEnd w:id="4"/>
      <w:r w:rsidRPr="00266451">
        <w:t xml:space="preserve"> </w:t>
      </w:r>
      <w:bookmarkStart w:id="5" w:name="References"/>
      <w:r w:rsidRPr="00266451">
        <w:t>(2026/2746(RSP))</w:t>
      </w:r>
      <w:bookmarkEnd w:id="5"/>
    </w:p>
    <w:p w:rsidR="007C7DFE" w:rsidRPr="00266451" w:rsidP="00266451" w14:paraId="29DD66F8" w14:textId="31BED3CA">
      <w:pPr>
        <w:pStyle w:val="NormalHanging12a"/>
        <w:tabs>
          <w:tab w:val="center" w:pos="4535"/>
        </w:tabs>
        <w:spacing w:before="480"/>
      </w:pPr>
      <w:bookmarkStart w:id="6" w:name="TextBodyBegin"/>
      <w:bookmarkEnd w:id="6"/>
      <w:r w:rsidRPr="00266451">
        <w:rPr>
          <w:i/>
        </w:rPr>
        <w:t>Euroopa Parlament</w:t>
      </w:r>
      <w:r w:rsidR="00D12C76">
        <w:t>,</w:t>
      </w:r>
    </w:p>
    <w:p w:rsidR="007C7DFE" w:rsidRPr="00266451" w:rsidP="007C7DFE" w14:paraId="2DC3FE14" w14:textId="0F85255D">
      <w:pPr>
        <w:pStyle w:val="NormalHanging12a"/>
      </w:pPr>
      <w:r w:rsidRPr="00266451">
        <w:t>–</w:t>
      </w:r>
      <w:r w:rsidRPr="00266451">
        <w:tab/>
        <w:t xml:space="preserve">võttes arvesse komisjoni </w:t>
      </w:r>
      <w:r w:rsidRPr="00266451" w:rsidR="00A06A0E">
        <w:t xml:space="preserve">29. juuni 2026. aasta </w:t>
      </w:r>
      <w:r w:rsidRPr="00266451">
        <w:t>rakendusotsus</w:t>
      </w:r>
      <w:r w:rsidRPr="00266451" w:rsidR="00A06A0E">
        <w:t>t (EL) 2026/1443</w:t>
      </w:r>
      <w:r w:rsidRPr="00266451">
        <w:t>, millega lubatakse lasta turule geneetiliselt muundatud maisi DP202216 x NK603 x DAS-40278-9 ja selle alakombinatsioone DP202216 x NK603 ja DP202216 x DAS-40278-9 sisaldavaid, sellest koosnevaid või sellest valmistatud tooteid vastavalt Euroopa Parlamendi ja nõukogu määrusele (EÜ) nr 1829/2003</w:t>
      </w:r>
      <w:r>
        <w:rPr>
          <w:rStyle w:val="FootnoteReference"/>
        </w:rPr>
        <w:footnoteReference w:id="2"/>
      </w:r>
      <w:r w:rsidRPr="00266451">
        <w:t>,</w:t>
      </w:r>
    </w:p>
    <w:p w:rsidR="007C7DFE" w:rsidRPr="00266451" w:rsidP="007C7DFE" w14:paraId="52F711C4" w14:textId="77777777">
      <w:pPr>
        <w:pStyle w:val="NormalHanging12a"/>
      </w:pPr>
      <w:r w:rsidRPr="00266451">
        <w:t>–</w:t>
      </w:r>
      <w:r w:rsidRPr="00266451">
        <w:tab/>
        <w:t>võttes arvesse Euroopa Parlamendi ja nõukogu 22. septembri 2003. aasta määrust (EÜ) nr 1829/2003 geneetiliselt muundatud toidu ja sööda kohta</w:t>
      </w:r>
      <w:r>
        <w:rPr>
          <w:rStyle w:val="FootnoteReference"/>
        </w:rPr>
        <w:footnoteReference w:id="3"/>
      </w:r>
      <w:r w:rsidRPr="00266451">
        <w:t>, eriti selle artikli 7 lõiget 3 ja artikli 19 lõiget 3,</w:t>
      </w:r>
    </w:p>
    <w:p w:rsidR="007C7DFE" w:rsidRPr="00266451" w:rsidP="007C7DFE" w14:paraId="6B717780" w14:textId="77777777">
      <w:pPr>
        <w:pStyle w:val="NormalHanging12a"/>
      </w:pPr>
      <w:r w:rsidRPr="00266451">
        <w:t>–</w:t>
      </w:r>
      <w:r w:rsidRPr="00266451">
        <w:tab/>
        <w:t>võttes arvesse määruse (EÜ) nr 1829/2003 artiklis 35 osutatud alalises taime-, looma-, toidu- ja söödakomitees 27. aprillil 2026 toimunud hääletust, mille tulemusel arvamust ei esitatud, ning apellatsioonikomitees 2. juunil 2026 toimunud hääletust, mille tulemusel samuti arvamust ei esitatud,</w:t>
      </w:r>
    </w:p>
    <w:p w:rsidR="007C7DFE" w:rsidRPr="00266451" w:rsidP="007C7DFE" w14:paraId="7B024788" w14:textId="77777777">
      <w:pPr>
        <w:pStyle w:val="NormalHanging12a"/>
      </w:pPr>
      <w:r w:rsidRPr="00266451">
        <w:t>–</w:t>
      </w:r>
      <w:r w:rsidRPr="00266451">
        <w:tab/>
        <w:t>võttes arvesse Euroopa Parlamendi ja nõukogu 16. veebruari 2011. aasta määruse (EL) nr 182/2011 (millega kehtestatakse eeskirjad ja üldpõhimõtted, mis käsitlevad liikmesriikide läbiviidava kontrolli mehhanisme, mida kohaldatakse komisjoni rakendamisvolituste teostamise suhtes)</w:t>
      </w:r>
      <w:r>
        <w:rPr>
          <w:rStyle w:val="FootnoteReference"/>
        </w:rPr>
        <w:footnoteReference w:id="4"/>
      </w:r>
      <w:r w:rsidRPr="00266451">
        <w:t xml:space="preserve"> artiklit 11,</w:t>
      </w:r>
    </w:p>
    <w:p w:rsidR="007C7DFE" w:rsidRPr="00266451" w:rsidP="007C7DFE" w14:paraId="217F2B1D" w14:textId="77777777">
      <w:pPr>
        <w:pStyle w:val="NormalHanging12a"/>
      </w:pPr>
      <w:r w:rsidRPr="00266451">
        <w:t>–</w:t>
      </w:r>
      <w:r w:rsidRPr="00266451">
        <w:tab/>
        <w:t xml:space="preserve">võttes arvesse Euroopa Toiduohutusameti (EFSA) 30. oktoobril 2025 vastu võetud ja </w:t>
      </w:r>
      <w:r w:rsidRPr="00266451">
        <w:t>5. detsembril 2025 avaldatud arvamust</w:t>
      </w:r>
      <w:r>
        <w:rPr>
          <w:rStyle w:val="FootnoteReference"/>
        </w:rPr>
        <w:footnoteReference w:id="5"/>
      </w:r>
      <w:r w:rsidRPr="00266451">
        <w:t>,</w:t>
      </w:r>
    </w:p>
    <w:p w:rsidR="007C7DFE" w:rsidRPr="00266451" w:rsidP="007C7DFE" w14:paraId="26A5B102" w14:textId="77777777">
      <w:pPr>
        <w:pStyle w:val="NormalHanging12a"/>
      </w:pPr>
      <w:r w:rsidRPr="00266451">
        <w:t>–</w:t>
      </w:r>
      <w:r w:rsidRPr="00266451">
        <w:tab/>
        <w:t>võttes arvesse oma varasemaid resolutsioone, milles väljendatakse vastuseisu geneetiliselt muundatud organismide (GMOd) lubamisele</w:t>
      </w:r>
      <w:r>
        <w:rPr>
          <w:rStyle w:val="FootnoteReference"/>
        </w:rPr>
        <w:footnoteReference w:id="6"/>
      </w:r>
      <w:r w:rsidRPr="00266451">
        <w:t>,</w:t>
      </w:r>
    </w:p>
    <w:p w:rsidR="007C7DFE" w:rsidRPr="00266451" w:rsidP="007C7DFE" w14:paraId="3D84596B" w14:textId="77777777">
      <w:pPr>
        <w:pStyle w:val="NormalHanging12a"/>
      </w:pPr>
      <w:r w:rsidRPr="00266451">
        <w:t>–</w:t>
      </w:r>
      <w:r w:rsidRPr="00266451">
        <w:tab/>
        <w:t>võttes arvesse kodukorra artikli 115 lõikeid 2 ja 3,</w:t>
      </w:r>
    </w:p>
    <w:p w:rsidR="007C7DFE" w:rsidRPr="00266451" w:rsidP="0085426F" w14:paraId="1967207C" w14:textId="77777777">
      <w:pPr>
        <w:pStyle w:val="NormalHanging12a"/>
      </w:pPr>
      <w:r w:rsidRPr="00266451">
        <w:t>–</w:t>
      </w:r>
      <w:r w:rsidRPr="00266451">
        <w:tab/>
        <w:t>võttes arvesse keskkonna-, kliima- ja toiduohutuse komisjoni resolutsiooni ettepanekut,</w:t>
      </w:r>
    </w:p>
    <w:p w:rsidR="007C7DFE" w:rsidRPr="00266451" w:rsidP="0085426F" w14:paraId="2455FAE2" w14:textId="77777777">
      <w:pPr>
        <w:pStyle w:val="Considrant"/>
        <w:numPr>
          <w:ilvl w:val="0"/>
          <w:numId w:val="0"/>
        </w:numPr>
        <w:spacing w:after="240"/>
        <w:ind w:left="567" w:hanging="567"/>
        <w:jc w:val="left"/>
        <w:rPr>
          <w:szCs w:val="24"/>
        </w:rPr>
      </w:pPr>
      <w:r w:rsidRPr="00266451">
        <w:t>A.</w:t>
      </w:r>
      <w:r w:rsidRPr="00266451">
        <w:tab/>
        <w:t xml:space="preserve">arvestades, et </w:t>
      </w:r>
      <w:r w:rsidRPr="00266451">
        <w:rPr>
          <w:snapToGrid w:val="0"/>
        </w:rPr>
        <w:t>Belgias asuv äriühing Corteva Agriscience Belgium B.V. esitas 10. märtsil 2023 äriühingu Corteva Agriscience LLC (Ameerika Ühendriigid)</w:t>
      </w:r>
      <w:r w:rsidRPr="00266451">
        <w:t xml:space="preserve"> nimel kooskõlas määruse (EÜ) nr 1829/2003 artiklitega 5 ja 17 taotluse geneetiliselt muundatud maisi DP202216 × NK603 × DAS-40279-9 (edaspidi „geneetilised muundatud mais“) sisaldavate, sellest koosnevate või sellest valmistatud toidu, toidu </w:t>
      </w:r>
      <w:r w:rsidRPr="00266451">
        <w:t>koostisosade ja sööda turuleviimiseks; arvestades, et taotlus hõlmas ka selliste toodete turule laskmist, mis sisaldavad geneetiliselt muundatud maisi või koosnevad sellest ning mida kasutatakse muul otstarbel kui toiduks või söödaks, kuid ei kasutata viljelemiseks;</w:t>
      </w:r>
    </w:p>
    <w:p w:rsidR="007C7DFE" w:rsidRPr="00266451" w:rsidP="0085426F" w14:paraId="11866EAB" w14:textId="77777777">
      <w:pPr>
        <w:widowControl/>
        <w:shd w:val="clear" w:color="auto" w:fill="FFFFFF"/>
        <w:spacing w:after="240"/>
        <w:ind w:left="567" w:hanging="567"/>
        <w:rPr>
          <w:szCs w:val="24"/>
        </w:rPr>
      </w:pPr>
      <w:r w:rsidRPr="00266451">
        <w:t>B.</w:t>
      </w:r>
      <w:r w:rsidRPr="00266451">
        <w:tab/>
        <w:t xml:space="preserve">arvestades, et 30. oktoobril 2025 võttis EFSA geneetiliselt muundatud maisile loa andmise kohta vastu pooldava teadusliku arvamuse, mis avaldati </w:t>
      </w:r>
      <w:r w:rsidRPr="00266451">
        <w:rPr>
          <w:shd w:val="clear" w:color="auto" w:fill="FFFFFF"/>
        </w:rPr>
        <w:t>5. detsembril 2025</w:t>
      </w:r>
      <w:r w:rsidRPr="00266451">
        <w:t>;</w:t>
      </w:r>
    </w:p>
    <w:p w:rsidR="007C7DFE" w:rsidRPr="00266451" w:rsidP="0085426F" w14:paraId="6D50634B" w14:textId="77777777">
      <w:pPr>
        <w:widowControl/>
        <w:autoSpaceDE w:val="0"/>
        <w:autoSpaceDN w:val="0"/>
        <w:adjustRightInd w:val="0"/>
        <w:spacing w:after="240"/>
        <w:ind w:left="567" w:hanging="567"/>
        <w:rPr>
          <w:rFonts w:eastAsiaTheme="minorHAnsi"/>
          <w:szCs w:val="24"/>
        </w:rPr>
      </w:pPr>
      <w:r w:rsidRPr="00266451">
        <w:t>C.</w:t>
      </w:r>
      <w:r w:rsidRPr="00266451">
        <w:tab/>
        <w:t>arvestades, et EFSA jõudis järeldusele, et taotluses kirjeldatud geneetiliselt muundatud mais ja selle alakombinatsioonid on inimeste ja loomade tervisele ning keskkonnale avalduda võiva mõju suhtes sama ohutud kui vastav tavapärane toode ja katsetatud geneetiliselt muundamata maisi võrdlussordid; arvestades, et EFSA jõudis ka järeldusele, et geneetiliselt muundatud maisist ja selle alakombinatsioonidest saadud toidu ja sööda tarbimine ei põhjusta inimestele ega loomadele toitumisalaseid probleeme; arvestades, et arvamuses ei käsitletud mitut laiemat keskkonna-, sotsiaal-majanduslikku ja kumulatiivset mõju, mis EFSA arvates ei kuulu tema pädevusse;</w:t>
      </w:r>
    </w:p>
    <w:p w:rsidR="007C7DFE" w:rsidRPr="00266451" w:rsidP="0085426F" w14:paraId="3FFE37E5" w14:textId="77777777">
      <w:pPr>
        <w:widowControl/>
        <w:autoSpaceDE w:val="0"/>
        <w:autoSpaceDN w:val="0"/>
        <w:adjustRightInd w:val="0"/>
        <w:spacing w:after="240"/>
        <w:ind w:left="567" w:hanging="567"/>
        <w:rPr>
          <w:rFonts w:eastAsiaTheme="minorHAnsi"/>
          <w:szCs w:val="24"/>
        </w:rPr>
      </w:pPr>
      <w:r w:rsidRPr="00266451">
        <w:t>D.</w:t>
      </w:r>
      <w:r w:rsidRPr="00266451">
        <w:tab/>
        <w:t>arvestades, et geneetiliselt muundatud mais aretati ristamise teel, kombineerides järgmised kolm ühekordset transformatsiooni: DP202216, milles avalduvad fosfinotritsiinatsetüültransferaasi ensüüm (PAT), et anda vastupidavus glufosinaatammooniumi sisaldavate herbitsiidide suhtes, ja muudetud ekspressiooniga maisi endogeenne valk (EPAE) ZMM28, mis annab võimaluse suurendada saagikust välitingimustes; NK603, milles avalduvad CP4 EPSPS ja CP4 EPSPS L214P, et anda vastupidavus glüfosaadipõhiste herbitsiidide suhtes; ning DAS-40278–9, milles avaldub arüüloksüalkanoaat-dioksügenaasi (AAD-1), et anda vastupidavus 2,4-D ja arüüloksüfenoksüpropionaadi (AOPP) klassi herbitsiidide suhtes</w:t>
      </w:r>
      <w:r>
        <w:rPr>
          <w:rStyle w:val="FootnoteReference"/>
          <w:rFonts w:eastAsiaTheme="minorHAnsi"/>
          <w:szCs w:val="24"/>
        </w:rPr>
        <w:footnoteReference w:id="7"/>
      </w:r>
      <w:r w:rsidRPr="00266451">
        <w:t>;</w:t>
      </w:r>
    </w:p>
    <w:p w:rsidR="007C7DFE" w:rsidRPr="00266451" w:rsidP="0085426F" w14:paraId="16B32B94" w14:textId="77777777">
      <w:pPr>
        <w:spacing w:after="240"/>
        <w:ind w:left="567" w:hanging="567"/>
        <w:rPr>
          <w:rFonts w:eastAsiaTheme="minorHAnsi"/>
          <w:szCs w:val="24"/>
        </w:rPr>
      </w:pPr>
      <w:r w:rsidRPr="00266451">
        <w:t>E.</w:t>
      </w:r>
      <w:r w:rsidRPr="00266451">
        <w:tab/>
        <w:t>arvestades, et EFSA on varem hinnanud ainult alakombinatsiooni NK603 × DAS- 40278-9; arvestades, et taotleja ei esitanud andmeid alakombinatsioonide DP202216 x NK603 ja DP202216 x DAS-40278-9 kohta, mida EFSA ei ole varem hinnanud; arvestades, et sellele vaatamata järeldas EFSA, et see alakombinatsioon ei tekita ohutusprobleeme;</w:t>
      </w:r>
    </w:p>
    <w:p w:rsidR="007C7DFE" w:rsidRPr="00266451" w:rsidP="0085426F" w14:paraId="729B8901" w14:textId="77777777">
      <w:pPr>
        <w:spacing w:after="240"/>
        <w:ind w:left="567" w:hanging="567"/>
        <w:rPr>
          <w:rFonts w:eastAsiaTheme="minorHAnsi"/>
          <w:szCs w:val="24"/>
        </w:rPr>
      </w:pPr>
      <w:r w:rsidRPr="00266451">
        <w:t>F.</w:t>
      </w:r>
      <w:r w:rsidRPr="00266451">
        <w:tab/>
        <w:t>arvestades, et EFSA tehtud riskihindamised ei hõlmanud pikaajalisi toksikoloogilisi uuringuid ega kumulatiivse ja kombineeritud mõju üksikasjalikku analüüsi, sealhulgas võimalikku vastastikmõju maisi kasvatamisel tavaliselt kasutatavate pestitsiidide jääkidega;</w:t>
      </w:r>
    </w:p>
    <w:p w:rsidR="007C7DFE" w:rsidRPr="00266451" w:rsidP="0085426F" w14:paraId="53E3ED10" w14:textId="77777777">
      <w:pPr>
        <w:spacing w:after="240"/>
        <w:ind w:left="567" w:hanging="567"/>
        <w:rPr>
          <w:rFonts w:eastAsiaTheme="minorHAnsi"/>
          <w:szCs w:val="24"/>
        </w:rPr>
      </w:pPr>
      <w:r w:rsidRPr="00266451">
        <w:t>G.</w:t>
      </w:r>
      <w:r w:rsidRPr="00266451">
        <w:tab/>
        <w:t>arvestades, et valdavat osa geneetiliselt muundatud põllukultuuridest, sealhulgas geneetiliselt muundatud maisi, on geneetiliselt muundatud nii, et need on vastupidavad vähemalt ühe täiendava herbitsiidi suhtes, mida saab kasutada kogu geneetiliselt muundatud kultuuri kasvatamise ajal, ilma et taimed sureks, nagu juhtuks herbitsiidide suhtes mittetolerantsete kultuuride puhul; arvestades, et mitu uuringut näitab, et herbitsiiditolerantsete geneetiliselt muundatud kultuuride kasvatamise tõttu hakatakse rohkem kasutama täiendavaid herbitsiide, seda peamiselt herbitsiiditolerantse umbrohu tekke tõttu;</w:t>
      </w:r>
    </w:p>
    <w:p w:rsidR="007C7DFE" w:rsidRPr="00266451" w:rsidP="0085426F" w14:paraId="6A0A68D5" w14:textId="77777777">
      <w:pPr>
        <w:spacing w:after="240"/>
        <w:ind w:left="567" w:hanging="567"/>
        <w:rPr>
          <w:rFonts w:eastAsiaTheme="minorHAnsi"/>
          <w:szCs w:val="24"/>
        </w:rPr>
      </w:pPr>
      <w:r w:rsidRPr="00266451">
        <w:t>H.</w:t>
      </w:r>
      <w:r w:rsidRPr="00266451">
        <w:tab/>
        <w:t xml:space="preserve">arvestades, et herbitsiiditolerantsete geneetiliselt muundatud kultuuride puhul sõltuvad põllumajandustootjad umbrohutõrjesüsteemist, mis põhineb suures osas või täielikult herbitsiididel, tekitades samal ajal sõltuvuse täiendavate herbitsiidide kasutamisest </w:t>
      </w:r>
      <w:r w:rsidRPr="00266451">
        <w:t>tootmissüsteemi lahutamatu osana; arvestades, et geneetiliselt muundatud maisi kasvatavate põllumajandusettevõtete suurem sõltuvus täiendavatest herbitsiididest kiirendab nende herbitsiidide suhtes resistentse umbrohu teket ja levikut ning suurendab seega veelgi vajadust herbitsiidide kasutamise järele, tekitades nõiaringi, kus nendest loobuda on keeruline; arvestades, et selle tagajärjel suureneb herbitsiidide liigsest kasutamisest tingitud kahjulik mõju mulla seisundile, vee kvaliteedile ning maapealsele ja -alusele elurikkusele, samuti suureneb inimeste ja loomade kokkupuude nendega, võimalik et ka toidus ja söödas leiduvate herbitsiidijääkide suurenemise tõttu;</w:t>
      </w:r>
    </w:p>
    <w:p w:rsidR="007C7DFE" w:rsidRPr="00266451" w:rsidP="0085426F" w14:paraId="2C64B468" w14:textId="77777777">
      <w:pPr>
        <w:autoSpaceDE w:val="0"/>
        <w:autoSpaceDN w:val="0"/>
        <w:adjustRightInd w:val="0"/>
        <w:spacing w:after="240"/>
        <w:ind w:left="567" w:hanging="567"/>
        <w:rPr>
          <w:rFonts w:eastAsiaTheme="minorHAnsi"/>
          <w:szCs w:val="24"/>
        </w:rPr>
      </w:pPr>
      <w:r w:rsidRPr="00266451">
        <w:t>I.</w:t>
      </w:r>
      <w:r w:rsidRPr="00266451">
        <w:tab/>
        <w:t>arvestades, et mitu uuringut näitab, et herbitsiiditolerantsete geneetiliselt muundatud kultuuride kasvatamise tõttu hakatakse rohkem kasutama täiendavaid herbitsiide, seda peamiselt herbitsiiditolerantse umbrohu tekke tõttu</w:t>
      </w:r>
      <w:r>
        <w:rPr>
          <w:rFonts w:eastAsiaTheme="minorHAnsi"/>
          <w:vertAlign w:val="superscript"/>
        </w:rPr>
        <w:footnoteReference w:id="8"/>
      </w:r>
      <w:r w:rsidRPr="00266451">
        <w:t>; arvestades, et sellest tulenevalt tuleb eeldada, et geneetiliselt muundatud mais puutub kokku nii suuremate kui ka korduvate herbitsiidide glüfosaadi, glufosinaadi, AOPP ja 2,4-D annustega, mistõttu võib saagis esineda nende ainete jääke ja nende lagunemisprodukte (metaboliite) suuremates kogustes;</w:t>
      </w:r>
    </w:p>
    <w:p w:rsidR="007C7DFE" w:rsidRPr="00266451" w:rsidP="0085426F" w14:paraId="2E69CB61" w14:textId="77777777">
      <w:pPr>
        <w:autoSpaceDE w:val="0"/>
        <w:autoSpaceDN w:val="0"/>
        <w:adjustRightInd w:val="0"/>
        <w:spacing w:after="240"/>
        <w:ind w:left="567" w:hanging="567"/>
        <w:rPr>
          <w:rFonts w:eastAsiaTheme="minorHAnsi"/>
          <w:szCs w:val="24"/>
        </w:rPr>
      </w:pPr>
      <w:r w:rsidRPr="00266451">
        <w:t>J.</w:t>
      </w:r>
      <w:r w:rsidRPr="00266451">
        <w:tab/>
        <w:t>arvestades, et glufosinaat on klassifitseeritud kategooria 1B reproduktiivtoksiliseks aineks ning seetõttu kehtivad selle suhtes Euroopa Parlamendi ja nõukogu määruses (EÜ) nr 1107/2009</w:t>
      </w:r>
      <w:r>
        <w:rPr>
          <w:rFonts w:eastAsiaTheme="minorHAnsi"/>
          <w:vertAlign w:val="superscript"/>
        </w:rPr>
        <w:footnoteReference w:id="9"/>
      </w:r>
      <w:r w:rsidRPr="00266451">
        <w:t xml:space="preserve"> sätestatud piirkriteeriumid; arvestades, et glufosinaat oli liidus kasutamiseks heaks kiidetud ajavahemikuks, mis lõppes 31. juulil 2018</w:t>
      </w:r>
      <w:r>
        <w:rPr>
          <w:rFonts w:eastAsiaTheme="minorHAnsi"/>
          <w:vertAlign w:val="superscript"/>
        </w:rPr>
        <w:footnoteReference w:id="10"/>
      </w:r>
      <w:r w:rsidRPr="00266451">
        <w:t>;</w:t>
      </w:r>
    </w:p>
    <w:p w:rsidR="007C7DFE" w:rsidRPr="00266451" w:rsidP="0085426F" w14:paraId="2BAC1AA9" w14:textId="77777777">
      <w:pPr>
        <w:autoSpaceDE w:val="0"/>
        <w:autoSpaceDN w:val="0"/>
        <w:adjustRightInd w:val="0"/>
        <w:spacing w:after="240"/>
        <w:ind w:left="567" w:hanging="567"/>
        <w:rPr>
          <w:rFonts w:eastAsiaTheme="minorHAnsi"/>
          <w:szCs w:val="24"/>
        </w:rPr>
      </w:pPr>
      <w:r w:rsidRPr="00266451">
        <w:t>K.</w:t>
      </w:r>
      <w:r w:rsidRPr="00266451">
        <w:tab/>
        <w:t>arvestades, et glüfosaadi ohutuse osas inimeste tervisele ja keskkonnale valitseb endiselt suur teaduslik ebakindlus; arvestades, et EFSA jõudis 2015. aasta novembris järeldusele, et glüfosaat ei ole tõenäoliselt kantserogeenne, ja Euroopa Kemikaaliamet jõudis 2017. aasta märtsis järeldusele, et selle klassifitseerimata jätmine oli õigustatud; arvestades, et Maailma Terviseorganisatsiooni vähile spetsialiseerunud amet Rahvusvaheline Vähiuurimiskeskus seevastu klassifitseeris 2015. aastal glüfosaadi inimeste jaoks tõenäoliselt kantserogeenseks aineks; arvestades, et mitu teist hiljutist eelretsenseeritud teadusuuringut kinnitavad glüfosaadi võimalikku kantserogeenset toimet</w:t>
      </w:r>
      <w:r>
        <w:rPr>
          <w:rFonts w:eastAsiaTheme="minorHAnsi"/>
          <w:vertAlign w:val="superscript"/>
        </w:rPr>
        <w:footnoteReference w:id="11"/>
      </w:r>
      <w:r w:rsidRPr="00266451">
        <w:t xml:space="preserve">; arvestades, et ajakiri „Regulatory Toxicology and Pharmacology“ on võtnud ametlikult tagasi 2000. aastal avaldatud teadusartikli „Safety Evaluation and Risk Assessment of the Herbicide Roundup and Its Active Ingredient, Glyphosate, for Humans“ (Herbitsiidi Roundup ja selle toimeaine glüfosaadi ohutuse ja riski hindamine </w:t>
      </w:r>
      <w:r w:rsidRPr="00266451">
        <w:t>inimeste puhul), mida on kasutatud glüfosaadi ohutuse kaitsmiseks paljudes riskihinnangutes, kuna „on tõstatatud küsimusi seoses selle autoritega, uurimistulemuste kehtivusega autorite ja uuringu sponsori panuse väärkajastamise kontekstis ning autorite võimalike huvide konfliktidega“</w:t>
      </w:r>
      <w:r>
        <w:rPr>
          <w:rStyle w:val="FootnoteReference"/>
        </w:rPr>
        <w:footnoteReference w:id="12"/>
      </w:r>
      <w:r w:rsidRPr="00266451">
        <w:t>;</w:t>
      </w:r>
    </w:p>
    <w:p w:rsidR="007C7DFE" w:rsidRPr="00266451" w:rsidP="0085426F" w14:paraId="048797BF" w14:textId="77777777">
      <w:pPr>
        <w:autoSpaceDE w:val="0"/>
        <w:autoSpaceDN w:val="0"/>
        <w:adjustRightInd w:val="0"/>
        <w:spacing w:after="240"/>
        <w:ind w:left="567" w:hanging="567"/>
        <w:rPr>
          <w:rFonts w:eastAsiaTheme="minorHAnsi"/>
          <w:szCs w:val="24"/>
        </w:rPr>
      </w:pPr>
      <w:r w:rsidRPr="00266451">
        <w:t>L.</w:t>
      </w:r>
      <w:r w:rsidRPr="00266451">
        <w:tab/>
        <w:t>arvestades, et ühe geneetiliselt muundatud taimede aretamisega tegeleva eksperdi eelretsenseeritud teadusartiklis seatakse küsimärgi alla 2,4-D suhtes tolerantsete geneetiliselt muundatud põllukultuuride ohutus, kuna selle aine lagunemisel tekivad tsütotoksilised lagunemisproduktid</w:t>
      </w:r>
      <w:r>
        <w:rPr>
          <w:rFonts w:eastAsiaTheme="minorHAnsi"/>
          <w:vertAlign w:val="superscript"/>
        </w:rPr>
        <w:footnoteReference w:id="13"/>
      </w:r>
      <w:r w:rsidRPr="00266451">
        <w:t>;</w:t>
      </w:r>
    </w:p>
    <w:p w:rsidR="007C7DFE" w:rsidRPr="00266451" w:rsidP="0085426F" w14:paraId="60D51F66" w14:textId="77777777">
      <w:pPr>
        <w:autoSpaceDE w:val="0"/>
        <w:autoSpaceDN w:val="0"/>
        <w:adjustRightInd w:val="0"/>
        <w:spacing w:after="240"/>
        <w:ind w:left="567" w:hanging="567"/>
        <w:rPr>
          <w:rFonts w:eastAsiaTheme="minorHAnsi"/>
          <w:szCs w:val="24"/>
        </w:rPr>
      </w:pPr>
      <w:r w:rsidRPr="00266451">
        <w:t>M.</w:t>
      </w:r>
      <w:r w:rsidRPr="00266451">
        <w:tab/>
        <w:t>arvestades, et geneetiliselt muundatud taimede herbitsiidijääkide ja neis leitud metaboliitide hindamist ei loeta EFSA geneetiliselt muundatud organismide komisjoni pädevusse kuuluvaks ning seetõttu ei ole seda GMOde loamenetluse osana ette võetud; arvestades, et see põhjustab probleeme, sest asjaomaste geneetiliselt muundatud taimede puhul võib seda, kuidas taim täiendavaid herbitsiide lagundab, ja metaboliitide koostist ning seega ka nende toksilisust mõjutada geneetiline muundamine ise</w:t>
      </w:r>
      <w:r>
        <w:rPr>
          <w:rFonts w:eastAsiaTheme="minorHAnsi"/>
          <w:vertAlign w:val="superscript"/>
        </w:rPr>
        <w:footnoteReference w:id="14"/>
      </w:r>
      <w:r w:rsidRPr="00266451">
        <w:t>;</w:t>
      </w:r>
    </w:p>
    <w:p w:rsidR="007C7DFE" w:rsidRPr="00266451" w:rsidP="0085426F" w14:paraId="6B2281EA" w14:textId="77777777">
      <w:pPr>
        <w:autoSpaceDE w:val="0"/>
        <w:autoSpaceDN w:val="0"/>
        <w:adjustRightInd w:val="0"/>
        <w:spacing w:after="240"/>
        <w:ind w:left="567" w:hanging="567"/>
        <w:rPr>
          <w:rFonts w:eastAsiaTheme="minorHAnsi"/>
          <w:szCs w:val="24"/>
        </w:rPr>
      </w:pPr>
      <w:r w:rsidRPr="00266451">
        <w:t>N.</w:t>
      </w:r>
      <w:r w:rsidRPr="00266451">
        <w:tab/>
        <w:t>arvestades, et määruses (EÜ) nr 1829/2003 nõutakse, et geneetiliselt muundatud toit ega sööt ei tohi avaldada kahjulikku mõju inimeste või loomade tervisele ega keskkonnale, ning nõutakse, et komisjon võtaks oma otsuse koostamisel arvesse kõiki liidu õigusaktide asjakohaseid sätteid ning teisi kõnealuse küsimusega seotud õiguspäraseid tegureid; arvestades, et need õiguspärased tegurid peaksid hõlmama liidu kohustusi, mis tulenevad Ühinenud Rahvaste Organisatsiooni kestliku arengu eesmärkidest, Pariisi kliimakokkuleppest</w:t>
      </w:r>
      <w:r>
        <w:rPr>
          <w:rStyle w:val="FootnoteReference"/>
          <w:rFonts w:eastAsiaTheme="minorHAnsi"/>
          <w:szCs w:val="24"/>
        </w:rPr>
        <w:footnoteReference w:id="15"/>
      </w:r>
      <w:r w:rsidRPr="00266451">
        <w:t xml:space="preserve"> ja ÜRO bioloogilise mitmekesisuse konventsioonist</w:t>
      </w:r>
      <w:r>
        <w:rPr>
          <w:rStyle w:val="FootnoteReference"/>
          <w:rFonts w:eastAsiaTheme="minorHAnsi"/>
          <w:szCs w:val="24"/>
        </w:rPr>
        <w:footnoteReference w:id="16"/>
      </w:r>
      <w:r w:rsidRPr="00266451">
        <w:t>;</w:t>
      </w:r>
    </w:p>
    <w:p w:rsidR="007C7DFE" w:rsidRPr="00266451" w:rsidP="0085426F" w14:paraId="25DEE37F" w14:textId="77777777">
      <w:pPr>
        <w:autoSpaceDE w:val="0"/>
        <w:autoSpaceDN w:val="0"/>
        <w:adjustRightInd w:val="0"/>
        <w:spacing w:after="240"/>
        <w:ind w:left="567" w:hanging="567"/>
        <w:rPr>
          <w:rFonts w:eastAsiaTheme="minorHAnsi"/>
          <w:szCs w:val="24"/>
        </w:rPr>
      </w:pPr>
      <w:r w:rsidRPr="00266451">
        <w:t>O.</w:t>
      </w:r>
      <w:r w:rsidRPr="00266451">
        <w:tab/>
        <w:t>arvestades, et elurikkusele, mulla seisundile, tolmeldajatele ja mittesihtliikidele avalduva võimaliku kahjuliku mõju sõltumatu kontroll ja seire ei ole endiselt piisavalt tagatud;</w:t>
      </w:r>
    </w:p>
    <w:p w:rsidR="007C7DFE" w:rsidRPr="00266451" w:rsidP="0085426F" w14:paraId="72CA51C8" w14:textId="77777777">
      <w:pPr>
        <w:autoSpaceDE w:val="0"/>
        <w:autoSpaceDN w:val="0"/>
        <w:adjustRightInd w:val="0"/>
        <w:spacing w:after="240"/>
        <w:ind w:left="567" w:hanging="567"/>
        <w:rPr>
          <w:rFonts w:eastAsiaTheme="minorHAnsi"/>
          <w:szCs w:val="24"/>
        </w:rPr>
      </w:pPr>
      <w:r w:rsidRPr="00266451">
        <w:t>P.</w:t>
      </w:r>
      <w:r w:rsidRPr="00266451">
        <w:tab/>
        <w:t>arvestades, et teadusliku ebakindluse korral tuleks kohaldada Euroopa Liidu toimimise lepingu artiklis 191 sätestatud ettevaatuspõhimõtet;</w:t>
      </w:r>
    </w:p>
    <w:p w:rsidR="007C7DFE" w:rsidRPr="00266451" w:rsidP="0085426F" w14:paraId="56B04CE8" w14:textId="77777777">
      <w:pPr>
        <w:autoSpaceDE w:val="0"/>
        <w:autoSpaceDN w:val="0"/>
        <w:adjustRightInd w:val="0"/>
        <w:spacing w:after="240"/>
        <w:ind w:left="567" w:hanging="567"/>
        <w:rPr>
          <w:rFonts w:eastAsiaTheme="minorHAnsi"/>
          <w:szCs w:val="24"/>
        </w:rPr>
      </w:pPr>
      <w:r w:rsidRPr="00266451">
        <w:t>Q.</w:t>
      </w:r>
      <w:r w:rsidRPr="00266451">
        <w:tab/>
        <w:t>arvestades, et liidul kui ÜRO bioloogilise mitmekesisuse konventsiooni osalisel on kooskõlas selle artikliga 3 kohustus tagada, et tema jurisdiktsioonis või kontrolli all toimuv tegevus ei kahjustaks teiste riikide keskkonda;</w:t>
      </w:r>
    </w:p>
    <w:p w:rsidR="007C7DFE" w:rsidRPr="00266451" w:rsidP="0085426F" w14:paraId="448345CF" w14:textId="77777777">
      <w:pPr>
        <w:autoSpaceDE w:val="0"/>
        <w:autoSpaceDN w:val="0"/>
        <w:adjustRightInd w:val="0"/>
        <w:spacing w:after="240"/>
        <w:ind w:left="567" w:hanging="567"/>
        <w:rPr>
          <w:rFonts w:eastAsiaTheme="minorHAnsi"/>
          <w:szCs w:val="24"/>
        </w:rPr>
      </w:pPr>
      <w:r w:rsidRPr="00266451">
        <w:t>R.</w:t>
      </w:r>
      <w:r w:rsidRPr="00266451">
        <w:tab/>
        <w:t xml:space="preserve">arvestades, et geneetiliselt muundatud maisi loa pikendamine liidu poolt ei oleks </w:t>
      </w:r>
      <w:r w:rsidRPr="00266451">
        <w:t>kooskõlas pestitsiidide vähendamist käsitlevate rahvusvaheliste kohustustega</w:t>
      </w:r>
      <w:r>
        <w:rPr>
          <w:rFonts w:eastAsiaTheme="minorHAnsi"/>
          <w:vertAlign w:val="superscript"/>
        </w:rPr>
        <w:footnoteReference w:id="17"/>
      </w:r>
      <w:r w:rsidRPr="00266451">
        <w:t>, võttes arvesse inimeste, loomade ja keskkonna suuremat kokkupuudet glüfosaadi ja glufosinaadiga riikides, kus seda herbitsiiditolerantset geneetiliselt muundatud põllukultuuri kasvatatakse, ning sellega seotud võimalikku tõsist tervisemõju;</w:t>
      </w:r>
    </w:p>
    <w:p w:rsidR="007C7DFE" w:rsidRPr="00266451" w:rsidP="0085426F" w14:paraId="7B19F4C1" w14:textId="77777777">
      <w:pPr>
        <w:autoSpaceDE w:val="0"/>
        <w:autoSpaceDN w:val="0"/>
        <w:adjustRightInd w:val="0"/>
        <w:spacing w:after="240"/>
        <w:ind w:left="567" w:hanging="567"/>
        <w:rPr>
          <w:rFonts w:eastAsiaTheme="minorHAnsi"/>
          <w:szCs w:val="24"/>
        </w:rPr>
      </w:pPr>
      <w:r w:rsidRPr="00266451">
        <w:t>S.</w:t>
      </w:r>
      <w:r w:rsidRPr="00266451">
        <w:tab/>
        <w:t>arvestades, et geneetiliselt muundatud maisi ei ole liidus lubatud kasvatada;</w:t>
      </w:r>
    </w:p>
    <w:p w:rsidR="007C7DFE" w:rsidRPr="00266451" w:rsidP="0085426F" w14:paraId="2DCF9929" w14:textId="024C37ED">
      <w:pPr>
        <w:autoSpaceDE w:val="0"/>
        <w:autoSpaceDN w:val="0"/>
        <w:adjustRightInd w:val="0"/>
        <w:spacing w:after="240"/>
        <w:ind w:left="567" w:hanging="567"/>
        <w:rPr>
          <w:rFonts w:eastAsiaTheme="minorHAnsi"/>
          <w:szCs w:val="24"/>
        </w:rPr>
      </w:pPr>
      <w:r w:rsidRPr="00266451">
        <w:t>T.</w:t>
      </w:r>
      <w:r w:rsidRPr="00266451">
        <w:tab/>
        <w:t>arvestades, et komisjoni rakendusotsus</w:t>
      </w:r>
      <w:r w:rsidRPr="00266451" w:rsidR="004033D0">
        <w:t xml:space="preserve"> (EL) 2026/1443</w:t>
      </w:r>
      <w:r w:rsidRPr="00266451">
        <w:t xml:space="preserve"> võimaldaks liitu importimist, mis ei vasta liidu põllumajandustootjate poolt järgitavatele standarditele ja seab nad seetõttu ebasoodsasse konkurentsiolukorda;</w:t>
      </w:r>
    </w:p>
    <w:p w:rsidR="007C7DFE" w:rsidRPr="00266451" w:rsidP="0085426F" w14:paraId="103375EA" w14:textId="77777777">
      <w:pPr>
        <w:autoSpaceDE w:val="0"/>
        <w:autoSpaceDN w:val="0"/>
        <w:adjustRightInd w:val="0"/>
        <w:spacing w:after="240"/>
        <w:ind w:left="567" w:hanging="567"/>
        <w:rPr>
          <w:rFonts w:eastAsiaTheme="minorHAnsi"/>
          <w:szCs w:val="24"/>
        </w:rPr>
      </w:pPr>
      <w:r w:rsidRPr="00266451">
        <w:t>U.</w:t>
      </w:r>
      <w:r w:rsidRPr="00266451">
        <w:tab/>
        <w:t>arvestades, et ELi põllumajanduse tulevikku käsitleva strateegilise dialoogi</w:t>
      </w:r>
      <w:r>
        <w:rPr>
          <w:rFonts w:eastAsiaTheme="minorHAnsi"/>
          <w:vertAlign w:val="superscript"/>
        </w:rPr>
        <w:footnoteReference w:id="18"/>
      </w:r>
      <w:r w:rsidRPr="00266451">
        <w:t xml:space="preserve"> järeldustes kutsutakse komisjoni üles uuesti hindama oma lähenemisviisi põllumajanduslike toiduainete impordi ja ekspordi turulepääsule, võttes arvesse liidu ja selle kaubanduspartnerite lahknevate standardite probleemi; arvestades, et õiglasemad kaubandussuhted ülemaailmsel tasandil, mis on kooskõlas tervisliku keskkonna eesmärkidega, olid 2023., 2024. ja 2025. aasta meeleavaldustel põllumajandustootjate üks peamisi nõudmisi;</w:t>
      </w:r>
    </w:p>
    <w:p w:rsidR="007C7DFE" w:rsidRPr="00266451" w:rsidP="0085426F" w14:paraId="213F5871" w14:textId="410A2696">
      <w:pPr>
        <w:autoSpaceDE w:val="0"/>
        <w:autoSpaceDN w:val="0"/>
        <w:adjustRightInd w:val="0"/>
        <w:spacing w:after="360"/>
        <w:ind w:left="567" w:hanging="567"/>
        <w:rPr>
          <w:rFonts w:eastAsiaTheme="minorHAnsi"/>
          <w:szCs w:val="24"/>
        </w:rPr>
      </w:pPr>
      <w:r w:rsidRPr="00266451">
        <w:t>V.</w:t>
      </w:r>
      <w:r w:rsidRPr="00266451">
        <w:tab/>
        <w:t>arvestades, et Euroopa Parlament on korduvalt rõhutanud, et komisjon ei tohiks anda luba GMOdele juhtudel, kui liikmesriigid ei saavuta alalises taime-, looma-, toidu- ja söödakomitees või apellatsioonikomitees kvalifitseeritud häälteenamust, et leevendada püsivat demokraatia defitsiiti;</w:t>
      </w:r>
    </w:p>
    <w:p w:rsidR="007C7DFE" w:rsidRPr="00266451" w:rsidP="0085426F" w14:paraId="1630B701" w14:textId="77777777">
      <w:pPr>
        <w:autoSpaceDE w:val="0"/>
        <w:autoSpaceDN w:val="0"/>
        <w:adjustRightInd w:val="0"/>
        <w:spacing w:after="360"/>
        <w:ind w:left="567" w:hanging="567"/>
        <w:rPr>
          <w:rFonts w:eastAsiaTheme="minorHAnsi"/>
          <w:szCs w:val="24"/>
        </w:rPr>
      </w:pPr>
      <w:r w:rsidRPr="00266451">
        <w:t>W.</w:t>
      </w:r>
      <w:r w:rsidRPr="00266451">
        <w:tab/>
        <w:t>arvestades, et kuigi komisjon tunnistab puudujääke demokraatlikus protsessis, liikmesriikide toetuse puudumist ja Euroopa Parlamendi vastuväiteid, jätkab ta siiski GMOdele lubade andmist;</w:t>
      </w:r>
    </w:p>
    <w:p w:rsidR="007C7DFE" w:rsidRPr="00266451" w:rsidP="0085426F" w14:paraId="65E94D92" w14:textId="77777777">
      <w:pPr>
        <w:autoSpaceDE w:val="0"/>
        <w:autoSpaceDN w:val="0"/>
        <w:adjustRightInd w:val="0"/>
        <w:spacing w:after="360"/>
        <w:ind w:left="567" w:hanging="567"/>
      </w:pPr>
      <w:r w:rsidRPr="00266451">
        <w:t>X.</w:t>
      </w:r>
      <w:r w:rsidRPr="00266451">
        <w:tab/>
        <w:t>arvestades, et terviseühtsuse põhimõtte kohaselt tuleb GMOde pikaajalise kestlikkuse ja ohutuse hindamisel arvesse võtta inimeste, loomade, taimede ja keskkonna tervise vastastikust sõltuvust;</w:t>
      </w:r>
    </w:p>
    <w:p w:rsidR="007C7DFE" w:rsidRPr="00266451" w:rsidP="0085426F" w14:paraId="4251BA52" w14:textId="2049E514">
      <w:pPr>
        <w:pStyle w:val="NormalHanging12a"/>
      </w:pPr>
      <w:r w:rsidRPr="00266451">
        <w:t>1.</w:t>
      </w:r>
      <w:r w:rsidRPr="00266451">
        <w:tab/>
        <w:t>on seisukohal, et komisjoni rakendusotsus</w:t>
      </w:r>
      <w:r w:rsidRPr="00266451" w:rsidR="004033D0">
        <w:t xml:space="preserve"> (EL) 2026/1443</w:t>
      </w:r>
      <w:r w:rsidRPr="00266451">
        <w:t xml:space="preserve"> ületab määruses (EÜ) nr 1829/2003 sätestatud rakendamisvolitusi;</w:t>
      </w:r>
    </w:p>
    <w:p w:rsidR="007C7DFE" w:rsidRPr="00266451" w:rsidP="0085426F" w14:paraId="5465C54A" w14:textId="0AFC580E">
      <w:pPr>
        <w:pStyle w:val="NormalHanging12a"/>
      </w:pPr>
      <w:r w:rsidRPr="00266451">
        <w:t>2.</w:t>
      </w:r>
      <w:r w:rsidRPr="00266451">
        <w:tab/>
        <w:t xml:space="preserve">on seisukohal, et komisjoni rakendusotsus </w:t>
      </w:r>
      <w:r w:rsidRPr="00266451" w:rsidR="004033D0">
        <w:t xml:space="preserve">(EL) 2026/1443 </w:t>
      </w:r>
      <w:r w:rsidRPr="00266451">
        <w:t>on vastuolus liidu õigusega, sest see ei ole kooskõlas määruse (EÜ) nr 1829/2003 eesmärgiga, milleks Euroopa Parlamendi ja nõukogu määruses (EÜ) nr 178/2002</w:t>
      </w:r>
      <w:r>
        <w:rPr>
          <w:vertAlign w:val="superscript"/>
        </w:rPr>
        <w:footnoteReference w:id="19"/>
      </w:r>
      <w:r w:rsidRPr="00266451">
        <w:t xml:space="preserve"> sätestatud üldpõhimõtete kohaselt on luua alus inimeste elu ja tervise, loomade tervise ja heaolu ning keskkonna ja tarbijate huvide kaitse kõrge taseme tagamiseks seoses geneetiliselt muundatud toidu ja </w:t>
      </w:r>
      <w:r w:rsidRPr="00266451">
        <w:t>sööda kasutamisega ning tagada samal ajal ka siseturu tõhus toimimine;</w:t>
      </w:r>
    </w:p>
    <w:p w:rsidR="007C7DFE" w:rsidRPr="00266451" w:rsidP="0085426F" w14:paraId="5F4E7821" w14:textId="0DCAD3DA">
      <w:pPr>
        <w:pStyle w:val="NormalHanging12a"/>
      </w:pPr>
      <w:r w:rsidRPr="00266451">
        <w:t>3.</w:t>
      </w:r>
      <w:r w:rsidRPr="00266451">
        <w:tab/>
        <w:t>palub komisjonil oma rakendusotsus</w:t>
      </w:r>
      <w:r w:rsidRPr="00266451" w:rsidR="004033D0">
        <w:t xml:space="preserve"> (EL) 2026/1443 kehtetuks tunnistada</w:t>
      </w:r>
      <w:r w:rsidRPr="00266451">
        <w:t>;</w:t>
      </w:r>
    </w:p>
    <w:p w:rsidR="007C7DFE" w:rsidRPr="00266451" w:rsidP="0085426F" w14:paraId="6063786E" w14:textId="77777777">
      <w:pPr>
        <w:pStyle w:val="NormalHanging12a"/>
      </w:pPr>
      <w:r w:rsidRPr="00266451">
        <w:t>4.</w:t>
      </w:r>
      <w:r w:rsidRPr="00266451">
        <w:tab/>
        <w:t>kutsub komisjoni üles mitte andma luba herbitsiiditolerantsete geneetiliselt muundatud põllukultuuride impordiks, kuna sellega kaasneb täiendavate herbitsiidide kasutamise suurenemine ning seetõttu suuremad riskid elurikkusele, toiduohutusele ja töötajate tervisele;</w:t>
      </w:r>
    </w:p>
    <w:p w:rsidR="007C7DFE" w:rsidRPr="00266451" w:rsidP="0085426F" w14:paraId="63100A1F" w14:textId="77777777">
      <w:pPr>
        <w:pStyle w:val="NormalHanging12a"/>
      </w:pPr>
      <w:r w:rsidRPr="00266451">
        <w:t>5.</w:t>
      </w:r>
      <w:r w:rsidRPr="00266451">
        <w:tab/>
        <w:t>väljendab heameelt selle üle, et komisjon tunnistas oma 11. septembri 2020. aasta kirjas parlamendiliikmetele, et GMOde lubamise otsuste tegemisel on vaja arvesse võtta kestlikkust</w:t>
      </w:r>
      <w:r>
        <w:rPr>
          <w:vertAlign w:val="superscript"/>
        </w:rPr>
        <w:footnoteReference w:id="20"/>
      </w:r>
      <w:r w:rsidRPr="00266451">
        <w:t>; väljendab siiski sügavat pettumust, et komisjon on pärast seda jätkanud GMOde liitu importimiseks lubade andmist, hoolimata Euroopa Parlamendi püsivast vastuseisust ja asjaolust, et enamik liikmesriike hääletab selle vastu;</w:t>
      </w:r>
    </w:p>
    <w:p w:rsidR="007C7DFE" w:rsidRPr="00266451" w:rsidP="0085426F" w14:paraId="79613242" w14:textId="77777777">
      <w:pPr>
        <w:pStyle w:val="NormalHanging12a"/>
      </w:pPr>
      <w:r w:rsidRPr="00266451">
        <w:t>6.</w:t>
      </w:r>
      <w:r w:rsidRPr="00266451">
        <w:tab/>
        <w:t>nõuab veel kord tungivalt, et komisjon võtaks arvesse liidu kohustusi, mis tulenevad sellistest rahvusvahelistest kokkulepetest nagu Pariisi kliimakokkulepe, ÜRO bioloogilise mitmekesisuse konventsioon ja ÜRO kestliku arengu eesmärgid; kordab oma nõudmist lisada rakendusaktide eelnõudele seletuskiri, milles selgitatakse, kuidas nendega järgitakse kahju mittetekitamise põhimõtet</w:t>
      </w:r>
      <w:r>
        <w:rPr>
          <w:vertAlign w:val="superscript"/>
        </w:rPr>
        <w:footnoteReference w:id="21"/>
      </w:r>
      <w:r w:rsidRPr="00266451">
        <w:t>;</w:t>
      </w:r>
    </w:p>
    <w:p w:rsidR="007C7DFE" w:rsidRPr="00266451" w:rsidP="0085426F" w14:paraId="20D1F681" w14:textId="77777777">
      <w:pPr>
        <w:pStyle w:val="NormalHanging12a"/>
      </w:pPr>
      <w:r w:rsidRPr="00266451">
        <w:t>7.</w:t>
      </w:r>
      <w:r w:rsidRPr="00266451">
        <w:tab/>
        <w:t>toonitab, et muudatusettepanekutes, mis käsitlevad ettepanekut võtta vastu Euroopa Parlamendi ja nõukogu määrus, millega muudetakse määrust (EL) nr 182/2011</w:t>
      </w:r>
      <w:r>
        <w:rPr>
          <w:vertAlign w:val="superscript"/>
        </w:rPr>
        <w:footnoteReference w:id="22"/>
      </w:r>
      <w:r w:rsidRPr="00266451">
        <w:t>, ja mille Euroopa Parlament võttis vastu 17. detsembril 2020 nõukoguga peetavate läbirääkimiste alusena, märgitakse, et komisjon ei tohi anda GMOdele luba, kui selle toetuseks puudub liikmesriikide kvalifitseeritud häälteenamus; nõuab, et komisjon järgiks seda seisukohta, ning kutsub nõukogu üles jätkama oma tööd ja võtma selle ettepaneku suhtes kiiremas korras vastu üldise lähenemisviisi;</w:t>
      </w:r>
    </w:p>
    <w:p w:rsidR="00E365E1" w:rsidRPr="00266451" w:rsidP="0085426F" w14:paraId="0EAD9B73" w14:textId="7B7C1AAC">
      <w:pPr>
        <w:pStyle w:val="NormalHanging12a"/>
      </w:pPr>
      <w:r w:rsidRPr="00266451">
        <w:t>8.</w:t>
      </w:r>
      <w:r w:rsidRPr="00266451">
        <w:tab/>
        <w:t>teeb presidendile ülesandeks edastada käesolev resolutsioon nõukogule ja komisjonile ning liikmesriikide valitsustele ja parlamentidele.</w:t>
      </w:r>
    </w:p>
    <w:sectPr w:rsidSect="003B1D7C">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B1D7C" w14:paraId="13A59EB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B1D7C" w14:paraId="140DAA5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B1D7C" w14:paraId="5063B7B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77C4F" w:rsidRPr="003B1D7C" w14:paraId="5C2C3C48" w14:textId="77777777">
      <w:r w:rsidRPr="003B1D7C">
        <w:separator/>
      </w:r>
    </w:p>
  </w:footnote>
  <w:footnote w:type="continuationSeparator" w:id="1">
    <w:p w:rsidR="00977C4F" w:rsidRPr="003B1D7C" w14:paraId="425E0026" w14:textId="77777777">
      <w:r w:rsidRPr="003B1D7C">
        <w:continuationSeparator/>
      </w:r>
    </w:p>
  </w:footnote>
  <w:footnote w:id="2">
    <w:p w:rsidR="00A06A0E" w:rsidRPr="00266451" w:rsidP="00266451" w14:paraId="1DC15121" w14:textId="01191EC2">
      <w:pPr>
        <w:pStyle w:val="FootnoteText"/>
        <w:ind w:left="567" w:hanging="567"/>
        <w:rPr>
          <w:sz w:val="24"/>
          <w:szCs w:val="24"/>
          <w:lang w:val="et-EE"/>
        </w:rPr>
      </w:pPr>
      <w:r w:rsidRPr="00266451">
        <w:rPr>
          <w:rStyle w:val="FootnoteReference"/>
          <w:sz w:val="24"/>
          <w:szCs w:val="24"/>
        </w:rPr>
        <w:footnoteRef/>
      </w:r>
      <w:r w:rsidRPr="00266451">
        <w:rPr>
          <w:sz w:val="24"/>
          <w:szCs w:val="24"/>
          <w:lang w:val="et-EE"/>
        </w:rPr>
        <w:tab/>
        <w:t>ELT L, 2026/1443, 3.7.2026, ELI: </w:t>
      </w:r>
      <w:hyperlink r:id="rId1" w:history="1">
        <w:r w:rsidRPr="00266451">
          <w:rPr>
            <w:rStyle w:val="Hyperlink"/>
            <w:sz w:val="24"/>
            <w:szCs w:val="24"/>
            <w:lang w:val="fi-FI"/>
          </w:rPr>
          <w:t>http://data.europa.eu/eli/dec_impl/2026/1443/oj</w:t>
        </w:r>
      </w:hyperlink>
      <w:r>
        <w:rPr>
          <w:sz w:val="24"/>
          <w:szCs w:val="24"/>
          <w:lang w:val="fi-FI"/>
        </w:rPr>
        <w:t>.</w:t>
      </w:r>
    </w:p>
  </w:footnote>
  <w:footnote w:id="3">
    <w:p w:rsidR="007C7DFE" w:rsidRPr="003B1D7C" w:rsidP="003B1D7C" w14:paraId="0AA3CF6A" w14:textId="392DFF9A">
      <w:pPr>
        <w:pStyle w:val="FootnoteText"/>
        <w:ind w:left="567" w:hanging="567"/>
        <w:rPr>
          <w:sz w:val="24"/>
          <w:lang w:val="et-EE"/>
        </w:rPr>
      </w:pPr>
      <w:r w:rsidRPr="003B1D7C">
        <w:rPr>
          <w:rStyle w:val="Funotenzeichen"/>
          <w:sz w:val="24"/>
          <w:lang w:val="et-EE"/>
        </w:rPr>
        <w:footnoteRef/>
      </w:r>
      <w:r w:rsidRPr="003B1D7C" w:rsidR="003B1D7C">
        <w:rPr>
          <w:sz w:val="24"/>
          <w:lang w:val="et-EE"/>
        </w:rPr>
        <w:tab/>
      </w:r>
      <w:r w:rsidRPr="003B1D7C">
        <w:rPr>
          <w:sz w:val="24"/>
          <w:lang w:val="et-EE"/>
        </w:rPr>
        <w:t xml:space="preserve">ELT L 268, 18.10.2003, lk 1, ELI: </w:t>
      </w:r>
      <w:hyperlink r:id="rId2" w:tooltip="Annab juurdepääsu sellele dokumendile tema ELI URI kaudu." w:history="1">
        <w:r w:rsidRPr="003B1D7C">
          <w:rPr>
            <w:rStyle w:val="Hyperlink"/>
            <w:sz w:val="24"/>
            <w:lang w:val="et-EE"/>
          </w:rPr>
          <w:t>http://data.europa.eu/eli/reg/2003/1829/oj</w:t>
        </w:r>
      </w:hyperlink>
      <w:r w:rsidRPr="003B1D7C">
        <w:rPr>
          <w:sz w:val="24"/>
          <w:lang w:val="et-EE"/>
        </w:rPr>
        <w:t>.</w:t>
      </w:r>
    </w:p>
  </w:footnote>
  <w:footnote w:id="4">
    <w:p w:rsidR="007C7DFE" w:rsidRPr="003B1D7C" w:rsidP="003B1D7C" w14:paraId="4958DC51" w14:textId="34B393A2">
      <w:pPr>
        <w:pStyle w:val="FootnoteText"/>
        <w:ind w:left="567" w:hanging="567"/>
        <w:rPr>
          <w:sz w:val="24"/>
          <w:lang w:val="et-EE"/>
        </w:rPr>
      </w:pPr>
      <w:r w:rsidRPr="003B1D7C">
        <w:rPr>
          <w:rStyle w:val="FootnoteReference"/>
          <w:sz w:val="24"/>
          <w:lang w:val="et-EE"/>
        </w:rPr>
        <w:footnoteRef/>
      </w:r>
      <w:r w:rsidRPr="003B1D7C" w:rsidR="003B1D7C">
        <w:rPr>
          <w:sz w:val="24"/>
          <w:lang w:val="et-EE"/>
        </w:rPr>
        <w:tab/>
      </w:r>
      <w:r w:rsidRPr="003B1D7C">
        <w:rPr>
          <w:sz w:val="24"/>
          <w:lang w:val="et-EE"/>
        </w:rPr>
        <w:t>ELT L 55, 28.2.2011, lk 13, ELI: </w:t>
      </w:r>
      <w:hyperlink r:id="rId3" w:history="1">
        <w:r w:rsidRPr="003B1D7C">
          <w:rPr>
            <w:rStyle w:val="Hyperlink"/>
            <w:sz w:val="24"/>
            <w:lang w:val="et-EE"/>
          </w:rPr>
          <w:t>http://data.europa.eu/eli/reg/2011/182/oj</w:t>
        </w:r>
      </w:hyperlink>
      <w:r w:rsidRPr="003B1D7C">
        <w:rPr>
          <w:sz w:val="24"/>
          <w:lang w:val="et-EE"/>
        </w:rPr>
        <w:t>.</w:t>
      </w:r>
    </w:p>
  </w:footnote>
  <w:footnote w:id="5">
    <w:p w:rsidR="007C7DFE" w:rsidRPr="003B1D7C" w:rsidP="0085426F" w14:paraId="7BE71E85" w14:textId="65CAFF3B">
      <w:pPr>
        <w:pStyle w:val="FootnoteText"/>
        <w:ind w:left="567" w:hanging="567"/>
        <w:rPr>
          <w:sz w:val="24"/>
          <w:lang w:val="et-EE"/>
        </w:rPr>
      </w:pPr>
      <w:r w:rsidRPr="003B1D7C">
        <w:rPr>
          <w:rStyle w:val="Funotenzeichen"/>
          <w:sz w:val="24"/>
          <w:lang w:val="et-EE"/>
        </w:rPr>
        <w:footnoteRef/>
      </w:r>
      <w:r w:rsidRPr="003B1D7C" w:rsidR="003B1D7C">
        <w:rPr>
          <w:sz w:val="24"/>
          <w:lang w:val="et-EE"/>
        </w:rPr>
        <w:tab/>
      </w:r>
      <w:r w:rsidRPr="003B1D7C">
        <w:rPr>
          <w:sz w:val="24"/>
          <w:lang w:val="et-EE"/>
        </w:rPr>
        <w:t xml:space="preserve">EFSA geneetiliselt muundatud organismide komisjoni teaduslik arvamus geneetiliselt muundatud maisi DP202216 × NK603 × DAS-40278-9 hindamise kohta (taotlus </w:t>
      </w:r>
      <w:r w:rsidRPr="003B1D7C">
        <w:rPr>
          <w:sz w:val="24"/>
          <w:lang w:val="et-EE"/>
        </w:rPr>
        <w:t>GMFF</w:t>
      </w:r>
      <w:r w:rsidRPr="003B1D7C">
        <w:rPr>
          <w:sz w:val="24"/>
          <w:lang w:val="et-EE"/>
        </w:rPr>
        <w:t xml:space="preserve">-2022-6232), </w:t>
      </w:r>
      <w:r w:rsidRPr="00266451">
        <w:rPr>
          <w:iCs/>
          <w:sz w:val="24"/>
          <w:lang w:val="et-EE"/>
        </w:rPr>
        <w:t>EFSA</w:t>
      </w:r>
      <w:r w:rsidRPr="00266451">
        <w:rPr>
          <w:iCs/>
          <w:sz w:val="24"/>
          <w:lang w:val="et-EE"/>
        </w:rPr>
        <w:t xml:space="preserve"> </w:t>
      </w:r>
      <w:r w:rsidRPr="00266451">
        <w:rPr>
          <w:iCs/>
          <w:sz w:val="24"/>
          <w:lang w:val="et-EE"/>
        </w:rPr>
        <w:t>Journal</w:t>
      </w:r>
      <w:r w:rsidRPr="0085426F">
        <w:rPr>
          <w:iCs/>
          <w:sz w:val="24"/>
          <w:lang w:val="et-EE"/>
        </w:rPr>
        <w:t>,</w:t>
      </w:r>
      <w:r w:rsidRPr="003B1D7C">
        <w:rPr>
          <w:sz w:val="24"/>
          <w:lang w:val="et-EE"/>
        </w:rPr>
        <w:t xml:space="preserve"> 2025, 23(12):</w:t>
      </w:r>
      <w:r w:rsidRPr="003B1D7C">
        <w:rPr>
          <w:sz w:val="24"/>
          <w:lang w:val="et-EE"/>
        </w:rPr>
        <w:t>e9746</w:t>
      </w:r>
      <w:r w:rsidRPr="003B1D7C">
        <w:rPr>
          <w:sz w:val="24"/>
          <w:lang w:val="et-EE"/>
        </w:rPr>
        <w:t xml:space="preserve">, </w:t>
      </w:r>
      <w:hyperlink r:id="rId4" w:history="1">
        <w:r w:rsidRPr="003B1D7C">
          <w:rPr>
            <w:rStyle w:val="Hyperlink"/>
            <w:sz w:val="24"/>
            <w:lang w:val="et-EE"/>
          </w:rPr>
          <w:t>https://doi.org/10.2903/j.efsa.2025.9746</w:t>
        </w:r>
      </w:hyperlink>
      <w:r w:rsidRPr="003B1D7C">
        <w:rPr>
          <w:rStyle w:val="Hyperlink"/>
          <w:sz w:val="24"/>
          <w:lang w:val="et-EE"/>
        </w:rPr>
        <w:t>.</w:t>
      </w:r>
    </w:p>
  </w:footnote>
  <w:footnote w:id="6">
    <w:p w:rsidR="007C7DFE" w:rsidRPr="003B1D7C" w:rsidP="003B1D7C" w14:paraId="6C8ADCE9" w14:textId="37AE59D1">
      <w:pPr>
        <w:pStyle w:val="FootnoteText"/>
        <w:ind w:left="567" w:hanging="567"/>
        <w:rPr>
          <w:color w:val="000000" w:themeColor="text1"/>
          <w:sz w:val="24"/>
          <w:vertAlign w:val="superscript"/>
          <w:lang w:val="et-EE"/>
        </w:rPr>
      </w:pPr>
      <w:r w:rsidRPr="003B1D7C">
        <w:rPr>
          <w:rStyle w:val="Funotenzeichen"/>
          <w:sz w:val="24"/>
          <w:lang w:val="et-EE"/>
        </w:rPr>
        <w:footnoteRef/>
      </w:r>
      <w:r w:rsidRPr="003B1D7C" w:rsidR="003B1D7C">
        <w:rPr>
          <w:color w:val="000000" w:themeColor="text1"/>
          <w:sz w:val="24"/>
          <w:lang w:val="et-EE"/>
        </w:rPr>
        <w:tab/>
      </w:r>
      <w:r w:rsidR="0085426F">
        <w:rPr>
          <w:color w:val="000000" w:themeColor="text1"/>
          <w:sz w:val="24"/>
          <w:lang w:val="et-EE"/>
        </w:rPr>
        <w:t xml:space="preserve">Euroopa </w:t>
      </w:r>
      <w:r w:rsidRPr="003B1D7C">
        <w:rPr>
          <w:color w:val="000000" w:themeColor="text1"/>
          <w:sz w:val="24"/>
          <w:lang w:val="et-EE"/>
        </w:rPr>
        <w:t>Parlament võttis kaheksandal ametiajal vastu 36 resolutsiooni ja üheksandal ametiajal 38 resolutsiooni,</w:t>
      </w:r>
      <w:r w:rsidRPr="003B1D7C">
        <w:rPr>
          <w:sz w:val="24"/>
          <w:lang w:val="et-EE"/>
        </w:rPr>
        <w:t xml:space="preserve"> milles väljendatakse vastuseisu </w:t>
      </w:r>
      <w:r w:rsidRPr="003B1D7C">
        <w:rPr>
          <w:color w:val="000000" w:themeColor="text1"/>
          <w:sz w:val="24"/>
          <w:lang w:val="et-EE"/>
        </w:rPr>
        <w:t>GMOde lubamisele. Lisaks on parlament kümnendal ametiajal vastu võtnud järgmised resolutsioonid:</w:t>
      </w:r>
    </w:p>
    <w:p w:rsidR="007C7DFE" w:rsidRPr="003B1D7C" w:rsidP="0085426F" w14:paraId="2649B595" w14:textId="7A91ACCD">
      <w:pPr>
        <w:pStyle w:val="FootnoteText"/>
        <w:ind w:left="1134" w:hanging="567"/>
        <w:rPr>
          <w:color w:val="000000" w:themeColor="text1"/>
          <w:sz w:val="24"/>
          <w:vertAlign w:val="superscript"/>
          <w:lang w:val="et-EE"/>
        </w:rPr>
      </w:pPr>
      <w:r w:rsidRPr="003B1D7C">
        <w:rPr>
          <w:color w:val="000000" w:themeColor="text1"/>
          <w:sz w:val="24"/>
          <w:lang w:val="et-EE"/>
        </w:rPr>
        <w:t>–</w:t>
      </w:r>
      <w:r w:rsidRPr="003B1D7C">
        <w:rPr>
          <w:color w:val="000000" w:themeColor="text1"/>
          <w:sz w:val="24"/>
          <w:lang w:val="et-EE"/>
        </w:rPr>
        <w:tab/>
        <w:t>Euroopa Parlamendi 26. novembri 2024. aasta resolutsioon komisjoni rakendusotsuse (EL) 2024/2628 kohta, millega pikendatakse geneetiliselt muundatud maisi MON 89034 × 1507 × NK603 sisaldavate, sellest koosnevate või sellest valmistatud toodete turule laskmise loa kehtivust vastavalt Euroopa Parlamendi ja nõukogu määrusele (EÜ) nr 1829/2003 (ELT C, C/2025/1797, 4.4.2025, ELI: </w:t>
      </w:r>
      <w:hyperlink r:id="rId5" w:history="1">
        <w:r w:rsidRPr="003B1D7C">
          <w:rPr>
            <w:rStyle w:val="Hyperlink"/>
            <w:sz w:val="24"/>
            <w:lang w:val="et-EE"/>
          </w:rPr>
          <w:t>http://data.europa.eu/eli/C/2025/1797/oj</w:t>
        </w:r>
      </w:hyperlink>
      <w:r w:rsidRPr="003B1D7C">
        <w:rPr>
          <w:color w:val="000000" w:themeColor="text1"/>
          <w:sz w:val="24"/>
          <w:lang w:val="et-EE"/>
        </w:rPr>
        <w:t>);</w:t>
      </w:r>
    </w:p>
    <w:p w:rsidR="007C7DFE" w:rsidRPr="003B1D7C" w:rsidP="0085426F" w14:paraId="74C7CDFF" w14:textId="1F2F83AC">
      <w:pPr>
        <w:pStyle w:val="FootnoteText"/>
        <w:ind w:left="1134" w:hanging="567"/>
        <w:rPr>
          <w:color w:val="000000" w:themeColor="text1"/>
          <w:sz w:val="24"/>
          <w:vertAlign w:val="superscript"/>
          <w:lang w:val="et-EE"/>
        </w:rPr>
      </w:pPr>
      <w:r w:rsidRPr="003B1D7C">
        <w:rPr>
          <w:color w:val="000000" w:themeColor="text1"/>
          <w:sz w:val="24"/>
          <w:lang w:val="et-EE"/>
        </w:rPr>
        <w:t>–</w:t>
      </w:r>
      <w:r w:rsidRPr="003B1D7C">
        <w:rPr>
          <w:color w:val="000000" w:themeColor="text1"/>
          <w:sz w:val="24"/>
          <w:lang w:val="et-EE"/>
        </w:rPr>
        <w:tab/>
        <w:t>Euroopa Parlamendi 26. novembri 2024. aasta resolutsioon komisjoni rakendusotsuse (EL) 2024/2627 kohta, millega lubatakse viia turule geneetiliselt muundatud puuvilla COT102 sisaldavaid, sellest koosnevaid või sellest toodetud tooteid vastavalt Euroopa Parlamendi ja nõukogu määrusele (EÜ) nr 1829/2003 (ELT C, C/2025/1798, 4.4.2025, ELI: </w:t>
      </w:r>
      <w:hyperlink r:id="rId6" w:history="1">
        <w:r w:rsidRPr="003B1D7C">
          <w:rPr>
            <w:rStyle w:val="Hyperlink"/>
            <w:sz w:val="24"/>
            <w:lang w:val="et-EE"/>
          </w:rPr>
          <w:t>http://data.europa.eu/eli/C/2025/1798/oj</w:t>
        </w:r>
      </w:hyperlink>
      <w:r w:rsidRPr="003B1D7C">
        <w:rPr>
          <w:color w:val="000000" w:themeColor="text1"/>
          <w:sz w:val="24"/>
          <w:lang w:val="et-EE"/>
        </w:rPr>
        <w:t>);</w:t>
      </w:r>
    </w:p>
    <w:p w:rsidR="007C7DFE" w:rsidRPr="003B1D7C" w:rsidP="0085426F" w14:paraId="3036AAAC" w14:textId="295E04A3">
      <w:pPr>
        <w:pStyle w:val="FootnoteText"/>
        <w:ind w:left="1134" w:hanging="567"/>
        <w:rPr>
          <w:color w:val="000000" w:themeColor="text1"/>
          <w:sz w:val="24"/>
          <w:vertAlign w:val="superscript"/>
          <w:lang w:val="et-EE"/>
        </w:rPr>
      </w:pPr>
      <w:r w:rsidRPr="003B1D7C">
        <w:rPr>
          <w:color w:val="000000" w:themeColor="text1"/>
          <w:sz w:val="24"/>
          <w:lang w:val="et-EE"/>
        </w:rPr>
        <w:t>–</w:t>
      </w:r>
      <w:r w:rsidRPr="003B1D7C">
        <w:rPr>
          <w:color w:val="000000" w:themeColor="text1"/>
          <w:sz w:val="24"/>
          <w:lang w:val="et-EE"/>
        </w:rPr>
        <w:tab/>
        <w:t>Euroopa Parlamendi 26. novembri 2024. aasta resolutsioon komisjoni rakendusotsuse (EL) 2024/2629 kohta, millega pikendatakse geneetiliselt muundatud maisi MON 89034 × 1507 × MON 88017 × 59122 ja selle kaheksat alakombinatsiooni sisaldavate, sellest koosnevate või sellest valmistatud toodete turule laskmise loa kehtivust vastavalt Euroopa Parlamendi ja nõukogu määrusele (EÜ) nr 1829/2003 (ELT C, C/2025/1799, 4.4.2025, ELI: </w:t>
      </w:r>
      <w:hyperlink r:id="rId7" w:history="1">
        <w:r w:rsidRPr="003B1D7C">
          <w:rPr>
            <w:rStyle w:val="Hyperlink"/>
            <w:sz w:val="24"/>
            <w:lang w:val="et-EE"/>
          </w:rPr>
          <w:t>http://data.europa.eu/eli/C/2025/1799/oj</w:t>
        </w:r>
      </w:hyperlink>
      <w:r w:rsidRPr="003B1D7C">
        <w:rPr>
          <w:color w:val="000000" w:themeColor="text1"/>
          <w:sz w:val="24"/>
          <w:lang w:val="et-EE"/>
        </w:rPr>
        <w:t>);</w:t>
      </w:r>
    </w:p>
    <w:p w:rsidR="007C7DFE" w:rsidRPr="003B1D7C" w:rsidP="0085426F" w14:paraId="3C3E45DA" w14:textId="20A27C38">
      <w:pPr>
        <w:pStyle w:val="FootnoteText"/>
        <w:ind w:left="1134" w:hanging="567"/>
        <w:rPr>
          <w:color w:val="000000" w:themeColor="text1"/>
          <w:sz w:val="24"/>
          <w:vertAlign w:val="superscript"/>
          <w:lang w:val="et-EE"/>
        </w:rPr>
      </w:pPr>
      <w:r w:rsidRPr="003B1D7C">
        <w:rPr>
          <w:color w:val="000000" w:themeColor="text1"/>
          <w:sz w:val="24"/>
          <w:lang w:val="et-EE"/>
        </w:rPr>
        <w:t>–</w:t>
      </w:r>
      <w:r w:rsidRPr="003B1D7C">
        <w:rPr>
          <w:color w:val="000000" w:themeColor="text1"/>
          <w:sz w:val="24"/>
          <w:lang w:val="et-EE"/>
        </w:rPr>
        <w:tab/>
        <w:t>Euroopa Parlamendi 26. novembri 2024. aasta resolutsioon komisjoni rakendusotsuse (EL) 2024/1828 kohta, millega pikendatakse geneetiliselt muundatud maisi MON 810 sisaldava, sellest koosneva ja sellest valmistatud toidu ja sööda turuleviimise loa kehtivust vastavalt Euroopa Parlamendi ja nõukogu määrusele (EÜ) nr 1829/2003 ning tunnistatakse kehtetuks komisjoni rakendusotsus (EL) 2017/1207 (ELT C, C/2025/1800, 4.4.2025, ELI: </w:t>
      </w:r>
      <w:hyperlink r:id="rId8" w:history="1">
        <w:r w:rsidRPr="003B1D7C">
          <w:rPr>
            <w:rStyle w:val="Hyperlink"/>
            <w:sz w:val="24"/>
            <w:lang w:val="et-EE"/>
          </w:rPr>
          <w:t>http://data.europa.eu/eli/C/2025/1800/oj</w:t>
        </w:r>
      </w:hyperlink>
      <w:r w:rsidRPr="003B1D7C">
        <w:rPr>
          <w:color w:val="000000" w:themeColor="text1"/>
          <w:sz w:val="24"/>
          <w:lang w:val="et-EE"/>
        </w:rPr>
        <w:t>);</w:t>
      </w:r>
    </w:p>
    <w:p w:rsidR="007C7DFE" w:rsidRPr="003B1D7C" w:rsidP="0085426F" w14:paraId="3C0A8CF8" w14:textId="4B50534F">
      <w:pPr>
        <w:pStyle w:val="FootnoteText"/>
        <w:ind w:left="1134" w:hanging="567"/>
        <w:rPr>
          <w:color w:val="000000" w:themeColor="text1"/>
          <w:sz w:val="24"/>
          <w:vertAlign w:val="superscript"/>
          <w:lang w:val="et-EE"/>
        </w:rPr>
      </w:pPr>
      <w:r w:rsidRPr="003B1D7C">
        <w:rPr>
          <w:color w:val="000000" w:themeColor="text1"/>
          <w:sz w:val="24"/>
          <w:lang w:val="et-EE"/>
        </w:rPr>
        <w:t>–</w:t>
      </w:r>
      <w:r w:rsidRPr="003B1D7C">
        <w:rPr>
          <w:color w:val="000000" w:themeColor="text1"/>
          <w:sz w:val="24"/>
          <w:lang w:val="et-EE"/>
        </w:rPr>
        <w:tab/>
        <w:t>Euroopa Parlamendi 26. novembri 2024. aasta resolutsioon komisjoni rakendusotsuse (EL) 2024/1822 kohta, millega lubatakse viia turule geneetiliselt muundatud maisi DP915635 sisaldavaid, sellest koosnevaid või sellest toodetud tooteid vastavalt Euroopa Parlamendi ja nõukogu määrusele (EÜ) nr 1829/2003 (ELT C, C/2025/1801, 4.4.2025, ELI: </w:t>
      </w:r>
      <w:hyperlink r:id="rId9" w:history="1">
        <w:r w:rsidRPr="003B1D7C">
          <w:rPr>
            <w:rStyle w:val="Hyperlink"/>
            <w:sz w:val="24"/>
            <w:lang w:val="et-EE"/>
          </w:rPr>
          <w:t>http://data.europa.eu/eli/C/2025/1801/oj</w:t>
        </w:r>
      </w:hyperlink>
      <w:r w:rsidRPr="003B1D7C">
        <w:rPr>
          <w:color w:val="000000" w:themeColor="text1"/>
          <w:sz w:val="24"/>
          <w:lang w:val="et-EE"/>
        </w:rPr>
        <w:t>);</w:t>
      </w:r>
    </w:p>
    <w:p w:rsidR="007C7DFE" w:rsidRPr="003B1D7C" w:rsidP="0085426F" w14:paraId="7BCED896" w14:textId="57A142C4">
      <w:pPr>
        <w:pStyle w:val="FootnoteText"/>
        <w:ind w:left="1134" w:hanging="567"/>
        <w:rPr>
          <w:color w:val="000000" w:themeColor="text1"/>
          <w:sz w:val="24"/>
          <w:vertAlign w:val="superscript"/>
          <w:lang w:val="et-EE"/>
        </w:rPr>
      </w:pPr>
      <w:r w:rsidRPr="003B1D7C">
        <w:rPr>
          <w:color w:val="000000" w:themeColor="text1"/>
          <w:sz w:val="24"/>
          <w:lang w:val="et-EE"/>
        </w:rPr>
        <w:t>–</w:t>
      </w:r>
      <w:r w:rsidRPr="003B1D7C">
        <w:rPr>
          <w:color w:val="000000" w:themeColor="text1"/>
          <w:sz w:val="24"/>
          <w:lang w:val="et-EE"/>
        </w:rPr>
        <w:tab/>
        <w:t>Euroopa Parlamendi 26. novembri 2024. aasta resolutsioon komisjoni rakendusotsuse (EL) 2024/1826 kohta, millega lubatakse geneetiliselt muundatud maisi DP23211 sisaldavate, sellest koosnevate või sellest toodetud kaupade turule laskmist vastavalt Euroopa Parlamendi ja nõukogu määrusele (EÜ) nr 1829/2003 (ELT C, C/2025/1802, 4.4.2025, ELI: </w:t>
      </w:r>
      <w:hyperlink r:id="rId10" w:history="1">
        <w:r w:rsidRPr="003B1D7C">
          <w:rPr>
            <w:rStyle w:val="Hyperlink"/>
            <w:sz w:val="24"/>
            <w:lang w:val="et-EE"/>
          </w:rPr>
          <w:t>http://data.europa.eu/eli/C/2025/1802/oj</w:t>
        </w:r>
      </w:hyperlink>
      <w:r w:rsidRPr="003B1D7C">
        <w:rPr>
          <w:color w:val="000000" w:themeColor="text1"/>
          <w:sz w:val="24"/>
          <w:lang w:val="et-EE"/>
        </w:rPr>
        <w:t>);</w:t>
      </w:r>
    </w:p>
    <w:p w:rsidR="007C7DFE" w:rsidRPr="003B1D7C" w:rsidP="0085426F" w14:paraId="4957F22B" w14:textId="38BDF4B4">
      <w:pPr>
        <w:pStyle w:val="FootnoteText"/>
        <w:ind w:left="1134" w:hanging="567"/>
        <w:rPr>
          <w:color w:val="000000" w:themeColor="text1"/>
          <w:sz w:val="24"/>
          <w:vertAlign w:val="superscript"/>
          <w:lang w:val="et-EE"/>
        </w:rPr>
      </w:pPr>
      <w:r w:rsidRPr="003B1D7C">
        <w:rPr>
          <w:color w:val="000000" w:themeColor="text1"/>
          <w:sz w:val="24"/>
          <w:lang w:val="et-EE"/>
        </w:rPr>
        <w:t>–</w:t>
      </w:r>
      <w:r w:rsidRPr="003B1D7C">
        <w:rPr>
          <w:color w:val="000000" w:themeColor="text1"/>
          <w:sz w:val="24"/>
          <w:lang w:val="et-EE"/>
        </w:rPr>
        <w:tab/>
        <w:t>Euroopa Parlamendi 26. novembri 2024. aasta resolutsioon komisjoni rakendusotsuse (EL) 2024/2618 kohta, millega lubatakse viia turule geneetiliselt muundatud maisi DP202216 sisaldavaid, sellest koosnevaid või sellest toodetud tooteid vastavalt Euroopa Parlamendi ja nõukogu määrusele (EÜ) nr 1829/2003 (ELT C, C/2025/1803, 4.4.2025, ELI: </w:t>
      </w:r>
      <w:hyperlink r:id="rId11" w:history="1">
        <w:r w:rsidRPr="003B1D7C">
          <w:rPr>
            <w:rStyle w:val="Hyperlink"/>
            <w:sz w:val="24"/>
            <w:lang w:val="et-EE"/>
          </w:rPr>
          <w:t>http://data.europa.eu/eli/C/2025/1803/oj</w:t>
        </w:r>
      </w:hyperlink>
      <w:r w:rsidRPr="003B1D7C">
        <w:rPr>
          <w:color w:val="000000" w:themeColor="text1"/>
          <w:sz w:val="24"/>
          <w:lang w:val="et-EE"/>
        </w:rPr>
        <w:t>);</w:t>
      </w:r>
    </w:p>
    <w:p w:rsidR="007C7DFE" w:rsidRPr="003B1D7C" w:rsidP="0085426F" w14:paraId="4DF2493E" w14:textId="273D0E8E">
      <w:pPr>
        <w:pStyle w:val="FootnoteText"/>
        <w:ind w:left="1134" w:hanging="567"/>
        <w:rPr>
          <w:color w:val="000000" w:themeColor="text1"/>
          <w:sz w:val="24"/>
          <w:vertAlign w:val="superscript"/>
          <w:lang w:val="et-EE"/>
        </w:rPr>
      </w:pPr>
      <w:r w:rsidRPr="003B1D7C">
        <w:rPr>
          <w:color w:val="000000" w:themeColor="text1"/>
          <w:sz w:val="24"/>
          <w:lang w:val="et-EE"/>
        </w:rPr>
        <w:t>–</w:t>
      </w:r>
      <w:r w:rsidRPr="003B1D7C">
        <w:rPr>
          <w:color w:val="000000" w:themeColor="text1"/>
          <w:sz w:val="24"/>
          <w:lang w:val="et-EE"/>
        </w:rPr>
        <w:tab/>
        <w:t>Euroopa Parlamendi 26. novembri 2024. aasta resolutsioon komisjoni rakendusotsuse eelnõu kohta, millega lubatakse viia turule geneetiliselt muundatud maisi MON 94804 sisaldavaid, sellest koosnevaid või sellest toodetud tooteid vastavalt Euroopa Parlamendi ja nõukogu määrusele (EÜ) nr 1829/2003 (ELT C, C/2025/1804, 4.4.2025, ELI: </w:t>
      </w:r>
      <w:hyperlink r:id="rId12" w:history="1">
        <w:r w:rsidRPr="003B1D7C">
          <w:rPr>
            <w:rStyle w:val="Hyperlink"/>
            <w:sz w:val="24"/>
            <w:lang w:val="et-EE"/>
          </w:rPr>
          <w:t>http://data.europa.eu/eli/C/2025/1804/oj</w:t>
        </w:r>
      </w:hyperlink>
      <w:r w:rsidRPr="003B1D7C">
        <w:rPr>
          <w:color w:val="000000" w:themeColor="text1"/>
          <w:sz w:val="24"/>
          <w:lang w:val="et-EE"/>
        </w:rPr>
        <w:t>);</w:t>
      </w:r>
    </w:p>
    <w:p w:rsidR="007C7DFE" w:rsidRPr="003B1D7C" w:rsidP="0085426F" w14:paraId="62F09F65" w14:textId="3B6D958D">
      <w:pPr>
        <w:pStyle w:val="FootnoteText"/>
        <w:ind w:left="1134" w:hanging="567"/>
        <w:rPr>
          <w:sz w:val="24"/>
          <w:vertAlign w:val="superscript"/>
          <w:lang w:val="et-EE"/>
        </w:rPr>
      </w:pPr>
      <w:r w:rsidRPr="003B1D7C">
        <w:rPr>
          <w:color w:val="000000" w:themeColor="text1"/>
          <w:sz w:val="24"/>
          <w:lang w:val="et-EE"/>
        </w:rPr>
        <w:t>–</w:t>
      </w:r>
      <w:r w:rsidRPr="003B1D7C">
        <w:rPr>
          <w:color w:val="000000" w:themeColor="text1"/>
          <w:sz w:val="24"/>
          <w:lang w:val="et-EE"/>
        </w:rPr>
        <w:tab/>
      </w:r>
      <w:r w:rsidRPr="003B1D7C">
        <w:rPr>
          <w:sz w:val="24"/>
          <w:lang w:val="et-EE"/>
        </w:rPr>
        <w:t>Euroopa Parlamendi 12. veebruari 2025. aasta resolutsioon komisjoni rakendusotsuse eelnõu kohta, millega lubatakse viia turule geneetiliselt muundatud maisi DP910521 sisaldavaid, sellest koosnevaid või sellest toodetud tooteid vastavalt Euroopa Parlamendi ja nõukogu määrusele (EÜ) nr 1829/2003 (ELT C, C/2025/2246, 29.4.2025, ELI: </w:t>
      </w:r>
      <w:hyperlink r:id="rId13" w:history="1">
        <w:r w:rsidRPr="003B1D7C">
          <w:rPr>
            <w:rStyle w:val="Hyperlink"/>
            <w:sz w:val="24"/>
            <w:lang w:val="et-EE"/>
          </w:rPr>
          <w:t>http://data.europa.eu/eli/C/2025/2246/oj</w:t>
        </w:r>
      </w:hyperlink>
      <w:r w:rsidRPr="003B1D7C">
        <w:rPr>
          <w:sz w:val="24"/>
          <w:lang w:val="et-EE"/>
        </w:rPr>
        <w:t>);</w:t>
      </w:r>
    </w:p>
    <w:p w:rsidR="007C7DFE" w:rsidRPr="003B1D7C" w:rsidP="0085426F" w14:paraId="441FD7A8" w14:textId="68B86D73">
      <w:pPr>
        <w:pStyle w:val="FootnoteText"/>
        <w:ind w:left="1134" w:hanging="567"/>
        <w:rPr>
          <w:sz w:val="24"/>
          <w:vertAlign w:val="superscript"/>
          <w:lang w:val="et-EE"/>
        </w:rPr>
      </w:pPr>
      <w:r w:rsidRPr="003B1D7C">
        <w:rPr>
          <w:sz w:val="24"/>
          <w:lang w:val="et-EE"/>
        </w:rPr>
        <w:t>–</w:t>
      </w:r>
      <w:r w:rsidRPr="003B1D7C">
        <w:rPr>
          <w:sz w:val="24"/>
          <w:lang w:val="et-EE"/>
        </w:rPr>
        <w:tab/>
        <w:t>Euroopa Parlamendi 12. veebruari 2025. aasta resolutsioon komisjoni rakendusotsuse eelnõu kohta, millega lubatakse viia turule geneetiliselt muundatud maisi MON 95275 sisaldavaid, sellest koosnevaid või sellest toodetud tooteid vastavalt Euroopa Parlamendi ja nõukogu määrusele (EÜ) nr 1829/2003 (ELT C, C/2025/2247, 29.4.2025, ELI: </w:t>
      </w:r>
      <w:hyperlink r:id="rId14" w:history="1">
        <w:r w:rsidRPr="003B1D7C">
          <w:rPr>
            <w:rStyle w:val="Hyperlink"/>
            <w:sz w:val="24"/>
            <w:lang w:val="et-EE"/>
          </w:rPr>
          <w:t>http://data.europa.eu/eli/C/2025/2247/oj</w:t>
        </w:r>
      </w:hyperlink>
      <w:r w:rsidRPr="003B1D7C">
        <w:rPr>
          <w:sz w:val="24"/>
          <w:lang w:val="et-EE"/>
        </w:rPr>
        <w:t>);</w:t>
      </w:r>
    </w:p>
    <w:p w:rsidR="007C7DFE" w:rsidRPr="003B1D7C" w:rsidP="0085426F" w14:paraId="14A12C70" w14:textId="3AABEEB8">
      <w:pPr>
        <w:pStyle w:val="FootnoteText"/>
        <w:ind w:left="1134" w:hanging="567"/>
        <w:rPr>
          <w:sz w:val="24"/>
          <w:vertAlign w:val="superscript"/>
          <w:lang w:val="et-EE"/>
        </w:rPr>
      </w:pPr>
      <w:r w:rsidRPr="003B1D7C">
        <w:rPr>
          <w:sz w:val="24"/>
          <w:lang w:val="et-EE"/>
        </w:rPr>
        <w:t>–</w:t>
      </w:r>
      <w:r w:rsidRPr="003B1D7C">
        <w:rPr>
          <w:sz w:val="24"/>
          <w:lang w:val="et-EE"/>
        </w:rPr>
        <w:tab/>
        <w:t>Euroopa Parlamendi 8. mai 2025. aasta resolutsioon komisjoni rakendusotsuse eelnõu kohta, millega lubatakse geneetiliselt muundatud sojauba MON 87705 × MON 87708 × MON 89788 sisaldavate, sellest koosnevate või sellest valmistatud toodete turule laskmist vastavalt Euroopa Parlamendi ja nõukogu määrusele (EÜ) nr 1829/2003 (ELT C, C/2026/586, 24.2.2026, ELI: </w:t>
      </w:r>
      <w:hyperlink r:id="rId15" w:tooltip="Annab juurdepääsu sellele dokumendile tema ELI URI kaudu." w:history="1">
        <w:r w:rsidRPr="003B1D7C">
          <w:rPr>
            <w:rStyle w:val="Hyperlink"/>
            <w:sz w:val="24"/>
            <w:lang w:val="et-EE"/>
          </w:rPr>
          <w:t>http://data.europa.eu/eli/C/2026/586/oj</w:t>
        </w:r>
      </w:hyperlink>
      <w:r w:rsidRPr="003B1D7C">
        <w:rPr>
          <w:sz w:val="24"/>
          <w:lang w:val="et-EE"/>
        </w:rPr>
        <w:t>);</w:t>
      </w:r>
    </w:p>
    <w:p w:rsidR="007C7DFE" w:rsidRPr="003B1D7C" w:rsidP="0085426F" w14:paraId="06328774" w14:textId="1D00B490">
      <w:pPr>
        <w:pStyle w:val="FootnoteText"/>
        <w:ind w:left="1134" w:hanging="567"/>
        <w:rPr>
          <w:sz w:val="24"/>
          <w:vertAlign w:val="superscript"/>
          <w:lang w:val="et-EE"/>
        </w:rPr>
      </w:pPr>
      <w:r w:rsidRPr="003B1D7C">
        <w:rPr>
          <w:sz w:val="24"/>
          <w:lang w:val="et-EE"/>
        </w:rPr>
        <w:t>–</w:t>
      </w:r>
      <w:r w:rsidRPr="003B1D7C">
        <w:rPr>
          <w:sz w:val="24"/>
          <w:lang w:val="et-EE"/>
        </w:rPr>
        <w:tab/>
        <w:t>Euroopa Parlamendi 8. oktoobri 2025. aasta resolutsioon komisjoni 22. septembri 2025. aasta rakendusotsuse (EL) 2025/1898 kohta, millega lubatakse turule lasta geneetiliselt muundatud maisi DP51291 sisaldavaid, sellest koosnevaid või sellest valmistatud tooteid vastavalt Euroopa Parlamendi ja nõukogu määrusele (EÜ) nr 1829/2003 (ELT C, C/2026/1523, 15.4.2026, ELI: </w:t>
      </w:r>
      <w:hyperlink r:id="rId16" w:history="1">
        <w:r w:rsidRPr="003B1D7C">
          <w:rPr>
            <w:rStyle w:val="Hyperlink"/>
            <w:sz w:val="24"/>
            <w:lang w:val="et-EE"/>
          </w:rPr>
          <w:t>http://data.europa.eu/eli/C/2026/1523/oj</w:t>
        </w:r>
      </w:hyperlink>
      <w:r w:rsidRPr="003B1D7C">
        <w:rPr>
          <w:sz w:val="24"/>
          <w:lang w:val="et-EE"/>
        </w:rPr>
        <w:t>);</w:t>
      </w:r>
    </w:p>
    <w:p w:rsidR="007C7DFE" w:rsidRPr="003B1D7C" w:rsidP="0085426F" w14:paraId="5B831A8C" w14:textId="60213E06">
      <w:pPr>
        <w:pStyle w:val="FootnoteText"/>
        <w:ind w:left="1134" w:hanging="567"/>
        <w:rPr>
          <w:sz w:val="24"/>
          <w:vertAlign w:val="superscript"/>
          <w:lang w:val="et-EE"/>
        </w:rPr>
      </w:pPr>
      <w:r w:rsidRPr="003B1D7C">
        <w:rPr>
          <w:sz w:val="24"/>
          <w:lang w:val="et-EE"/>
        </w:rPr>
        <w:t>–</w:t>
      </w:r>
      <w:r w:rsidRPr="003B1D7C">
        <w:rPr>
          <w:sz w:val="24"/>
          <w:lang w:val="et-EE"/>
        </w:rPr>
        <w:tab/>
        <w:t>Euroopa Parlamendi 25. novembri 2025. aasta resolutsioon komisjoni rakendusotsuse eelnõu kohta, millega lubatakse turule lasta geneetiliselt muundatud maisi DAS1131 sisaldavaid, sellest koosnevaid või sellest valmistatud tooteid vastavalt Euroopa Parlamendi ja nõukogu määrusele (EÜ) nr 1829/2003 (ELT C, C/2026/1703, 24.4.2026, ELI: </w:t>
      </w:r>
      <w:hyperlink r:id="rId17" w:history="1">
        <w:r w:rsidRPr="003B1D7C">
          <w:rPr>
            <w:rStyle w:val="Hyperlink"/>
            <w:sz w:val="24"/>
            <w:lang w:val="et-EE"/>
          </w:rPr>
          <w:t>http://data.europa.eu/eli/C/2026/1703/oj</w:t>
        </w:r>
      </w:hyperlink>
      <w:r w:rsidRPr="003B1D7C">
        <w:rPr>
          <w:sz w:val="24"/>
          <w:lang w:val="et-EE"/>
        </w:rPr>
        <w:t>);</w:t>
      </w:r>
    </w:p>
    <w:p w:rsidR="007C7DFE" w:rsidRPr="003B1D7C" w:rsidP="0085426F" w14:paraId="4F9E498C" w14:textId="2E85E606">
      <w:pPr>
        <w:pStyle w:val="FootnoteText"/>
        <w:ind w:left="1134" w:hanging="567"/>
        <w:rPr>
          <w:sz w:val="24"/>
          <w:vertAlign w:val="superscript"/>
          <w:lang w:val="et-EE"/>
        </w:rPr>
      </w:pPr>
      <w:r w:rsidRPr="003B1D7C">
        <w:rPr>
          <w:sz w:val="24"/>
          <w:lang w:val="et-EE"/>
        </w:rPr>
        <w:t>–</w:t>
      </w:r>
      <w:r w:rsidRPr="003B1D7C">
        <w:rPr>
          <w:sz w:val="24"/>
          <w:lang w:val="et-EE"/>
        </w:rPr>
        <w:tab/>
        <w:t>Euroopa Parlamendi 25. novembri 2025. aasta resolutsioon komisjoni rakendusotsuse eelnõu kohta, millega pikendatakse geneetiliselt muundatud puuvilla MON 88913 (MON-88913-8) sisaldavate, sellest koosnevate või sellest valmistatud toodete turule laskmise loa kehtivust vastavalt Euroopa Parlamendi ja nõukogu määrusele (EÜ) nr 1829/2003 (ELT C, C/2026/1704, 24.4.2026, ELI: </w:t>
      </w:r>
      <w:hyperlink r:id="rId18" w:history="1">
        <w:r w:rsidRPr="003B1D7C">
          <w:rPr>
            <w:rStyle w:val="Hyperlink"/>
            <w:sz w:val="24"/>
            <w:lang w:val="et-EE"/>
          </w:rPr>
          <w:t>http://data.europa.eu/eli/C/2026/1704/oj</w:t>
        </w:r>
      </w:hyperlink>
      <w:r w:rsidRPr="003B1D7C">
        <w:rPr>
          <w:sz w:val="24"/>
          <w:lang w:val="et-EE"/>
        </w:rPr>
        <w:t>);</w:t>
      </w:r>
    </w:p>
    <w:p w:rsidR="007C7DFE" w:rsidRPr="003B1D7C" w:rsidP="0085426F" w14:paraId="06784DCA" w14:textId="48423A19">
      <w:pPr>
        <w:pStyle w:val="FootnoteText"/>
        <w:ind w:left="1134" w:hanging="567"/>
        <w:rPr>
          <w:sz w:val="24"/>
          <w:vertAlign w:val="superscript"/>
          <w:lang w:val="et-EE"/>
        </w:rPr>
      </w:pPr>
      <w:r w:rsidRPr="003B1D7C">
        <w:rPr>
          <w:sz w:val="24"/>
          <w:lang w:val="et-EE"/>
        </w:rPr>
        <w:t>–</w:t>
      </w:r>
      <w:r w:rsidRPr="003B1D7C">
        <w:rPr>
          <w:sz w:val="24"/>
          <w:lang w:val="et-EE"/>
        </w:rPr>
        <w:tab/>
        <w:t>Euroopa Parlamendi 25. novembri 2025. aasta resolutsioon komisjoni rakendusotsuse eelnõu kohta, millega pikendatakse geneetiliselt muundatud rapsi MON 88302 sisaldavate, sellest koosnevate või sellest valmistatud toodete turule laskmise loa kehtivust vastavalt Euroopa Parlamendi ja nõukogu määrusele (EÜ) nr 1829/2003 (ELT C, C/2026/1705, 24.4.2026, ELI: </w:t>
      </w:r>
      <w:hyperlink r:id="rId19" w:history="1">
        <w:r w:rsidRPr="003B1D7C">
          <w:rPr>
            <w:rStyle w:val="Hyperlink"/>
            <w:sz w:val="24"/>
            <w:lang w:val="et-EE"/>
          </w:rPr>
          <w:t>http://data.europa.eu/eli/C/2026/1705/oj</w:t>
        </w:r>
      </w:hyperlink>
      <w:r w:rsidRPr="003B1D7C">
        <w:rPr>
          <w:sz w:val="24"/>
          <w:lang w:val="et-EE"/>
        </w:rPr>
        <w:t>);</w:t>
      </w:r>
    </w:p>
    <w:p w:rsidR="007C7DFE" w:rsidRPr="003B1D7C" w:rsidP="0085426F" w14:paraId="504CEE43" w14:textId="127AA5D6">
      <w:pPr>
        <w:pStyle w:val="FootnoteText"/>
        <w:ind w:left="1134" w:hanging="567"/>
        <w:rPr>
          <w:sz w:val="24"/>
          <w:vertAlign w:val="superscript"/>
          <w:lang w:val="et-EE"/>
        </w:rPr>
      </w:pPr>
      <w:r w:rsidRPr="003B1D7C">
        <w:rPr>
          <w:sz w:val="24"/>
          <w:lang w:val="et-EE"/>
        </w:rPr>
        <w:t>–</w:t>
      </w:r>
      <w:r w:rsidRPr="003B1D7C">
        <w:rPr>
          <w:sz w:val="24"/>
          <w:lang w:val="et-EE"/>
        </w:rPr>
        <w:tab/>
        <w:t>Euroopa Parlamendi 25. novembri 2025. aasta resolutsioon komisjoni rakendusotsuse kohta, millega pikendatakse geneetiliselt muundatud sojauba MON 87708 sisaldavate, sellest koosnevate või sellest valmistatud toodete turule laskmise loa kehtivust vastavalt Euroopa Parlamendi ja nõukogu määrusele (EÜ) nr 1829/2003 (ELT C, C/2026/1706, 24.4.2026, ELI: </w:t>
      </w:r>
      <w:hyperlink r:id="rId20" w:history="1">
        <w:r w:rsidRPr="003B1D7C">
          <w:rPr>
            <w:rStyle w:val="Hyperlink"/>
            <w:sz w:val="24"/>
            <w:lang w:val="et-EE"/>
          </w:rPr>
          <w:t>http://data.europa.eu/eli/C/2026/1706/oj</w:t>
        </w:r>
      </w:hyperlink>
      <w:r w:rsidRPr="003B1D7C">
        <w:rPr>
          <w:sz w:val="24"/>
          <w:lang w:val="et-EE"/>
        </w:rPr>
        <w:t>);</w:t>
      </w:r>
    </w:p>
    <w:p w:rsidR="007C7DFE" w:rsidRPr="003B1D7C" w:rsidP="0085426F" w14:paraId="325D5CCD" w14:textId="06E03327">
      <w:pPr>
        <w:pStyle w:val="FootnoteText"/>
        <w:ind w:left="1134" w:hanging="567"/>
        <w:rPr>
          <w:sz w:val="24"/>
          <w:vertAlign w:val="superscript"/>
          <w:lang w:val="et-EE"/>
        </w:rPr>
      </w:pPr>
      <w:r w:rsidRPr="003B1D7C">
        <w:rPr>
          <w:sz w:val="24"/>
          <w:lang w:val="et-EE"/>
        </w:rPr>
        <w:t>–</w:t>
      </w:r>
      <w:r w:rsidRPr="003B1D7C">
        <w:rPr>
          <w:sz w:val="24"/>
          <w:lang w:val="et-EE"/>
        </w:rPr>
        <w:tab/>
        <w:t>Euroopa Parlamendi 25. novembri 2025. aasta resolutsioon komisjoni rakendusotsuse eelnõu kohta, millega pikendatakse geneetiliselt muundatud maisi MON 87427 sisaldavate, sellest koosnevate või sellest valmistatud toodete turule laskmise loa kehtivust vastavalt Euroopa Parlamendi ja nõukogu määrusele (EÜ) nr 1829/2003 (ELT C, C/2026/1707, 24.4.2026, ELI: </w:t>
      </w:r>
      <w:hyperlink r:id="rId21" w:history="1">
        <w:r w:rsidRPr="003B1D7C">
          <w:rPr>
            <w:rStyle w:val="Hyperlink"/>
            <w:sz w:val="24"/>
            <w:lang w:val="et-EE"/>
          </w:rPr>
          <w:t>http://data.europa.eu/eli/C/2026/1707/oj</w:t>
        </w:r>
      </w:hyperlink>
      <w:r w:rsidRPr="003B1D7C">
        <w:rPr>
          <w:sz w:val="24"/>
          <w:lang w:val="et-EE"/>
        </w:rPr>
        <w:t>);</w:t>
      </w:r>
    </w:p>
    <w:p w:rsidR="007C7DFE" w:rsidRPr="003B1D7C" w:rsidP="0085426F" w14:paraId="42BE03DB" w14:textId="31D0D922">
      <w:pPr>
        <w:pStyle w:val="FootnoteText"/>
        <w:ind w:left="1134" w:hanging="567"/>
        <w:rPr>
          <w:sz w:val="24"/>
          <w:vertAlign w:val="superscript"/>
          <w:lang w:val="et-EE"/>
        </w:rPr>
      </w:pPr>
      <w:r w:rsidRPr="003B1D7C">
        <w:rPr>
          <w:sz w:val="24"/>
          <w:lang w:val="et-EE"/>
        </w:rPr>
        <w:t>–</w:t>
      </w:r>
      <w:r w:rsidRPr="003B1D7C">
        <w:rPr>
          <w:sz w:val="24"/>
          <w:lang w:val="et-EE"/>
        </w:rPr>
        <w:tab/>
        <w:t>Euroopa Parlamendi 16. detsembri 2025. aasta resolutsioon komisjoni rakendusotsuse eelnõu kohta, millega pikendatakse geneetiliselt muundatud maisi NK603 sisaldavate, sellest koosnevate või sellest valmistatud toodete turule laskmise loa kehtivust vastavalt Euroopa Parlamendi ja nõukogu määrusele (EÜ) nr 1829/2003 (ELT C, C/2026/2150, 6.5.2026, ELI: </w:t>
      </w:r>
      <w:hyperlink r:id="rId22" w:history="1">
        <w:r w:rsidRPr="003B1D7C">
          <w:rPr>
            <w:rStyle w:val="Hyperlink"/>
            <w:sz w:val="24"/>
            <w:lang w:val="et-EE"/>
          </w:rPr>
          <w:t>http://data.europa.eu/eli/C/2026/2150/oj</w:t>
        </w:r>
      </w:hyperlink>
      <w:r w:rsidRPr="003B1D7C">
        <w:rPr>
          <w:sz w:val="24"/>
          <w:lang w:val="et-EE"/>
        </w:rPr>
        <w:t>);</w:t>
      </w:r>
    </w:p>
    <w:p w:rsidR="007C7DFE" w:rsidRPr="003B1D7C" w:rsidP="0085426F" w14:paraId="0EA6CB2B" w14:textId="447D7828">
      <w:pPr>
        <w:pStyle w:val="FootnoteText"/>
        <w:ind w:left="1134" w:hanging="567"/>
        <w:rPr>
          <w:sz w:val="24"/>
          <w:vertAlign w:val="superscript"/>
          <w:lang w:val="et-EE"/>
        </w:rPr>
      </w:pPr>
      <w:r w:rsidRPr="003B1D7C">
        <w:rPr>
          <w:sz w:val="24"/>
          <w:lang w:val="et-EE"/>
        </w:rPr>
        <w:t>–</w:t>
      </w:r>
      <w:r w:rsidRPr="003B1D7C">
        <w:rPr>
          <w:sz w:val="24"/>
          <w:lang w:val="et-EE"/>
        </w:rPr>
        <w:tab/>
        <w:t>Euroopa Parlamendi 16. detsembri 2025. aasta resolutsioon komisjoni rakendusotsuse eelnõu kohta, millega lubatakse lasta turule geneetiliselt muundatud suhkrupeedist KWS20-1 valmistatud toitu, toidu koostisosi ja sööta vastavalt Euroopa Parlamendi ja nõukogu määrusele (EÜ) nr 1829/2003 (ELT C, C/2026/2151, 6.5.2026, ELI: </w:t>
      </w:r>
      <w:hyperlink r:id="rId23" w:history="1">
        <w:r w:rsidRPr="003B1D7C">
          <w:rPr>
            <w:rStyle w:val="Hyperlink"/>
            <w:sz w:val="24"/>
            <w:lang w:val="et-EE"/>
          </w:rPr>
          <w:t>http://data.europa.eu/eli/C/2026/2151/oj</w:t>
        </w:r>
      </w:hyperlink>
      <w:r w:rsidRPr="003B1D7C">
        <w:rPr>
          <w:sz w:val="24"/>
          <w:lang w:val="et-EE"/>
        </w:rPr>
        <w:t>);</w:t>
      </w:r>
    </w:p>
    <w:p w:rsidR="007C7DFE" w:rsidRPr="003B1D7C" w:rsidP="0085426F" w14:paraId="2FCCE599" w14:textId="3C887908">
      <w:pPr>
        <w:pStyle w:val="FootnoteText"/>
        <w:ind w:left="1134" w:hanging="567"/>
        <w:rPr>
          <w:sz w:val="24"/>
          <w:vertAlign w:val="superscript"/>
          <w:lang w:val="et-EE"/>
        </w:rPr>
      </w:pPr>
      <w:r w:rsidRPr="003B1D7C">
        <w:rPr>
          <w:sz w:val="24"/>
          <w:lang w:val="et-EE"/>
        </w:rPr>
        <w:t>–</w:t>
      </w:r>
      <w:r w:rsidRPr="003B1D7C">
        <w:rPr>
          <w:sz w:val="24"/>
          <w:lang w:val="et-EE"/>
        </w:rPr>
        <w:tab/>
        <w:t>Euroopa Parlamendi 11. veebruari 2026. aasta resolutsioon komisjoni rakendusotsuse eelnõu kohta, millega lubatakse turule lasta geneetiliselt muundatud sojauba DBN-09004-6 sisaldavaid, sellest koosnevaid või sellest toodetud tooteid vastavalt Euroopa Parlamendi ja nõukogu määrusele (EÜ) nr 1829/2003 (vastuvõetud tekstid, P10_TA(2026)0041);</w:t>
      </w:r>
    </w:p>
    <w:p w:rsidR="007C7DFE" w:rsidRPr="003B1D7C" w:rsidP="0085426F" w14:paraId="6290E22A" w14:textId="7079A6D4">
      <w:pPr>
        <w:pStyle w:val="FootnoteText"/>
        <w:ind w:left="1134" w:hanging="567"/>
        <w:rPr>
          <w:sz w:val="24"/>
          <w:vertAlign w:val="superscript"/>
          <w:lang w:val="et-EE"/>
        </w:rPr>
      </w:pPr>
      <w:r w:rsidRPr="003B1D7C">
        <w:rPr>
          <w:sz w:val="24"/>
          <w:lang w:val="et-EE"/>
        </w:rPr>
        <w:t>–</w:t>
      </w:r>
      <w:r w:rsidRPr="003B1D7C">
        <w:rPr>
          <w:sz w:val="24"/>
          <w:lang w:val="et-EE"/>
        </w:rPr>
        <w:tab/>
        <w:t>Euroopa Parlamendi 11. veebruari 2026. aasta resolutsioon komisjoni rakendusotsuse eelnõu kohta, millega pikendatakse geneetiliselt muundatud maisi T25 (ACS-ZMØØ3-2) sisaldavate, sellest koosnevate või sellest valmistatud toodete turule laskmise loa kehtivust vastavalt Euroopa Parlamendi ja nõukogu määrusele (EÜ) nr 1829/2003 (vastuvõetud tekstid, P10_TA(2026)0042);</w:t>
      </w:r>
    </w:p>
    <w:p w:rsidR="007C7DFE" w:rsidRPr="003B1D7C" w:rsidP="0085426F" w14:paraId="6B415F50" w14:textId="745C92F2">
      <w:pPr>
        <w:pStyle w:val="FootnoteText"/>
        <w:ind w:left="1134" w:hanging="567"/>
        <w:rPr>
          <w:sz w:val="24"/>
          <w:vertAlign w:val="superscript"/>
          <w:lang w:val="et-EE"/>
        </w:rPr>
      </w:pPr>
      <w:r w:rsidRPr="003B1D7C">
        <w:rPr>
          <w:sz w:val="24"/>
          <w:lang w:val="et-EE"/>
        </w:rPr>
        <w:t>–</w:t>
      </w:r>
      <w:r w:rsidRPr="003B1D7C">
        <w:rPr>
          <w:sz w:val="24"/>
          <w:lang w:val="et-EE"/>
        </w:rPr>
        <w:tab/>
        <w:t>Euroopa Parlamendi 11. veebruari 2026. aasta resolutsioon komisjoni rakendusotsuse eelnõu kohta, millega pikendatakse geneetiliselt muundatud puuvilla GHB614 × LLCotton25 sisaldavate, sellest koosnevate või sellest valmistatud toodete turule laskmise loa kehtivust vastavalt Euroopa Parlamendi ja nõukogu määrusele (EÜ) nr 1829/2003 (vastuvõetud tekstid, P10_TA(2026)0043);</w:t>
      </w:r>
    </w:p>
    <w:p w:rsidR="007C7DFE" w:rsidRPr="003B1D7C" w:rsidP="0085426F" w14:paraId="45F27C25" w14:textId="7F433555">
      <w:pPr>
        <w:pStyle w:val="FootnoteText"/>
        <w:ind w:left="1134" w:hanging="567"/>
        <w:rPr>
          <w:sz w:val="24"/>
          <w:vertAlign w:val="superscript"/>
          <w:lang w:val="et-EE"/>
        </w:rPr>
      </w:pPr>
      <w:r w:rsidRPr="003B1D7C">
        <w:rPr>
          <w:sz w:val="24"/>
          <w:lang w:val="et-EE"/>
        </w:rPr>
        <w:t>–</w:t>
      </w:r>
      <w:r w:rsidRPr="003B1D7C">
        <w:rPr>
          <w:sz w:val="24"/>
          <w:lang w:val="et-EE"/>
        </w:rPr>
        <w:tab/>
        <w:t>Euroopa Parlamendi 11. veebruari 2026. aasta resolutsioon komisjoni rakendusotsuse eelnõu kohta, millega pikendatakse geneetiliselt muundatud puuvilla T304-40 sisaldavate, sellest koosnevate või sellest valmistatud toodete turule laskmise loa kehtivust vastavalt Euroopa Parlamendi ja nõukogu määrusele (EÜ) nr 1829/2003 (vastuvõetud tekstid, P10_TA(2026)0044);</w:t>
      </w:r>
    </w:p>
    <w:p w:rsidR="007C7DFE" w:rsidRPr="003B1D7C" w:rsidP="0085426F" w14:paraId="0291697E" w14:textId="62201611">
      <w:pPr>
        <w:pStyle w:val="FootnoteText"/>
        <w:ind w:left="1134" w:hanging="567"/>
        <w:rPr>
          <w:sz w:val="24"/>
          <w:lang w:val="et-EE"/>
        </w:rPr>
      </w:pPr>
      <w:r w:rsidRPr="003B1D7C">
        <w:rPr>
          <w:sz w:val="24"/>
          <w:lang w:val="et-EE"/>
        </w:rPr>
        <w:t>–</w:t>
      </w:r>
      <w:r w:rsidRPr="003B1D7C">
        <w:rPr>
          <w:sz w:val="24"/>
          <w:lang w:val="et-EE"/>
        </w:rPr>
        <w:tab/>
        <w:t>Euroopa Parlamendi 29. aprilli 2026. aasta resolutsioon komisjoni rakendusotsuse eelnõu kohta, millega lubatakse viia turule geneetiliselt muundatud sojauba MON 94637 sisaldavaid, sellest koosnevaid või sellest toodetud tooteid vastavalt Euroopa Parlamendi ja nõukogu määrusele (EÜ) nr 1829/2003 (vastuvõetud tekstid, P10_TA(2026)0150).</w:t>
      </w:r>
    </w:p>
  </w:footnote>
  <w:footnote w:id="7">
    <w:p w:rsidR="007C7DFE" w:rsidRPr="003B1D7C" w:rsidP="003B1D7C" w14:paraId="1F88B648" w14:textId="07CCFA72">
      <w:pPr>
        <w:pStyle w:val="FootnoteText"/>
        <w:ind w:left="567" w:hanging="567"/>
        <w:rPr>
          <w:sz w:val="24"/>
          <w:lang w:val="et-EE"/>
        </w:rPr>
      </w:pPr>
      <w:r w:rsidRPr="003B1D7C">
        <w:rPr>
          <w:rStyle w:val="FootnoteReference"/>
          <w:sz w:val="24"/>
          <w:lang w:val="et-EE"/>
        </w:rPr>
        <w:footnoteRef/>
      </w:r>
      <w:r w:rsidRPr="003B1D7C" w:rsidR="003B1D7C">
        <w:rPr>
          <w:sz w:val="24"/>
          <w:lang w:val="et-EE"/>
        </w:rPr>
        <w:tab/>
      </w:r>
      <w:r w:rsidRPr="003B1D7C">
        <w:rPr>
          <w:sz w:val="24"/>
          <w:lang w:val="et-EE"/>
        </w:rPr>
        <w:t xml:space="preserve">EFSA </w:t>
      </w:r>
      <w:r w:rsidR="004033D0">
        <w:rPr>
          <w:sz w:val="24"/>
          <w:lang w:val="et-EE"/>
        </w:rPr>
        <w:t xml:space="preserve">teaduslik </w:t>
      </w:r>
      <w:r w:rsidRPr="003B1D7C">
        <w:rPr>
          <w:sz w:val="24"/>
          <w:lang w:val="et-EE"/>
        </w:rPr>
        <w:t xml:space="preserve">arvamus, </w:t>
      </w:r>
      <w:hyperlink r:id="rId4" w:history="1">
        <w:r w:rsidRPr="003B1D7C">
          <w:rPr>
            <w:rStyle w:val="Hyperlink"/>
            <w:sz w:val="24"/>
            <w:lang w:val="et-EE"/>
          </w:rPr>
          <w:t>https://doi.org/10.2903/j.efsa.2025.9746</w:t>
        </w:r>
      </w:hyperlink>
      <w:r w:rsidRPr="003B1D7C">
        <w:rPr>
          <w:sz w:val="24"/>
          <w:lang w:val="et-EE"/>
        </w:rPr>
        <w:t>, lk 7.</w:t>
      </w:r>
    </w:p>
  </w:footnote>
  <w:footnote w:id="8">
    <w:p w:rsidR="007C7DFE" w:rsidRPr="003B1D7C" w:rsidP="003B1D7C" w14:paraId="5AC5A1C7" w14:textId="1A7278A4">
      <w:pPr>
        <w:pStyle w:val="FootnoteText"/>
        <w:ind w:left="567" w:hanging="567"/>
        <w:rPr>
          <w:sz w:val="24"/>
          <w:lang w:val="et-EE"/>
        </w:rPr>
      </w:pPr>
      <w:r w:rsidRPr="003B1D7C">
        <w:rPr>
          <w:rStyle w:val="FootnoteReference"/>
          <w:sz w:val="24"/>
          <w:szCs w:val="24"/>
          <w:lang w:val="et-EE"/>
        </w:rPr>
        <w:footnoteRef/>
      </w:r>
      <w:r w:rsidRPr="003B1D7C" w:rsidR="003B1D7C">
        <w:rPr>
          <w:sz w:val="24"/>
          <w:shd w:val="clear" w:color="auto" w:fill="FFFFFF"/>
          <w:lang w:val="et-EE"/>
        </w:rPr>
        <w:tab/>
      </w:r>
      <w:r w:rsidRPr="003B1D7C">
        <w:rPr>
          <w:sz w:val="24"/>
          <w:shd w:val="clear" w:color="auto" w:fill="FFFFFF"/>
          <w:lang w:val="et-EE"/>
        </w:rPr>
        <w:t xml:space="preserve">Vt nt Bonny, S., „Genetically Modified Herbicide-Tolerant Crops, Weeds, and Herbicides: Overview and Impact“ (Geneetiliselt muundatud herbitsiiditolerantsed põllukultuurid, umbrohi ja taimemürgid: ülevaade ja mõju), </w:t>
      </w:r>
      <w:r w:rsidRPr="0085426F">
        <w:rPr>
          <w:iCs/>
          <w:sz w:val="24"/>
          <w:shd w:val="clear" w:color="auto" w:fill="FFFFFF"/>
          <w:lang w:val="et-EE"/>
        </w:rPr>
        <w:t>Environmental Management</w:t>
      </w:r>
      <w:r w:rsidRPr="003B1D7C">
        <w:rPr>
          <w:sz w:val="24"/>
          <w:shd w:val="clear" w:color="auto" w:fill="FFFFFF"/>
          <w:lang w:val="et-EE"/>
        </w:rPr>
        <w:t>, jaanuar 2016, 57(1), lk 31–48,</w:t>
      </w:r>
      <w:r w:rsidRPr="003B1D7C">
        <w:rPr>
          <w:sz w:val="24"/>
          <w:lang w:val="et-EE"/>
        </w:rPr>
        <w:t xml:space="preserve"> </w:t>
      </w:r>
      <w:hyperlink r:id="rId24" w:history="1">
        <w:r w:rsidRPr="003B1D7C">
          <w:rPr>
            <w:rStyle w:val="Hyperlink"/>
            <w:sz w:val="24"/>
            <w:shd w:val="clear" w:color="auto" w:fill="FFFFFF"/>
            <w:lang w:val="et-EE"/>
          </w:rPr>
          <w:t>https://doi.org/10.1007/s00267-015-0589-7</w:t>
        </w:r>
      </w:hyperlink>
      <w:r w:rsidRPr="003B1D7C">
        <w:rPr>
          <w:sz w:val="24"/>
          <w:shd w:val="clear" w:color="auto" w:fill="FFFFFF"/>
          <w:lang w:val="et-EE"/>
        </w:rPr>
        <w:t xml:space="preserve">, ja Benbrook, C. M., „Impacts of genetically engineered crops on pesticide use in the U.S. – the first sixteen years“ (Geneetiliselt muudetud põllukultuuride mõju pestitsiidikasutusele USAs – esimesed 16 aastat), </w:t>
      </w:r>
      <w:r w:rsidRPr="0085426F">
        <w:rPr>
          <w:iCs/>
          <w:sz w:val="24"/>
          <w:shd w:val="clear" w:color="auto" w:fill="FFFFFF"/>
          <w:lang w:val="et-EE"/>
        </w:rPr>
        <w:t>Environmental Sciences Europe</w:t>
      </w:r>
      <w:r w:rsidRPr="003B1D7C">
        <w:rPr>
          <w:sz w:val="24"/>
          <w:shd w:val="clear" w:color="auto" w:fill="FFFFFF"/>
          <w:lang w:val="et-EE"/>
        </w:rPr>
        <w:t>, 28. september 2012, kd 24(1),</w:t>
      </w:r>
      <w:r w:rsidRPr="003B1D7C">
        <w:rPr>
          <w:sz w:val="24"/>
          <w:lang w:val="et-EE"/>
        </w:rPr>
        <w:t xml:space="preserve"> </w:t>
      </w:r>
      <w:hyperlink r:id="rId25" w:history="1">
        <w:r w:rsidRPr="003B1D7C">
          <w:rPr>
            <w:rStyle w:val="Hyperlink"/>
            <w:sz w:val="24"/>
            <w:lang w:val="et-EE"/>
          </w:rPr>
          <w:t>https://doi.org/10.1186/2190-4715-24-24</w:t>
        </w:r>
      </w:hyperlink>
      <w:r w:rsidRPr="003B1D7C">
        <w:rPr>
          <w:sz w:val="24"/>
          <w:lang w:val="et-EE"/>
        </w:rPr>
        <w:t>.</w:t>
      </w:r>
    </w:p>
  </w:footnote>
  <w:footnote w:id="9">
    <w:p w:rsidR="007C7DFE" w:rsidRPr="003B1D7C" w:rsidP="003B1D7C" w14:paraId="6ADC33EB" w14:textId="7FE2E219">
      <w:pPr>
        <w:pStyle w:val="FootnoteText"/>
        <w:ind w:left="567" w:hanging="567"/>
        <w:rPr>
          <w:sz w:val="24"/>
          <w:lang w:val="et-EE"/>
        </w:rPr>
      </w:pPr>
      <w:r w:rsidRPr="003B1D7C">
        <w:rPr>
          <w:rStyle w:val="FootnoteReference"/>
          <w:sz w:val="24"/>
          <w:lang w:val="et-EE"/>
        </w:rPr>
        <w:footnoteRef/>
      </w:r>
      <w:r w:rsidRPr="003B1D7C" w:rsidR="003B1D7C">
        <w:rPr>
          <w:sz w:val="24"/>
          <w:lang w:val="et-EE"/>
        </w:rPr>
        <w:tab/>
      </w:r>
      <w:r w:rsidRPr="003B1D7C">
        <w:rPr>
          <w:sz w:val="24"/>
          <w:lang w:val="et-EE"/>
        </w:rPr>
        <w:t>Euroopa Parlamendi ja nõukogu 21. oktoobri 2009. aasta määrus (EÜ) nr 1107/2009 taimekaitsevahendite turulelaskmise ja nõukogu direktiivide 79/117/EMÜ ja 91/414/EMÜ kehtetuks tunnistamise kohta (ELT L 309, 24.11.2009, lk 1, ELI: </w:t>
      </w:r>
      <w:hyperlink r:id="rId26" w:tooltip="Annab juurdepääsu sellele dokumendile tema ELI URI kaudu." w:history="1">
        <w:r w:rsidRPr="003B1D7C">
          <w:rPr>
            <w:rStyle w:val="Hyperlink"/>
            <w:sz w:val="24"/>
            <w:lang w:val="et-EE"/>
          </w:rPr>
          <w:t>http://data.europa.eu/eli/reg/2009/1107/oj</w:t>
        </w:r>
      </w:hyperlink>
      <w:r w:rsidRPr="003B1D7C">
        <w:rPr>
          <w:sz w:val="24"/>
          <w:lang w:val="et-EE"/>
        </w:rPr>
        <w:t>).</w:t>
      </w:r>
    </w:p>
  </w:footnote>
  <w:footnote w:id="10">
    <w:p w:rsidR="007C7DFE" w:rsidRPr="003B1D7C" w:rsidP="003B1D7C" w14:paraId="1CC0BC67" w14:textId="36B88988">
      <w:pPr>
        <w:pStyle w:val="FootnoteText"/>
        <w:ind w:left="567" w:hanging="567"/>
        <w:rPr>
          <w:sz w:val="24"/>
          <w:lang w:val="et-EE"/>
        </w:rPr>
      </w:pPr>
      <w:r w:rsidRPr="003B1D7C">
        <w:rPr>
          <w:rStyle w:val="FootnoteReference"/>
          <w:sz w:val="24"/>
          <w:lang w:val="et-EE"/>
        </w:rPr>
        <w:footnoteRef/>
      </w:r>
      <w:r w:rsidRPr="003B1D7C" w:rsidR="003B1D7C">
        <w:rPr>
          <w:sz w:val="24"/>
          <w:lang w:val="et-EE"/>
        </w:rPr>
        <w:tab/>
      </w:r>
      <w:hyperlink r:id="rId27" w:history="1">
        <w:r w:rsidRPr="004033D0" w:rsidR="004033D0">
          <w:rPr>
            <w:rStyle w:val="Hyperlink"/>
            <w:sz w:val="24"/>
            <w:lang w:val="et-EE"/>
          </w:rPr>
          <w:t>https://ec.europa.eu/food/plant/pesticides/eu-pesticides-database/start/screen/active-substances/details/79</w:t>
        </w:r>
      </w:hyperlink>
    </w:p>
  </w:footnote>
  <w:footnote w:id="11">
    <w:p w:rsidR="007C7DFE" w:rsidRPr="003B1D7C" w:rsidP="003B1D7C" w14:paraId="290882FA" w14:textId="18F253B2">
      <w:pPr>
        <w:pStyle w:val="FootnoteText"/>
        <w:ind w:left="567" w:hanging="567"/>
        <w:rPr>
          <w:sz w:val="24"/>
          <w:lang w:val="et-EE"/>
        </w:rPr>
      </w:pPr>
      <w:r w:rsidRPr="003B1D7C">
        <w:rPr>
          <w:rStyle w:val="FootnoteReference"/>
          <w:sz w:val="24"/>
          <w:lang w:val="et-EE"/>
        </w:rPr>
        <w:footnoteRef/>
      </w:r>
      <w:r w:rsidRPr="003B1D7C" w:rsidR="003B1D7C">
        <w:rPr>
          <w:sz w:val="24"/>
          <w:shd w:val="clear" w:color="auto" w:fill="FFFFFF"/>
          <w:lang w:val="et-EE"/>
        </w:rPr>
        <w:tab/>
      </w:r>
      <w:r w:rsidRPr="003B1D7C">
        <w:rPr>
          <w:sz w:val="24"/>
          <w:shd w:val="clear" w:color="auto" w:fill="FFFFFF"/>
          <w:lang w:val="et-EE"/>
        </w:rPr>
        <w:t xml:space="preserve">Vt nt </w:t>
      </w:r>
      <w:hyperlink r:id="rId28" w:history="1">
        <w:r w:rsidRPr="003B1D7C">
          <w:rPr>
            <w:rStyle w:val="Hyperlink"/>
            <w:sz w:val="24"/>
            <w:lang w:val="et-EE"/>
          </w:rPr>
          <w:t>https://doi.org/10.1016/j.mrrev.2019.02.001</w:t>
        </w:r>
      </w:hyperlink>
      <w:r w:rsidRPr="003B1D7C">
        <w:rPr>
          <w:sz w:val="24"/>
          <w:lang w:val="et-EE"/>
        </w:rPr>
        <w:t xml:space="preserve">, </w:t>
      </w:r>
      <w:hyperlink r:id="rId29" w:history="1">
        <w:r w:rsidRPr="003B1D7C">
          <w:rPr>
            <w:rStyle w:val="Hyperlink"/>
            <w:sz w:val="24"/>
            <w:lang w:val="et-EE"/>
          </w:rPr>
          <w:t>https://doi.org/10.1093/ije/dyz017</w:t>
        </w:r>
      </w:hyperlink>
      <w:r w:rsidRPr="003B1D7C">
        <w:rPr>
          <w:sz w:val="24"/>
          <w:lang w:val="et-EE"/>
        </w:rPr>
        <w:t xml:space="preserve">, </w:t>
      </w:r>
      <w:hyperlink r:id="rId30" w:history="1">
        <w:r w:rsidRPr="003B1D7C">
          <w:rPr>
            <w:rStyle w:val="Hyperlink"/>
            <w:sz w:val="24"/>
            <w:lang w:val="et-EE"/>
          </w:rPr>
          <w:t>https://doi.org/10.1371/journal.pone.0219610</w:t>
        </w:r>
      </w:hyperlink>
      <w:r w:rsidRPr="003B1D7C">
        <w:rPr>
          <w:sz w:val="24"/>
          <w:lang w:val="et-EE"/>
        </w:rPr>
        <w:t xml:space="preserve"> ja </w:t>
      </w:r>
      <w:hyperlink r:id="rId31" w:history="1">
        <w:r w:rsidRPr="003B1D7C">
          <w:rPr>
            <w:rStyle w:val="Hyperlink"/>
            <w:sz w:val="24"/>
            <w:lang w:val="et-EE"/>
          </w:rPr>
          <w:t>https://doi.org/10.1186/s13045-019-0767-9</w:t>
        </w:r>
      </w:hyperlink>
      <w:r w:rsidRPr="003B1D7C">
        <w:rPr>
          <w:sz w:val="24"/>
          <w:lang w:val="et-EE"/>
        </w:rPr>
        <w:t>.</w:t>
      </w:r>
    </w:p>
  </w:footnote>
  <w:footnote w:id="12">
    <w:p w:rsidR="007C7DFE" w:rsidRPr="003B1D7C" w:rsidP="003B1D7C" w14:paraId="46957634" w14:textId="7AFD154C">
      <w:pPr>
        <w:pStyle w:val="FootnoteText"/>
        <w:ind w:left="567" w:hanging="567"/>
        <w:rPr>
          <w:sz w:val="24"/>
          <w:lang w:val="et-EE"/>
        </w:rPr>
      </w:pPr>
      <w:r w:rsidRPr="003B1D7C">
        <w:rPr>
          <w:rStyle w:val="FootnoteReference"/>
          <w:sz w:val="24"/>
          <w:lang w:val="et-EE"/>
        </w:rPr>
        <w:footnoteRef/>
      </w:r>
      <w:r w:rsidRPr="003B1D7C" w:rsidR="003B1D7C">
        <w:rPr>
          <w:sz w:val="24"/>
          <w:lang w:val="et-EE"/>
        </w:rPr>
        <w:tab/>
      </w:r>
      <w:hyperlink r:id="rId32" w:tgtFrame="_blank" w:tooltip="Püsilink digitaalobjekti identifikaatoriga" w:history="1">
        <w:r w:rsidRPr="003B1D7C">
          <w:rPr>
            <w:rStyle w:val="Hyperlink"/>
            <w:sz w:val="24"/>
            <w:lang w:val="et-EE"/>
          </w:rPr>
          <w:t>https://doi.org/10.1006/rtph.1999.1371</w:t>
        </w:r>
      </w:hyperlink>
    </w:p>
  </w:footnote>
  <w:footnote w:id="13">
    <w:p w:rsidR="007C7DFE" w:rsidRPr="003B1D7C" w:rsidP="003B1D7C" w14:paraId="6EE48A5F" w14:textId="588233EF">
      <w:pPr>
        <w:pStyle w:val="FootnoteText"/>
        <w:ind w:left="567" w:hanging="567"/>
        <w:rPr>
          <w:sz w:val="24"/>
          <w:lang w:val="et-EE"/>
        </w:rPr>
      </w:pPr>
      <w:r w:rsidRPr="003B1D7C">
        <w:rPr>
          <w:rStyle w:val="FootnoteReference"/>
          <w:sz w:val="24"/>
          <w:lang w:val="et-EE"/>
        </w:rPr>
        <w:footnoteRef/>
      </w:r>
      <w:r w:rsidRPr="003B1D7C" w:rsidR="003B1D7C">
        <w:rPr>
          <w:sz w:val="24"/>
          <w:shd w:val="clear" w:color="auto" w:fill="FFFFFF"/>
          <w:lang w:val="et-EE"/>
        </w:rPr>
        <w:tab/>
      </w:r>
      <w:r w:rsidRPr="003B1D7C">
        <w:rPr>
          <w:sz w:val="24"/>
          <w:shd w:val="clear" w:color="auto" w:fill="FFFFFF"/>
          <w:lang w:val="et-EE"/>
        </w:rPr>
        <w:t>Lurquin, P.F., „Production of a toxic metabolite in 2, 4‑D‑resistant GM crop plants“ (Toksilise metaboliidi tootmine 2,4-D suhtes resistentsetes geneetiliselt muundatud taimedes),</w:t>
      </w:r>
      <w:r w:rsidRPr="003B1D7C">
        <w:rPr>
          <w:i/>
          <w:sz w:val="24"/>
          <w:shd w:val="clear" w:color="auto" w:fill="FFFFFF"/>
          <w:lang w:val="et-EE"/>
        </w:rPr>
        <w:t xml:space="preserve"> </w:t>
      </w:r>
      <w:r w:rsidRPr="0085426F">
        <w:rPr>
          <w:iCs/>
          <w:sz w:val="24"/>
          <w:shd w:val="clear" w:color="auto" w:fill="FFFFFF"/>
          <w:lang w:val="et-EE"/>
        </w:rPr>
        <w:t>3 Biotech</w:t>
      </w:r>
      <w:r w:rsidRPr="003B1D7C">
        <w:rPr>
          <w:sz w:val="24"/>
          <w:shd w:val="clear" w:color="auto" w:fill="FFFFFF"/>
          <w:lang w:val="et-EE"/>
        </w:rPr>
        <w:t xml:space="preserve"> 6, 82 (2016),</w:t>
      </w:r>
      <w:r w:rsidRPr="003B1D7C">
        <w:rPr>
          <w:sz w:val="24"/>
          <w:lang w:val="et-EE"/>
        </w:rPr>
        <w:t xml:space="preserve"> </w:t>
      </w:r>
      <w:hyperlink r:id="rId33" w:history="1">
        <w:r w:rsidRPr="003B1D7C">
          <w:rPr>
            <w:rStyle w:val="Hyperlink"/>
            <w:sz w:val="24"/>
            <w:shd w:val="clear" w:color="auto" w:fill="FCFCFC"/>
            <w:lang w:val="et-EE"/>
          </w:rPr>
          <w:t>https://doi.org/10.1007/s13205-016-0387-9</w:t>
        </w:r>
      </w:hyperlink>
      <w:r w:rsidRPr="003B1D7C">
        <w:rPr>
          <w:sz w:val="24"/>
          <w:lang w:val="et-EE"/>
        </w:rPr>
        <w:t>.</w:t>
      </w:r>
    </w:p>
  </w:footnote>
  <w:footnote w:id="14">
    <w:p w:rsidR="007C7DFE" w:rsidRPr="003B1D7C" w:rsidP="003B1D7C" w14:paraId="509D446A" w14:textId="15646F42">
      <w:pPr>
        <w:pStyle w:val="FootnoteText"/>
        <w:ind w:left="567" w:hanging="567"/>
        <w:rPr>
          <w:sz w:val="24"/>
          <w:szCs w:val="24"/>
          <w:lang w:val="et-EE"/>
        </w:rPr>
      </w:pPr>
      <w:r w:rsidRPr="003B1D7C">
        <w:rPr>
          <w:rStyle w:val="FootnoteReference"/>
          <w:sz w:val="24"/>
          <w:lang w:val="et-EE"/>
        </w:rPr>
        <w:footnoteRef/>
      </w:r>
      <w:r w:rsidRPr="003B1D7C" w:rsidR="003B1D7C">
        <w:rPr>
          <w:sz w:val="24"/>
          <w:shd w:val="clear" w:color="auto" w:fill="FFFFFF"/>
          <w:lang w:val="et-EE"/>
        </w:rPr>
        <w:tab/>
      </w:r>
      <w:r w:rsidRPr="003B1D7C">
        <w:rPr>
          <w:sz w:val="24"/>
          <w:shd w:val="clear" w:color="auto" w:fill="FFFFFF"/>
          <w:lang w:val="et-EE"/>
        </w:rPr>
        <w:t xml:space="preserve">Glüfosaadi puhul on see on tõepoolest nii, nagu on ka kirjas EFSA põhjendatud arvamuses glüfosaadijääkide kehtivate piirnormide kohta vastavalt määruse (EÜ) nr 396/2005 artiklile 12, </w:t>
      </w:r>
      <w:r w:rsidRPr="0085426F">
        <w:rPr>
          <w:iCs/>
          <w:sz w:val="24"/>
          <w:shd w:val="clear" w:color="auto" w:fill="FFFFFF"/>
          <w:lang w:val="et-EE"/>
        </w:rPr>
        <w:t>EFSA Journal</w:t>
      </w:r>
      <w:r w:rsidRPr="003B1D7C">
        <w:rPr>
          <w:sz w:val="24"/>
          <w:shd w:val="clear" w:color="auto" w:fill="FFFFFF"/>
          <w:lang w:val="et-EE"/>
        </w:rPr>
        <w:t>, 2018, 16(5):5263, lk 12,</w:t>
      </w:r>
      <w:r w:rsidRPr="003B1D7C">
        <w:rPr>
          <w:sz w:val="24"/>
          <w:lang w:val="et-EE"/>
        </w:rPr>
        <w:t xml:space="preserve"> </w:t>
      </w:r>
      <w:hyperlink r:id="rId34" w:history="1">
        <w:r w:rsidRPr="003B1D7C">
          <w:rPr>
            <w:rStyle w:val="Hyperlink"/>
            <w:sz w:val="24"/>
            <w:lang w:val="et-EE"/>
          </w:rPr>
          <w:t>https://doi.org/10.2903/j.efsa.2018.5263</w:t>
        </w:r>
      </w:hyperlink>
      <w:r w:rsidRPr="003B1D7C">
        <w:rPr>
          <w:sz w:val="24"/>
          <w:lang w:val="et-EE"/>
        </w:rPr>
        <w:t>.</w:t>
      </w:r>
    </w:p>
  </w:footnote>
  <w:footnote w:id="15">
    <w:p w:rsidR="007C7DFE" w:rsidRPr="003B1D7C" w:rsidP="003B1D7C" w14:paraId="3C56718C" w14:textId="45A8AE59">
      <w:pPr>
        <w:pStyle w:val="FootnoteText"/>
        <w:ind w:left="567" w:hanging="567"/>
        <w:rPr>
          <w:sz w:val="24"/>
          <w:lang w:val="et-EE"/>
        </w:rPr>
      </w:pPr>
      <w:r w:rsidRPr="003B1D7C">
        <w:rPr>
          <w:rStyle w:val="FootnoteReference"/>
          <w:sz w:val="24"/>
          <w:lang w:val="et-EE"/>
        </w:rPr>
        <w:footnoteRef/>
      </w:r>
      <w:r w:rsidRPr="003B1D7C" w:rsidR="003B1D7C">
        <w:rPr>
          <w:sz w:val="24"/>
          <w:lang w:val="et-EE"/>
        </w:rPr>
        <w:tab/>
      </w:r>
      <w:r w:rsidRPr="003B1D7C">
        <w:rPr>
          <w:sz w:val="24"/>
          <w:lang w:val="et-EE"/>
        </w:rPr>
        <w:t>ELT L 282, 19.10.2016, lk 4.</w:t>
      </w:r>
    </w:p>
  </w:footnote>
  <w:footnote w:id="16">
    <w:p w:rsidR="007C7DFE" w:rsidRPr="003B1D7C" w:rsidP="003B1D7C" w14:paraId="5B4ED5EF" w14:textId="28B5A3EC">
      <w:pPr>
        <w:pStyle w:val="FootnoteText"/>
        <w:ind w:left="567" w:hanging="567"/>
        <w:rPr>
          <w:sz w:val="24"/>
          <w:lang w:val="et-EE"/>
        </w:rPr>
      </w:pPr>
      <w:r w:rsidRPr="003B1D7C">
        <w:rPr>
          <w:rStyle w:val="FootnoteReference"/>
          <w:sz w:val="24"/>
          <w:lang w:val="et-EE"/>
        </w:rPr>
        <w:footnoteRef/>
      </w:r>
      <w:r w:rsidRPr="003B1D7C" w:rsidR="003B1D7C">
        <w:rPr>
          <w:sz w:val="24"/>
          <w:lang w:val="et-EE"/>
        </w:rPr>
        <w:tab/>
      </w:r>
      <w:r w:rsidRPr="003B1D7C">
        <w:rPr>
          <w:sz w:val="24"/>
          <w:lang w:val="et-EE"/>
        </w:rPr>
        <w:t>EÜT L 309, 13.12.1993, lk 3, ELI: </w:t>
      </w:r>
      <w:hyperlink r:id="rId35" w:tooltip="Annab juurdepääsu sellele dokumendile tema ELI URI kaudu." w:history="1">
        <w:r w:rsidRPr="003B1D7C">
          <w:rPr>
            <w:rStyle w:val="Hyperlink"/>
            <w:sz w:val="24"/>
            <w:lang w:val="et-EE"/>
          </w:rPr>
          <w:t>http://data.europa.eu/eli/convention/1993/626/oj</w:t>
        </w:r>
      </w:hyperlink>
      <w:r w:rsidRPr="003B1D7C">
        <w:rPr>
          <w:sz w:val="24"/>
          <w:lang w:val="et-EE"/>
        </w:rPr>
        <w:t>.</w:t>
      </w:r>
    </w:p>
  </w:footnote>
  <w:footnote w:id="17">
    <w:p w:rsidR="007C7DFE" w:rsidRPr="003B1D7C" w:rsidP="003B1D7C" w14:paraId="7A721600" w14:textId="0A8A3B28">
      <w:pPr>
        <w:pStyle w:val="FootnoteText"/>
        <w:ind w:left="567" w:hanging="567"/>
        <w:rPr>
          <w:sz w:val="24"/>
          <w:lang w:val="et-EE"/>
        </w:rPr>
      </w:pPr>
      <w:r w:rsidRPr="003B1D7C">
        <w:rPr>
          <w:rStyle w:val="FootnoteReference"/>
          <w:sz w:val="24"/>
          <w:lang w:val="et-EE"/>
        </w:rPr>
        <w:footnoteRef/>
      </w:r>
      <w:r w:rsidRPr="003B1D7C" w:rsidR="003B1D7C">
        <w:rPr>
          <w:color w:val="000000" w:themeColor="text1"/>
          <w:sz w:val="24"/>
          <w:lang w:val="et-EE"/>
        </w:rPr>
        <w:tab/>
      </w:r>
      <w:r w:rsidRPr="003B1D7C">
        <w:rPr>
          <w:color w:val="000000" w:themeColor="text1"/>
          <w:sz w:val="24"/>
          <w:lang w:val="et-EE"/>
        </w:rPr>
        <w:t>ÜRO bioloogilise mitmekesisuse konventsiooni osaliste konverentsi 15. istungjärgul 2022. aasta detsembris lepiti kokku ülemaailmses elurikkuse raamistikus, mis sisaldab üleilmset eesmärki vähendada pestitsiididest tulenevaid ohte 2030. aastaks vähemalt 50</w:t>
      </w:r>
      <w:r w:rsidRPr="003B1D7C">
        <w:rPr>
          <w:sz w:val="24"/>
          <w:lang w:val="et-EE"/>
        </w:rPr>
        <w:t> </w:t>
      </w:r>
      <w:r w:rsidRPr="003B1D7C">
        <w:rPr>
          <w:color w:val="000000" w:themeColor="text1"/>
          <w:sz w:val="24"/>
          <w:lang w:val="et-EE"/>
        </w:rPr>
        <w:t xml:space="preserve">% (vt: </w:t>
      </w:r>
      <w:hyperlink r:id="rId36" w:history="1">
        <w:r w:rsidRPr="003B1D7C">
          <w:rPr>
            <w:rStyle w:val="Hyperlink"/>
            <w:sz w:val="24"/>
            <w:lang w:val="et-EE"/>
          </w:rPr>
          <w:t>https://ec.europa.eu/commission/presscorner/detail/et/ip_22_7834</w:t>
        </w:r>
      </w:hyperlink>
      <w:r w:rsidRPr="003B1D7C">
        <w:rPr>
          <w:sz w:val="24"/>
          <w:lang w:val="et-EE"/>
        </w:rPr>
        <w:t>).</w:t>
      </w:r>
    </w:p>
  </w:footnote>
  <w:footnote w:id="18">
    <w:p w:rsidR="007C7DFE" w:rsidRPr="003B1D7C" w:rsidP="003B1D7C" w14:paraId="05C2F896" w14:textId="04627BA3">
      <w:pPr>
        <w:pStyle w:val="FootnoteText"/>
        <w:ind w:left="567" w:hanging="567"/>
        <w:rPr>
          <w:sz w:val="24"/>
          <w:lang w:val="et-EE"/>
        </w:rPr>
      </w:pPr>
      <w:r w:rsidRPr="003B1D7C">
        <w:rPr>
          <w:rStyle w:val="FootnoteReference"/>
          <w:sz w:val="24"/>
          <w:lang w:val="et-EE"/>
        </w:rPr>
        <w:footnoteRef/>
      </w:r>
      <w:r w:rsidRPr="003B1D7C" w:rsidR="003B1D7C">
        <w:rPr>
          <w:sz w:val="24"/>
          <w:lang w:val="et-EE"/>
        </w:rPr>
        <w:tab/>
      </w:r>
      <w:hyperlink r:id="rId37" w:history="1">
        <w:r w:rsidRPr="003B1D7C">
          <w:rPr>
            <w:rStyle w:val="Hyperlink"/>
            <w:sz w:val="24"/>
            <w:lang w:val="et-EE"/>
          </w:rPr>
          <w:t>https://commission.europa.eu/topics/agriculture-and-rural-development/strategic-dialogue-future-eu-agriculture_et</w:t>
        </w:r>
      </w:hyperlink>
    </w:p>
  </w:footnote>
  <w:footnote w:id="19">
    <w:p w:rsidR="007C7DFE" w:rsidRPr="003B1D7C" w:rsidP="003B1D7C" w14:paraId="23C74C44" w14:textId="4A6D18B6">
      <w:pPr>
        <w:pStyle w:val="FootnoteText"/>
        <w:ind w:left="567" w:hanging="567"/>
        <w:rPr>
          <w:sz w:val="24"/>
          <w:szCs w:val="24"/>
          <w:lang w:val="et-EE"/>
        </w:rPr>
      </w:pPr>
      <w:r w:rsidRPr="003B1D7C">
        <w:rPr>
          <w:rStyle w:val="FootnoteReference"/>
          <w:sz w:val="24"/>
          <w:lang w:val="et-EE"/>
        </w:rPr>
        <w:footnoteRef/>
      </w:r>
      <w:r w:rsidRPr="003B1D7C" w:rsidR="003B1D7C">
        <w:rPr>
          <w:sz w:val="24"/>
          <w:lang w:val="et-EE"/>
        </w:rPr>
        <w:tab/>
      </w:r>
      <w:r w:rsidRPr="003B1D7C">
        <w:rPr>
          <w:sz w:val="24"/>
          <w:lang w:val="et-EE"/>
        </w:rPr>
        <w:t>Euroopa Parlamendi ja nõukogu 28. jaanuari 2002. aasta määrus (EÜ) nr 178/2002, millega sätestatakse toidualaste õigusnormide üldised põhimõtted ja nõuded, asutatakse Euroopa Toiduohutusamet ja kehtestatakse toidu ohutusega seotud menetlused (EÜT L 31, 1.2.2002, lk 1, ELI: </w:t>
      </w:r>
      <w:hyperlink r:id="rId38" w:tooltip="Annab juurdepääsu sellele dokumendile tema ELI URI kaudu." w:history="1">
        <w:r w:rsidRPr="003B1D7C">
          <w:rPr>
            <w:rStyle w:val="Hyperlink"/>
            <w:sz w:val="24"/>
            <w:lang w:val="et-EE"/>
          </w:rPr>
          <w:t>http://data.europa.eu/eli/reg/2002/178/oj</w:t>
        </w:r>
      </w:hyperlink>
      <w:r w:rsidRPr="003B1D7C">
        <w:rPr>
          <w:sz w:val="24"/>
          <w:lang w:val="et-EE"/>
        </w:rPr>
        <w:t>).</w:t>
      </w:r>
    </w:p>
  </w:footnote>
  <w:footnote w:id="20">
    <w:p w:rsidR="007C7DFE" w:rsidRPr="003B1D7C" w:rsidP="003B1D7C" w14:paraId="2FC581E7" w14:textId="2FC398AC">
      <w:pPr>
        <w:pStyle w:val="FootnoteText"/>
        <w:ind w:left="567" w:hanging="567"/>
        <w:rPr>
          <w:sz w:val="24"/>
          <w:szCs w:val="24"/>
          <w:lang w:val="et-EE"/>
        </w:rPr>
      </w:pPr>
      <w:r w:rsidRPr="003B1D7C">
        <w:rPr>
          <w:rStyle w:val="FootnoteReference"/>
          <w:sz w:val="24"/>
          <w:szCs w:val="24"/>
          <w:lang w:val="et-EE"/>
        </w:rPr>
        <w:footnoteRef/>
      </w:r>
      <w:r w:rsidRPr="003B1D7C" w:rsidR="003B1D7C">
        <w:rPr>
          <w:sz w:val="24"/>
          <w:lang w:val="et-EE"/>
        </w:rPr>
        <w:tab/>
      </w:r>
      <w:hyperlink r:id="rId39" w:history="1">
        <w:r w:rsidRPr="003B1D7C">
          <w:rPr>
            <w:rStyle w:val="Hyperlink"/>
            <w:sz w:val="24"/>
            <w:shd w:val="clear" w:color="auto" w:fill="FFFFFF"/>
            <w:lang w:val="et-EE"/>
          </w:rPr>
          <w:t>https://tillymetz.lu/wp-content/uploads/2020/09/Co-signed-letter-MEP-Metz.pdf</w:t>
        </w:r>
      </w:hyperlink>
    </w:p>
  </w:footnote>
  <w:footnote w:id="21">
    <w:p w:rsidR="007C7DFE" w:rsidRPr="003B1D7C" w:rsidP="003B1D7C" w14:paraId="47155368" w14:textId="0BC6964C">
      <w:pPr>
        <w:pStyle w:val="FootnoteText"/>
        <w:ind w:left="567" w:hanging="567"/>
        <w:rPr>
          <w:sz w:val="24"/>
          <w:lang w:val="et-EE"/>
        </w:rPr>
      </w:pPr>
      <w:r w:rsidRPr="003B1D7C">
        <w:rPr>
          <w:rStyle w:val="FootnoteReference"/>
          <w:sz w:val="24"/>
          <w:lang w:val="et-EE"/>
        </w:rPr>
        <w:footnoteRef/>
      </w:r>
      <w:r w:rsidRPr="003B1D7C" w:rsidR="003B1D7C">
        <w:rPr>
          <w:sz w:val="24"/>
          <w:shd w:val="clear" w:color="auto" w:fill="FFFFFF"/>
          <w:lang w:val="et-EE"/>
        </w:rPr>
        <w:tab/>
      </w:r>
      <w:r w:rsidRPr="003B1D7C">
        <w:rPr>
          <w:sz w:val="24"/>
          <w:shd w:val="clear" w:color="auto" w:fill="FFFFFF"/>
          <w:lang w:val="et-EE"/>
        </w:rPr>
        <w:t>Euroopa Parlamendi 15. jaanuari 2020. aasta resolutsioon Euroopa rohelise kokkuleppe kohta (ELT C 270, 7.7.2021, lk 2), punkt 102.</w:t>
      </w:r>
    </w:p>
  </w:footnote>
  <w:footnote w:id="22">
    <w:p w:rsidR="007C7DFE" w:rsidRPr="003B1D7C" w:rsidP="003B1D7C" w14:paraId="182DAA7B" w14:textId="6023F05D">
      <w:pPr>
        <w:pStyle w:val="FootnoteText"/>
        <w:ind w:left="567" w:hanging="567"/>
        <w:rPr>
          <w:sz w:val="24"/>
          <w:szCs w:val="24"/>
          <w:lang w:val="et-EE"/>
        </w:rPr>
      </w:pPr>
      <w:r w:rsidRPr="003B1D7C">
        <w:rPr>
          <w:rStyle w:val="FootnoteReference"/>
          <w:sz w:val="24"/>
          <w:lang w:val="et-EE"/>
        </w:rPr>
        <w:footnoteRef/>
      </w:r>
      <w:r w:rsidRPr="003B1D7C" w:rsidR="003B1D7C">
        <w:rPr>
          <w:sz w:val="24"/>
          <w:shd w:val="clear" w:color="auto" w:fill="FFFFFF"/>
          <w:lang w:val="et-EE"/>
        </w:rPr>
        <w:tab/>
      </w:r>
      <w:r w:rsidRPr="003B1D7C">
        <w:rPr>
          <w:sz w:val="24"/>
          <w:shd w:val="clear" w:color="auto" w:fill="FFFFFF"/>
          <w:lang w:val="et-EE"/>
        </w:rPr>
        <w:t>ELT C 445, 29.10.2021, lk 257.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B1D7C" w14:paraId="6E49E82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B1D7C" w14:paraId="19A4281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B1D7C" w14:paraId="1D7E766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1057514423">
    <w:abstractNumId w:val="9"/>
  </w:num>
  <w:num w:numId="2" w16cid:durableId="1451826451">
    <w:abstractNumId w:val="9"/>
  </w:num>
  <w:num w:numId="3" w16cid:durableId="223874908">
    <w:abstractNumId w:val="7"/>
  </w:num>
  <w:num w:numId="4" w16cid:durableId="396172918">
    <w:abstractNumId w:val="7"/>
  </w:num>
  <w:num w:numId="5" w16cid:durableId="1648314757">
    <w:abstractNumId w:val="6"/>
  </w:num>
  <w:num w:numId="6" w16cid:durableId="1617442636">
    <w:abstractNumId w:val="6"/>
  </w:num>
  <w:num w:numId="7" w16cid:durableId="1746801505">
    <w:abstractNumId w:val="5"/>
  </w:num>
  <w:num w:numId="8" w16cid:durableId="1234508620">
    <w:abstractNumId w:val="5"/>
  </w:num>
  <w:num w:numId="9" w16cid:durableId="1460344020">
    <w:abstractNumId w:val="4"/>
  </w:num>
  <w:num w:numId="10" w16cid:durableId="1269577966">
    <w:abstractNumId w:val="4"/>
  </w:num>
  <w:num w:numId="11" w16cid:durableId="444271313">
    <w:abstractNumId w:val="8"/>
  </w:num>
  <w:num w:numId="12" w16cid:durableId="1259026649">
    <w:abstractNumId w:val="8"/>
  </w:num>
  <w:num w:numId="13" w16cid:durableId="1212884234">
    <w:abstractNumId w:val="3"/>
  </w:num>
  <w:num w:numId="14" w16cid:durableId="105852177">
    <w:abstractNumId w:val="3"/>
  </w:num>
  <w:num w:numId="15" w16cid:durableId="1186946525">
    <w:abstractNumId w:val="2"/>
  </w:num>
  <w:num w:numId="16" w16cid:durableId="672337134">
    <w:abstractNumId w:val="2"/>
  </w:num>
  <w:num w:numId="17" w16cid:durableId="844855708">
    <w:abstractNumId w:val="1"/>
  </w:num>
  <w:num w:numId="18" w16cid:durableId="1563563888">
    <w:abstractNumId w:val="1"/>
  </w:num>
  <w:num w:numId="19" w16cid:durableId="1165127730">
    <w:abstractNumId w:val="0"/>
  </w:num>
  <w:num w:numId="20" w16cid:durableId="1050224953">
    <w:abstractNumId w:val="0"/>
  </w:num>
  <w:num w:numId="21" w16cid:durableId="1247032276">
    <w:abstractNumId w:val="9"/>
  </w:num>
  <w:num w:numId="22" w16cid:durableId="1433938699">
    <w:abstractNumId w:val="7"/>
  </w:num>
  <w:num w:numId="23" w16cid:durableId="1173767032">
    <w:abstractNumId w:val="6"/>
  </w:num>
  <w:num w:numId="24" w16cid:durableId="437457503">
    <w:abstractNumId w:val="5"/>
  </w:num>
  <w:num w:numId="25" w16cid:durableId="2023389812">
    <w:abstractNumId w:val="4"/>
  </w:num>
  <w:num w:numId="26" w16cid:durableId="45298530">
    <w:abstractNumId w:val="8"/>
  </w:num>
  <w:num w:numId="27" w16cid:durableId="577787485">
    <w:abstractNumId w:val="3"/>
  </w:num>
  <w:num w:numId="28" w16cid:durableId="711156249">
    <w:abstractNumId w:val="2"/>
  </w:num>
  <w:num w:numId="29" w16cid:durableId="1039235561">
    <w:abstractNumId w:val="1"/>
  </w:num>
  <w:num w:numId="30" w16cid:durableId="349840269">
    <w:abstractNumId w:val="0"/>
  </w:num>
  <w:num w:numId="31" w16cid:durableId="298266758">
    <w:abstractNumId w:val="9"/>
  </w:num>
  <w:num w:numId="32" w16cid:durableId="1240359985">
    <w:abstractNumId w:val="7"/>
  </w:num>
  <w:num w:numId="33" w16cid:durableId="396131577">
    <w:abstractNumId w:val="6"/>
  </w:num>
  <w:num w:numId="34" w16cid:durableId="1175262898">
    <w:abstractNumId w:val="5"/>
  </w:num>
  <w:num w:numId="35" w16cid:durableId="1271472131">
    <w:abstractNumId w:val="4"/>
  </w:num>
  <w:num w:numId="36" w16cid:durableId="1396708217">
    <w:abstractNumId w:val="8"/>
  </w:num>
  <w:num w:numId="37" w16cid:durableId="1626110221">
    <w:abstractNumId w:val="3"/>
  </w:num>
  <w:num w:numId="38" w16cid:durableId="67383156">
    <w:abstractNumId w:val="2"/>
  </w:num>
  <w:num w:numId="39" w16cid:durableId="182524184">
    <w:abstractNumId w:val="1"/>
  </w:num>
  <w:num w:numId="40" w16cid:durableId="2132163950">
    <w:abstractNumId w:val="0"/>
  </w:num>
  <w:num w:numId="41" w16cid:durableId="1225722327">
    <w:abstractNumId w:val="10"/>
  </w:num>
  <w:num w:numId="42" w16cid:durableId="968122291">
    <w:abstractNumId w:val="10"/>
  </w:num>
  <w:num w:numId="43" w16cid:durableId="1626157545">
    <w:abstractNumId w:val="10"/>
  </w:num>
  <w:num w:numId="44" w16cid:durableId="394746686">
    <w:abstractNumId w:val="11"/>
  </w:num>
  <w:num w:numId="45" w16cid:durableId="1944142484">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4F"/>
    <w:rsid w:val="00002272"/>
    <w:rsid w:val="00064002"/>
    <w:rsid w:val="000677B9"/>
    <w:rsid w:val="000831BA"/>
    <w:rsid w:val="000A42CC"/>
    <w:rsid w:val="000E7DD9"/>
    <w:rsid w:val="0010095E"/>
    <w:rsid w:val="00125B37"/>
    <w:rsid w:val="00187494"/>
    <w:rsid w:val="0019043A"/>
    <w:rsid w:val="001F32AE"/>
    <w:rsid w:val="00266451"/>
    <w:rsid w:val="002767FF"/>
    <w:rsid w:val="002B18FE"/>
    <w:rsid w:val="002B3D5B"/>
    <w:rsid w:val="002B5493"/>
    <w:rsid w:val="003318E2"/>
    <w:rsid w:val="00343214"/>
    <w:rsid w:val="00361C00"/>
    <w:rsid w:val="003716DE"/>
    <w:rsid w:val="003843E8"/>
    <w:rsid w:val="00395FA1"/>
    <w:rsid w:val="003B1D7C"/>
    <w:rsid w:val="003E15D4"/>
    <w:rsid w:val="004033D0"/>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6C41"/>
    <w:rsid w:val="00731ADD"/>
    <w:rsid w:val="00734777"/>
    <w:rsid w:val="00747932"/>
    <w:rsid w:val="00751A4A"/>
    <w:rsid w:val="00756632"/>
    <w:rsid w:val="00762C74"/>
    <w:rsid w:val="00786EC0"/>
    <w:rsid w:val="007C7DFE"/>
    <w:rsid w:val="007D1690"/>
    <w:rsid w:val="007E22AD"/>
    <w:rsid w:val="00817416"/>
    <w:rsid w:val="00842779"/>
    <w:rsid w:val="0085426F"/>
    <w:rsid w:val="00865F67"/>
    <w:rsid w:val="00881A7B"/>
    <w:rsid w:val="008840E5"/>
    <w:rsid w:val="00887B3E"/>
    <w:rsid w:val="008C18D3"/>
    <w:rsid w:val="008C2AC6"/>
    <w:rsid w:val="00930C23"/>
    <w:rsid w:val="0093193B"/>
    <w:rsid w:val="009509D8"/>
    <w:rsid w:val="00950B64"/>
    <w:rsid w:val="00977C4F"/>
    <w:rsid w:val="00981893"/>
    <w:rsid w:val="00A06A0E"/>
    <w:rsid w:val="00A1687D"/>
    <w:rsid w:val="00A31FCB"/>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6595"/>
    <w:rsid w:val="00CF071A"/>
    <w:rsid w:val="00D058B8"/>
    <w:rsid w:val="00D12C7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36/2026"/>
    <w:docVar w:name="dvlangue" w:val="ET"/>
    <w:docVar w:name="dvnumam" w:val="0"/>
    <w:docVar w:name="dvpe" w:val="789.025"/>
    <w:docVar w:name="dvtitre" w:val="Euroopa Parlamendi .... 2026. aasta resolutsioon komisjoni rakendusotsuse eelnõu kohta, millega lubatakse lasta turule geneetiliselt muundatud maisi DP202216 x NK603 x DAS-40278-9 ja selle alakombinatsioone DP202216 x NK603 ja DP202216 x DAS-40278-9 sisaldavaid, sellest koosnevaid või sellest valmistatud tooteid vastavalt Euroopa Parlamendi ja nõukogu määrusele (EÜ) nr 1829/2003(D114997/04 – 2026/274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84AE079"/>
  <w15:chartTrackingRefBased/>
  <w15:docId w15:val="{D5056039-C067-42DC-929C-32B6E9FE9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qFormat/>
    <w:rsid w:val="007C7DFE"/>
    <w:pPr>
      <w:spacing w:after="240"/>
      <w:ind w:left="567" w:hanging="567"/>
    </w:pPr>
  </w:style>
  <w:style w:type="character" w:styleId="Hyperlink">
    <w:name w:val="Hyperlink"/>
    <w:basedOn w:val="DefaultParagraphFont"/>
    <w:uiPriority w:val="99"/>
    <w:rsid w:val="007C7DFE"/>
    <w:rPr>
      <w:color w:val="0563C1" w:themeColor="hyperlink"/>
      <w:u w:val="single"/>
    </w:rPr>
  </w:style>
  <w:style w:type="paragraph" w:customStyle="1" w:styleId="Considrant">
    <w:name w:val="Considérant"/>
    <w:basedOn w:val="Normal"/>
    <w:uiPriority w:val="99"/>
    <w:semiHidden/>
    <w:rsid w:val="007C7DFE"/>
    <w:pPr>
      <w:widowControl/>
      <w:numPr>
        <w:numId w:val="45"/>
      </w:numPr>
      <w:spacing w:before="120" w:after="120"/>
      <w:jc w:val="both"/>
    </w:pPr>
    <w:rPr>
      <w:rFonts w:eastAsiaTheme="minorHAnsi"/>
      <w:szCs w:val="22"/>
      <w:lang w:eastAsia="en-US"/>
    </w:rPr>
  </w:style>
  <w:style w:type="character" w:customStyle="1" w:styleId="Funotenzeichen">
    <w:name w:val="Fußnotenzeichen"/>
    <w:basedOn w:val="DefaultParagraphFont"/>
    <w:uiPriority w:val="99"/>
    <w:qFormat/>
    <w:rsid w:val="007C7DFE"/>
    <w:rPr>
      <w:rFonts w:ascii="Times New Roman" w:hAnsi="Times New Roman" w:cs="Times New Roman" w:hint="default"/>
      <w:vertAlign w:val="superscript"/>
    </w:rPr>
  </w:style>
  <w:style w:type="paragraph" w:styleId="Revision">
    <w:name w:val="Revision"/>
    <w:hidden/>
    <w:uiPriority w:val="99"/>
    <w:semiHidden/>
    <w:rsid w:val="002B3D5B"/>
    <w:rPr>
      <w:sz w:val="24"/>
      <w:lang w:val="et-EE"/>
    </w:rPr>
  </w:style>
  <w:style w:type="character" w:styleId="FollowedHyperlink">
    <w:name w:val="FollowedHyperlink"/>
    <w:basedOn w:val="DefaultParagraphFont"/>
    <w:rsid w:val="0085426F"/>
    <w:rPr>
      <w:color w:val="954F72" w:themeColor="followedHyperlink"/>
      <w:u w:val="single"/>
    </w:rPr>
  </w:style>
  <w:style w:type="character" w:styleId="UnresolvedMention">
    <w:name w:val="Unresolved Mention"/>
    <w:basedOn w:val="DefaultParagraphFont"/>
    <w:uiPriority w:val="99"/>
    <w:semiHidden/>
    <w:unhideWhenUsed/>
    <w:rsid w:val="004033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43/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s://doi.org/10.1007/s00267-015-0589-7" TargetMode="External" /><Relationship Id="rId25" Type="http://schemas.openxmlformats.org/officeDocument/2006/relationships/hyperlink" Target="https://doi.org/10.1186/2190-4715-24-24" TargetMode="External" /><Relationship Id="rId26" Type="http://schemas.openxmlformats.org/officeDocument/2006/relationships/hyperlink" Target="http://data.europa.eu/eli/reg/2009/1107/oj" TargetMode="External" /><Relationship Id="rId27" Type="http://schemas.openxmlformats.org/officeDocument/2006/relationships/hyperlink" Target="https://ec.europa.eu/food/plant/pesticides/eu-pesticides-database/start/screen/active-substances/details/79" TargetMode="External" /><Relationship Id="rId28" Type="http://schemas.openxmlformats.org/officeDocument/2006/relationships/hyperlink" Target="https://doi.org/10.1016/j.mrrev.2019.02.001" TargetMode="External" /><Relationship Id="rId29" Type="http://schemas.openxmlformats.org/officeDocument/2006/relationships/hyperlink" Target="https://doi.org/10.1093/ije/dyz017"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371/journal.pone.0219610" TargetMode="External" /><Relationship Id="rId31" Type="http://schemas.openxmlformats.org/officeDocument/2006/relationships/hyperlink" Target="https://doi.org/10.1186/s13045-019-0767-9" TargetMode="External" /><Relationship Id="rId32" Type="http://schemas.openxmlformats.org/officeDocument/2006/relationships/hyperlink" Target="https://doi.org/10.1006/rtph.1999.1371" TargetMode="External" /><Relationship Id="rId33" Type="http://schemas.openxmlformats.org/officeDocument/2006/relationships/hyperlink" Target="https://doi.org/10.1007/s13205-016-0387-9"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et/ip_22_7834" TargetMode="External" /><Relationship Id="rId37" Type="http://schemas.openxmlformats.org/officeDocument/2006/relationships/hyperlink" Target="https://commission.europa.eu/topics/agriculture-and-rural-development/strategic-dialogue-future-eu-agriculture_et"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5.97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1796</Words>
  <Characters>13290</Characters>
  <Application>Microsoft Office Word</Application>
  <DocSecurity>0</DocSecurity>
  <Lines>229</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2026-08-04T07:48:00Z</dcterms:created>
  <dcterms:modified xsi:type="dcterms:W3CDTF">2026-08-04T07:48:00Z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B10-0336/2026</vt:lpwstr>
  </property>
  <property fmtid="{D5CDD505-2E9C-101B-9397-08002B2CF9AE}" pid="4" name="&lt;Type&gt;">
    <vt:lpwstr>RR</vt:lpwstr>
  </property>
</Properties>
</file>