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AF9E99" w14:textId="77777777" w:rsidTr="0010095E">
        <w:tblPrEx>
          <w:tblW w:w="9072" w:type="dxa"/>
          <w:tblLook w:val="01E0"/>
        </w:tblPrEx>
        <w:trPr>
          <w:trHeight w:hRule="exact" w:val="1418"/>
        </w:trPr>
        <w:tc>
          <w:tcPr>
            <w:tcW w:w="6804" w:type="dxa"/>
            <w:shd w:val="clear" w:color="auto" w:fill="auto"/>
            <w:vAlign w:val="center"/>
          </w:tcPr>
          <w:p w:rsidR="00751A4A" w:rsidRPr="00E9200B" w:rsidP="0010095E" w14:paraId="5B1B9EE5" w14:textId="63AF9004">
            <w:pPr>
              <w:pStyle w:val="EPName"/>
            </w:pPr>
            <w:r w:rsidRPr="00E9200B">
              <w:t>Euroopan parlamentti</w:t>
            </w:r>
          </w:p>
          <w:p w:rsidR="00751A4A" w:rsidRPr="00E9200B" w:rsidP="005F1B17" w14:paraId="4DAB9A52" w14:textId="77777777">
            <w:pPr>
              <w:pStyle w:val="EPTerm"/>
              <w:rPr>
                <w:rStyle w:val="HideTWBExt"/>
                <w:noProof w:val="0"/>
                <w:vanish w:val="0"/>
                <w:color w:val="auto"/>
              </w:rPr>
            </w:pPr>
            <w:r w:rsidRPr="00E9200B">
              <w:t>2024</w:t>
            </w:r>
            <w:r w:rsidRPr="00E9200B" w:rsidR="00817416">
              <w:t>-202</w:t>
            </w:r>
            <w:r w:rsidRPr="00E9200B">
              <w:t>9</w:t>
            </w:r>
          </w:p>
        </w:tc>
        <w:tc>
          <w:tcPr>
            <w:tcW w:w="2268" w:type="dxa"/>
            <w:shd w:val="clear" w:color="auto" w:fill="auto"/>
          </w:tcPr>
          <w:p w:rsidR="00751A4A" w:rsidRPr="00E9200B" w:rsidP="0010095E" w14:paraId="4B4C218B" w14:textId="77777777">
            <w:pPr>
              <w:pStyle w:val="EPLogo"/>
            </w:pPr>
            <w:r w:rsidRPr="00E920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9200B" w:rsidP="004C5D52" w14:paraId="666429E6" w14:textId="77777777">
      <w:pPr>
        <w:pStyle w:val="LineTop"/>
      </w:pPr>
    </w:p>
    <w:p w:rsidR="00680577" w:rsidRPr="00E9200B" w:rsidP="00680577" w14:paraId="2BA83FFC" w14:textId="40B3603A">
      <w:pPr>
        <w:pStyle w:val="EPBodyTA1"/>
      </w:pPr>
      <w:r w:rsidRPr="00E9200B">
        <w:t>HYVÄKSYTYT TEKSTIT</w:t>
      </w:r>
    </w:p>
    <w:p w:rsidR="00D058B8" w:rsidRPr="00E9200B" w:rsidP="00D058B8" w14:paraId="70AB81CF" w14:textId="77777777">
      <w:pPr>
        <w:pStyle w:val="LineBottom"/>
      </w:pPr>
    </w:p>
    <w:p w:rsidR="00871E78" w:rsidRPr="00E9200B" w:rsidP="00871E78" w14:paraId="51FDFBA2" w14:textId="649DD6C9">
      <w:pPr>
        <w:pStyle w:val="ATHeading1"/>
      </w:pPr>
      <w:bookmarkStart w:id="0" w:name="TANumber"/>
      <w:r w:rsidRPr="00E9200B">
        <w:t>P10_TA(2026)0</w:t>
      </w:r>
      <w:bookmarkEnd w:id="0"/>
      <w:r w:rsidRPr="00E9200B" w:rsidR="00254AB7">
        <w:t>265</w:t>
      </w:r>
    </w:p>
    <w:p w:rsidR="00871E78" w:rsidRPr="00E9200B" w:rsidP="003171D1" w14:paraId="6464D2C3" w14:textId="79A8213D">
      <w:pPr>
        <w:pStyle w:val="ATHeading2"/>
      </w:pPr>
      <w:bookmarkStart w:id="1" w:name="title"/>
      <w:r w:rsidRPr="00E9200B">
        <w:t>M</w:t>
      </w:r>
      <w:r w:rsidRPr="00E9200B">
        <w:rPr>
          <w:bCs/>
        </w:rPr>
        <w:t>uuntogeeninen maissi DP202216 x NK603 x DAS-40278-9 ja sen alayhdistelmät DP202216 x NK603, DP202216 x DAS-40278-9</w:t>
      </w:r>
      <w:r w:rsidRPr="00E9200B">
        <w:t>x</w:t>
      </w:r>
      <w:bookmarkEnd w:id="1"/>
    </w:p>
    <w:p w:rsidR="00871E78" w:rsidRPr="00E9200B" w:rsidP="00871E78" w14:paraId="5017E0D6" w14:textId="77777777">
      <w:pPr>
        <w:rPr>
          <w:i/>
          <w:vanish/>
        </w:rPr>
      </w:pPr>
      <w:r>
        <w:rPr>
          <w:i/>
        </w:rPr>
        <w:fldChar w:fldCharType="begin"/>
      </w:r>
      <w:r w:rsidRPr="00E9200B">
        <w:rPr>
          <w:i/>
        </w:rPr>
        <w:instrText xml:space="preserve"> TC"(</w:instrText>
      </w:r>
      <w:bookmarkStart w:id="2" w:name="DocNumber"/>
      <w:r w:rsidRPr="00E9200B">
        <w:rPr>
          <w:i/>
        </w:rPr>
        <w:instrText>B10-0336/2026</w:instrText>
      </w:r>
      <w:bookmarkEnd w:id="2"/>
      <w:r w:rsidRPr="00E9200B">
        <w:rPr>
          <w:i/>
        </w:rPr>
        <w:instrText xml:space="preserve">)"\l3 \n&gt; \* MERGEFORMAT </w:instrText>
      </w:r>
      <w:r>
        <w:rPr>
          <w:i/>
        </w:rPr>
        <w:fldChar w:fldCharType="end"/>
      </w:r>
    </w:p>
    <w:p w:rsidR="00871E78" w:rsidRPr="00E9200B" w:rsidP="00871E78" w14:paraId="1F893D22" w14:textId="77777777">
      <w:pPr>
        <w:rPr>
          <w:vanish/>
        </w:rPr>
      </w:pPr>
      <w:bookmarkStart w:id="3" w:name="PE"/>
      <w:r w:rsidRPr="00E9200B">
        <w:rPr>
          <w:vanish/>
        </w:rPr>
        <w:t>PE789.025</w:t>
      </w:r>
      <w:bookmarkEnd w:id="3"/>
    </w:p>
    <w:p w:rsidR="00871E78" w:rsidRPr="00E9200B" w:rsidP="00871E78" w14:paraId="27987614" w14:textId="2C6F1E6E">
      <w:pPr>
        <w:pStyle w:val="ATHeading3"/>
      </w:pPr>
      <w:bookmarkStart w:id="4" w:name="Sujet"/>
      <w:r w:rsidRPr="00E9200B">
        <w:t>Euroopan parlamentin päätöslauselma 8. heinäkuuta 2026 luvan antamisesta muuntogeenistä maissia DP202216 x NK603 x DAS-40278-9 ja sen alayhdistelmiä DP202216 x NK603, DP202216 x DAS-40278-9 sisältävien, niistä koostuvien tai niistä valmistettujen tuotteiden saattamiseksi markkinoille Euroopan parlamentin ja neuvoston asetuksen (EY) N:o 1829/2003 mukaisesti</w:t>
      </w:r>
      <w:bookmarkEnd w:id="4"/>
      <w:r w:rsidRPr="00E9200B">
        <w:t xml:space="preserve"> </w:t>
      </w:r>
      <w:bookmarkStart w:id="5" w:name="References"/>
      <w:r w:rsidRPr="00E9200B" w:rsidR="00D2548F">
        <w:t xml:space="preserve">29 päivänä kesäkuuta 2026 annetusta komission täytäntöönpanopäätöksestä (EU) 2026/1443 </w:t>
      </w:r>
      <w:r w:rsidRPr="00E9200B">
        <w:t>(2026/2746(RSP))</w:t>
      </w:r>
      <w:bookmarkEnd w:id="5"/>
    </w:p>
    <w:p w:rsidR="002702D8" w:rsidRPr="00E9200B" w:rsidP="003171D1" w14:paraId="0FF7B62F" w14:textId="77777777">
      <w:pPr>
        <w:pStyle w:val="NormalHanging12a"/>
        <w:widowControl/>
        <w:spacing w:before="240"/>
      </w:pPr>
      <w:bookmarkStart w:id="6" w:name="TextBodyBegin"/>
      <w:bookmarkEnd w:id="6"/>
      <w:r w:rsidRPr="00E9200B">
        <w:rPr>
          <w:i/>
          <w:iCs/>
        </w:rPr>
        <w:t>Euroopan parlamentti</w:t>
      </w:r>
      <w:r w:rsidRPr="00E9200B">
        <w:t>, joka</w:t>
      </w:r>
    </w:p>
    <w:p w:rsidR="002702D8" w:rsidRPr="00E9200B" w:rsidP="003171D1" w14:paraId="2D14DB81" w14:textId="575D6164">
      <w:pPr>
        <w:pStyle w:val="NormalHanging12a"/>
        <w:widowControl/>
      </w:pPr>
      <w:r w:rsidRPr="00E9200B">
        <w:t>–</w:t>
      </w:r>
      <w:r w:rsidRPr="00E9200B">
        <w:tab/>
        <w:t>ottaa huomioon luvan antamisesta muuntogeenistä maissia DP202216 x NK603 x DAS-40278-9 ja sen alayhdistelmiä DP202216 x NK603, DP202216 x DAS-40278-9 sisältävien, niistä koostuvien tai niistä valmistettujen tuotteiden saattamiseksi markkinoille Euroopan parlamentin ja neuvoston asetuksen (EY) N:o 1829/2003 mukaisesti</w:t>
      </w:r>
      <w:r w:rsidRPr="00E9200B" w:rsidR="00D2548F">
        <w:t xml:space="preserve"> 29 päivänä kesäkuuta 2026 annetun komission täytäntöönpanopäätöksen (EU) 2026/1443</w:t>
      </w:r>
      <w:r>
        <w:rPr>
          <w:rStyle w:val="FootnoteReference"/>
        </w:rPr>
        <w:footnoteReference w:id="2"/>
      </w:r>
      <w:r w:rsidRPr="00E9200B">
        <w:t>,</w:t>
      </w:r>
    </w:p>
    <w:p w:rsidR="002702D8" w:rsidRPr="00E9200B" w:rsidP="003171D1" w14:paraId="1435A0B5" w14:textId="77777777">
      <w:pPr>
        <w:pStyle w:val="NormalHanging12a"/>
        <w:widowControl/>
      </w:pPr>
      <w:r w:rsidRPr="00E9200B">
        <w:t>–</w:t>
      </w:r>
      <w:r w:rsidRPr="00E9200B">
        <w:tab/>
        <w:t>ottaa huomioon muuntogeenisistä elintarvikkeista ja rehuista 22. syyskuuta 2003 annetun Euroopan parlamentin ja neuvoston asetuksen (EY) N:o 1829/2003</w:t>
      </w:r>
      <w:r>
        <w:rPr>
          <w:rStyle w:val="FootnoteReference"/>
        </w:rPr>
        <w:footnoteReference w:id="3"/>
      </w:r>
      <w:r w:rsidRPr="00E9200B">
        <w:t xml:space="preserve"> ja erityisesti sen 7 artiklan 3 kohdan ja 19 artiklan 3 kohdan,</w:t>
      </w:r>
    </w:p>
    <w:p w:rsidR="002702D8" w:rsidRPr="00E9200B" w:rsidP="003171D1" w14:paraId="6863061C" w14:textId="77777777">
      <w:pPr>
        <w:pStyle w:val="NormalHanging12a"/>
        <w:widowControl/>
      </w:pPr>
      <w:r w:rsidRPr="00E9200B">
        <w:t>–</w:t>
      </w:r>
      <w:r w:rsidRPr="00E9200B">
        <w:tab/>
        <w:t>ottaa huomioon asetuksen (EY) N:o 1829/2003 35 artiklassa tarkoitetussa pysyvässä kasvi-, eläin-, elintarvike- ja rehukomiteassa 27. huhtikuuta 2026 toimitetun äänestyksen, jossa päätettiin olla antamatta lausuntoa, ja muutoksenhakukomiteassa 2. kesäkuuta 2026 toimitetun äänestyksen, jossa päätettiin niin ikään olla antamatta lausuntoa,</w:t>
      </w:r>
    </w:p>
    <w:p w:rsidR="002702D8" w:rsidRPr="00E9200B" w:rsidP="003171D1" w14:paraId="39EE4F84" w14:textId="77777777">
      <w:pPr>
        <w:pStyle w:val="NormalHanging12a"/>
        <w:widowControl/>
      </w:pPr>
      <w:r w:rsidRPr="00E9200B">
        <w:t>–</w:t>
      </w:r>
      <w:r w:rsidRPr="00E9200B">
        <w:tab/>
        <w:t>ottaa huomioon yleisistä säännöistä ja periaatteista, joiden mukaisesti jäsenvaltiot valvovat komission täytäntöönpanovallan käyttöä, 16. helmikuuta 2011 annetun Euroopan parlamentin ja neuvoston asetuksen (EU) N:o 182/2011</w:t>
      </w:r>
      <w:r>
        <w:rPr>
          <w:rStyle w:val="FootnoteReference"/>
        </w:rPr>
        <w:footnoteReference w:id="4"/>
      </w:r>
      <w:r w:rsidRPr="00E9200B">
        <w:t xml:space="preserve"> 11 artiklan,</w:t>
      </w:r>
    </w:p>
    <w:p w:rsidR="002702D8" w:rsidRPr="00E9200B" w:rsidP="003171D1" w14:paraId="066D51A6" w14:textId="77777777">
      <w:pPr>
        <w:pStyle w:val="NormalHanging12a"/>
        <w:widowControl/>
      </w:pPr>
      <w:r w:rsidRPr="00E9200B">
        <w:t>–</w:t>
      </w:r>
      <w:r w:rsidRPr="00E9200B">
        <w:tab/>
        <w:t>ottaa huomioon Euroopan elintarviketurvallisuusviranomaisen (EFSA) 30. lokakuuta 2025 antaman ja 5. joulukuuta 2025 julkaistun lausunnon</w:t>
      </w:r>
      <w:r>
        <w:rPr>
          <w:rStyle w:val="FootnoteReference"/>
        </w:rPr>
        <w:footnoteReference w:id="5"/>
      </w:r>
      <w:r w:rsidRPr="00E9200B">
        <w:t>,</w:t>
      </w:r>
    </w:p>
    <w:p w:rsidR="002702D8" w:rsidRPr="00E9200B" w:rsidP="003171D1" w14:paraId="2AE206DA" w14:textId="77777777">
      <w:pPr>
        <w:pStyle w:val="NormalHanging12a"/>
        <w:widowControl/>
      </w:pPr>
      <w:r w:rsidRPr="00E9200B">
        <w:t>–</w:t>
      </w:r>
      <w:r w:rsidRPr="00E9200B">
        <w:tab/>
        <w:t>ottaa huomioon aiemmat päätöslauselmansa, joissa vastustetaan lupien myöntämistä muuntogeenisille organismeille</w:t>
      </w:r>
      <w:r>
        <w:rPr>
          <w:rStyle w:val="FootnoteReference"/>
        </w:rPr>
        <w:footnoteReference w:id="6"/>
      </w:r>
      <w:r w:rsidRPr="00E9200B">
        <w:t>,</w:t>
      </w:r>
    </w:p>
    <w:p w:rsidR="002702D8" w:rsidRPr="00E9200B" w:rsidP="003171D1" w14:paraId="3C2D9FDA" w14:textId="77777777">
      <w:pPr>
        <w:pStyle w:val="NormalHanging12a"/>
        <w:widowControl/>
      </w:pPr>
      <w:r w:rsidRPr="00E9200B">
        <w:t>–</w:t>
      </w:r>
      <w:r w:rsidRPr="00E9200B">
        <w:tab/>
        <w:t>ottaa huomioon työjärjestyksen 115 artiklan 2 ja 3 kohdan,</w:t>
      </w:r>
    </w:p>
    <w:p w:rsidR="002702D8" w:rsidRPr="00E9200B" w:rsidP="003171D1" w14:paraId="3D5A530D" w14:textId="77777777">
      <w:pPr>
        <w:pStyle w:val="NormalHanging12a"/>
        <w:widowControl/>
      </w:pPr>
      <w:r w:rsidRPr="00E9200B">
        <w:t>–</w:t>
      </w:r>
      <w:r w:rsidRPr="00E9200B">
        <w:tab/>
        <w:t>ottaa huomioon ympäristön, ilmaston ja elintarvikkeiden turvallisuuden valiokunnan päätöslauselmaesityksen,</w:t>
      </w:r>
    </w:p>
    <w:p w:rsidR="002702D8" w:rsidRPr="00E9200B" w:rsidP="000C40D9" w14:paraId="4D30DFEE" w14:textId="77777777">
      <w:pPr>
        <w:pStyle w:val="Considrant"/>
        <w:numPr>
          <w:ilvl w:val="0"/>
          <w:numId w:val="0"/>
        </w:numPr>
        <w:spacing w:after="240"/>
        <w:ind w:left="567" w:hanging="567"/>
        <w:jc w:val="left"/>
        <w:rPr>
          <w:szCs w:val="24"/>
        </w:rPr>
      </w:pPr>
      <w:r w:rsidRPr="00E9200B">
        <w:t>A.</w:t>
      </w:r>
      <w:r w:rsidRPr="00E9200B">
        <w:tab/>
        <w:t xml:space="preserve">ottaa huomioon, että Belgiaan sijoittautunut </w:t>
      </w:r>
      <w:r w:rsidRPr="00E9200B">
        <w:t>Corteva</w:t>
      </w:r>
      <w:r w:rsidRPr="00E9200B">
        <w:t xml:space="preserve"> </w:t>
      </w:r>
      <w:r w:rsidRPr="00E9200B">
        <w:t>Agriscience</w:t>
      </w:r>
      <w:r w:rsidRPr="00E9200B">
        <w:t xml:space="preserve"> </w:t>
      </w:r>
      <w:r w:rsidRPr="00E9200B">
        <w:t>Belgium</w:t>
      </w:r>
      <w:r w:rsidRPr="00E9200B">
        <w:t xml:space="preserve"> B.V. toimitti 10. maaliskuuta 2023 Yhdysvaltoihin sijoittautuneen yrityksen </w:t>
      </w:r>
      <w:r w:rsidRPr="00E9200B">
        <w:t>Corteva</w:t>
      </w:r>
      <w:r w:rsidRPr="00E9200B">
        <w:t xml:space="preserve"> </w:t>
      </w:r>
      <w:r w:rsidRPr="00E9200B">
        <w:t>Agriscience</w:t>
      </w:r>
      <w:r w:rsidRPr="00E9200B">
        <w:t xml:space="preserve"> LLC puolesta asetuksen (EY) N:o 1829/2003 5 ja 17 artiklan mukaisesti hakemuksen muuntogeenistä maissia DP202216 × NK603 × DAS-40279-9, jäljempänä ’muuntogeeninen maissi’, sisältävien, siitä koostuvien tai siitä valmistettujen elintarvikkeiden, elintarvikkeiden ainesosien ja rehun saattamiseksi markkinoille; ottaa huomioon, että hakemus kattoi myös muuntogeenistä maissia sisältävien tai siitä koostuvien tuotteiden saattamisen markkinoille muuhun kuin elintarvike- ja rehukäyttöön, viljelyä lukuun ottamatta;</w:t>
      </w:r>
    </w:p>
    <w:p w:rsidR="002702D8" w:rsidRPr="00E9200B" w:rsidP="000C40D9" w14:paraId="670B8EDE" w14:textId="77777777">
      <w:pPr>
        <w:widowControl/>
        <w:shd w:val="clear" w:color="auto" w:fill="FFFFFF"/>
        <w:spacing w:after="240"/>
        <w:ind w:left="567" w:hanging="567"/>
        <w:rPr>
          <w:szCs w:val="24"/>
        </w:rPr>
      </w:pPr>
      <w:r w:rsidRPr="00E9200B">
        <w:t>B.</w:t>
      </w:r>
      <w:r w:rsidRPr="00E9200B">
        <w:tab/>
        <w:t xml:space="preserve">ottaa huomioon, että EFSA antoi muuntogeenistä maissia koskevasta luvasta 30. lokakuuta 2025 myönteisen tieteellisen lausunnon, joka julkaistiin </w:t>
      </w:r>
      <w:r w:rsidRPr="00E9200B">
        <w:rPr>
          <w:shd w:val="clear" w:color="auto" w:fill="FFFFFF"/>
        </w:rPr>
        <w:t>5. joulukuuta 2025</w:t>
      </w:r>
      <w:r w:rsidRPr="00E9200B">
        <w:t>;</w:t>
      </w:r>
    </w:p>
    <w:p w:rsidR="002702D8" w:rsidRPr="00E9200B" w:rsidP="000C40D9" w14:paraId="4174B995" w14:textId="77777777">
      <w:pPr>
        <w:widowControl/>
        <w:autoSpaceDE w:val="0"/>
        <w:autoSpaceDN w:val="0"/>
        <w:adjustRightInd w:val="0"/>
        <w:spacing w:after="240"/>
        <w:ind w:left="567" w:hanging="567"/>
        <w:rPr>
          <w:rFonts w:eastAsiaTheme="minorHAnsi"/>
          <w:szCs w:val="24"/>
        </w:rPr>
      </w:pPr>
      <w:r w:rsidRPr="00E9200B">
        <w:t>C.</w:t>
      </w:r>
      <w:r w:rsidRPr="00E9200B">
        <w:tab/>
        <w:t>ottaa huomioon, että EFSA totesi, että muuntogeeninen maissi ja sen alayhdistelmät, sellaisina kuin ne on kuvattu hakemuksessa, ovat yhtä turvallisia kuin niiden tavanomainen vastine ja testatut geneettisesti muuntamattomat maissin vertailulajikkeet, kun tarkastellaan niiden mahdollisia vaikutuksia ihmisten ja eläinten terveyteen sekä ympäristöön; ottaa huomioon, että EFSA totesi myös, että muuntogeenisestä maissista ja sen alayhdistelmistä saatujen elintarvikkeiden ja rehujen kulutus ei aiheuta ravitsemuksellista huolta ihmisille ja eläimille; ottaa huomioon, että EFSA katsoo monien laajempien ympäristöön liittyvien, sosioekonomisten ja kumulatiivisten vaikutusten jäävän sen toimivallan ulkopuolelle, minkä vuoksi se ei käsitellyt niitä lausunnossaan;</w:t>
      </w:r>
    </w:p>
    <w:p w:rsidR="002702D8" w:rsidRPr="00E9200B" w:rsidP="000C40D9" w14:paraId="3600684A" w14:textId="77777777">
      <w:pPr>
        <w:widowControl/>
        <w:autoSpaceDE w:val="0"/>
        <w:autoSpaceDN w:val="0"/>
        <w:adjustRightInd w:val="0"/>
        <w:spacing w:after="240"/>
        <w:ind w:left="567" w:hanging="567"/>
        <w:rPr>
          <w:rFonts w:eastAsiaTheme="minorHAnsi"/>
          <w:szCs w:val="24"/>
        </w:rPr>
      </w:pPr>
      <w:r w:rsidRPr="00E9200B">
        <w:t>D.</w:t>
      </w:r>
      <w:r w:rsidRPr="00E9200B">
        <w:tab/>
        <w:t xml:space="preserve">ottaa huomioon, että muuntogeeninen maissi kehitettiin risteytyksellä, jossa yhdistettiin seuraavat kolme yksittäistä tapahtumaa: DP202216, joka ilmentää </w:t>
      </w:r>
      <w:r w:rsidRPr="00E9200B">
        <w:t>fosfinotrisiiniasetyylitransferaasi</w:t>
      </w:r>
      <w:r w:rsidRPr="00E9200B">
        <w:t xml:space="preserve"> (PAT) -entsyymiä, jolloin se kestää </w:t>
      </w:r>
      <w:r w:rsidRPr="00E9200B">
        <w:t>glufosinaattiammoniumia</w:t>
      </w:r>
      <w:r w:rsidRPr="00E9200B">
        <w:t xml:space="preserve"> sisältäviä rikkakasvien torjunta-aineita, ja ZMM28, maissin endogeeninen proteiini, jonka ilmentymistä on muutettu (EPAE) niin, että se mahdollistaa paremman sadon kenttäolosuhteissa; NK603, joka ilmentää CP4 </w:t>
      </w:r>
      <w:r w:rsidRPr="00E9200B">
        <w:t>EPSPS:ää</w:t>
      </w:r>
      <w:r w:rsidRPr="00E9200B">
        <w:t xml:space="preserve"> ja CP4 EPSPS L214P:tä, jolloin se kestää glyfosaattiin perustuvia rikkakasvien torjunta-aineita; ja DAS</w:t>
      </w:r>
      <w:r w:rsidRPr="00E9200B">
        <w:noBreakHyphen/>
        <w:t xml:space="preserve">40278-9, joka ilmentää </w:t>
      </w:r>
      <w:r w:rsidRPr="00E9200B">
        <w:t>aryloksialkanoaattidioksigenaasia</w:t>
      </w:r>
      <w:r w:rsidRPr="00E9200B">
        <w:t xml:space="preserve"> (AAD-1), jolloin se kestää rikkakasvien torjunta-aineina käytettäviä 2,4-D:tä ja </w:t>
      </w:r>
      <w:r w:rsidRPr="00E9200B">
        <w:t>aryylioksifenoksipropionaattia</w:t>
      </w:r>
      <w:r w:rsidRPr="00E9200B">
        <w:t xml:space="preserve"> (AOPP)</w:t>
      </w:r>
      <w:r>
        <w:rPr>
          <w:rStyle w:val="FootnoteReference"/>
          <w:rFonts w:eastAsiaTheme="minorHAnsi"/>
          <w:szCs w:val="24"/>
        </w:rPr>
        <w:footnoteReference w:id="7"/>
      </w:r>
      <w:r w:rsidRPr="00E9200B">
        <w:t>;</w:t>
      </w:r>
    </w:p>
    <w:p w:rsidR="002702D8" w:rsidRPr="00E9200B" w:rsidP="000C40D9" w14:paraId="48ADAC95" w14:textId="77777777">
      <w:pPr>
        <w:widowControl/>
        <w:spacing w:after="240"/>
        <w:ind w:left="567" w:hanging="567"/>
        <w:rPr>
          <w:rFonts w:eastAsiaTheme="minorHAnsi"/>
          <w:szCs w:val="24"/>
        </w:rPr>
      </w:pPr>
      <w:r w:rsidRPr="00E9200B">
        <w:t>E.</w:t>
      </w:r>
      <w:r w:rsidRPr="00E9200B">
        <w:tab/>
        <w:t>ottaa huomioon, että EFSA on aiemmin arvioinut ainoastaan alayhdistelmän NK603 × DAS-40278-9; ottaa huomioon, että hakija ei toimittanut kokeisiin perustuvia tietoja alayhdistelmistä DP202216 x NK603 ja DP202216 x DAS-40278-9, joita EFSA ei ole aiemmin arvioinut; ottaa huomioon, että tästä huolimatta EFSA totesi, että kyseiset alayhdistelmät eivät aiheuta turvallisuusongelmia;</w:t>
      </w:r>
    </w:p>
    <w:p w:rsidR="002702D8" w:rsidRPr="00E9200B" w:rsidP="000C40D9" w14:paraId="49C2B7D4" w14:textId="77777777">
      <w:pPr>
        <w:widowControl/>
        <w:spacing w:after="240"/>
        <w:ind w:left="567" w:hanging="567"/>
        <w:rPr>
          <w:rFonts w:eastAsiaTheme="minorHAnsi"/>
          <w:szCs w:val="24"/>
        </w:rPr>
      </w:pPr>
      <w:r w:rsidRPr="00E9200B">
        <w:t>F.</w:t>
      </w:r>
      <w:r w:rsidRPr="00E9200B">
        <w:tab/>
        <w:t xml:space="preserve">ottaa huomioon, että </w:t>
      </w:r>
      <w:r w:rsidRPr="00E9200B">
        <w:t>EFSAn</w:t>
      </w:r>
      <w:r w:rsidRPr="00E9200B">
        <w:t xml:space="preserve"> tekemiin riskinarviointeihin ei sisältynyt pitkän ajan toksikologisia tutkimuksia eikä yksityiskohtaista analyysia kumulatiivisista ja yhteisvaikutuksista, kuten mahdollisesta vuorovaikutuksesta maissinviljelyssä yleisesti käytettyjen torjunta-aineiden jäämien kanssa;</w:t>
      </w:r>
    </w:p>
    <w:p w:rsidR="002702D8" w:rsidRPr="00E9200B" w:rsidP="000C40D9" w14:paraId="4E1328D7" w14:textId="77777777">
      <w:pPr>
        <w:widowControl/>
        <w:spacing w:after="240"/>
        <w:ind w:left="567" w:hanging="567"/>
        <w:rPr>
          <w:rFonts w:eastAsiaTheme="minorHAnsi"/>
          <w:szCs w:val="24"/>
        </w:rPr>
      </w:pPr>
      <w:r w:rsidRPr="00E9200B">
        <w:t>G.</w:t>
      </w:r>
      <w:r w:rsidRPr="00E9200B">
        <w:tab/>
        <w:t xml:space="preserve">ottaa huomioon, että suurinta osaa muuntogeenisistä viljelykasveista, muuntogeeninen maissi mukaan lukien, on muunnettu geneettisesti siten, että ne ovat sietokykyisiä yhdelle tai useammalle ”täydentävälle” rikkakasvien torjunta-aineelle, jota voidaan </w:t>
      </w:r>
      <w:r w:rsidRPr="00E9200B">
        <w:t>käyttää koko muuntogeenisen viljelykasvin viljelyn ajan ilman, että viljelykasvi kuolee, kuten käy niiden viljelykasvien tapauksessa, jotka eivät siedä torjunta-aineita; 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w:t>
      </w:r>
      <w:r w:rsidRPr="00E9200B">
        <w:noBreakHyphen/>
        <w:t>aineita;</w:t>
      </w:r>
    </w:p>
    <w:p w:rsidR="002702D8" w:rsidRPr="00E9200B" w:rsidP="000C40D9" w14:paraId="50129E5D" w14:textId="77777777">
      <w:pPr>
        <w:widowControl/>
        <w:spacing w:after="240"/>
        <w:ind w:left="567" w:hanging="567"/>
        <w:rPr>
          <w:rFonts w:eastAsiaTheme="minorHAnsi"/>
          <w:szCs w:val="24"/>
        </w:rPr>
      </w:pPr>
      <w:r w:rsidRPr="00E9200B">
        <w:t>H.</w:t>
      </w:r>
      <w:r w:rsidRPr="00E9200B">
        <w:tab/>
        <w:t xml:space="preserve">toteaa, että rikkakasvien torjunta-aineita sietävien muuntogeenisten viljelykasvien käyttö sitoo viljelijät rikkakasvien hallintajärjestelmään, joka on suurelta osin tai kokonaan torjunta-aineiden varassa, samalla kun se synnyttää riippuvuuden täydentävien rikkakasvien torjunta-aineiden käyttöön olennaisena osana tuotantojärjestelmää; ottaa huomioon, että lisääntynyt riippuvuus täydentävistä rikkakasvien torjunta-aineista muuntogeenistä maissia viljelevillä tiloilla nopeuttaa näille torjunta-aineille sietokykyisten rikkakasvien ilmaantumista ja leviämistä, mikä johtaa noidankehään, jossa rikkakasvien torjunta-aineita on käytettävä jatkuvasti enemmän; toteaa, että tämän seurauksena rikkakasvien torjunta-aineiden liiallisesta käytöstä aiheutuu yhä haitallisempia vaikutuksia maaperän terveyteen, veden laatuun sekä maanpäälliseen ja </w:t>
      </w:r>
      <w:r w:rsidRPr="00E9200B">
        <w:noBreakHyphen/>
        <w:t>alaiseen biologiseen monimuotoisuuteen ja lisäksi ihmisten ja eläinten altistuminen lisääntyy, mahdollisesti myös sen kautta, että rikkakasvien torjunta-aineiden jäämät elintarvikkeissa ja rehuissa lisääntyvät;</w:t>
      </w:r>
    </w:p>
    <w:p w:rsidR="002702D8" w:rsidRPr="00E9200B" w:rsidP="000C40D9" w14:paraId="755242F4" w14:textId="77777777">
      <w:pPr>
        <w:widowControl/>
        <w:autoSpaceDE w:val="0"/>
        <w:autoSpaceDN w:val="0"/>
        <w:adjustRightInd w:val="0"/>
        <w:spacing w:after="240"/>
        <w:ind w:left="567" w:hanging="567"/>
        <w:rPr>
          <w:rFonts w:eastAsiaTheme="minorHAnsi"/>
          <w:szCs w:val="24"/>
        </w:rPr>
      </w:pPr>
      <w:r w:rsidRPr="00E9200B">
        <w:t>I.</w:t>
      </w:r>
      <w:r w:rsidRPr="00E9200B">
        <w:tab/>
        <w:t>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torjunta-aineita</w:t>
      </w:r>
      <w:r>
        <w:rPr>
          <w:rFonts w:eastAsiaTheme="minorHAnsi"/>
          <w:vertAlign w:val="superscript"/>
        </w:rPr>
        <w:footnoteReference w:id="8"/>
      </w:r>
      <w:r w:rsidRPr="00E9200B">
        <w:t xml:space="preserve">; toteaa, että tästä syystä on odotettavissa, että muuntogeenisen maissin viljelyssä käytetään sekä suurempia että toistuvia glyfosaattiin ja </w:t>
      </w:r>
      <w:r w:rsidRPr="00E9200B">
        <w:t>glufosinaattiin</w:t>
      </w:r>
      <w:r w:rsidRPr="00E9200B">
        <w:t xml:space="preserve"> pohjautuvien ja </w:t>
      </w:r>
      <w:r w:rsidRPr="00E9200B">
        <w:t>AOPP:tä</w:t>
      </w:r>
      <w:r w:rsidRPr="00E9200B">
        <w:t xml:space="preserve"> ja 2,4-D:tä sisältävien rikkakasvien torjunta-aineiden annoksia, minkä vuoksi sadossa voi esiintyä suurempia määriä jäämiä ja niiden hajoamistuotteita (</w:t>
      </w:r>
      <w:r w:rsidRPr="00E9200B">
        <w:t>metaboliitit</w:t>
      </w:r>
      <w:r w:rsidRPr="00E9200B">
        <w:t>);</w:t>
      </w:r>
    </w:p>
    <w:p w:rsidR="002702D8" w:rsidRPr="00E9200B" w:rsidP="000C40D9" w14:paraId="6FDF7D6E" w14:textId="77777777">
      <w:pPr>
        <w:widowControl/>
        <w:autoSpaceDE w:val="0"/>
        <w:autoSpaceDN w:val="0"/>
        <w:adjustRightInd w:val="0"/>
        <w:spacing w:after="240"/>
        <w:ind w:left="567" w:hanging="567"/>
        <w:rPr>
          <w:rFonts w:eastAsiaTheme="minorHAnsi"/>
          <w:szCs w:val="24"/>
        </w:rPr>
      </w:pPr>
      <w:r w:rsidRPr="00E9200B">
        <w:t>J.</w:t>
      </w:r>
      <w:r w:rsidRPr="00E9200B">
        <w:tab/>
        <w:t xml:space="preserve">ottaa huomioon, että </w:t>
      </w:r>
      <w:r w:rsidRPr="00E9200B">
        <w:t>glufosinaatti</w:t>
      </w:r>
      <w:r w:rsidRPr="00E9200B">
        <w:t xml:space="preserve"> on luokiteltu lisääntymiselle vaarallisten aineiden kategoriaan 1B ja näin ollen se täyttää Euroopan parlamentin ja neuvoston asetuksessa (EY) N:o 1107/2009</w:t>
      </w:r>
      <w:r>
        <w:rPr>
          <w:rFonts w:eastAsiaTheme="minorHAnsi"/>
          <w:vertAlign w:val="superscript"/>
        </w:rPr>
        <w:footnoteReference w:id="9"/>
      </w:r>
      <w:r w:rsidRPr="00E9200B">
        <w:t xml:space="preserve"> säädetyt poissulkemiskriteerit; ottaa huomioon, että </w:t>
      </w:r>
      <w:r w:rsidRPr="00E9200B">
        <w:t>glufosinaatin</w:t>
      </w:r>
      <w:r w:rsidRPr="00E9200B">
        <w:t xml:space="preserve"> käyttöä unionissa koskevan hyväksynnän voimassaolo päättyi 31. heinäkuuta 2018</w:t>
      </w:r>
      <w:r>
        <w:rPr>
          <w:rFonts w:eastAsiaTheme="minorHAnsi"/>
          <w:vertAlign w:val="superscript"/>
        </w:rPr>
        <w:footnoteReference w:id="10"/>
      </w:r>
      <w:r w:rsidRPr="00E9200B">
        <w:t>;</w:t>
      </w:r>
    </w:p>
    <w:p w:rsidR="002702D8" w:rsidRPr="00E9200B" w:rsidP="000C40D9" w14:paraId="6BDBC94A" w14:textId="77777777">
      <w:pPr>
        <w:widowControl/>
        <w:autoSpaceDE w:val="0"/>
        <w:autoSpaceDN w:val="0"/>
        <w:adjustRightInd w:val="0"/>
        <w:spacing w:after="240"/>
        <w:ind w:left="567" w:hanging="567"/>
        <w:rPr>
          <w:rFonts w:eastAsiaTheme="minorHAnsi"/>
          <w:szCs w:val="24"/>
        </w:rPr>
      </w:pPr>
      <w:r w:rsidRPr="00E9200B">
        <w:t>K.</w:t>
      </w:r>
      <w:r w:rsidRPr="00E9200B">
        <w:tab/>
        <w:t xml:space="preserve">ottaa huomioon, että glyfosaatin turvallisuuteen ihmisten terveyden ja ympäristön kannalta liittyy yhä merkittävää tieteellistä epävarmuutta; ottaa huomioon, että EFSA totesi marraskuussa 2015, että glyfosaatti ei todennäköisesti ole syöpää aiheuttava aine, ja että Euroopan kemikaalivirasto totesi maaliskuussa 2017, että vaaraluokitus ei ollut </w:t>
      </w:r>
      <w:r w:rsidRPr="00E9200B">
        <w:t>aiheellinen; ottaa huomioon, että Kansainvälinen syöväntutkimuslaitos, joka on Maailman terveysjärjestön syöväntutkimukseen erikoistunut virasto, sen sijaan luokitteli glyfosaatin vuonna 2015 todennäköisesti ihmisille syöpää aiheuttavaksi aineeksi; ottaa huomioon, että monissa muissa viimeaikaisissa vertaisarvioiduissa tieteellisissä tutkimuksissa vahvistetaan glyfosaatin syöpää aiheuttavat vaikutukset</w:t>
      </w:r>
      <w:r>
        <w:rPr>
          <w:rFonts w:eastAsiaTheme="minorHAnsi"/>
          <w:vertAlign w:val="superscript"/>
        </w:rPr>
        <w:footnoteReference w:id="11"/>
      </w:r>
      <w:r w:rsidRPr="00E9200B">
        <w:t>; ottaa huomioon, että julkaisu ”</w:t>
      </w:r>
      <w:r w:rsidRPr="00E9200B">
        <w:t>Regulatory</w:t>
      </w:r>
      <w:r w:rsidRPr="00E9200B">
        <w:t xml:space="preserve"> </w:t>
      </w:r>
      <w:r w:rsidRPr="00E9200B">
        <w:t>Toxicology</w:t>
      </w:r>
      <w:r w:rsidRPr="00E9200B">
        <w:t xml:space="preserve"> and </w:t>
      </w:r>
      <w:r w:rsidRPr="00E9200B">
        <w:t>Pharmacology</w:t>
      </w:r>
      <w:r w:rsidRPr="00E9200B">
        <w:t>” on virallisesti perunut glyfosaatin turvallisuuden puolustamiseen monissa riskinarvioinneissa käytetyn vuonna 2000 julkaistun tieteellisen asiakirjan ”</w:t>
      </w:r>
      <w:r w:rsidRPr="00E9200B">
        <w:t>Safety</w:t>
      </w:r>
      <w:r w:rsidRPr="00E9200B">
        <w:t xml:space="preserve"> Evaluation and </w:t>
      </w:r>
      <w:r w:rsidRPr="00E9200B">
        <w:t>Risk</w:t>
      </w:r>
      <w:r w:rsidRPr="00E9200B">
        <w:t xml:space="preserve"> </w:t>
      </w:r>
      <w:r w:rsidRPr="00E9200B">
        <w:t>Assessment</w:t>
      </w:r>
      <w:r w:rsidRPr="00E9200B">
        <w:t xml:space="preserve"> of </w:t>
      </w:r>
      <w:r w:rsidRPr="00E9200B">
        <w:t>the</w:t>
      </w:r>
      <w:r w:rsidRPr="00E9200B">
        <w:t xml:space="preserve"> </w:t>
      </w:r>
      <w:r w:rsidRPr="00E9200B">
        <w:t>Herbicide</w:t>
      </w:r>
      <w:r w:rsidRPr="00E9200B">
        <w:t xml:space="preserve"> Roundup and </w:t>
      </w:r>
      <w:r w:rsidRPr="00E9200B">
        <w:t>Its</w:t>
      </w:r>
      <w:r w:rsidRPr="00E9200B">
        <w:t xml:space="preserve"> Active </w:t>
      </w:r>
      <w:r w:rsidRPr="00E9200B">
        <w:t>Ingredient</w:t>
      </w:r>
      <w:r w:rsidRPr="00E9200B">
        <w:t xml:space="preserve">, </w:t>
      </w:r>
      <w:r w:rsidRPr="00E9200B">
        <w:t>Glyphosate</w:t>
      </w:r>
      <w:r w:rsidRPr="00E9200B">
        <w:t xml:space="preserve">, for </w:t>
      </w:r>
      <w:r w:rsidRPr="00E9200B">
        <w:t>Humans</w:t>
      </w:r>
      <w:r w:rsidRPr="00E9200B">
        <w:t>” asiakirjan laatijoista ja tutkimustulosten paikkansapitävyydestä esiin nousseiden huolenaiheiden takia, jotka liittyvät asiakirjan laatijoiden antamiin vääriin tietoihin, tutkimuksen rahoittajaan sekä asiakirjan laatijoiden mahdollisiin eturistiriitoihin</w:t>
      </w:r>
      <w:r>
        <w:rPr>
          <w:rStyle w:val="FootnoteReference"/>
        </w:rPr>
        <w:footnoteReference w:id="12"/>
      </w:r>
      <w:r w:rsidRPr="00E9200B">
        <w:t>;</w:t>
      </w:r>
    </w:p>
    <w:p w:rsidR="002702D8" w:rsidRPr="00E9200B" w:rsidP="000C40D9" w14:paraId="69C5FE1D" w14:textId="77777777">
      <w:pPr>
        <w:widowControl/>
        <w:autoSpaceDE w:val="0"/>
        <w:autoSpaceDN w:val="0"/>
        <w:adjustRightInd w:val="0"/>
        <w:spacing w:after="240"/>
        <w:ind w:left="567" w:hanging="567"/>
        <w:rPr>
          <w:rFonts w:eastAsiaTheme="minorHAnsi"/>
          <w:szCs w:val="24"/>
        </w:rPr>
      </w:pPr>
      <w:r w:rsidRPr="00E9200B">
        <w:t>L.</w:t>
      </w:r>
      <w:r w:rsidRPr="00E9200B">
        <w:tab/>
        <w:t>ottaa huomioon, että muuntogeenisten kasvien kehittämiseen osallistuvan asiantuntijan vertaisarvioidussa tieteellisessä artikkelissa kyseenalaistetaan 2,4-D:tä sietävien muuntogeenisten viljelykasvien turvallisuus, koska 2,4-D hajoaa sytotoksisiksi hajoamistuotteiksi</w:t>
      </w:r>
      <w:r>
        <w:rPr>
          <w:rFonts w:eastAsiaTheme="minorHAnsi"/>
          <w:vertAlign w:val="superscript"/>
        </w:rPr>
        <w:footnoteReference w:id="13"/>
      </w:r>
      <w:r w:rsidRPr="00E9200B">
        <w:t>;</w:t>
      </w:r>
    </w:p>
    <w:p w:rsidR="002702D8" w:rsidRPr="00E9200B" w:rsidP="000C40D9" w14:paraId="6BB27D78" w14:textId="77777777">
      <w:pPr>
        <w:widowControl/>
        <w:autoSpaceDE w:val="0"/>
        <w:autoSpaceDN w:val="0"/>
        <w:adjustRightInd w:val="0"/>
        <w:spacing w:after="240"/>
        <w:ind w:left="567" w:hanging="567"/>
        <w:rPr>
          <w:rFonts w:eastAsiaTheme="minorHAnsi"/>
          <w:szCs w:val="24"/>
        </w:rPr>
      </w:pPr>
      <w:r w:rsidRPr="00E9200B">
        <w:t>M.</w:t>
      </w:r>
      <w:r w:rsidRPr="00E9200B">
        <w:tab/>
        <w:t xml:space="preserve">toteaa, että muuntogeenisistä kasveista löytyvien rikkakasvien torjunta-ainejäämien ja </w:t>
      </w:r>
      <w:r w:rsidRPr="00E9200B">
        <w:t>metaboliittien</w:t>
      </w:r>
      <w:r w:rsidRPr="00E9200B">
        <w:t xml:space="preserve"> arvioinnin ei katsota kuuluvan muuntogeenisiä organismeja käsittelevän </w:t>
      </w:r>
      <w:r w:rsidRPr="00E9200B">
        <w:t>EFSAn</w:t>
      </w:r>
      <w:r w:rsidRPr="00E9200B">
        <w:t xml:space="preserve"> tiedelautakunnan toimivaltaan eikä sitä sen vuoksi tehdä osana muuntogeenisten organismien lupamenettelyä; toteaa tämän olevan ongelmallista, koska geneettinen muuttaminen voi itsessään vaikuttaa tapaan, jolla kyseinen muuntogeeninen kasvi hajottaa täydentäviä rikkakasvien torjunta-aineita, sekä </w:t>
      </w:r>
      <w:r w:rsidRPr="00E9200B">
        <w:t>metaboliittien</w:t>
      </w:r>
      <w:r w:rsidRPr="00E9200B">
        <w:t xml:space="preserve"> koostumukseen ja siten niiden myrkyllisyyteen</w:t>
      </w:r>
      <w:r>
        <w:rPr>
          <w:rFonts w:eastAsiaTheme="minorHAnsi"/>
          <w:vertAlign w:val="superscript"/>
        </w:rPr>
        <w:footnoteReference w:id="14"/>
      </w:r>
      <w:r w:rsidRPr="00E9200B">
        <w:t>;</w:t>
      </w:r>
    </w:p>
    <w:p w:rsidR="002702D8" w:rsidRPr="00E9200B" w:rsidP="000C40D9" w14:paraId="398443C1" w14:textId="77777777">
      <w:pPr>
        <w:widowControl/>
        <w:autoSpaceDE w:val="0"/>
        <w:autoSpaceDN w:val="0"/>
        <w:adjustRightInd w:val="0"/>
        <w:spacing w:after="240"/>
        <w:ind w:left="567" w:hanging="567"/>
        <w:rPr>
          <w:rFonts w:eastAsiaTheme="minorHAnsi"/>
          <w:szCs w:val="24"/>
        </w:rPr>
      </w:pPr>
      <w:r w:rsidRPr="00E9200B">
        <w:t>N.</w:t>
      </w:r>
      <w:r w:rsidRPr="00E9200B">
        <w:tab/>
        <w:t>panee merkille,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näihin perusteltuihin tekijöihin olisi sisällytettävä unionin velvoitteet, jotka johtuvat Yhdistyneiden kansakuntien (YK) kestävän kehityksen tavoitteista, Pariisin ilmastosopimuksesta</w:t>
      </w:r>
      <w:r>
        <w:rPr>
          <w:rStyle w:val="FootnoteReference"/>
          <w:rFonts w:eastAsiaTheme="minorHAnsi"/>
          <w:szCs w:val="24"/>
        </w:rPr>
        <w:footnoteReference w:id="15"/>
      </w:r>
      <w:r w:rsidRPr="00E9200B">
        <w:t xml:space="preserve"> ja biologista monimuotoisuutta koskevasta YK:n yleissopimuksesta</w:t>
      </w:r>
      <w:r>
        <w:rPr>
          <w:rStyle w:val="FootnoteReference"/>
          <w:rFonts w:eastAsiaTheme="minorHAnsi"/>
          <w:szCs w:val="24"/>
        </w:rPr>
        <w:footnoteReference w:id="16"/>
      </w:r>
      <w:r w:rsidRPr="00E9200B">
        <w:t xml:space="preserve"> (YK:n biodiversiteettisopimus);</w:t>
      </w:r>
    </w:p>
    <w:p w:rsidR="002702D8" w:rsidRPr="00E9200B" w:rsidP="000C40D9" w14:paraId="222810F7" w14:textId="77777777">
      <w:pPr>
        <w:widowControl/>
        <w:autoSpaceDE w:val="0"/>
        <w:autoSpaceDN w:val="0"/>
        <w:adjustRightInd w:val="0"/>
        <w:spacing w:after="240"/>
        <w:ind w:left="567" w:hanging="567"/>
        <w:rPr>
          <w:rFonts w:eastAsiaTheme="minorHAnsi"/>
          <w:szCs w:val="24"/>
        </w:rPr>
      </w:pPr>
      <w:r w:rsidRPr="00E9200B">
        <w:t>O.</w:t>
      </w:r>
      <w:r w:rsidRPr="00E9200B">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rsidR="002702D8" w:rsidRPr="00E9200B" w:rsidP="000C40D9" w14:paraId="761FA300" w14:textId="77777777">
      <w:pPr>
        <w:widowControl/>
        <w:autoSpaceDE w:val="0"/>
        <w:autoSpaceDN w:val="0"/>
        <w:adjustRightInd w:val="0"/>
        <w:spacing w:after="240"/>
        <w:ind w:left="567" w:hanging="567"/>
        <w:rPr>
          <w:rFonts w:eastAsiaTheme="minorHAnsi"/>
          <w:szCs w:val="24"/>
        </w:rPr>
      </w:pPr>
      <w:r w:rsidRPr="00E9200B">
        <w:t>P.</w:t>
      </w:r>
      <w:r w:rsidRPr="00E9200B">
        <w:tab/>
        <w:t>katsoo, että tapauksissa, joissa tieteellistä varmuutta ei ole, olisi sovellettava Euroopan unionin toiminnasta tehdyn sopimuksen 191 artiklassa tarkoitettua ennalta varautumisen periaatetta;</w:t>
      </w:r>
    </w:p>
    <w:p w:rsidR="002702D8" w:rsidRPr="00E9200B" w:rsidP="000C40D9" w14:paraId="36BD3DF2" w14:textId="77777777">
      <w:pPr>
        <w:widowControl/>
        <w:autoSpaceDE w:val="0"/>
        <w:autoSpaceDN w:val="0"/>
        <w:adjustRightInd w:val="0"/>
        <w:spacing w:after="240"/>
        <w:ind w:left="567" w:hanging="567"/>
        <w:rPr>
          <w:rFonts w:eastAsiaTheme="minorHAnsi"/>
          <w:szCs w:val="24"/>
        </w:rPr>
      </w:pPr>
      <w:r w:rsidRPr="00E9200B">
        <w:t>Q.</w:t>
      </w:r>
      <w:r w:rsidRPr="00E9200B">
        <w:tab/>
        <w:t>toteaa, että YK:n biodiversiteettisopimuksen sopimuspuolena ja sopimuksen 3 artiklan mukaisesti unionilla on vastuu varmistaa, että sen lainkäyttövallan tai valvonnan alaiset toimet eivät vahingoita ympäristöä toisen valtion alueella;</w:t>
      </w:r>
    </w:p>
    <w:p w:rsidR="002702D8" w:rsidRPr="00E9200B" w:rsidP="000C40D9" w14:paraId="14FE4C00" w14:textId="77777777">
      <w:pPr>
        <w:widowControl/>
        <w:autoSpaceDE w:val="0"/>
        <w:autoSpaceDN w:val="0"/>
        <w:adjustRightInd w:val="0"/>
        <w:spacing w:after="240"/>
        <w:ind w:left="567" w:hanging="567"/>
        <w:rPr>
          <w:rFonts w:eastAsiaTheme="minorHAnsi"/>
          <w:szCs w:val="24"/>
        </w:rPr>
      </w:pPr>
      <w:r w:rsidRPr="00E9200B">
        <w:t>R.</w:t>
      </w:r>
      <w:r w:rsidRPr="00E9200B">
        <w:tab/>
        <w:t>toteaa, että muuntogeeniselle maissille myönnetyn unionin luvan uusiminen ei olisi torjunta-aineiden vähentämistä koskevien kansainvälisten sitoumusten mukainen</w:t>
      </w:r>
      <w:r>
        <w:rPr>
          <w:rFonts w:eastAsiaTheme="minorHAnsi"/>
          <w:vertAlign w:val="superscript"/>
        </w:rPr>
        <w:footnoteReference w:id="17"/>
      </w:r>
      <w:r w:rsidRPr="00E9200B">
        <w:t xml:space="preserve">, kun otetaan huomioon ihmisten, eläinten ja ympäristön lisääntynyt altistuminen glyfosaatille ja </w:t>
      </w:r>
      <w:r w:rsidRPr="00E9200B">
        <w:t>glufosinaatille</w:t>
      </w:r>
      <w:r w:rsidRPr="00E9200B">
        <w:t xml:space="preserve"> maissa, joissa viljellään kyseistä torjunta-aineita sietävää muuntogeenistä kasvia, sekä siihen mahdollisesti liittyvät vakavat terveysvaikutukset;</w:t>
      </w:r>
    </w:p>
    <w:p w:rsidR="002702D8" w:rsidRPr="00E9200B" w:rsidP="000C40D9" w14:paraId="7AB662BB" w14:textId="77777777">
      <w:pPr>
        <w:widowControl/>
        <w:autoSpaceDE w:val="0"/>
        <w:autoSpaceDN w:val="0"/>
        <w:adjustRightInd w:val="0"/>
        <w:spacing w:after="240"/>
        <w:ind w:left="567" w:hanging="567"/>
        <w:rPr>
          <w:rFonts w:eastAsiaTheme="minorHAnsi"/>
          <w:szCs w:val="24"/>
        </w:rPr>
      </w:pPr>
      <w:r w:rsidRPr="00E9200B">
        <w:t>S.</w:t>
      </w:r>
      <w:r w:rsidRPr="00E9200B">
        <w:tab/>
        <w:t>ottaa huomioon, että muuntogeenisen maissin viljely ei ole sallittua unionissa;</w:t>
      </w:r>
    </w:p>
    <w:p w:rsidR="002702D8" w:rsidRPr="00E9200B" w:rsidP="000C40D9" w14:paraId="41F68BC1" w14:textId="43ECC86F">
      <w:pPr>
        <w:widowControl/>
        <w:autoSpaceDE w:val="0"/>
        <w:autoSpaceDN w:val="0"/>
        <w:adjustRightInd w:val="0"/>
        <w:spacing w:after="240"/>
        <w:ind w:left="567" w:hanging="567"/>
        <w:rPr>
          <w:rFonts w:eastAsiaTheme="minorHAnsi"/>
          <w:szCs w:val="24"/>
        </w:rPr>
      </w:pPr>
      <w:r w:rsidRPr="00E9200B">
        <w:t>T.</w:t>
      </w:r>
      <w:r w:rsidRPr="00E9200B">
        <w:tab/>
        <w:t>toteaa, että komission täytäntöönpanopäätö</w:t>
      </w:r>
      <w:r w:rsidRPr="00E9200B" w:rsidR="00D2548F">
        <w:t>ksellä</w:t>
      </w:r>
      <w:r w:rsidRPr="00E9200B">
        <w:t xml:space="preserve"> </w:t>
      </w:r>
      <w:r w:rsidRPr="00E9200B" w:rsidR="003171D1">
        <w:t xml:space="preserve">(EU) 2026/1443 </w:t>
      </w:r>
      <w:r w:rsidRPr="00E9200B">
        <w:t>salli</w:t>
      </w:r>
      <w:r w:rsidRPr="00E9200B" w:rsidR="00D2548F">
        <w:t>ttaisiin</w:t>
      </w:r>
      <w:r w:rsidRPr="00E9200B">
        <w:t xml:space="preserve"> se, että unioniin tuodaan tuotteita, jotka eivät ole unionin viljelijöiden noudattamien normien mukaisia, mikä asettaisi unionin viljelijät epäedulliseen kilpailuasemaan;</w:t>
      </w:r>
    </w:p>
    <w:p w:rsidR="002702D8" w:rsidRPr="00E9200B" w:rsidP="000C40D9" w14:paraId="2A5C53A4" w14:textId="77777777">
      <w:pPr>
        <w:widowControl/>
        <w:autoSpaceDE w:val="0"/>
        <w:autoSpaceDN w:val="0"/>
        <w:adjustRightInd w:val="0"/>
        <w:spacing w:after="240"/>
        <w:ind w:left="567" w:hanging="567"/>
        <w:rPr>
          <w:rFonts w:eastAsiaTheme="minorHAnsi"/>
          <w:szCs w:val="24"/>
        </w:rPr>
      </w:pPr>
      <w:r w:rsidRPr="00E9200B">
        <w:t>U.</w:t>
      </w:r>
      <w:r w:rsidRPr="00E9200B">
        <w:tab/>
        <w:t>ottaa huomioon, että EU:n maatalouden tulevaisuudesta käydyn strategisen vuoropuhelun päätelmissä</w:t>
      </w:r>
      <w:r>
        <w:rPr>
          <w:rFonts w:eastAsiaTheme="minorHAnsi"/>
          <w:vertAlign w:val="superscript"/>
        </w:rPr>
        <w:footnoteReference w:id="18"/>
      </w:r>
      <w:r w:rsidRPr="00E9200B">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2024 ja 2025 mielenosoituksissa;</w:t>
      </w:r>
    </w:p>
    <w:p w:rsidR="002702D8" w:rsidRPr="00E9200B" w:rsidP="000C40D9" w14:paraId="33017CF7" w14:textId="77777777">
      <w:pPr>
        <w:widowControl/>
        <w:autoSpaceDE w:val="0"/>
        <w:autoSpaceDN w:val="0"/>
        <w:adjustRightInd w:val="0"/>
        <w:spacing w:after="360"/>
        <w:ind w:left="567" w:hanging="567"/>
        <w:rPr>
          <w:rFonts w:eastAsiaTheme="minorHAnsi"/>
          <w:szCs w:val="24"/>
        </w:rPr>
      </w:pPr>
      <w:r w:rsidRPr="00E9200B">
        <w:t>V.</w:t>
      </w:r>
      <w:r w:rsidRPr="00E9200B">
        <w:tab/>
        <w:t xml:space="preserve">toteaa korostaneensa toistuvasti, että jatkuvan demokratiavajeen korjaamiseksi komission ei pitäisi antaa lupaa muuntogeenisille organismeille silloin, kun jäsenvaltiot eivät ole saavuttaneet määräenemmistöä pysyvässä kasvi-, eläin-, elintarvike- ja rehukomiteassa tai muutoksenhakukomiteassa; </w:t>
      </w:r>
    </w:p>
    <w:p w:rsidR="002702D8" w:rsidRPr="00E9200B" w:rsidP="000C40D9" w14:paraId="5B23E705" w14:textId="77777777">
      <w:pPr>
        <w:widowControl/>
        <w:autoSpaceDE w:val="0"/>
        <w:autoSpaceDN w:val="0"/>
        <w:adjustRightInd w:val="0"/>
        <w:spacing w:after="360"/>
        <w:ind w:left="567" w:hanging="567"/>
        <w:rPr>
          <w:rFonts w:eastAsiaTheme="minorHAnsi"/>
          <w:szCs w:val="24"/>
        </w:rPr>
      </w:pPr>
      <w:r w:rsidRPr="00E9200B">
        <w:t>W.</w:t>
      </w:r>
      <w:r w:rsidRPr="00E9200B">
        <w:tab/>
        <w:t>toteaa, että komissio jatkaa lupien myöntämistä muuntogeenisille organismeille huolimatta demokraattisuuden puutteesta, jonka se itsekin myöntää, jäsenvaltioiden tuen puuttumisesta ja parlamentin vastustuksesta;</w:t>
      </w:r>
    </w:p>
    <w:p w:rsidR="002702D8" w:rsidRPr="00E9200B" w:rsidP="000C40D9" w14:paraId="0B629C1D" w14:textId="77777777">
      <w:pPr>
        <w:widowControl/>
        <w:autoSpaceDE w:val="0"/>
        <w:autoSpaceDN w:val="0"/>
        <w:adjustRightInd w:val="0"/>
        <w:spacing w:after="360"/>
        <w:ind w:left="567" w:hanging="567"/>
      </w:pPr>
      <w:r w:rsidRPr="00E9200B">
        <w:t>X.</w:t>
      </w:r>
      <w:r w:rsidRPr="00E9200B">
        <w:tab/>
        <w:t>ottaa huomioon, että yhteinen terveys -mallissa edellytetään ihmisten, eläinten, kasvien ja ympäristön terveyden keskinäisen riippuvuuden huomioon ottamista arvioitaessa muuntogeenisten organismien kestävyyttä ja turvallisuutta pitkällä aikavälillä;</w:t>
      </w:r>
    </w:p>
    <w:p w:rsidR="002702D8" w:rsidRPr="00E9200B" w:rsidP="000C40D9" w14:paraId="610BAA39" w14:textId="32072DD4">
      <w:pPr>
        <w:pStyle w:val="NormalHanging12a"/>
        <w:widowControl/>
      </w:pPr>
      <w:r w:rsidRPr="00E9200B">
        <w:t>1.</w:t>
      </w:r>
      <w:r w:rsidRPr="00E9200B">
        <w:tab/>
        <w:t>katsoo, että komission täytäntöönpanopäätö</w:t>
      </w:r>
      <w:r w:rsidRPr="00E9200B" w:rsidR="003171D1">
        <w:t>s(EU) 2026/1443</w:t>
      </w:r>
      <w:r w:rsidRPr="00E9200B">
        <w:t xml:space="preserve"> ylittää asetuksessa (EY) N:o 1829/2003 säädetyn täytäntöönpanovallan;</w:t>
      </w:r>
    </w:p>
    <w:p w:rsidR="002702D8" w:rsidRPr="00E9200B" w:rsidP="000C40D9" w14:paraId="178E348F" w14:textId="3D540507">
      <w:pPr>
        <w:pStyle w:val="NormalHanging12a"/>
        <w:widowControl/>
      </w:pPr>
      <w:r w:rsidRPr="00E9200B">
        <w:t>2.</w:t>
      </w:r>
      <w:r w:rsidRPr="00E9200B">
        <w:tab/>
        <w:t>katsoo, että komission täytäntöönpanopäätö</w:t>
      </w:r>
      <w:r w:rsidRPr="00E9200B" w:rsidR="003171D1">
        <w:t>s</w:t>
      </w:r>
      <w:r w:rsidRPr="00E9200B">
        <w:t xml:space="preserve"> </w:t>
      </w:r>
      <w:r w:rsidRPr="00E9200B" w:rsidR="003171D1">
        <w:t xml:space="preserve">(EU) 2026/1443 </w:t>
      </w:r>
      <w:r w:rsidRPr="00E9200B">
        <w:t>ei ole unionin oikeuden mukainen, sillä se ei ole sopusoinnussa asetuksen (EY) N:o 1829/2003 tavoitteen kanssa; toteaa, että kyseisen asetuksen tavoitteena on Euroopan parlamentin ja neuvoston asetuksessa (EY) N:o 178/2002</w:t>
      </w:r>
      <w:r>
        <w:rPr>
          <w:vertAlign w:val="superscript"/>
        </w:rPr>
        <w:footnoteReference w:id="19"/>
      </w:r>
      <w:r w:rsidRPr="00E9200B">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2702D8" w:rsidRPr="00E9200B" w:rsidP="000C40D9" w14:paraId="45832259" w14:textId="6A312E0C">
      <w:pPr>
        <w:pStyle w:val="NormalHanging12a"/>
        <w:widowControl/>
      </w:pPr>
      <w:r w:rsidRPr="00E9200B">
        <w:t>3.</w:t>
      </w:r>
      <w:r w:rsidRPr="00E9200B">
        <w:tab/>
        <w:t xml:space="preserve">pyytää komissiota peruuttamaan </w:t>
      </w:r>
      <w:r w:rsidRPr="00E9200B" w:rsidR="003171D1">
        <w:t xml:space="preserve">komission </w:t>
      </w:r>
      <w:r w:rsidRPr="00E9200B">
        <w:t>täytäntöönpanopäätökse</w:t>
      </w:r>
      <w:r w:rsidRPr="00E9200B" w:rsidR="003171D1">
        <w:t>n (EU) 2026/1443</w:t>
      </w:r>
      <w:r w:rsidRPr="00E9200B">
        <w:t>;</w:t>
      </w:r>
    </w:p>
    <w:p w:rsidR="002702D8" w:rsidRPr="00E9200B" w:rsidP="000C40D9" w14:paraId="52C98659" w14:textId="77777777">
      <w:pPr>
        <w:pStyle w:val="NormalHanging12a"/>
        <w:widowControl/>
      </w:pPr>
      <w:r w:rsidRPr="00E9200B">
        <w:t>4.</w:t>
      </w:r>
      <w:r w:rsidRPr="00E9200B">
        <w:tab/>
        <w:t>pyytää komissiota olemaan myöntämättä lupaa rikkakasvien torjunta-aineille sietokykyisten muuntogeenisten viljelykasvien tuonnille, koska siihen liittyy täydentävien rikkakasvien torjunta-aineiden lisääntynyttä käyttöä ja sen vuoksi enemmän riskejä biologiselle monimuotoisuudelle, elintarvikkeiden turvallisuudelle ja työntekijöiden terveydelle;</w:t>
      </w:r>
    </w:p>
    <w:p w:rsidR="002702D8" w:rsidRPr="00E9200B" w:rsidP="000C40D9" w14:paraId="1833F241" w14:textId="77777777">
      <w:pPr>
        <w:pStyle w:val="NormalHanging12a"/>
        <w:widowControl/>
      </w:pPr>
      <w:r w:rsidRPr="00E9200B">
        <w:t>5.</w:t>
      </w:r>
      <w:r w:rsidRPr="00E9200B">
        <w:tab/>
        <w:t>on tyytyväinen siihen, että komissio myönsi 11. syyskuuta 2020 päivätyssä kirjeessään parlamentin jäsenille, että muuntogeenisiä organismeja koskevissa lupapäätöksissä on otettava huomioon kestävyysnäkökohdat</w:t>
      </w:r>
      <w:r>
        <w:rPr>
          <w:vertAlign w:val="superscript"/>
        </w:rPr>
        <w:footnoteReference w:id="20"/>
      </w:r>
      <w:r w:rsidRPr="00E9200B">
        <w:t>; on kuitenkin erittäin pettynyt siihen, että komissio on sen jälkeen edelleen myöntänyt lupia muuntogeenisten organismien tuonnille unioniin, vaikka parlamentti vastustaa sitä jatkuvasti ja jäsenvaltioiden enemmistö äänestää sitä vastaan;</w:t>
      </w:r>
    </w:p>
    <w:p w:rsidR="002702D8" w:rsidRPr="00E9200B" w:rsidP="000C40D9" w14:paraId="1BE16D00" w14:textId="77777777">
      <w:pPr>
        <w:pStyle w:val="NormalHanging12a"/>
        <w:widowControl/>
      </w:pPr>
      <w:r w:rsidRPr="00E9200B">
        <w:t>6.</w:t>
      </w:r>
      <w:r w:rsidRPr="00E9200B">
        <w:tab/>
        <w:t>kehottaa jälleen kerran komissiota ottamaan huomioon kansainvälisistä sopimuksista, kuten Pariisin ilmastosopimuksesta, YK:n biodiversiteettisopimuksesta ja YK:n kestävän kehityksen tavoitteista, johtuvat unionin velvoitteet; toistaa jälleen kehotuksensa liittää ehdotuksiin täytäntöönpanosäädöksiksi perustelut, joissa selitetään, miten niissä varmistetaan vahingon välttämisen periaatteen noudattaminen</w:t>
      </w:r>
      <w:r>
        <w:rPr>
          <w:vertAlign w:val="superscript"/>
        </w:rPr>
        <w:footnoteReference w:id="21"/>
      </w:r>
      <w:r w:rsidRPr="00E9200B">
        <w:t>;</w:t>
      </w:r>
    </w:p>
    <w:p w:rsidR="002702D8" w:rsidRPr="00E9200B" w:rsidP="000C40D9" w14:paraId="321F541F" w14:textId="77777777">
      <w:pPr>
        <w:pStyle w:val="NormalHanging12a"/>
        <w:widowControl/>
      </w:pPr>
      <w:r w:rsidRPr="00E9200B">
        <w:t>7.</w:t>
      </w:r>
      <w:r w:rsidRPr="00E9200B">
        <w:tab/>
        <w:t>korostaa, että Euroopan parlamentin ehdotukseen Euroopan parlamentin ja neuvoston asetukseksi asetuksen (EU) N:o 182/2011 muuttamisesta 17. joulukuuta 2020 hyväksymissä tarkistuksissa</w:t>
      </w:r>
      <w:r>
        <w:rPr>
          <w:vertAlign w:val="superscript"/>
        </w:rPr>
        <w:footnoteReference w:id="22"/>
      </w:r>
      <w:r w:rsidRPr="00E9200B">
        <w:t>, jotka hyväksyttiin parlamentissa neuvoston kanssa käytävien neuvottelujen pohjaksi, todetaan, että komission ei pidä myöntää lupaa muuntogeenisille organismeille, jos jäsenvaltioiden määräenemmistö ei kannata sitä; vaatii komissiota noudattamaan tätä kantaa ja kehottaa neuvostoa jatkamaan työtään ja hyväksymään kiireellisesti yleisnäkemyksen tästä asiasta;</w:t>
      </w:r>
    </w:p>
    <w:p w:rsidR="00494090" w:rsidRPr="00E9200B" w:rsidP="000C40D9" w14:paraId="76EAE8CC" w14:textId="46524153">
      <w:pPr>
        <w:pStyle w:val="NormalHanging12a"/>
        <w:widowControl/>
      </w:pPr>
      <w:r w:rsidRPr="00E9200B">
        <w:t>8.</w:t>
      </w:r>
      <w:r w:rsidRPr="00E9200B">
        <w:tab/>
        <w:t>kehottaa puhemiestä välittämään tämän päätöslauselman neuvostolle ja komissiolle sekä jäsenvaltioiden hallituksille ja parlamenteille.</w:t>
      </w:r>
    </w:p>
    <w:sectPr w:rsidSect="004940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71E78" w:rsidRPr="00494090" w14:paraId="0CA593B6" w14:textId="77777777">
      <w:r w:rsidRPr="00494090">
        <w:separator/>
      </w:r>
    </w:p>
  </w:footnote>
  <w:footnote w:type="continuationSeparator" w:id="1">
    <w:p w:rsidR="00871E78" w:rsidRPr="00494090" w14:paraId="406895EB" w14:textId="77777777">
      <w:r w:rsidRPr="00494090">
        <w:continuationSeparator/>
      </w:r>
    </w:p>
  </w:footnote>
  <w:footnote w:id="2">
    <w:p w:rsidR="00987467" w:rsidRPr="00254AB7" w:rsidP="00254AB7" w14:paraId="24BD2861" w14:textId="2D5BBD02">
      <w:pPr>
        <w:pStyle w:val="FootnoteText"/>
        <w:keepLines w:val="0"/>
        <w:ind w:left="567" w:hanging="567"/>
        <w:rPr>
          <w:lang w:val="fi-FI"/>
        </w:rPr>
      </w:pPr>
      <w:r w:rsidRPr="00254AB7">
        <w:rPr>
          <w:rStyle w:val="FootnoteReference"/>
        </w:rPr>
        <w:footnoteRef/>
      </w:r>
      <w:r w:rsidRPr="00254AB7">
        <w:rPr>
          <w:lang w:val="fi-FI"/>
        </w:rPr>
        <w:t xml:space="preserve"> </w:t>
      </w:r>
      <w:r w:rsidRPr="00254AB7">
        <w:rPr>
          <w:lang w:val="fi-FI"/>
        </w:rPr>
        <w:tab/>
      </w:r>
      <w:r w:rsidRPr="00254AB7">
        <w:rPr>
          <w:sz w:val="24"/>
          <w:szCs w:val="24"/>
          <w:lang w:val="fi-FI"/>
        </w:rPr>
        <w:t xml:space="preserve">EUVL L, 2026/1443, 3.7.2026, ELI: </w:t>
      </w:r>
      <w:hyperlink r:id="rId1" w:history="1">
        <w:r w:rsidRPr="00254AB7">
          <w:rPr>
            <w:rStyle w:val="Hyperlink"/>
            <w:sz w:val="24"/>
            <w:szCs w:val="24"/>
            <w:lang w:val="fi-FI"/>
          </w:rPr>
          <w:t>http://data.europa.eu/eli/dec_impl/2026/1443/oj</w:t>
        </w:r>
      </w:hyperlink>
      <w:r w:rsidRPr="00254AB7">
        <w:rPr>
          <w:sz w:val="24"/>
          <w:szCs w:val="24"/>
          <w:lang w:val="fi-FI"/>
        </w:rPr>
        <w:t>.</w:t>
      </w:r>
    </w:p>
  </w:footnote>
  <w:footnote w:id="3">
    <w:p w:rsidR="002702D8" w:rsidRPr="00254AB7" w:rsidP="003171D1" w14:paraId="557EFEBD" w14:textId="07B987A4">
      <w:pPr>
        <w:pStyle w:val="FootnoteText"/>
        <w:keepLines w:val="0"/>
        <w:ind w:left="567" w:hanging="567"/>
        <w:rPr>
          <w:sz w:val="24"/>
          <w:lang w:val="fi-FI"/>
        </w:rPr>
      </w:pPr>
      <w:r w:rsidRPr="00254AB7">
        <w:rPr>
          <w:rStyle w:val="Funotenzeichen"/>
          <w:sz w:val="24"/>
          <w:lang w:val="fi-FI"/>
        </w:rPr>
        <w:footnoteRef/>
      </w:r>
      <w:r w:rsidRPr="00254AB7" w:rsidR="00494090">
        <w:rPr>
          <w:sz w:val="24"/>
          <w:lang w:val="fi-FI"/>
        </w:rPr>
        <w:t xml:space="preserve"> </w:t>
      </w:r>
      <w:r w:rsidRPr="00254AB7" w:rsidR="00494090">
        <w:rPr>
          <w:sz w:val="24"/>
          <w:lang w:val="fi-FI"/>
        </w:rPr>
        <w:tab/>
      </w:r>
      <w:r w:rsidRPr="00254AB7">
        <w:rPr>
          <w:sz w:val="24"/>
          <w:lang w:val="fi-FI"/>
        </w:rPr>
        <w:t xml:space="preserve">EUVL L 268, 18.10.2003, s. 1, ELI: </w:t>
      </w:r>
      <w:hyperlink r:id="rId2" w:tooltip="Avaa asiakirjan ELI URI -osoitteen kautta." w:history="1">
        <w:r w:rsidRPr="00254AB7">
          <w:rPr>
            <w:rStyle w:val="Hyperlink"/>
            <w:sz w:val="24"/>
            <w:lang w:val="fi-FI"/>
          </w:rPr>
          <w:t>http://data.europa.eu/eli/reg/2003/1829/oj</w:t>
        </w:r>
      </w:hyperlink>
      <w:r w:rsidRPr="00254AB7">
        <w:rPr>
          <w:sz w:val="24"/>
          <w:lang w:val="fi-FI"/>
        </w:rPr>
        <w:t>.</w:t>
      </w:r>
    </w:p>
  </w:footnote>
  <w:footnote w:id="4">
    <w:p w:rsidR="002702D8" w:rsidRPr="00254AB7" w:rsidP="003171D1" w14:paraId="03FF83D0" w14:textId="154FFD5C">
      <w:pPr>
        <w:pStyle w:val="FootnoteText"/>
        <w:keepLines w:val="0"/>
        <w:ind w:left="567" w:hanging="567"/>
        <w:rPr>
          <w:sz w:val="24"/>
          <w:lang w:val="fr-BE"/>
        </w:rPr>
      </w:pPr>
      <w:r w:rsidRPr="00254AB7">
        <w:rPr>
          <w:rStyle w:val="FootnoteReference"/>
          <w:sz w:val="24"/>
          <w:lang w:val="fi-FI"/>
        </w:rPr>
        <w:footnoteRef/>
      </w:r>
      <w:r w:rsidRPr="00254AB7" w:rsidR="00494090">
        <w:rPr>
          <w:sz w:val="24"/>
          <w:lang w:val="fr-BE"/>
        </w:rPr>
        <w:t xml:space="preserve"> </w:t>
      </w:r>
      <w:r w:rsidRPr="00254AB7" w:rsidR="00494090">
        <w:rPr>
          <w:sz w:val="24"/>
          <w:lang w:val="fr-BE"/>
        </w:rPr>
        <w:tab/>
      </w:r>
      <w:r w:rsidRPr="00254AB7">
        <w:rPr>
          <w:sz w:val="24"/>
          <w:lang w:val="fr-BE"/>
        </w:rPr>
        <w:t>EUVL L 55, 28.2.2011, s. 13, ELI: </w:t>
      </w:r>
      <w:hyperlink r:id="rId3" w:history="1">
        <w:r w:rsidRPr="00254AB7">
          <w:rPr>
            <w:rStyle w:val="Hyperlink"/>
            <w:sz w:val="24"/>
            <w:lang w:val="fr-BE"/>
          </w:rPr>
          <w:t>http://data.europa.eu/eli/reg/2011/182/oj</w:t>
        </w:r>
      </w:hyperlink>
      <w:r w:rsidRPr="00254AB7">
        <w:rPr>
          <w:sz w:val="24"/>
          <w:lang w:val="fr-BE"/>
        </w:rPr>
        <w:t>.</w:t>
      </w:r>
    </w:p>
  </w:footnote>
  <w:footnote w:id="5">
    <w:p w:rsidR="002702D8" w:rsidRPr="00254AB7" w:rsidP="003171D1" w14:paraId="7C706C4B" w14:textId="7D58AA5B">
      <w:pPr>
        <w:pStyle w:val="FootnoteText"/>
        <w:keepLines w:val="0"/>
        <w:ind w:left="567" w:hanging="567"/>
        <w:rPr>
          <w:sz w:val="24"/>
          <w:lang w:val="fr-BE"/>
        </w:rPr>
      </w:pPr>
      <w:r w:rsidRPr="00254AB7">
        <w:rPr>
          <w:rStyle w:val="Funotenzeichen"/>
          <w:sz w:val="24"/>
          <w:lang w:val="fi-FI"/>
        </w:rPr>
        <w:footnoteRef/>
      </w:r>
      <w:r w:rsidRPr="00254AB7" w:rsidR="00494090">
        <w:rPr>
          <w:sz w:val="24"/>
          <w:lang w:val="fr-BE"/>
        </w:rPr>
        <w:t xml:space="preserve"> </w:t>
      </w:r>
      <w:r w:rsidRPr="00254AB7" w:rsidR="00494090">
        <w:rPr>
          <w:sz w:val="24"/>
          <w:lang w:val="fr-BE"/>
        </w:rPr>
        <w:tab/>
      </w:r>
      <w:r w:rsidRPr="00254AB7">
        <w:rPr>
          <w:sz w:val="24"/>
          <w:lang w:val="fr-BE"/>
        </w:rPr>
        <w:t xml:space="preserve">Muuntogeenisiä organismeja käsittelevän EFSAn tiedelautakunnan tieteellinen lausunto ”Assessment of genetically modified maize DP202216 × NK603 × DAS-40278-9 (application GMFF- 2022-6232)”, </w:t>
      </w:r>
      <w:r w:rsidRPr="00254AB7">
        <w:rPr>
          <w:i/>
          <w:sz w:val="24"/>
          <w:lang w:val="fr-BE"/>
        </w:rPr>
        <w:t>EFSA Journal</w:t>
      </w:r>
      <w:r w:rsidRPr="00254AB7">
        <w:rPr>
          <w:sz w:val="24"/>
          <w:lang w:val="fr-BE"/>
        </w:rPr>
        <w:t xml:space="preserve">, 2025, 23(12):e9746, </w:t>
      </w:r>
      <w:hyperlink r:id="rId4" w:history="1">
        <w:r w:rsidRPr="00254AB7">
          <w:rPr>
            <w:rStyle w:val="Hyperlink"/>
            <w:sz w:val="24"/>
            <w:lang w:val="fr-BE"/>
          </w:rPr>
          <w:t>https://doi.org/10.2903/j.efsa.2025.9746</w:t>
        </w:r>
      </w:hyperlink>
      <w:r w:rsidRPr="00254AB7">
        <w:rPr>
          <w:rStyle w:val="Hyperlink"/>
          <w:sz w:val="24"/>
          <w:lang w:val="fr-BE"/>
        </w:rPr>
        <w:t>.</w:t>
      </w:r>
    </w:p>
  </w:footnote>
  <w:footnote w:id="6">
    <w:p w:rsidR="002702D8" w:rsidRPr="00254AB7" w:rsidP="003171D1" w14:paraId="7FF7801D" w14:textId="4187118B">
      <w:pPr>
        <w:pStyle w:val="FootnoteText"/>
        <w:keepLines w:val="0"/>
        <w:ind w:left="567" w:hanging="567"/>
        <w:rPr>
          <w:color w:val="000000" w:themeColor="text1"/>
          <w:sz w:val="24"/>
          <w:vertAlign w:val="superscript"/>
          <w:lang w:val="fi-FI"/>
        </w:rPr>
      </w:pPr>
      <w:r w:rsidRPr="00254AB7">
        <w:rPr>
          <w:rStyle w:val="Funotenzeichen"/>
          <w:sz w:val="24"/>
          <w:lang w:val="fi-FI"/>
        </w:rPr>
        <w:footnoteRef/>
      </w:r>
      <w:r w:rsidRPr="00254AB7" w:rsidR="00494090">
        <w:rPr>
          <w:sz w:val="24"/>
          <w:lang w:val="fi-FI"/>
        </w:rPr>
        <w:t xml:space="preserve"> </w:t>
      </w:r>
      <w:r w:rsidRPr="00254AB7" w:rsidR="00494090">
        <w:rPr>
          <w:sz w:val="24"/>
          <w:lang w:val="fi-FI"/>
        </w:rPr>
        <w:tab/>
      </w:r>
      <w:r w:rsidRPr="00254AB7">
        <w:rPr>
          <w:sz w:val="24"/>
          <w:lang w:val="fi-FI"/>
        </w:rPr>
        <w:t>Kahdeksannella vaalikaudella parlamentti hyväksyi 36 päätöslauselmaa ja yhdeksännellä vaalikaudella 38 päätöslauselmaa, joissa vastustettiin lupien myöntämistä muuntogeenisille organismeille.</w:t>
      </w:r>
      <w:r w:rsidRPr="00254AB7">
        <w:rPr>
          <w:color w:val="000000" w:themeColor="text1"/>
          <w:sz w:val="24"/>
          <w:lang w:val="fi-FI"/>
        </w:rPr>
        <w:t xml:space="preserve"> Lisäksi parlamentti on hyväksynyt kymmenennellä vaalikaudella seuraavat päätöslauselmat:</w:t>
      </w:r>
    </w:p>
    <w:p w:rsidR="002702D8" w:rsidRPr="00254AB7" w:rsidP="00987467" w14:paraId="54FAD6F0" w14:textId="29B74054">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5" w:history="1">
        <w:r w:rsidRPr="00254AB7">
          <w:rPr>
            <w:rStyle w:val="Hyperlink"/>
            <w:sz w:val="24"/>
            <w:lang w:val="fi-FI"/>
          </w:rPr>
          <w:t>http://data.europa.eu/eli/C/2025/1797/oj</w:t>
        </w:r>
      </w:hyperlink>
      <w:r w:rsidRPr="00254AB7">
        <w:rPr>
          <w:color w:val="000000" w:themeColor="text1"/>
          <w:sz w:val="24"/>
          <w:lang w:val="fi-FI"/>
        </w:rPr>
        <w:t>).</w:t>
      </w:r>
    </w:p>
    <w:p w:rsidR="002702D8" w:rsidRPr="00254AB7" w:rsidP="00987467" w14:paraId="36149F83" w14:textId="7C628F29">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6" w:history="1">
        <w:r w:rsidRPr="00254AB7">
          <w:rPr>
            <w:rStyle w:val="Hyperlink"/>
            <w:sz w:val="24"/>
            <w:lang w:val="fi-FI"/>
          </w:rPr>
          <w:t>http://data.europa.eu/eli/C/2025/1798/oj</w:t>
        </w:r>
      </w:hyperlink>
      <w:r w:rsidRPr="00254AB7">
        <w:rPr>
          <w:color w:val="000000" w:themeColor="text1"/>
          <w:sz w:val="24"/>
          <w:lang w:val="fi-FI"/>
        </w:rPr>
        <w:t>).</w:t>
      </w:r>
    </w:p>
    <w:p w:rsidR="002702D8" w:rsidRPr="00254AB7" w:rsidP="00987467" w14:paraId="503834C3" w14:textId="60C11C7D">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7" w:history="1">
        <w:r w:rsidRPr="00254AB7">
          <w:rPr>
            <w:rStyle w:val="Hyperlink"/>
            <w:sz w:val="24"/>
            <w:lang w:val="fi-FI"/>
          </w:rPr>
          <w:t>http://data.europa.eu/eli/C/2025/1799/oj</w:t>
        </w:r>
      </w:hyperlink>
      <w:r w:rsidRPr="00254AB7">
        <w:rPr>
          <w:color w:val="000000" w:themeColor="text1"/>
          <w:sz w:val="24"/>
          <w:lang w:val="fi-FI"/>
        </w:rPr>
        <w:t>).</w:t>
      </w:r>
    </w:p>
    <w:p w:rsidR="002702D8" w:rsidRPr="00254AB7" w:rsidP="00987467" w14:paraId="174D0452" w14:textId="729B382A">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8" w:history="1">
        <w:r w:rsidRPr="00254AB7">
          <w:rPr>
            <w:rStyle w:val="Hyperlink"/>
            <w:sz w:val="24"/>
            <w:lang w:val="fi-FI"/>
          </w:rPr>
          <w:t>http://data.europa.eu/eli/C/2025/1800/oj</w:t>
        </w:r>
      </w:hyperlink>
      <w:r w:rsidRPr="00254AB7">
        <w:rPr>
          <w:color w:val="000000" w:themeColor="text1"/>
          <w:sz w:val="24"/>
          <w:lang w:val="fi-FI"/>
        </w:rPr>
        <w:t>).</w:t>
      </w:r>
    </w:p>
    <w:p w:rsidR="002702D8" w:rsidRPr="00254AB7" w:rsidP="00987467" w14:paraId="00AB6B5A" w14:textId="200AA204">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9" w:history="1">
        <w:r w:rsidRPr="00254AB7">
          <w:rPr>
            <w:rStyle w:val="Hyperlink"/>
            <w:sz w:val="24"/>
            <w:lang w:val="fi-FI"/>
          </w:rPr>
          <w:t>http://data.europa.eu/eli/C/2025/1801/oj</w:t>
        </w:r>
      </w:hyperlink>
      <w:r w:rsidRPr="00254AB7">
        <w:rPr>
          <w:color w:val="000000" w:themeColor="text1"/>
          <w:sz w:val="24"/>
          <w:lang w:val="fi-FI"/>
        </w:rPr>
        <w:t>).</w:t>
      </w:r>
    </w:p>
    <w:p w:rsidR="002702D8" w:rsidRPr="00254AB7" w:rsidP="00987467" w14:paraId="4B41F997" w14:textId="781F531F">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10" w:history="1">
        <w:r w:rsidRPr="00254AB7">
          <w:rPr>
            <w:rStyle w:val="Hyperlink"/>
            <w:sz w:val="24"/>
            <w:lang w:val="fi-FI"/>
          </w:rPr>
          <w:t>http://data.europa.eu/eli/C/2025/1802/oj</w:t>
        </w:r>
      </w:hyperlink>
      <w:r w:rsidRPr="00254AB7">
        <w:rPr>
          <w:color w:val="000000" w:themeColor="text1"/>
          <w:sz w:val="24"/>
          <w:lang w:val="fi-FI"/>
        </w:rPr>
        <w:t>).</w:t>
      </w:r>
    </w:p>
    <w:p w:rsidR="002702D8" w:rsidRPr="00254AB7" w:rsidP="00987467" w14:paraId="3D1101E7" w14:textId="007902C8">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1" w:history="1">
        <w:r w:rsidRPr="00254AB7">
          <w:rPr>
            <w:rStyle w:val="Hyperlink"/>
            <w:sz w:val="24"/>
            <w:lang w:val="fi-FI"/>
          </w:rPr>
          <w:t>http://data.europa.eu/eli/C/2025/1803/oj</w:t>
        </w:r>
      </w:hyperlink>
      <w:r w:rsidRPr="00254AB7">
        <w:rPr>
          <w:color w:val="000000" w:themeColor="text1"/>
          <w:sz w:val="24"/>
          <w:lang w:val="fi-FI"/>
        </w:rPr>
        <w:t>).</w:t>
      </w:r>
    </w:p>
    <w:p w:rsidR="002702D8" w:rsidRPr="00254AB7" w:rsidP="00987467" w14:paraId="5082DD60" w14:textId="0919AFBB">
      <w:pPr>
        <w:pStyle w:val="FootnoteText"/>
        <w:keepLines w:val="0"/>
        <w:ind w:left="1134" w:hanging="567"/>
        <w:rPr>
          <w:color w:val="000000" w:themeColor="text1"/>
          <w:sz w:val="24"/>
          <w:vertAlign w:val="superscript"/>
          <w:lang w:val="fi-FI"/>
        </w:rPr>
      </w:pPr>
      <w:r w:rsidRPr="00254AB7">
        <w:rPr>
          <w:color w:val="000000" w:themeColor="text1"/>
          <w:sz w:val="24"/>
          <w:lang w:val="fi-FI"/>
        </w:rPr>
        <w:t>–</w:t>
      </w:r>
      <w:r w:rsidRPr="00254AB7">
        <w:rPr>
          <w:color w:val="000000" w:themeColor="text1"/>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2" w:history="1">
        <w:r w:rsidRPr="00254AB7">
          <w:rPr>
            <w:rStyle w:val="Hyperlink"/>
            <w:sz w:val="24"/>
            <w:lang w:val="fi-FI"/>
          </w:rPr>
          <w:t>http://data.europa.eu/eli/C/2025/1804/oj</w:t>
        </w:r>
      </w:hyperlink>
      <w:r w:rsidRPr="00254AB7">
        <w:rPr>
          <w:color w:val="000000" w:themeColor="text1"/>
          <w:sz w:val="24"/>
          <w:lang w:val="fi-FI"/>
        </w:rPr>
        <w:t>).</w:t>
      </w:r>
    </w:p>
    <w:p w:rsidR="002702D8" w:rsidRPr="00254AB7" w:rsidP="00987467" w14:paraId="47737947" w14:textId="54961337">
      <w:pPr>
        <w:pStyle w:val="FootnoteText"/>
        <w:keepLines w:val="0"/>
        <w:ind w:left="1134" w:hanging="567"/>
        <w:rPr>
          <w:sz w:val="24"/>
          <w:vertAlign w:val="superscript"/>
          <w:lang w:val="fi-FI"/>
        </w:rPr>
      </w:pPr>
      <w:r w:rsidRPr="00254AB7">
        <w:rPr>
          <w:color w:val="000000" w:themeColor="text1"/>
          <w:sz w:val="24"/>
          <w:lang w:val="fi-FI"/>
        </w:rPr>
        <w:t>–</w:t>
      </w:r>
      <w:r w:rsidRPr="00254AB7">
        <w:rPr>
          <w:color w:val="000000" w:themeColor="text1"/>
          <w:sz w:val="24"/>
          <w:lang w:val="fi-FI"/>
        </w:rPr>
        <w:tab/>
      </w:r>
      <w:r w:rsidRPr="00254AB7">
        <w:rPr>
          <w:sz w:val="24"/>
          <w:lang w:val="fi-FI"/>
        </w:rPr>
        <w:t>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3" w:history="1">
        <w:r w:rsidRPr="00254AB7">
          <w:rPr>
            <w:rStyle w:val="Hyperlink"/>
            <w:sz w:val="24"/>
            <w:lang w:val="fi-FI"/>
          </w:rPr>
          <w:t>http://data.europa.eu/eli/C/2025/2246/oj</w:t>
        </w:r>
      </w:hyperlink>
      <w:r w:rsidRPr="00254AB7">
        <w:rPr>
          <w:sz w:val="24"/>
          <w:lang w:val="fi-FI"/>
        </w:rPr>
        <w:t>).</w:t>
      </w:r>
    </w:p>
    <w:p w:rsidR="002702D8" w:rsidRPr="00254AB7" w:rsidP="00987467" w14:paraId="3400649F" w14:textId="54E2EFBE">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4" w:history="1">
        <w:r w:rsidRPr="00254AB7">
          <w:rPr>
            <w:rStyle w:val="Hyperlink"/>
            <w:sz w:val="24"/>
            <w:lang w:val="fi-FI"/>
          </w:rPr>
          <w:t>http://data.europa.eu/eli/C/2025/2247/oj</w:t>
        </w:r>
      </w:hyperlink>
      <w:r w:rsidRPr="00254AB7">
        <w:rPr>
          <w:sz w:val="24"/>
          <w:lang w:val="fi-FI"/>
        </w:rPr>
        <w:t>).</w:t>
      </w:r>
    </w:p>
    <w:p w:rsidR="002702D8" w:rsidRPr="00254AB7" w:rsidP="00987467" w14:paraId="0E20FAB6" w14:textId="14FE900F">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saattamiseksi markkinoille Euroopan parlamentin ja neuvoston asetuksen (EY) N:o 1829/2003 mukaisesti (EUVL C, C/2026/586, 24.2.2026, ELI: </w:t>
      </w:r>
      <w:hyperlink r:id="rId15" w:tooltip="Avaa asiakirjan ELI URI -osoitteen kautta." w:history="1">
        <w:r w:rsidRPr="00254AB7">
          <w:rPr>
            <w:rStyle w:val="Hyperlink"/>
            <w:sz w:val="24"/>
            <w:lang w:val="fi-FI"/>
          </w:rPr>
          <w:t>http://data.europa.eu/eli/C/2026/586/oj</w:t>
        </w:r>
      </w:hyperlink>
      <w:r w:rsidRPr="00254AB7">
        <w:rPr>
          <w:sz w:val="24"/>
          <w:lang w:val="fi-FI"/>
        </w:rPr>
        <w:t>).</w:t>
      </w:r>
    </w:p>
    <w:p w:rsidR="002702D8" w:rsidRPr="00254AB7" w:rsidP="00987467" w14:paraId="223ECE84" w14:textId="194A9348">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(EUVL C, C/2026/1523, 15.4.2026, ELI: </w:t>
      </w:r>
      <w:hyperlink r:id="rId16" w:history="1">
        <w:r w:rsidRPr="00254AB7">
          <w:rPr>
            <w:rStyle w:val="Hyperlink"/>
            <w:sz w:val="24"/>
            <w:lang w:val="fi-FI"/>
          </w:rPr>
          <w:t>http://data.europa.eu/eli/C/2026/1523/oj</w:t>
        </w:r>
      </w:hyperlink>
      <w:r w:rsidRPr="00254AB7">
        <w:rPr>
          <w:sz w:val="24"/>
          <w:lang w:val="fi-FI"/>
        </w:rPr>
        <w:t>).</w:t>
      </w:r>
    </w:p>
    <w:p w:rsidR="002702D8" w:rsidRPr="00254AB7" w:rsidP="00987467" w14:paraId="5E8572D8" w14:textId="5C212C41">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(EUVL C, C/2026/1703, 24.4.2026, ELI: </w:t>
      </w:r>
      <w:hyperlink r:id="rId17" w:history="1">
        <w:r w:rsidRPr="00254AB7">
          <w:rPr>
            <w:rStyle w:val="Hyperlink"/>
            <w:sz w:val="24"/>
            <w:lang w:val="fi-FI"/>
          </w:rPr>
          <w:t>http://data.europa.eu/eli/C/2026/1703/oj</w:t>
        </w:r>
      </w:hyperlink>
      <w:r w:rsidRPr="00254AB7">
        <w:rPr>
          <w:sz w:val="24"/>
          <w:lang w:val="fi-FI"/>
        </w:rPr>
        <w:t>).</w:t>
      </w:r>
    </w:p>
    <w:p w:rsidR="002702D8" w:rsidRPr="00254AB7" w:rsidP="00987467" w14:paraId="4093C0F4" w14:textId="26E4CA33">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(EUVL C, C/2026/1704, 24.4.2026, ELI: </w:t>
      </w:r>
      <w:hyperlink r:id="rId18" w:history="1">
        <w:r w:rsidRPr="00254AB7">
          <w:rPr>
            <w:rStyle w:val="Hyperlink"/>
            <w:sz w:val="24"/>
            <w:lang w:val="fi-FI"/>
          </w:rPr>
          <w:t>http://data.europa.eu/eli/C/2026/1704/oj</w:t>
        </w:r>
      </w:hyperlink>
      <w:r w:rsidRPr="00254AB7">
        <w:rPr>
          <w:sz w:val="24"/>
          <w:lang w:val="fi-FI"/>
        </w:rPr>
        <w:t>).</w:t>
      </w:r>
    </w:p>
    <w:p w:rsidR="002702D8" w:rsidRPr="00254AB7" w:rsidP="00987467" w14:paraId="7F5E2D79" w14:textId="32F52E36">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(EUVL C, C/2026/1705, 24.4.2026, ELI: </w:t>
      </w:r>
      <w:hyperlink r:id="rId19" w:history="1">
        <w:r w:rsidRPr="00254AB7">
          <w:rPr>
            <w:rStyle w:val="Hyperlink"/>
            <w:sz w:val="24"/>
            <w:lang w:val="fi-FI"/>
          </w:rPr>
          <w:t>http://data.europa.eu/eli/C/2026/1705/oj</w:t>
        </w:r>
      </w:hyperlink>
      <w:r w:rsidRPr="00254AB7">
        <w:rPr>
          <w:sz w:val="24"/>
          <w:lang w:val="fi-FI"/>
        </w:rPr>
        <w:t>).</w:t>
      </w:r>
    </w:p>
    <w:p w:rsidR="002702D8" w:rsidRPr="00254AB7" w:rsidP="00987467" w14:paraId="5B037D2E" w14:textId="21541A06">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(EUVL C, C/2026/1706, 24.4.2026, ELI: </w:t>
      </w:r>
      <w:hyperlink r:id="rId20" w:history="1">
        <w:r w:rsidRPr="00254AB7">
          <w:rPr>
            <w:rStyle w:val="Hyperlink"/>
            <w:sz w:val="24"/>
            <w:lang w:val="fi-FI"/>
          </w:rPr>
          <w:t>http://data.europa.eu/eli/C/2026/1706/oj</w:t>
        </w:r>
      </w:hyperlink>
      <w:r w:rsidRPr="00254AB7">
        <w:rPr>
          <w:sz w:val="24"/>
          <w:lang w:val="fi-FI"/>
        </w:rPr>
        <w:t>).</w:t>
      </w:r>
    </w:p>
    <w:p w:rsidR="002702D8" w:rsidRPr="00254AB7" w:rsidP="00987467" w14:paraId="2FE6423A" w14:textId="11A2C94F">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(EUVL C, C/2026/1707, 24.4.2026, ELI: </w:t>
      </w:r>
      <w:hyperlink r:id="rId21" w:history="1">
        <w:r w:rsidRPr="00254AB7">
          <w:rPr>
            <w:rStyle w:val="Hyperlink"/>
            <w:sz w:val="24"/>
            <w:lang w:val="fi-FI"/>
          </w:rPr>
          <w:t>http://data.europa.eu/eli/C/2026/1707/oj</w:t>
        </w:r>
      </w:hyperlink>
      <w:r w:rsidRPr="00254AB7">
        <w:rPr>
          <w:sz w:val="24"/>
          <w:lang w:val="fi-FI"/>
        </w:rPr>
        <w:t>).</w:t>
      </w:r>
    </w:p>
    <w:p w:rsidR="002702D8" w:rsidRPr="00254AB7" w:rsidP="00987467" w14:paraId="2F876FDB" w14:textId="01E5204F">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16.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 (EUVL C, C/2026/2150, 6.5.2026, ELI: </w:t>
      </w:r>
      <w:hyperlink r:id="rId22" w:history="1">
        <w:r w:rsidRPr="00254AB7">
          <w:rPr>
            <w:rStyle w:val="Hyperlink"/>
            <w:sz w:val="24"/>
            <w:lang w:val="fi-FI"/>
          </w:rPr>
          <w:t>http://data.europa.eu/eli/C/2026/2150/oj</w:t>
        </w:r>
      </w:hyperlink>
      <w:r w:rsidRPr="00254AB7">
        <w:rPr>
          <w:sz w:val="24"/>
          <w:lang w:val="fi-FI"/>
        </w:rPr>
        <w:t>).</w:t>
      </w:r>
    </w:p>
    <w:p w:rsidR="002702D8" w:rsidRPr="00254AB7" w:rsidP="00987467" w14:paraId="79DAF4A7" w14:textId="00BE4EB0">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16.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 (EUVL C, C/2026/2151, 6.5.2026, ELI: </w:t>
      </w:r>
      <w:hyperlink r:id="rId23" w:history="1">
        <w:r w:rsidRPr="00254AB7">
          <w:rPr>
            <w:rStyle w:val="Hyperlink"/>
            <w:sz w:val="24"/>
            <w:lang w:val="fi-FI"/>
          </w:rPr>
          <w:t>http://data.europa.eu/eli/C/2026/2151/oj</w:t>
        </w:r>
      </w:hyperlink>
      <w:r w:rsidRPr="00254AB7">
        <w:rPr>
          <w:sz w:val="24"/>
          <w:lang w:val="fi-FI"/>
        </w:rPr>
        <w:t>).</w:t>
      </w:r>
    </w:p>
    <w:p w:rsidR="002702D8" w:rsidRPr="00254AB7" w:rsidP="00987467" w14:paraId="5FE8B18A" w14:textId="35B88440">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11. helmikuuta 2026 ehdotuksesta komission täytäntöönpanopäätökseksi luvan antamisesta muuntogeenistä soijaa DBN-09004-6 sisältävien, siitä koostuvien tai siitä valmistettujen tuotteiden saattamiseksi markkinoille Euroopan parlamentin ja neuvoston asetuksen (EY) N:o 1829/2003 mukaisesti (Hyväksytyt tekstit, P10_TA(2026)0041).</w:t>
      </w:r>
    </w:p>
    <w:p w:rsidR="002702D8" w:rsidRPr="00254AB7" w:rsidP="00987467" w14:paraId="7CEFD32C" w14:textId="1045D075">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11. helmikuuta 2026 ehdotuksesta komission täytäntöönpanopäätökseksi muuntogeenistä maissia T25 (ACS-ZMØØ3-2) sisältävien, siitä koostuvien tai siitä valmistettujen tuotteiden markkinoille saattamista koskevan luvan uusimisesta Euroopan parlamentin ja neuvoston asetuksen (EY) N:o 1829/2003 mukaisesti (Hyväksytyt tekstit, P10_TA(2026)0042)</w:t>
      </w:r>
    </w:p>
    <w:p w:rsidR="002702D8" w:rsidRPr="00254AB7" w:rsidP="00987467" w14:paraId="1785293C" w14:textId="270B2613">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11. helmikuuta 2026 ehdotuksesta komission täytäntöönpanopäätökseksi muuntogeenistä puuvillaa GHB614 × LLCotton25 sisältävien, siitä koostuvien tai siitä valmistettujen tuotteiden markkinoille saattamista koskevan luvan uusimisesta Euroopan parlamentin ja neuvoston asetuksen (EY) N:o 1829/2003 mukaisesti (Hyväksytyt tekstit, P10_TA(2026)0043).</w:t>
      </w:r>
    </w:p>
    <w:p w:rsidR="002702D8" w:rsidRPr="00254AB7" w:rsidP="00987467" w14:paraId="6A8BAC26" w14:textId="2B4DF0F5">
      <w:pPr>
        <w:pStyle w:val="FootnoteText"/>
        <w:keepLines w:val="0"/>
        <w:ind w:left="1134" w:hanging="567"/>
        <w:rPr>
          <w:sz w:val="24"/>
          <w:vertAlign w:val="superscript"/>
          <w:lang w:val="fi-FI"/>
        </w:rPr>
      </w:pPr>
      <w:r w:rsidRPr="00254AB7">
        <w:rPr>
          <w:sz w:val="24"/>
          <w:lang w:val="fi-FI"/>
        </w:rPr>
        <w:t>–</w:t>
      </w:r>
      <w:r w:rsidRPr="00254AB7">
        <w:rPr>
          <w:sz w:val="24"/>
          <w:lang w:val="fi-FI"/>
        </w:rPr>
        <w:tab/>
        <w:t>Euroopan parlamentin päätöslauselma 11. helmikuuta 2026 ehdotuksesta komission täytäntöönpanopäätökseksi muuntogeenistä puuvillaa T304-40 sisältävien, siitä koostuvien tai siitä valmistettujen tuotteiden markkinoille saattamista koskevan luvan uusimisesta Euroopan parlamentin ja neuvoston asetuksen (EY) N:o 1829/2003 mukaisesti (Hyväksytyt tekstit, P10_TA(2026)0044).</w:t>
      </w:r>
    </w:p>
    <w:p w:rsidR="002702D8" w:rsidRPr="00254AB7" w:rsidP="00987467" w14:paraId="0B582758" w14:textId="2A919CDD">
      <w:pPr>
        <w:pStyle w:val="FootnoteText"/>
        <w:keepLines w:val="0"/>
        <w:ind w:left="1134" w:hanging="567"/>
        <w:rPr>
          <w:sz w:val="24"/>
          <w:lang w:val="fi-FI"/>
        </w:rPr>
      </w:pPr>
      <w:r w:rsidRPr="00254AB7">
        <w:rPr>
          <w:sz w:val="24"/>
          <w:lang w:val="fi-FI"/>
        </w:rPr>
        <w:t>–</w:t>
      </w:r>
      <w:r w:rsidRPr="00254AB7">
        <w:rPr>
          <w:sz w:val="24"/>
          <w:lang w:val="fi-FI"/>
        </w:rPr>
        <w:tab/>
        <w:t>Euroopan parlamentin päätöslauselma 29. huhtikuuta 2026 ehdotuksesta komission täytäntöönpanopäätökseksi luvan antamisesta muuntogeenistä soijaa MON 94637 sisältävien, siitä koostuvien tai siitä valmistettujen tuotteiden saattamiseksi markkinoille Euroopan parlamentin ja neuvoston asetuksen (EY) N:o 1829/2003 mukaisesti (Hyväksytyt tekstit, P10_TA(2026)0150).</w:t>
      </w:r>
    </w:p>
  </w:footnote>
  <w:footnote w:id="7">
    <w:p w:rsidR="002702D8" w:rsidRPr="00254AB7" w:rsidP="003171D1" w14:paraId="4FE9FFE8" w14:textId="2347BFC1">
      <w:pPr>
        <w:pStyle w:val="FootnoteText"/>
        <w:keepLines w:val="0"/>
        <w:ind w:left="567" w:hanging="567"/>
        <w:rPr>
          <w:sz w:val="24"/>
          <w:lang w:val="fi-FI"/>
        </w:rPr>
      </w:pPr>
      <w:r w:rsidRPr="00254AB7">
        <w:rPr>
          <w:rStyle w:val="FootnoteReference"/>
          <w:sz w:val="24"/>
          <w:lang w:val="fi-FI"/>
        </w:rPr>
        <w:footnoteRef/>
      </w:r>
      <w:r w:rsidRPr="00254AB7" w:rsidR="00494090">
        <w:rPr>
          <w:sz w:val="24"/>
          <w:lang w:val="fi-FI"/>
        </w:rPr>
        <w:t xml:space="preserve"> </w:t>
      </w:r>
      <w:r w:rsidRPr="00254AB7" w:rsidR="00494090">
        <w:rPr>
          <w:sz w:val="24"/>
          <w:lang w:val="fi-FI"/>
        </w:rPr>
        <w:tab/>
      </w:r>
      <w:r w:rsidRPr="00254AB7">
        <w:rPr>
          <w:sz w:val="24"/>
          <w:lang w:val="fi-FI"/>
        </w:rPr>
        <w:t>EFSAn</w:t>
      </w:r>
      <w:r w:rsidRPr="00254AB7">
        <w:rPr>
          <w:sz w:val="24"/>
          <w:lang w:val="fi-FI"/>
        </w:rPr>
        <w:t xml:space="preserve"> </w:t>
      </w:r>
      <w:r w:rsidRPr="00254AB7" w:rsidR="003171D1">
        <w:rPr>
          <w:sz w:val="24"/>
          <w:lang w:val="fi-FI"/>
        </w:rPr>
        <w:t xml:space="preserve">tieteellinen </w:t>
      </w:r>
      <w:r w:rsidRPr="00254AB7">
        <w:rPr>
          <w:sz w:val="24"/>
          <w:lang w:val="fi-FI"/>
        </w:rPr>
        <w:t xml:space="preserve">lausunto, </w:t>
      </w:r>
      <w:hyperlink r:id="rId4" w:history="1">
        <w:r w:rsidRPr="00254AB7">
          <w:rPr>
            <w:rStyle w:val="Hyperlink"/>
            <w:sz w:val="24"/>
            <w:lang w:val="fi-FI"/>
          </w:rPr>
          <w:t>https://doi.org/10.2903/j.efsa.2025.9746</w:t>
        </w:r>
      </w:hyperlink>
      <w:r w:rsidRPr="00254AB7">
        <w:rPr>
          <w:sz w:val="24"/>
          <w:lang w:val="fi-FI"/>
        </w:rPr>
        <w:t>, s. 7.</w:t>
      </w:r>
    </w:p>
  </w:footnote>
  <w:footnote w:id="8">
    <w:p w:rsidR="002702D8" w:rsidRPr="00254AB7" w:rsidP="003171D1" w14:paraId="5F0B562C" w14:textId="17A7720A">
      <w:pPr>
        <w:pStyle w:val="FootnoteText"/>
        <w:keepLines w:val="0"/>
        <w:ind w:left="567" w:hanging="567"/>
        <w:rPr>
          <w:sz w:val="24"/>
          <w:lang w:val="fi-FI"/>
        </w:rPr>
      </w:pPr>
      <w:r w:rsidRPr="00254AB7">
        <w:rPr>
          <w:rStyle w:val="FootnoteReference"/>
          <w:sz w:val="24"/>
          <w:szCs w:val="24"/>
          <w:lang w:val="fi-FI"/>
        </w:rPr>
        <w:footnoteRef/>
      </w:r>
      <w:r w:rsidRPr="00254AB7" w:rsidR="00494090">
        <w:rPr>
          <w:sz w:val="24"/>
          <w:shd w:val="clear" w:color="auto" w:fill="FFFFFF"/>
          <w:lang w:val="fi-FI"/>
        </w:rPr>
        <w:t xml:space="preserve"> </w:t>
      </w:r>
      <w:r w:rsidRPr="00254AB7" w:rsidR="00494090">
        <w:rPr>
          <w:sz w:val="24"/>
          <w:shd w:val="clear" w:color="auto" w:fill="FFFFFF"/>
          <w:lang w:val="fi-FI"/>
        </w:rPr>
        <w:tab/>
      </w:r>
      <w:r w:rsidRPr="00254AB7">
        <w:rPr>
          <w:sz w:val="24"/>
          <w:shd w:val="clear" w:color="auto" w:fill="FFFFFF"/>
          <w:lang w:val="fi-FI"/>
        </w:rPr>
        <w:t xml:space="preserve">Ks. esim. </w:t>
      </w:r>
      <w:r w:rsidRPr="00254AB7">
        <w:rPr>
          <w:sz w:val="24"/>
          <w:shd w:val="clear" w:color="auto" w:fill="FFFFFF"/>
          <w:lang w:val="fi-FI"/>
        </w:rPr>
        <w:t>Bonny</w:t>
      </w:r>
      <w:r w:rsidRPr="00254AB7">
        <w:rPr>
          <w:sz w:val="24"/>
          <w:shd w:val="clear" w:color="auto" w:fill="FFFFFF"/>
          <w:lang w:val="fi-FI"/>
        </w:rPr>
        <w:t>, S., ”</w:t>
      </w:r>
      <w:r w:rsidRPr="00254AB7">
        <w:rPr>
          <w:sz w:val="24"/>
          <w:shd w:val="clear" w:color="auto" w:fill="FFFFFF"/>
          <w:lang w:val="fi-FI"/>
        </w:rPr>
        <w:t>Genetically</w:t>
      </w:r>
      <w:r w:rsidRPr="00254AB7">
        <w:rPr>
          <w:sz w:val="24"/>
          <w:shd w:val="clear" w:color="auto" w:fill="FFFFFF"/>
          <w:lang w:val="fi-FI"/>
        </w:rPr>
        <w:t xml:space="preserve"> </w:t>
      </w:r>
      <w:r w:rsidRPr="00254AB7">
        <w:rPr>
          <w:sz w:val="24"/>
          <w:shd w:val="clear" w:color="auto" w:fill="FFFFFF"/>
          <w:lang w:val="fi-FI"/>
        </w:rPr>
        <w:t>Modified</w:t>
      </w:r>
      <w:r w:rsidRPr="00254AB7">
        <w:rPr>
          <w:sz w:val="24"/>
          <w:shd w:val="clear" w:color="auto" w:fill="FFFFFF"/>
          <w:lang w:val="fi-FI"/>
        </w:rPr>
        <w:t xml:space="preserve"> </w:t>
      </w:r>
      <w:r w:rsidRPr="00254AB7">
        <w:rPr>
          <w:sz w:val="24"/>
          <w:shd w:val="clear" w:color="auto" w:fill="FFFFFF"/>
          <w:lang w:val="fi-FI"/>
        </w:rPr>
        <w:t>Herbicide-Tolerant</w:t>
      </w:r>
      <w:r w:rsidRPr="00254AB7">
        <w:rPr>
          <w:sz w:val="24"/>
          <w:shd w:val="clear" w:color="auto" w:fill="FFFFFF"/>
          <w:lang w:val="fi-FI"/>
        </w:rPr>
        <w:t xml:space="preserve"> </w:t>
      </w:r>
      <w:r w:rsidRPr="00254AB7">
        <w:rPr>
          <w:sz w:val="24"/>
          <w:shd w:val="clear" w:color="auto" w:fill="FFFFFF"/>
          <w:lang w:val="fi-FI"/>
        </w:rPr>
        <w:t>Crops</w:t>
      </w:r>
      <w:r w:rsidRPr="00254AB7">
        <w:rPr>
          <w:sz w:val="24"/>
          <w:shd w:val="clear" w:color="auto" w:fill="FFFFFF"/>
          <w:lang w:val="fi-FI"/>
        </w:rPr>
        <w:t xml:space="preserve">, </w:t>
      </w:r>
      <w:r w:rsidRPr="00254AB7">
        <w:rPr>
          <w:sz w:val="24"/>
          <w:shd w:val="clear" w:color="auto" w:fill="FFFFFF"/>
          <w:lang w:val="fi-FI"/>
        </w:rPr>
        <w:t>Weeds</w:t>
      </w:r>
      <w:r w:rsidRPr="00254AB7">
        <w:rPr>
          <w:sz w:val="24"/>
          <w:shd w:val="clear" w:color="auto" w:fill="FFFFFF"/>
          <w:lang w:val="fi-FI"/>
        </w:rPr>
        <w:t xml:space="preserve">, and </w:t>
      </w:r>
      <w:r w:rsidRPr="00254AB7">
        <w:rPr>
          <w:sz w:val="24"/>
          <w:shd w:val="clear" w:color="auto" w:fill="FFFFFF"/>
          <w:lang w:val="fi-FI"/>
        </w:rPr>
        <w:t>Herbicides</w:t>
      </w:r>
      <w:r w:rsidRPr="00254AB7">
        <w:rPr>
          <w:sz w:val="24"/>
          <w:shd w:val="clear" w:color="auto" w:fill="FFFFFF"/>
          <w:lang w:val="fi-FI"/>
        </w:rPr>
        <w:t xml:space="preserve">: </w:t>
      </w:r>
      <w:r w:rsidRPr="00254AB7">
        <w:rPr>
          <w:sz w:val="24"/>
          <w:shd w:val="clear" w:color="auto" w:fill="FFFFFF"/>
          <w:lang w:val="fi-FI"/>
        </w:rPr>
        <w:t>Overview</w:t>
      </w:r>
      <w:r w:rsidRPr="00254AB7">
        <w:rPr>
          <w:sz w:val="24"/>
          <w:shd w:val="clear" w:color="auto" w:fill="FFFFFF"/>
          <w:lang w:val="fi-FI"/>
        </w:rPr>
        <w:t xml:space="preserve"> and </w:t>
      </w:r>
      <w:r w:rsidRPr="00254AB7">
        <w:rPr>
          <w:sz w:val="24"/>
          <w:shd w:val="clear" w:color="auto" w:fill="FFFFFF"/>
          <w:lang w:val="fi-FI"/>
        </w:rPr>
        <w:t>Impact</w:t>
      </w:r>
      <w:r w:rsidRPr="00254AB7">
        <w:rPr>
          <w:sz w:val="24"/>
          <w:shd w:val="clear" w:color="auto" w:fill="FFFFFF"/>
          <w:lang w:val="fi-FI"/>
        </w:rPr>
        <w:t xml:space="preserve">”, </w:t>
      </w:r>
      <w:r w:rsidRPr="00254AB7">
        <w:rPr>
          <w:i/>
          <w:sz w:val="24"/>
          <w:shd w:val="clear" w:color="auto" w:fill="FFFFFF"/>
          <w:lang w:val="fi-FI"/>
        </w:rPr>
        <w:t>Environmental</w:t>
      </w:r>
      <w:r w:rsidRPr="00254AB7">
        <w:rPr>
          <w:i/>
          <w:sz w:val="24"/>
          <w:shd w:val="clear" w:color="auto" w:fill="FFFFFF"/>
          <w:lang w:val="fi-FI"/>
        </w:rPr>
        <w:t xml:space="preserve"> Management</w:t>
      </w:r>
      <w:r w:rsidRPr="00254AB7">
        <w:rPr>
          <w:sz w:val="24"/>
          <w:shd w:val="clear" w:color="auto" w:fill="FFFFFF"/>
          <w:lang w:val="fi-FI"/>
        </w:rPr>
        <w:t xml:space="preserve">, tammikuu 2016, 57(1), s. 31-48, </w:t>
      </w:r>
      <w:hyperlink r:id="rId24" w:history="1">
        <w:r w:rsidRPr="00254AB7">
          <w:rPr>
            <w:rStyle w:val="Hyperlink"/>
            <w:sz w:val="24"/>
            <w:shd w:val="clear" w:color="auto" w:fill="FFFFFF"/>
            <w:lang w:val="fi-FI"/>
          </w:rPr>
          <w:t>https://doi.org/10.1007/s00267-015-0589-7</w:t>
        </w:r>
      </w:hyperlink>
      <w:r w:rsidRPr="00254AB7">
        <w:rPr>
          <w:sz w:val="24"/>
          <w:shd w:val="clear" w:color="auto" w:fill="FFFFFF"/>
          <w:lang w:val="fi-FI"/>
        </w:rPr>
        <w:t xml:space="preserve"> ja </w:t>
      </w:r>
      <w:r w:rsidRPr="00254AB7">
        <w:rPr>
          <w:sz w:val="24"/>
          <w:shd w:val="clear" w:color="auto" w:fill="FFFFFF"/>
          <w:lang w:val="fi-FI"/>
        </w:rPr>
        <w:t>Benbrook</w:t>
      </w:r>
      <w:r w:rsidRPr="00254AB7">
        <w:rPr>
          <w:sz w:val="24"/>
          <w:shd w:val="clear" w:color="auto" w:fill="FFFFFF"/>
          <w:lang w:val="fi-FI"/>
        </w:rPr>
        <w:t>, C.M., ”</w:t>
      </w:r>
      <w:r w:rsidRPr="00254AB7">
        <w:rPr>
          <w:sz w:val="24"/>
          <w:shd w:val="clear" w:color="auto" w:fill="FFFFFF"/>
          <w:lang w:val="fi-FI"/>
        </w:rPr>
        <w:t>Impacts</w:t>
      </w:r>
      <w:r w:rsidRPr="00254AB7">
        <w:rPr>
          <w:sz w:val="24"/>
          <w:shd w:val="clear" w:color="auto" w:fill="FFFFFF"/>
          <w:lang w:val="fi-FI"/>
        </w:rPr>
        <w:t xml:space="preserve"> of </w:t>
      </w:r>
      <w:r w:rsidRPr="00254AB7">
        <w:rPr>
          <w:sz w:val="24"/>
          <w:shd w:val="clear" w:color="auto" w:fill="FFFFFF"/>
          <w:lang w:val="fi-FI"/>
        </w:rPr>
        <w:t>genetically</w:t>
      </w:r>
      <w:r w:rsidRPr="00254AB7">
        <w:rPr>
          <w:sz w:val="24"/>
          <w:shd w:val="clear" w:color="auto" w:fill="FFFFFF"/>
          <w:lang w:val="fi-FI"/>
        </w:rPr>
        <w:t xml:space="preserve"> </w:t>
      </w:r>
      <w:r w:rsidRPr="00254AB7">
        <w:rPr>
          <w:sz w:val="24"/>
          <w:shd w:val="clear" w:color="auto" w:fill="FFFFFF"/>
          <w:lang w:val="fi-FI"/>
        </w:rPr>
        <w:t>engineered</w:t>
      </w:r>
      <w:r w:rsidRPr="00254AB7">
        <w:rPr>
          <w:sz w:val="24"/>
          <w:shd w:val="clear" w:color="auto" w:fill="FFFFFF"/>
          <w:lang w:val="fi-FI"/>
        </w:rPr>
        <w:t xml:space="preserve"> </w:t>
      </w:r>
      <w:r w:rsidRPr="00254AB7">
        <w:rPr>
          <w:sz w:val="24"/>
          <w:shd w:val="clear" w:color="auto" w:fill="FFFFFF"/>
          <w:lang w:val="fi-FI"/>
        </w:rPr>
        <w:t>crops</w:t>
      </w:r>
      <w:r w:rsidRPr="00254AB7">
        <w:rPr>
          <w:sz w:val="24"/>
          <w:shd w:val="clear" w:color="auto" w:fill="FFFFFF"/>
          <w:lang w:val="fi-FI"/>
        </w:rPr>
        <w:t xml:space="preserve"> on </w:t>
      </w:r>
      <w:r w:rsidRPr="00254AB7">
        <w:rPr>
          <w:sz w:val="24"/>
          <w:shd w:val="clear" w:color="auto" w:fill="FFFFFF"/>
          <w:lang w:val="fi-FI"/>
        </w:rPr>
        <w:t>pesticide</w:t>
      </w:r>
      <w:r w:rsidRPr="00254AB7">
        <w:rPr>
          <w:sz w:val="24"/>
          <w:shd w:val="clear" w:color="auto" w:fill="FFFFFF"/>
          <w:lang w:val="fi-FI"/>
        </w:rPr>
        <w:t xml:space="preserve"> </w:t>
      </w:r>
      <w:r w:rsidRPr="00254AB7">
        <w:rPr>
          <w:sz w:val="24"/>
          <w:shd w:val="clear" w:color="auto" w:fill="FFFFFF"/>
          <w:lang w:val="fi-FI"/>
        </w:rPr>
        <w:t>use</w:t>
      </w:r>
      <w:r w:rsidRPr="00254AB7">
        <w:rPr>
          <w:sz w:val="24"/>
          <w:shd w:val="clear" w:color="auto" w:fill="FFFFFF"/>
          <w:lang w:val="fi-FI"/>
        </w:rPr>
        <w:t xml:space="preserve"> in </w:t>
      </w:r>
      <w:r w:rsidRPr="00254AB7">
        <w:rPr>
          <w:sz w:val="24"/>
          <w:shd w:val="clear" w:color="auto" w:fill="FFFFFF"/>
          <w:lang w:val="fi-FI"/>
        </w:rPr>
        <w:t>the</w:t>
      </w:r>
      <w:r w:rsidRPr="00254AB7">
        <w:rPr>
          <w:sz w:val="24"/>
          <w:shd w:val="clear" w:color="auto" w:fill="FFFFFF"/>
          <w:lang w:val="fi-FI"/>
        </w:rPr>
        <w:t xml:space="preserve"> U.S. - </w:t>
      </w:r>
      <w:r w:rsidRPr="00254AB7">
        <w:rPr>
          <w:sz w:val="24"/>
          <w:shd w:val="clear" w:color="auto" w:fill="FFFFFF"/>
          <w:lang w:val="fi-FI"/>
        </w:rPr>
        <w:t>the</w:t>
      </w:r>
      <w:r w:rsidRPr="00254AB7">
        <w:rPr>
          <w:sz w:val="24"/>
          <w:shd w:val="clear" w:color="auto" w:fill="FFFFFF"/>
          <w:lang w:val="fi-FI"/>
        </w:rPr>
        <w:t xml:space="preserve"> </w:t>
      </w:r>
      <w:r w:rsidRPr="00254AB7">
        <w:rPr>
          <w:sz w:val="24"/>
          <w:shd w:val="clear" w:color="auto" w:fill="FFFFFF"/>
          <w:lang w:val="fi-FI"/>
        </w:rPr>
        <w:t>first</w:t>
      </w:r>
      <w:r w:rsidRPr="00254AB7">
        <w:rPr>
          <w:sz w:val="24"/>
          <w:shd w:val="clear" w:color="auto" w:fill="FFFFFF"/>
          <w:lang w:val="fi-FI"/>
        </w:rPr>
        <w:t xml:space="preserve"> </w:t>
      </w:r>
      <w:r w:rsidRPr="00254AB7">
        <w:rPr>
          <w:sz w:val="24"/>
          <w:shd w:val="clear" w:color="auto" w:fill="FFFFFF"/>
          <w:lang w:val="fi-FI"/>
        </w:rPr>
        <w:t>sixteen</w:t>
      </w:r>
      <w:r w:rsidRPr="00254AB7">
        <w:rPr>
          <w:sz w:val="24"/>
          <w:shd w:val="clear" w:color="auto" w:fill="FFFFFF"/>
          <w:lang w:val="fi-FI"/>
        </w:rPr>
        <w:t xml:space="preserve"> </w:t>
      </w:r>
      <w:r w:rsidRPr="00254AB7">
        <w:rPr>
          <w:sz w:val="24"/>
          <w:shd w:val="clear" w:color="auto" w:fill="FFFFFF"/>
          <w:lang w:val="fi-FI"/>
        </w:rPr>
        <w:t>years</w:t>
      </w:r>
      <w:r w:rsidRPr="00254AB7">
        <w:rPr>
          <w:sz w:val="24"/>
          <w:shd w:val="clear" w:color="auto" w:fill="FFFFFF"/>
          <w:lang w:val="fi-FI"/>
        </w:rPr>
        <w:t xml:space="preserve">”, </w:t>
      </w:r>
      <w:r w:rsidRPr="00254AB7">
        <w:rPr>
          <w:i/>
          <w:sz w:val="24"/>
          <w:shd w:val="clear" w:color="auto" w:fill="FFFFFF"/>
          <w:lang w:val="fi-FI"/>
        </w:rPr>
        <w:t>Environmental</w:t>
      </w:r>
      <w:r w:rsidRPr="00254AB7">
        <w:rPr>
          <w:i/>
          <w:sz w:val="24"/>
          <w:shd w:val="clear" w:color="auto" w:fill="FFFFFF"/>
          <w:lang w:val="fi-FI"/>
        </w:rPr>
        <w:t xml:space="preserve"> Sciences Europe,</w:t>
      </w:r>
      <w:r w:rsidRPr="00254AB7">
        <w:rPr>
          <w:sz w:val="24"/>
          <w:shd w:val="clear" w:color="auto" w:fill="FFFFFF"/>
          <w:lang w:val="fi-FI"/>
        </w:rPr>
        <w:t xml:space="preserve"> 28. syyskuuta 2012, nide 24(1), </w:t>
      </w:r>
      <w:hyperlink r:id="rId25" w:history="1">
        <w:r w:rsidRPr="00254AB7">
          <w:rPr>
            <w:rStyle w:val="Hyperlink"/>
            <w:sz w:val="24"/>
            <w:lang w:val="fi-FI"/>
          </w:rPr>
          <w:t>https://doi.org/10.1186/2190-4715-24-24</w:t>
        </w:r>
      </w:hyperlink>
      <w:r w:rsidRPr="00254AB7">
        <w:rPr>
          <w:sz w:val="24"/>
          <w:lang w:val="fi-FI"/>
        </w:rPr>
        <w:t>.</w:t>
      </w:r>
    </w:p>
  </w:footnote>
  <w:footnote w:id="9">
    <w:p w:rsidR="002702D8" w:rsidRPr="00254AB7" w:rsidP="003171D1" w14:paraId="50F5CF98" w14:textId="727A37DA">
      <w:pPr>
        <w:pStyle w:val="FootnoteText"/>
        <w:keepLines w:val="0"/>
        <w:ind w:left="567" w:hanging="567"/>
        <w:rPr>
          <w:sz w:val="24"/>
          <w:lang w:val="fi-FI"/>
        </w:rPr>
      </w:pPr>
      <w:r w:rsidRPr="00254AB7">
        <w:rPr>
          <w:rStyle w:val="FootnoteReference"/>
          <w:sz w:val="24"/>
          <w:lang w:val="fi-FI"/>
        </w:rPr>
        <w:footnoteRef/>
      </w:r>
      <w:r w:rsidRPr="00254AB7" w:rsidR="00494090">
        <w:rPr>
          <w:sz w:val="24"/>
          <w:lang w:val="fi-FI"/>
        </w:rPr>
        <w:t xml:space="preserve"> </w:t>
      </w:r>
      <w:r w:rsidRPr="00254AB7" w:rsidR="00494090">
        <w:rPr>
          <w:sz w:val="24"/>
          <w:lang w:val="fi-FI"/>
        </w:rPr>
        <w:tab/>
      </w:r>
      <w:r w:rsidRPr="00254AB7">
        <w:rPr>
          <w:sz w:val="24"/>
          <w:lang w:val="fi-FI"/>
        </w:rPr>
        <w:t>Euroopan parlamentin ja neuvoston asetus (EY) N:o 1107/2009, annettu 21. lokakuuta 2009, kasvinsuojeluaineiden markkinoille saattamisesta sekä neuvoston direktiivien 79/117/ETY ja 91/414/ETY kumoamisesta (EUVL L 309, 24.11.2009, s. 1, ELI: </w:t>
      </w:r>
      <w:hyperlink r:id="rId26" w:tooltip="Avaa asiakirjan ELI URI -osoitteen kautta." w:history="1">
        <w:r w:rsidRPr="00254AB7">
          <w:rPr>
            <w:rStyle w:val="Hyperlink"/>
            <w:sz w:val="24"/>
            <w:lang w:val="fi-FI"/>
          </w:rPr>
          <w:t>http://data.europa.eu/eli/reg/2009/1107/oj</w:t>
        </w:r>
      </w:hyperlink>
      <w:r w:rsidRPr="00254AB7">
        <w:rPr>
          <w:sz w:val="24"/>
          <w:lang w:val="fi-FI"/>
        </w:rPr>
        <w:t>).</w:t>
      </w:r>
    </w:p>
  </w:footnote>
  <w:footnote w:id="10">
    <w:p w:rsidR="002702D8" w:rsidRPr="00254AB7" w:rsidP="003171D1" w14:paraId="0129CC7F" w14:textId="5641F82F">
      <w:pPr>
        <w:pStyle w:val="FootnoteText"/>
        <w:keepLines w:val="0"/>
        <w:ind w:left="567" w:hanging="567"/>
        <w:rPr>
          <w:sz w:val="24"/>
          <w:lang w:val="fi-FI"/>
        </w:rPr>
      </w:pPr>
      <w:r w:rsidRPr="00254AB7">
        <w:rPr>
          <w:rStyle w:val="FootnoteReference"/>
          <w:sz w:val="24"/>
          <w:lang w:val="fi-FI"/>
        </w:rPr>
        <w:footnoteRef/>
      </w:r>
      <w:r w:rsidRPr="00254AB7" w:rsidR="00494090">
        <w:rPr>
          <w:sz w:val="24"/>
          <w:lang w:val="fi-FI"/>
        </w:rPr>
        <w:t xml:space="preserve"> </w:t>
      </w:r>
      <w:r w:rsidRPr="00254AB7" w:rsidR="00494090">
        <w:rPr>
          <w:sz w:val="24"/>
          <w:lang w:val="fi-FI"/>
        </w:rPr>
        <w:tab/>
      </w:r>
      <w:hyperlink r:id="rId27" w:history="1">
        <w:r w:rsidRPr="00254AB7" w:rsidR="003171D1">
          <w:rPr>
            <w:rStyle w:val="Hyperlink"/>
            <w:sz w:val="24"/>
            <w:szCs w:val="24"/>
            <w:lang w:val="fi-FI"/>
          </w:rPr>
          <w:t>https://ec.europa.eu/food/plant/pesticides/eu-pesticides-database/start/screen/active-substances/details/79</w:t>
        </w:r>
      </w:hyperlink>
      <w:r w:rsidRPr="00254AB7" w:rsidR="003171D1">
        <w:rPr>
          <w:sz w:val="24"/>
          <w:szCs w:val="24"/>
          <w:lang w:val="fi-FI"/>
        </w:rPr>
        <w:t>.</w:t>
      </w:r>
      <w:r w:rsidRPr="00254AB7" w:rsidR="003171D1">
        <w:rPr>
          <w:lang w:val="fi-FI"/>
        </w:rPr>
        <w:t xml:space="preserve"> </w:t>
      </w:r>
    </w:p>
  </w:footnote>
  <w:footnote w:id="11">
    <w:p w:rsidR="002702D8" w:rsidRPr="00254AB7" w:rsidP="003171D1" w14:paraId="3B96C22F" w14:textId="13C33588">
      <w:pPr>
        <w:pStyle w:val="FootnoteText"/>
        <w:keepLines w:val="0"/>
        <w:ind w:left="567" w:hanging="567"/>
        <w:rPr>
          <w:sz w:val="24"/>
          <w:lang w:val="fi-FI"/>
        </w:rPr>
      </w:pPr>
      <w:r w:rsidRPr="00254AB7">
        <w:rPr>
          <w:rStyle w:val="FootnoteReference"/>
          <w:sz w:val="24"/>
          <w:lang w:val="fi-FI"/>
        </w:rPr>
        <w:footnoteRef/>
      </w:r>
      <w:r w:rsidRPr="00254AB7" w:rsidR="00494090">
        <w:rPr>
          <w:sz w:val="24"/>
          <w:shd w:val="clear" w:color="auto" w:fill="FFFFFF"/>
          <w:lang w:val="fi-FI"/>
        </w:rPr>
        <w:t xml:space="preserve"> </w:t>
      </w:r>
      <w:r w:rsidRPr="00254AB7" w:rsidR="00494090">
        <w:rPr>
          <w:sz w:val="24"/>
          <w:shd w:val="clear" w:color="auto" w:fill="FFFFFF"/>
          <w:lang w:val="fi-FI"/>
        </w:rPr>
        <w:tab/>
      </w:r>
      <w:r w:rsidRPr="00254AB7">
        <w:rPr>
          <w:sz w:val="24"/>
          <w:shd w:val="clear" w:color="auto" w:fill="FFFFFF"/>
          <w:lang w:val="fi-FI"/>
        </w:rPr>
        <w:t xml:space="preserve">Ks. esim. </w:t>
      </w:r>
      <w:hyperlink r:id="rId28" w:history="1">
        <w:r w:rsidRPr="00254AB7">
          <w:rPr>
            <w:rStyle w:val="Hyperlink"/>
            <w:sz w:val="24"/>
            <w:lang w:val="fi-FI"/>
          </w:rPr>
          <w:t>https://doi.org/10.1016/j.mrrev.2019.02.001</w:t>
        </w:r>
      </w:hyperlink>
      <w:r w:rsidRPr="00254AB7">
        <w:rPr>
          <w:sz w:val="24"/>
          <w:lang w:val="fi-FI"/>
        </w:rPr>
        <w:t xml:space="preserve">, </w:t>
      </w:r>
      <w:hyperlink r:id="rId29" w:history="1">
        <w:r w:rsidRPr="00254AB7">
          <w:rPr>
            <w:rStyle w:val="Hyperlink"/>
            <w:sz w:val="24"/>
            <w:lang w:val="fi-FI"/>
          </w:rPr>
          <w:t>https://doi.org/10.1093/ije/dyz017</w:t>
        </w:r>
      </w:hyperlink>
      <w:r w:rsidRPr="00254AB7">
        <w:rPr>
          <w:sz w:val="24"/>
          <w:lang w:val="fi-FI"/>
        </w:rPr>
        <w:t xml:space="preserve">, </w:t>
      </w:r>
      <w:hyperlink r:id="rId30" w:history="1">
        <w:r w:rsidRPr="00254AB7">
          <w:rPr>
            <w:rStyle w:val="Hyperlink"/>
            <w:sz w:val="24"/>
            <w:lang w:val="fi-FI"/>
          </w:rPr>
          <w:t>https://doi.org/10.1371/journal.pone.0219610</w:t>
        </w:r>
      </w:hyperlink>
      <w:r w:rsidRPr="00254AB7">
        <w:rPr>
          <w:sz w:val="24"/>
          <w:lang w:val="fi-FI"/>
        </w:rPr>
        <w:t xml:space="preserve"> ja </w:t>
      </w:r>
      <w:hyperlink r:id="rId31" w:history="1">
        <w:r w:rsidRPr="00254AB7">
          <w:rPr>
            <w:rStyle w:val="Hyperlink"/>
            <w:sz w:val="24"/>
            <w:lang w:val="fi-FI"/>
          </w:rPr>
          <w:t>https://doi.org/10.1186/s13045-019-0767-9</w:t>
        </w:r>
      </w:hyperlink>
      <w:r w:rsidRPr="00254AB7">
        <w:rPr>
          <w:sz w:val="24"/>
          <w:lang w:val="fi-FI"/>
        </w:rPr>
        <w:t>.</w:t>
      </w:r>
    </w:p>
  </w:footnote>
  <w:footnote w:id="12">
    <w:p w:rsidR="002702D8" w:rsidRPr="00254AB7" w:rsidP="003171D1" w14:paraId="21A458B3" w14:textId="5A287CE1">
      <w:pPr>
        <w:pStyle w:val="FootnoteText"/>
        <w:keepLines w:val="0"/>
        <w:ind w:left="567" w:hanging="567"/>
        <w:rPr>
          <w:sz w:val="24"/>
          <w:lang w:val="en-GB"/>
        </w:rPr>
      </w:pPr>
      <w:r w:rsidRPr="00254AB7">
        <w:rPr>
          <w:rStyle w:val="FootnoteReference"/>
          <w:sz w:val="24"/>
          <w:lang w:val="fi-FI"/>
        </w:rPr>
        <w:footnoteRef/>
      </w:r>
      <w:r w:rsidRPr="00254AB7" w:rsidR="00494090">
        <w:rPr>
          <w:sz w:val="24"/>
          <w:lang w:val="en-GB"/>
        </w:rPr>
        <w:t xml:space="preserve"> </w:t>
      </w:r>
      <w:r w:rsidRPr="00254AB7" w:rsidR="00494090">
        <w:rPr>
          <w:sz w:val="24"/>
          <w:lang w:val="en-GB"/>
        </w:rPr>
        <w:tab/>
      </w:r>
      <w:hyperlink r:id="rId32" w:tgtFrame="_blank" w:tooltip="Pysyvä linkki, jossa käytetään digitaalista objektitunnusta" w:history="1">
        <w:r w:rsidRPr="00254AB7">
          <w:rPr>
            <w:rStyle w:val="Hyperlink"/>
            <w:sz w:val="24"/>
            <w:lang w:val="en-GB"/>
          </w:rPr>
          <w:t>https://doi.org/10.1006/rtph.1999.1371</w:t>
        </w:r>
      </w:hyperlink>
      <w:r w:rsidRPr="00254AB7">
        <w:rPr>
          <w:sz w:val="24"/>
          <w:lang w:val="en-GB"/>
        </w:rPr>
        <w:t>.</w:t>
      </w:r>
    </w:p>
  </w:footnote>
  <w:footnote w:id="13">
    <w:p w:rsidR="002702D8" w:rsidRPr="00254AB7" w:rsidP="003171D1" w14:paraId="38EB7EE1" w14:textId="0DA77ADC">
      <w:pPr>
        <w:pStyle w:val="FootnoteText"/>
        <w:keepLines w:val="0"/>
        <w:ind w:left="567" w:hanging="567"/>
        <w:rPr>
          <w:sz w:val="24"/>
          <w:lang w:val="en-GB"/>
        </w:rPr>
      </w:pPr>
      <w:r w:rsidRPr="00254AB7">
        <w:rPr>
          <w:rStyle w:val="FootnoteReference"/>
          <w:sz w:val="24"/>
          <w:lang w:val="fi-FI"/>
        </w:rPr>
        <w:footnoteRef/>
      </w:r>
      <w:r w:rsidRPr="00254AB7" w:rsidR="00494090">
        <w:rPr>
          <w:sz w:val="24"/>
          <w:shd w:val="clear" w:color="auto" w:fill="FFFFFF"/>
          <w:lang w:val="en-GB"/>
        </w:rPr>
        <w:t xml:space="preserve"> </w:t>
      </w:r>
      <w:r w:rsidRPr="00254AB7" w:rsidR="00494090">
        <w:rPr>
          <w:sz w:val="24"/>
          <w:shd w:val="clear" w:color="auto" w:fill="FFFFFF"/>
          <w:lang w:val="en-GB"/>
        </w:rPr>
        <w:tab/>
      </w:r>
      <w:r w:rsidRPr="00254AB7">
        <w:rPr>
          <w:sz w:val="24"/>
          <w:shd w:val="clear" w:color="auto" w:fill="FFFFFF"/>
          <w:lang w:val="en-GB"/>
        </w:rPr>
        <w:t xml:space="preserve">Lurquin, P.F., ”Production of a toxic metabolite in 2, 4-D-resistant GM crop plants”, </w:t>
      </w:r>
      <w:r w:rsidRPr="00254AB7">
        <w:rPr>
          <w:i/>
          <w:sz w:val="24"/>
          <w:shd w:val="clear" w:color="auto" w:fill="FFFFFF"/>
          <w:lang w:val="en-GB"/>
        </w:rPr>
        <w:t>3 Biotech</w:t>
      </w:r>
      <w:r w:rsidRPr="00254AB7">
        <w:rPr>
          <w:sz w:val="24"/>
          <w:shd w:val="clear" w:color="auto" w:fill="FFFFFF"/>
          <w:lang w:val="en-GB"/>
        </w:rPr>
        <w:t xml:space="preserve"> 6, 82 (2016), </w:t>
      </w:r>
      <w:hyperlink r:id="rId33" w:history="1">
        <w:r w:rsidRPr="00254AB7">
          <w:rPr>
            <w:rStyle w:val="Hyperlink"/>
            <w:sz w:val="24"/>
            <w:shd w:val="clear" w:color="auto" w:fill="FCFCFC"/>
            <w:lang w:val="en-GB"/>
          </w:rPr>
          <w:t>https://doi.org/10.1007/s13205-016-0387-9</w:t>
        </w:r>
      </w:hyperlink>
      <w:r w:rsidRPr="00254AB7">
        <w:rPr>
          <w:sz w:val="24"/>
          <w:lang w:val="en-GB"/>
        </w:rPr>
        <w:t>.</w:t>
      </w:r>
    </w:p>
  </w:footnote>
  <w:footnote w:id="14">
    <w:p w:rsidR="002702D8" w:rsidRPr="00254AB7" w:rsidP="003171D1" w14:paraId="3D6F4BE4" w14:textId="7E460EBF">
      <w:pPr>
        <w:pStyle w:val="FootnoteText"/>
        <w:keepLines w:val="0"/>
        <w:ind w:left="567" w:hanging="567"/>
        <w:rPr>
          <w:sz w:val="24"/>
          <w:szCs w:val="24"/>
          <w:lang w:val="en-GB"/>
        </w:rPr>
      </w:pPr>
      <w:r w:rsidRPr="00254AB7">
        <w:rPr>
          <w:rStyle w:val="FootnoteReference"/>
          <w:sz w:val="24"/>
          <w:lang w:val="fi-FI"/>
        </w:rPr>
        <w:footnoteRef/>
      </w:r>
      <w:r w:rsidRPr="00254AB7" w:rsidR="00494090">
        <w:rPr>
          <w:sz w:val="24"/>
          <w:shd w:val="clear" w:color="auto" w:fill="FFFFFF"/>
          <w:lang w:val="en-GB"/>
        </w:rPr>
        <w:t xml:space="preserve"> </w:t>
      </w:r>
      <w:r w:rsidRPr="00254AB7" w:rsidR="00494090">
        <w:rPr>
          <w:sz w:val="24"/>
          <w:shd w:val="clear" w:color="auto" w:fill="FFFFFF"/>
          <w:lang w:val="en-GB"/>
        </w:rPr>
        <w:tab/>
      </w:r>
      <w:r w:rsidRPr="00254AB7">
        <w:rPr>
          <w:sz w:val="24"/>
          <w:shd w:val="clear" w:color="auto" w:fill="FFFFFF"/>
          <w:lang w:val="en-GB"/>
        </w:rPr>
        <w:t xml:space="preserve">Tämä koskee nimenomaan glyfosaattia, kuten todetaan EFSAn perustellussa lausunnossa ”Review of the existing maximum residue levels for glyphosate according to Article 12 of Regulation (EC) No 396/2005”, </w:t>
      </w:r>
      <w:r w:rsidRPr="00254AB7">
        <w:rPr>
          <w:i/>
          <w:sz w:val="24"/>
          <w:shd w:val="clear" w:color="auto" w:fill="FFFFFF"/>
          <w:lang w:val="en-GB"/>
        </w:rPr>
        <w:t>EFSA Journal</w:t>
      </w:r>
      <w:r w:rsidRPr="00254AB7">
        <w:rPr>
          <w:sz w:val="24"/>
          <w:shd w:val="clear" w:color="auto" w:fill="FFFFFF"/>
          <w:lang w:val="en-GB"/>
        </w:rPr>
        <w:t xml:space="preserve">, 2018, 16(5):e5263, s. 12, </w:t>
      </w:r>
      <w:hyperlink r:id="rId34" w:history="1">
        <w:r w:rsidRPr="00254AB7">
          <w:rPr>
            <w:rStyle w:val="Hyperlink"/>
            <w:sz w:val="24"/>
            <w:lang w:val="en-GB"/>
          </w:rPr>
          <w:t>https://doi.org/10.2903/j.efsa.2018.5263</w:t>
        </w:r>
      </w:hyperlink>
      <w:r w:rsidRPr="00254AB7">
        <w:rPr>
          <w:sz w:val="24"/>
          <w:lang w:val="en-GB"/>
        </w:rPr>
        <w:t>.</w:t>
      </w:r>
    </w:p>
  </w:footnote>
  <w:footnote w:id="15">
    <w:p w:rsidR="002702D8" w:rsidRPr="00254AB7" w:rsidP="003171D1" w14:paraId="71BF2E9C" w14:textId="73DA6EB4">
      <w:pPr>
        <w:pStyle w:val="FootnoteText"/>
        <w:keepLines w:val="0"/>
        <w:ind w:left="567" w:hanging="567"/>
        <w:rPr>
          <w:sz w:val="24"/>
          <w:lang w:val="da-DK"/>
        </w:rPr>
      </w:pPr>
      <w:r w:rsidRPr="00254AB7">
        <w:rPr>
          <w:rStyle w:val="FootnoteReference"/>
          <w:sz w:val="24"/>
          <w:lang w:val="fi-FI"/>
        </w:rPr>
        <w:footnoteRef/>
      </w:r>
      <w:r w:rsidRPr="00254AB7" w:rsidR="00494090">
        <w:rPr>
          <w:sz w:val="24"/>
          <w:lang w:val="da-DK"/>
        </w:rPr>
        <w:t xml:space="preserve"> </w:t>
      </w:r>
      <w:r w:rsidRPr="00254AB7" w:rsidR="00494090">
        <w:rPr>
          <w:sz w:val="24"/>
          <w:lang w:val="da-DK"/>
        </w:rPr>
        <w:tab/>
      </w:r>
      <w:r w:rsidRPr="00254AB7">
        <w:rPr>
          <w:sz w:val="24"/>
          <w:lang w:val="da-DK"/>
        </w:rPr>
        <w:t>EUVL L 282, 19.10.2016, s. 4.</w:t>
      </w:r>
    </w:p>
  </w:footnote>
  <w:footnote w:id="16">
    <w:p w:rsidR="002702D8" w:rsidRPr="00254AB7" w:rsidP="003171D1" w14:paraId="4E6C0D22" w14:textId="6D56DC00">
      <w:pPr>
        <w:pStyle w:val="FootnoteText"/>
        <w:keepLines w:val="0"/>
        <w:ind w:left="567" w:hanging="567"/>
        <w:rPr>
          <w:sz w:val="24"/>
          <w:lang w:val="da-DK"/>
        </w:rPr>
      </w:pPr>
      <w:r w:rsidRPr="00254AB7">
        <w:rPr>
          <w:rStyle w:val="FootnoteReference"/>
          <w:sz w:val="24"/>
          <w:lang w:val="fi-FI"/>
        </w:rPr>
        <w:footnoteRef/>
      </w:r>
      <w:r w:rsidRPr="00254AB7" w:rsidR="00494090">
        <w:rPr>
          <w:sz w:val="24"/>
          <w:lang w:val="da-DK"/>
        </w:rPr>
        <w:t xml:space="preserve"> </w:t>
      </w:r>
      <w:r w:rsidRPr="00254AB7" w:rsidR="00494090">
        <w:rPr>
          <w:sz w:val="24"/>
          <w:lang w:val="da-DK"/>
        </w:rPr>
        <w:tab/>
      </w:r>
      <w:r w:rsidRPr="00254AB7">
        <w:rPr>
          <w:sz w:val="24"/>
          <w:lang w:val="da-DK"/>
        </w:rPr>
        <w:t>EYVL L 309, 13.12.1993, s. 3, ELI: </w:t>
      </w:r>
      <w:hyperlink r:id="rId35" w:tooltip="Avaa asiakirjan ELI URI -osoitteen kautta." w:history="1">
        <w:r w:rsidRPr="00254AB7">
          <w:rPr>
            <w:rStyle w:val="Hyperlink"/>
            <w:sz w:val="24"/>
            <w:lang w:val="da-DK"/>
          </w:rPr>
          <w:t>http://data.europa.eu/eli/convention/1993/626/oj</w:t>
        </w:r>
      </w:hyperlink>
      <w:r w:rsidRPr="00254AB7">
        <w:rPr>
          <w:sz w:val="24"/>
          <w:lang w:val="da-DK"/>
        </w:rPr>
        <w:t>.</w:t>
      </w:r>
    </w:p>
  </w:footnote>
  <w:footnote w:id="17">
    <w:p w:rsidR="002702D8" w:rsidRPr="00254AB7" w:rsidP="003171D1" w14:paraId="2240B1F0" w14:textId="069A8DC9">
      <w:pPr>
        <w:pStyle w:val="FootnoteText"/>
        <w:keepLines w:val="0"/>
        <w:ind w:left="567" w:hanging="567"/>
        <w:rPr>
          <w:sz w:val="24"/>
        </w:rPr>
      </w:pPr>
      <w:r w:rsidRPr="00254AB7">
        <w:rPr>
          <w:rStyle w:val="FootnoteReference"/>
          <w:sz w:val="24"/>
          <w:lang w:val="fi-FI"/>
        </w:rPr>
        <w:footnoteRef/>
      </w:r>
      <w:r w:rsidRPr="00254AB7" w:rsidR="00494090">
        <w:rPr>
          <w:sz w:val="24"/>
          <w:lang w:val="fi-FI"/>
        </w:rPr>
        <w:t xml:space="preserve"> </w:t>
      </w:r>
      <w:r w:rsidRPr="00254AB7" w:rsidR="00494090">
        <w:rPr>
          <w:sz w:val="24"/>
          <w:lang w:val="fi-FI"/>
        </w:rPr>
        <w:tab/>
      </w:r>
      <w:r w:rsidRPr="00254AB7">
        <w:rPr>
          <w:sz w:val="24"/>
          <w:lang w:val="fi-FI"/>
        </w:rPr>
        <w:t>YK:n biodiversiteettisopimuksen COP15-kokouksessa sovittiin joulukuussa 2022 maailmanlaajuisesta biodiversiteettikehyksestä, johon sisältyy maailmanlaajuinen tavoite vähentää torjunta-aineista aiheutuvia riskejä vähintään 50 prosentilla vuoteen 2030 mennessä (ks.</w:t>
      </w:r>
      <w:r w:rsidRPr="00254AB7">
        <w:rPr>
          <w:color w:val="000000" w:themeColor="text1"/>
          <w:sz w:val="24"/>
          <w:lang w:val="fi-FI"/>
        </w:rPr>
        <w:t xml:space="preserve"> </w:t>
      </w:r>
      <w:hyperlink r:id="rId36" w:history="1">
        <w:r w:rsidRPr="00254AB7">
          <w:rPr>
            <w:rStyle w:val="Hyperlink"/>
            <w:sz w:val="24"/>
          </w:rPr>
          <w:t>https://ec.europa.eu/commission/presscorner/detail/fi/ip_22_7834</w:t>
        </w:r>
      </w:hyperlink>
      <w:r w:rsidRPr="00254AB7">
        <w:rPr>
          <w:sz w:val="24"/>
        </w:rPr>
        <w:t>).</w:t>
      </w:r>
    </w:p>
  </w:footnote>
  <w:footnote w:id="18">
    <w:p w:rsidR="002702D8" w:rsidRPr="00254AB7" w:rsidP="003171D1" w14:paraId="26F6FCD6" w14:textId="67B03ACD">
      <w:pPr>
        <w:pStyle w:val="FootnoteText"/>
        <w:keepLines w:val="0"/>
        <w:ind w:left="567" w:hanging="567"/>
        <w:rPr>
          <w:sz w:val="24"/>
        </w:rPr>
      </w:pPr>
      <w:r w:rsidRPr="00254AB7">
        <w:rPr>
          <w:rStyle w:val="FootnoteReference"/>
          <w:sz w:val="24"/>
          <w:lang w:val="fi-FI"/>
        </w:rPr>
        <w:footnoteRef/>
      </w:r>
      <w:r w:rsidRPr="00254AB7" w:rsidR="00494090">
        <w:rPr>
          <w:sz w:val="24"/>
        </w:rPr>
        <w:t xml:space="preserve"> </w:t>
      </w:r>
      <w:r w:rsidRPr="00254AB7" w:rsidR="00494090">
        <w:rPr>
          <w:sz w:val="24"/>
        </w:rPr>
        <w:tab/>
      </w:r>
      <w:hyperlink r:id="rId37" w:history="1">
        <w:r w:rsidRPr="00254AB7">
          <w:rPr>
            <w:rStyle w:val="Hyperlink"/>
            <w:sz w:val="24"/>
          </w:rPr>
          <w:t>https://commission.europa.eu/topics/agriculture-and-rural-development/strategic-dialogue-future-eu-agriculture_fi</w:t>
        </w:r>
      </w:hyperlink>
      <w:r w:rsidRPr="00254AB7">
        <w:rPr>
          <w:rStyle w:val="Hyperlink"/>
          <w:sz w:val="24"/>
        </w:rPr>
        <w:t>.</w:t>
      </w:r>
    </w:p>
  </w:footnote>
  <w:footnote w:id="19">
    <w:p w:rsidR="002702D8" w:rsidRPr="00254AB7" w:rsidP="003171D1" w14:paraId="6C4E5D81" w14:textId="7589E6B0">
      <w:pPr>
        <w:pStyle w:val="FootnoteText"/>
        <w:keepLines w:val="0"/>
        <w:ind w:left="567" w:hanging="567"/>
        <w:rPr>
          <w:sz w:val="24"/>
          <w:szCs w:val="24"/>
          <w:lang w:val="fi-FI"/>
        </w:rPr>
      </w:pPr>
      <w:r w:rsidRPr="00254AB7">
        <w:rPr>
          <w:rStyle w:val="FootnoteReference"/>
          <w:sz w:val="24"/>
          <w:lang w:val="fi-FI"/>
        </w:rPr>
        <w:footnoteRef/>
      </w:r>
      <w:r w:rsidRPr="00254AB7" w:rsidR="00494090">
        <w:rPr>
          <w:sz w:val="24"/>
          <w:lang w:val="fi-FI"/>
        </w:rPr>
        <w:t xml:space="preserve"> </w:t>
      </w:r>
      <w:r w:rsidRPr="00254AB7" w:rsidR="00494090">
        <w:rPr>
          <w:sz w:val="24"/>
          <w:lang w:val="fi-FI"/>
        </w:rPr>
        <w:tab/>
      </w:r>
      <w:r w:rsidRPr="00254AB7">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38" w:tooltip="Avaa asiakirjan ELI URI -osoitteen kautta." w:history="1">
        <w:r w:rsidRPr="00254AB7">
          <w:rPr>
            <w:rStyle w:val="Hyperlink"/>
            <w:sz w:val="24"/>
            <w:lang w:val="fi-FI"/>
          </w:rPr>
          <w:t>http://data.europa.eu/eli/reg/2002/178/oj</w:t>
        </w:r>
      </w:hyperlink>
      <w:r w:rsidRPr="00254AB7">
        <w:rPr>
          <w:sz w:val="24"/>
          <w:lang w:val="fi-FI"/>
        </w:rPr>
        <w:t>).</w:t>
      </w:r>
    </w:p>
  </w:footnote>
  <w:footnote w:id="20">
    <w:p w:rsidR="002702D8" w:rsidRPr="00254AB7" w:rsidP="003171D1" w14:paraId="15660DCF" w14:textId="67704887">
      <w:pPr>
        <w:pStyle w:val="FootnoteText"/>
        <w:keepLines w:val="0"/>
        <w:ind w:left="567" w:hanging="567"/>
        <w:rPr>
          <w:sz w:val="24"/>
          <w:szCs w:val="24"/>
          <w:lang w:val="fi-FI"/>
        </w:rPr>
      </w:pPr>
      <w:r w:rsidRPr="00254AB7">
        <w:rPr>
          <w:rStyle w:val="FootnoteReference"/>
          <w:sz w:val="24"/>
          <w:szCs w:val="24"/>
          <w:lang w:val="fi-FI"/>
        </w:rPr>
        <w:footnoteRef/>
      </w:r>
      <w:r w:rsidRPr="00254AB7" w:rsidR="00494090">
        <w:rPr>
          <w:sz w:val="24"/>
          <w:lang w:val="fi-FI"/>
        </w:rPr>
        <w:t xml:space="preserve"> </w:t>
      </w:r>
      <w:r w:rsidRPr="00254AB7" w:rsidR="00494090">
        <w:rPr>
          <w:sz w:val="24"/>
          <w:lang w:val="fi-FI"/>
        </w:rPr>
        <w:tab/>
      </w:r>
      <w:hyperlink r:id="rId39" w:history="1">
        <w:r w:rsidRPr="00254AB7">
          <w:rPr>
            <w:rStyle w:val="Hyperlink"/>
            <w:sz w:val="24"/>
            <w:shd w:val="clear" w:color="auto" w:fill="FFFFFF"/>
            <w:lang w:val="fi-FI"/>
          </w:rPr>
          <w:t>https://tillymetz.lu/wp-content/uploads/2020/09/Co-signed-letter-MEP-Metz.pdf</w:t>
        </w:r>
      </w:hyperlink>
      <w:r w:rsidRPr="00254AB7">
        <w:rPr>
          <w:sz w:val="24"/>
          <w:lang w:val="fi-FI"/>
        </w:rPr>
        <w:t>.</w:t>
      </w:r>
    </w:p>
  </w:footnote>
  <w:footnote w:id="21">
    <w:p w:rsidR="002702D8" w:rsidRPr="00254AB7" w:rsidP="003171D1" w14:paraId="072C8011" w14:textId="2A4A3A88">
      <w:pPr>
        <w:pStyle w:val="FootnoteText"/>
        <w:keepLines w:val="0"/>
        <w:ind w:left="567" w:hanging="567"/>
        <w:rPr>
          <w:sz w:val="24"/>
          <w:lang w:val="fi-FI"/>
        </w:rPr>
      </w:pPr>
      <w:r w:rsidRPr="00254AB7">
        <w:rPr>
          <w:rStyle w:val="FootnoteReference"/>
          <w:sz w:val="24"/>
          <w:lang w:val="fi-FI"/>
        </w:rPr>
        <w:footnoteRef/>
      </w:r>
      <w:r w:rsidRPr="00254AB7" w:rsidR="00494090">
        <w:rPr>
          <w:sz w:val="24"/>
          <w:shd w:val="clear" w:color="auto" w:fill="FFFFFF"/>
          <w:lang w:val="fi-FI"/>
        </w:rPr>
        <w:t xml:space="preserve"> </w:t>
      </w:r>
      <w:r w:rsidRPr="00254AB7" w:rsidR="00494090">
        <w:rPr>
          <w:sz w:val="24"/>
          <w:shd w:val="clear" w:color="auto" w:fill="FFFFFF"/>
          <w:lang w:val="fi-FI"/>
        </w:rPr>
        <w:tab/>
      </w:r>
      <w:r w:rsidRPr="00254AB7">
        <w:rPr>
          <w:sz w:val="24"/>
          <w:shd w:val="clear" w:color="auto" w:fill="FFFFFF"/>
          <w:lang w:val="fi-FI"/>
        </w:rPr>
        <w:t>Euroopan parlamentin päätöslauselma 15. tammikuuta 2020 Euroopan vihreän kehityksen ohjelmasta (EUVL C 270, 7.7.2021, s. 2), 102 kohta.</w:t>
      </w:r>
    </w:p>
  </w:footnote>
  <w:footnote w:id="22">
    <w:p w:rsidR="002702D8" w:rsidRPr="00494090" w:rsidP="003171D1" w14:paraId="5139B2B0" w14:textId="29F85B9E">
      <w:pPr>
        <w:pStyle w:val="FootnoteText"/>
        <w:keepLines w:val="0"/>
        <w:ind w:left="567" w:hanging="567"/>
        <w:rPr>
          <w:sz w:val="24"/>
          <w:szCs w:val="24"/>
          <w:lang w:val="fi-FI"/>
        </w:rPr>
      </w:pPr>
      <w:r w:rsidRPr="00254AB7">
        <w:rPr>
          <w:rStyle w:val="FootnoteReference"/>
          <w:sz w:val="24"/>
          <w:lang w:val="fi-FI"/>
        </w:rPr>
        <w:footnoteRef/>
      </w:r>
      <w:r w:rsidRPr="00254AB7" w:rsidR="00494090">
        <w:rPr>
          <w:sz w:val="24"/>
          <w:shd w:val="clear" w:color="auto" w:fill="FFFFFF"/>
          <w:lang w:val="fi-FI"/>
        </w:rPr>
        <w:t xml:space="preserve"> </w:t>
      </w:r>
      <w:r w:rsidRPr="00254AB7" w:rsidR="00494090">
        <w:rPr>
          <w:sz w:val="24"/>
          <w:shd w:val="clear" w:color="auto" w:fill="FFFFFF"/>
          <w:lang w:val="fi-FI"/>
        </w:rPr>
        <w:tab/>
      </w:r>
      <w:r w:rsidRPr="00254AB7">
        <w:rPr>
          <w:sz w:val="24"/>
          <w:shd w:val="clear" w:color="auto" w:fill="FFFFFF"/>
          <w:lang w:val="fi-FI"/>
        </w:rPr>
        <w:t>EUVL C 445, 29.10.2021, s. 257.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76887387">
    <w:abstractNumId w:val="9"/>
  </w:num>
  <w:num w:numId="2" w16cid:durableId="635380874">
    <w:abstractNumId w:val="9"/>
  </w:num>
  <w:num w:numId="3" w16cid:durableId="2105497314">
    <w:abstractNumId w:val="7"/>
  </w:num>
  <w:num w:numId="4" w16cid:durableId="407116835">
    <w:abstractNumId w:val="7"/>
  </w:num>
  <w:num w:numId="5" w16cid:durableId="1227571000">
    <w:abstractNumId w:val="6"/>
  </w:num>
  <w:num w:numId="6" w16cid:durableId="1083795015">
    <w:abstractNumId w:val="6"/>
  </w:num>
  <w:num w:numId="7" w16cid:durableId="1343362472">
    <w:abstractNumId w:val="5"/>
  </w:num>
  <w:num w:numId="8" w16cid:durableId="1081216863">
    <w:abstractNumId w:val="5"/>
  </w:num>
  <w:num w:numId="9" w16cid:durableId="544604996">
    <w:abstractNumId w:val="4"/>
  </w:num>
  <w:num w:numId="10" w16cid:durableId="1431118250">
    <w:abstractNumId w:val="4"/>
  </w:num>
  <w:num w:numId="11" w16cid:durableId="39670959">
    <w:abstractNumId w:val="8"/>
  </w:num>
  <w:num w:numId="12" w16cid:durableId="1592930771">
    <w:abstractNumId w:val="8"/>
  </w:num>
  <w:num w:numId="13" w16cid:durableId="1717241541">
    <w:abstractNumId w:val="3"/>
  </w:num>
  <w:num w:numId="14" w16cid:durableId="2100828656">
    <w:abstractNumId w:val="3"/>
  </w:num>
  <w:num w:numId="15" w16cid:durableId="1152260727">
    <w:abstractNumId w:val="2"/>
  </w:num>
  <w:num w:numId="16" w16cid:durableId="1202396665">
    <w:abstractNumId w:val="2"/>
  </w:num>
  <w:num w:numId="17" w16cid:durableId="1946695997">
    <w:abstractNumId w:val="1"/>
  </w:num>
  <w:num w:numId="18" w16cid:durableId="1047753482">
    <w:abstractNumId w:val="1"/>
  </w:num>
  <w:num w:numId="19" w16cid:durableId="2015186785">
    <w:abstractNumId w:val="0"/>
  </w:num>
  <w:num w:numId="20" w16cid:durableId="143090611">
    <w:abstractNumId w:val="0"/>
  </w:num>
  <w:num w:numId="21" w16cid:durableId="23871093">
    <w:abstractNumId w:val="9"/>
  </w:num>
  <w:num w:numId="22" w16cid:durableId="1152604021">
    <w:abstractNumId w:val="7"/>
  </w:num>
  <w:num w:numId="23" w16cid:durableId="167253673">
    <w:abstractNumId w:val="6"/>
  </w:num>
  <w:num w:numId="24" w16cid:durableId="1163662265">
    <w:abstractNumId w:val="5"/>
  </w:num>
  <w:num w:numId="25" w16cid:durableId="1631672241">
    <w:abstractNumId w:val="4"/>
  </w:num>
  <w:num w:numId="26" w16cid:durableId="734206298">
    <w:abstractNumId w:val="8"/>
  </w:num>
  <w:num w:numId="27" w16cid:durableId="407503614">
    <w:abstractNumId w:val="3"/>
  </w:num>
  <w:num w:numId="28" w16cid:durableId="502823065">
    <w:abstractNumId w:val="2"/>
  </w:num>
  <w:num w:numId="29" w16cid:durableId="1471630291">
    <w:abstractNumId w:val="1"/>
  </w:num>
  <w:num w:numId="30" w16cid:durableId="1702970963">
    <w:abstractNumId w:val="0"/>
  </w:num>
  <w:num w:numId="31" w16cid:durableId="98528617">
    <w:abstractNumId w:val="9"/>
  </w:num>
  <w:num w:numId="32" w16cid:durableId="1389842168">
    <w:abstractNumId w:val="7"/>
  </w:num>
  <w:num w:numId="33" w16cid:durableId="567350388">
    <w:abstractNumId w:val="6"/>
  </w:num>
  <w:num w:numId="34" w16cid:durableId="1237401176">
    <w:abstractNumId w:val="5"/>
  </w:num>
  <w:num w:numId="35" w16cid:durableId="1436755410">
    <w:abstractNumId w:val="4"/>
  </w:num>
  <w:num w:numId="36" w16cid:durableId="327946513">
    <w:abstractNumId w:val="8"/>
  </w:num>
  <w:num w:numId="37" w16cid:durableId="1836262298">
    <w:abstractNumId w:val="3"/>
  </w:num>
  <w:num w:numId="38" w16cid:durableId="787964977">
    <w:abstractNumId w:val="2"/>
  </w:num>
  <w:num w:numId="39" w16cid:durableId="1399478772">
    <w:abstractNumId w:val="1"/>
  </w:num>
  <w:num w:numId="40" w16cid:durableId="1759792202">
    <w:abstractNumId w:val="0"/>
  </w:num>
  <w:num w:numId="41" w16cid:durableId="451751250">
    <w:abstractNumId w:val="10"/>
  </w:num>
  <w:num w:numId="42" w16cid:durableId="712538212">
    <w:abstractNumId w:val="10"/>
  </w:num>
  <w:num w:numId="43" w16cid:durableId="1136871115">
    <w:abstractNumId w:val="10"/>
  </w:num>
  <w:num w:numId="44" w16cid:durableId="1349061081">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78"/>
    <w:rsid w:val="00002272"/>
    <w:rsid w:val="00064002"/>
    <w:rsid w:val="000677B9"/>
    <w:rsid w:val="00080FA4"/>
    <w:rsid w:val="000831BA"/>
    <w:rsid w:val="000A42CC"/>
    <w:rsid w:val="000C40D9"/>
    <w:rsid w:val="000E7DD9"/>
    <w:rsid w:val="0010095E"/>
    <w:rsid w:val="00125B37"/>
    <w:rsid w:val="00187494"/>
    <w:rsid w:val="001A48A4"/>
    <w:rsid w:val="001F32AE"/>
    <w:rsid w:val="002219D9"/>
    <w:rsid w:val="00254AB7"/>
    <w:rsid w:val="002702D8"/>
    <w:rsid w:val="002767FF"/>
    <w:rsid w:val="002B18FE"/>
    <w:rsid w:val="002B5493"/>
    <w:rsid w:val="003171D1"/>
    <w:rsid w:val="00343214"/>
    <w:rsid w:val="00361C00"/>
    <w:rsid w:val="0038502D"/>
    <w:rsid w:val="00395FA1"/>
    <w:rsid w:val="003E15D4"/>
    <w:rsid w:val="00411CCE"/>
    <w:rsid w:val="0041666E"/>
    <w:rsid w:val="00421060"/>
    <w:rsid w:val="00471C19"/>
    <w:rsid w:val="004867E3"/>
    <w:rsid w:val="00494090"/>
    <w:rsid w:val="00494A28"/>
    <w:rsid w:val="004B2A04"/>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479FA"/>
    <w:rsid w:val="00751A4A"/>
    <w:rsid w:val="00756632"/>
    <w:rsid w:val="00762C74"/>
    <w:rsid w:val="00786EC0"/>
    <w:rsid w:val="007D1690"/>
    <w:rsid w:val="007E22AD"/>
    <w:rsid w:val="00817416"/>
    <w:rsid w:val="00842779"/>
    <w:rsid w:val="00865F67"/>
    <w:rsid w:val="00871E78"/>
    <w:rsid w:val="00881A7B"/>
    <w:rsid w:val="008840E5"/>
    <w:rsid w:val="00887B3E"/>
    <w:rsid w:val="008C2AC6"/>
    <w:rsid w:val="00930C23"/>
    <w:rsid w:val="0093193B"/>
    <w:rsid w:val="009509D8"/>
    <w:rsid w:val="00950B64"/>
    <w:rsid w:val="00981893"/>
    <w:rsid w:val="00983B8A"/>
    <w:rsid w:val="0098746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48F"/>
    <w:rsid w:val="00D56C11"/>
    <w:rsid w:val="00D834A0"/>
    <w:rsid w:val="00D872DF"/>
    <w:rsid w:val="00D91E21"/>
    <w:rsid w:val="00DA7FCD"/>
    <w:rsid w:val="00E365E1"/>
    <w:rsid w:val="00E47F3D"/>
    <w:rsid w:val="00E820A4"/>
    <w:rsid w:val="00E9200B"/>
    <w:rsid w:val="00EB006A"/>
    <w:rsid w:val="00EB4772"/>
    <w:rsid w:val="00EB6911"/>
    <w:rsid w:val="00ED169E"/>
    <w:rsid w:val="00ED4235"/>
    <w:rsid w:val="00F04346"/>
    <w:rsid w:val="00F075DC"/>
    <w:rsid w:val="00F149E9"/>
    <w:rsid w:val="00F5134D"/>
    <w:rsid w:val="00F72D46"/>
    <w:rsid w:val="00F74202"/>
    <w:rsid w:val="00F87713"/>
    <w:rsid w:val="00FB4360"/>
    <w:rsid w:val="00FD0C70"/>
  </w:rsids>
  <w:docVars>
    <w:docVar w:name="dvdocse" w:val="B10-0336/2026"/>
    <w:docVar w:name="dvlangue" w:val="FI"/>
    <w:docVar w:name="dvnumam" w:val="0"/>
    <w:docVar w:name="dvpe" w:val="789.025"/>
    <w:docVar w:name="dvtitre" w:val="Euroopan parlamentin päätöslauselma 8. heinäkuuta 2026 ehdotuksesta komission täytäntöönpanopäätökseksi luvan antamisesta muuntogeenistä maissia DP202216 x NK603 x DAS-40278-9 ja sen alayhdistelmiä DP202216 x NK603, DP202216 x DAS-40278-9 sisältävien, niistä koostuvien tai niistä valmistettujen tuotteiden saattamiseksi markkinoille Euroopan parlamentin ja neuvoston asetuksen (EY) N:o 1829/2003 mukaisesti(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5AD8801"/>
  <w15:chartTrackingRefBased/>
  <w15:docId w15:val="{10F80B32-D8F4-4A0B-8509-BEFA4227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2702D8"/>
    <w:pPr>
      <w:spacing w:after="240"/>
      <w:ind w:left="567" w:hanging="567"/>
    </w:pPr>
  </w:style>
  <w:style w:type="character" w:styleId="Hyperlink">
    <w:name w:val="Hyperlink"/>
    <w:basedOn w:val="DefaultParagraphFont"/>
    <w:uiPriority w:val="99"/>
    <w:rsid w:val="002702D8"/>
    <w:rPr>
      <w:color w:val="0563C1" w:themeColor="hyperlink"/>
      <w:u w:val="single"/>
    </w:rPr>
  </w:style>
  <w:style w:type="paragraph" w:customStyle="1" w:styleId="Considrant">
    <w:name w:val="Considérant"/>
    <w:basedOn w:val="Normal"/>
    <w:uiPriority w:val="99"/>
    <w:semiHidden/>
    <w:rsid w:val="002702D8"/>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2702D8"/>
    <w:rPr>
      <w:rFonts w:ascii="Times New Roman" w:hAnsi="Times New Roman" w:cs="Times New Roman" w:hint="default"/>
      <w:vertAlign w:val="superscript"/>
    </w:rPr>
  </w:style>
  <w:style w:type="paragraph" w:styleId="Footer">
    <w:name w:val="footer"/>
    <w:basedOn w:val="Normal"/>
    <w:link w:val="FooterChar"/>
    <w:rsid w:val="003171D1"/>
    <w:pPr>
      <w:tabs>
        <w:tab w:val="center" w:pos="4513"/>
        <w:tab w:val="right" w:pos="9026"/>
      </w:tabs>
    </w:pPr>
  </w:style>
  <w:style w:type="character" w:customStyle="1" w:styleId="FooterChar">
    <w:name w:val="Footer Char"/>
    <w:basedOn w:val="DefaultParagraphFont"/>
    <w:link w:val="Footer"/>
    <w:rsid w:val="003171D1"/>
    <w:rPr>
      <w:sz w:val="24"/>
      <w:lang w:val="fi-FI"/>
    </w:rPr>
  </w:style>
  <w:style w:type="paragraph" w:styleId="Revision">
    <w:name w:val="Revision"/>
    <w:hidden/>
    <w:uiPriority w:val="99"/>
    <w:semiHidden/>
    <w:rsid w:val="003171D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fi/ip_22_7834" TargetMode="External" /><Relationship Id="rId37" Type="http://schemas.openxmlformats.org/officeDocument/2006/relationships/hyperlink" Target="https://commission.europa.eu/topics/agriculture-and-rural-development/strategic-dialogue-future-eu-agriculture_fi"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1774</Words>
  <Characters>14771</Characters>
  <Application>Microsoft Office Word</Application>
  <DocSecurity>0</DocSecurity>
  <Lines>223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2026-07-08T13:48:00Z</dcterms:created>
  <dcterms:modified xsi:type="dcterms:W3CDTF">2026-07-08T13:48:00Z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B10-0336/2026</vt:lpwstr>
  </property>
  <property fmtid="{D5CDD505-2E9C-101B-9397-08002B2CF9AE}" pid="4" name="&lt;Type&gt;">
    <vt:lpwstr>RR</vt:lpwstr>
  </property>
</Properties>
</file>