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4049C6" w14:textId="77777777" w:rsidTr="0010095E">
        <w:tblPrEx>
          <w:tblW w:w="9072" w:type="dxa"/>
          <w:tblLook w:val="01E0"/>
        </w:tblPrEx>
        <w:trPr>
          <w:trHeight w:hRule="exact" w:val="1418"/>
        </w:trPr>
        <w:tc>
          <w:tcPr>
            <w:tcW w:w="6804" w:type="dxa"/>
            <w:shd w:val="clear" w:color="auto" w:fill="auto"/>
            <w:vAlign w:val="center"/>
          </w:tcPr>
          <w:p w:rsidR="00751A4A" w:rsidRPr="008F7A9F" w:rsidP="0010095E" w14:paraId="4BA92DCD" w14:textId="77777777">
            <w:pPr>
              <w:pStyle w:val="EPName"/>
            </w:pPr>
            <w:r w:rsidRPr="008F7A9F">
              <w:t>Europski parlament</w:t>
            </w:r>
          </w:p>
          <w:p w:rsidR="00751A4A" w:rsidRPr="008F7A9F" w:rsidP="005F1B17" w14:paraId="344EE0F9" w14:textId="77777777">
            <w:pPr>
              <w:pStyle w:val="EPTerm"/>
              <w:rPr>
                <w:rStyle w:val="HideTWBExt"/>
                <w:noProof w:val="0"/>
                <w:vanish w:val="0"/>
                <w:color w:val="auto"/>
              </w:rPr>
            </w:pPr>
            <w:r w:rsidRPr="008F7A9F">
              <w:t>2024</w:t>
            </w:r>
            <w:r w:rsidRPr="008F7A9F" w:rsidR="00817416">
              <w:t>-202</w:t>
            </w:r>
            <w:r w:rsidRPr="008F7A9F">
              <w:t>9</w:t>
            </w:r>
          </w:p>
        </w:tc>
        <w:tc>
          <w:tcPr>
            <w:tcW w:w="2268" w:type="dxa"/>
            <w:shd w:val="clear" w:color="auto" w:fill="auto"/>
          </w:tcPr>
          <w:p w:rsidR="00751A4A" w:rsidRPr="008F7A9F" w:rsidP="0010095E" w14:paraId="51197F95" w14:textId="77777777">
            <w:pPr>
              <w:pStyle w:val="EPLogo"/>
            </w:pPr>
            <w:r w:rsidRPr="008F7A9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F7A9F" w:rsidP="004C5D52" w14:paraId="6F5B182E" w14:textId="77777777">
      <w:pPr>
        <w:pStyle w:val="LineTop"/>
      </w:pPr>
    </w:p>
    <w:p w:rsidR="00680577" w:rsidRPr="008F7A9F" w:rsidP="00680577" w14:paraId="14BB8218" w14:textId="77777777">
      <w:pPr>
        <w:pStyle w:val="EPBodyTA1"/>
      </w:pPr>
      <w:r w:rsidRPr="008F7A9F">
        <w:t>USVOJENI TEKSTOVI</w:t>
      </w:r>
    </w:p>
    <w:p w:rsidR="00D058B8" w:rsidRPr="008F7A9F" w:rsidP="00D058B8" w14:paraId="787A7D0D" w14:textId="77777777">
      <w:pPr>
        <w:pStyle w:val="LineBottom"/>
      </w:pPr>
    </w:p>
    <w:p w:rsidR="00BF306B" w:rsidRPr="008F7A9F" w:rsidP="00BF306B" w14:paraId="0E1C4D9E" w14:textId="1C4040C3">
      <w:pPr>
        <w:pStyle w:val="ATHeading1"/>
      </w:pPr>
      <w:bookmarkStart w:id="0" w:name="TANumber"/>
      <w:r w:rsidRPr="008F7A9F">
        <w:t>P10_TA(2026)0</w:t>
      </w:r>
      <w:bookmarkEnd w:id="0"/>
      <w:r w:rsidR="00A200B7">
        <w:t>265</w:t>
      </w:r>
    </w:p>
    <w:p w:rsidR="00BF306B" w:rsidRPr="008F7A9F" w:rsidP="00BF306B" w14:paraId="6EDA5D78" w14:textId="17C3A2CE">
      <w:pPr>
        <w:pStyle w:val="ATHeading2"/>
      </w:pPr>
      <w:bookmarkStart w:id="1" w:name="title"/>
      <w:r>
        <w:t>G</w:t>
      </w:r>
      <w:r w:rsidRPr="008F7A9F">
        <w:t xml:space="preserve">enetski modificirani kukuruz DP202216 x NK603 x DAS-40278-9 i njegove </w:t>
      </w:r>
      <w:r w:rsidRPr="008F7A9F">
        <w:t>potkombinacije</w:t>
      </w:r>
      <w:r w:rsidRPr="008F7A9F">
        <w:t xml:space="preserve"> DP202216 x NK603, DP202216 x DAS-40278-9</w:t>
      </w:r>
      <w:bookmarkEnd w:id="1"/>
    </w:p>
    <w:p w:rsidR="00BF306B" w:rsidRPr="008F7A9F" w:rsidP="00BF306B" w14:paraId="4A40B1D7" w14:textId="77777777">
      <w:pPr>
        <w:rPr>
          <w:i/>
          <w:vanish/>
        </w:rPr>
      </w:pPr>
      <w:r>
        <w:rPr>
          <w:i/>
        </w:rPr>
        <w:fldChar w:fldCharType="begin"/>
      </w:r>
      <w:r w:rsidRPr="008F7A9F">
        <w:rPr>
          <w:i/>
        </w:rPr>
        <w:instrText xml:space="preserve"> TC"(</w:instrText>
      </w:r>
      <w:bookmarkStart w:id="2" w:name="DocNumber"/>
      <w:r w:rsidRPr="008F7A9F">
        <w:rPr>
          <w:i/>
        </w:rPr>
        <w:instrText>B10-0336/2026</w:instrText>
      </w:r>
      <w:bookmarkEnd w:id="2"/>
      <w:r w:rsidRPr="008F7A9F">
        <w:rPr>
          <w:i/>
        </w:rPr>
        <w:instrText xml:space="preserve">)"\l3 \n&gt; \* MERGEFORMAT </w:instrText>
      </w:r>
      <w:r>
        <w:rPr>
          <w:i/>
        </w:rPr>
        <w:fldChar w:fldCharType="end"/>
      </w:r>
    </w:p>
    <w:p w:rsidR="00BF306B" w:rsidRPr="008F7A9F" w:rsidP="00BF306B" w14:paraId="2EF358A7" w14:textId="77777777">
      <w:pPr>
        <w:rPr>
          <w:vanish/>
        </w:rPr>
      </w:pPr>
      <w:bookmarkStart w:id="3" w:name="PE"/>
      <w:r w:rsidRPr="008F7A9F">
        <w:rPr>
          <w:vanish/>
        </w:rPr>
        <w:t>PE789.025</w:t>
      </w:r>
      <w:bookmarkEnd w:id="3"/>
    </w:p>
    <w:p w:rsidR="00BF306B" w:rsidRPr="008F7A9F" w:rsidP="00BF306B" w14:paraId="489CC673" w14:textId="5E7A1AC4">
      <w:pPr>
        <w:pStyle w:val="ATHeading3"/>
      </w:pPr>
      <w:bookmarkStart w:id="4" w:name="Sujet"/>
      <w:r w:rsidRPr="008F7A9F">
        <w:t xml:space="preserve">Rezolucija Europskog parlamenta od </w:t>
      </w:r>
      <w:r w:rsidR="00AB4C91">
        <w:t>8. srpnja</w:t>
      </w:r>
      <w:r w:rsidRPr="008F7A9F">
        <w:t xml:space="preserve"> 2026. o </w:t>
      </w:r>
      <w:r w:rsidR="00AB4C91">
        <w:t>P</w:t>
      </w:r>
      <w:r w:rsidRPr="008F7A9F">
        <w:t>rovedben</w:t>
      </w:r>
      <w:r w:rsidR="00AB4C91">
        <w:t>oj</w:t>
      </w:r>
      <w:r w:rsidRPr="008F7A9F">
        <w:t xml:space="preserve"> odlu</w:t>
      </w:r>
      <w:r w:rsidR="00AB4C91">
        <w:t>ci</w:t>
      </w:r>
      <w:r w:rsidRPr="008F7A9F">
        <w:t xml:space="preserve"> Komisije </w:t>
      </w:r>
      <w:r w:rsidRPr="00AB4C91" w:rsidR="00AB4C91">
        <w:t>(EU) 2026/1443 o</w:t>
      </w:r>
      <w:r w:rsidR="00FC1086">
        <w:t>d</w:t>
      </w:r>
      <w:r w:rsidRPr="00AB4C91" w:rsidR="00AB4C91">
        <w:t xml:space="preserve"> 29. </w:t>
      </w:r>
      <w:r w:rsidR="00AB4C91">
        <w:t>lipnja</w:t>
      </w:r>
      <w:r w:rsidRPr="00AB4C91" w:rsidR="00AB4C91">
        <w:t xml:space="preserve"> 2026</w:t>
      </w:r>
      <w:r w:rsidR="00AB4C91">
        <w:t>.</w:t>
      </w:r>
      <w:r w:rsidRPr="00AB4C91" w:rsidR="00AB4C91">
        <w:t xml:space="preserve"> </w:t>
      </w:r>
      <w:r w:rsidRPr="008F7A9F">
        <w:t xml:space="preserve">o odobravanju stavljanja na tržište proizvoda koji sadržavaju genetski modificirani kukuruz DP202216 x NK603 x DAS-40278-9 i njegove </w:t>
      </w:r>
      <w:r w:rsidRPr="008F7A9F">
        <w:t>potkombinacije</w:t>
      </w:r>
      <w:r w:rsidRPr="008F7A9F">
        <w:t xml:space="preserve"> DP202216 x NK603, DP202216 x DAS-40278-9, sastoje se ili su proizvedeni od njih, na temelju Uredbe (EZ) br. 1829/2003 Europskog parlamenta i Vijeća</w:t>
      </w:r>
      <w:bookmarkEnd w:id="4"/>
      <w:r w:rsidRPr="008F7A9F">
        <w:t xml:space="preserve"> </w:t>
      </w:r>
      <w:bookmarkStart w:id="5" w:name="References"/>
      <w:r w:rsidRPr="008F7A9F">
        <w:t>(2026/2746(RSP))</w:t>
      </w:r>
      <w:bookmarkEnd w:id="5"/>
    </w:p>
    <w:p w:rsidR="00005F7A" w:rsidRPr="008F7A9F" w:rsidP="00005F7A" w14:paraId="177ACFDA" w14:textId="77777777">
      <w:pPr>
        <w:pStyle w:val="NormalHanging12a"/>
        <w:tabs>
          <w:tab w:val="center" w:pos="4535"/>
        </w:tabs>
        <w:spacing w:before="240"/>
      </w:pPr>
      <w:bookmarkStart w:id="6" w:name="TextBodyBegin"/>
      <w:bookmarkEnd w:id="6"/>
      <w:r w:rsidRPr="008F7A9F">
        <w:rPr>
          <w:i/>
        </w:rPr>
        <w:t>Europski parlament</w:t>
      </w:r>
      <w:r w:rsidRPr="008F7A9F">
        <w:t>,</w:t>
      </w:r>
    </w:p>
    <w:p w:rsidR="00005F7A" w:rsidRPr="008F7A9F" w:rsidP="00005F7A" w14:paraId="5D84A78C" w14:textId="404FF03C">
      <w:pPr>
        <w:pStyle w:val="NormalHanging12a"/>
      </w:pPr>
      <w:r w:rsidRPr="008F7A9F">
        <w:t>–</w:t>
      </w:r>
      <w:r w:rsidRPr="008F7A9F">
        <w:tab/>
        <w:t xml:space="preserve">uzimajući u obzir </w:t>
      </w:r>
      <w:r w:rsidR="00FC1086">
        <w:t>P</w:t>
      </w:r>
      <w:r w:rsidRPr="008F7A9F">
        <w:t>rovedben</w:t>
      </w:r>
      <w:r w:rsidR="00FC1086">
        <w:t>u</w:t>
      </w:r>
      <w:r w:rsidRPr="008F7A9F">
        <w:t xml:space="preserve"> odluk</w:t>
      </w:r>
      <w:r w:rsidR="00FC1086">
        <w:t>u</w:t>
      </w:r>
      <w:r w:rsidRPr="008F7A9F">
        <w:t xml:space="preserve"> Komisije </w:t>
      </w:r>
      <w:r w:rsidRPr="00FC1086" w:rsidR="00FC1086">
        <w:t xml:space="preserve">(EU) 2026/1443 od 29. lipnja 2026. </w:t>
      </w:r>
      <w:r w:rsidRPr="008F7A9F">
        <w:t>o odobravanju stavljanja na tržište proizvoda koji sadržavaju genetski modificirani kukuruz DP202216 x NK603 x DAS</w:t>
      </w:r>
      <w:r w:rsidRPr="008F7A9F">
        <w:noBreakHyphen/>
        <w:t xml:space="preserve">40278-9 i njegove </w:t>
      </w:r>
      <w:r w:rsidRPr="008F7A9F">
        <w:t>potkombinacije</w:t>
      </w:r>
      <w:r w:rsidRPr="008F7A9F">
        <w:t xml:space="preserve"> DP202216 x NK603, DP202216 x DAS</w:t>
      </w:r>
      <w:r w:rsidRPr="008F7A9F">
        <w:noBreakHyphen/>
        <w:t>40278-9, sastoje se ili su proizvedeni od njih, na temelju Uredbe (EZ) br. 1829/2003 Europskog parlamenta i Vijeća</w:t>
      </w:r>
      <w:r>
        <w:rPr>
          <w:rStyle w:val="FootnoteReference"/>
        </w:rPr>
        <w:footnoteReference w:id="2"/>
      </w:r>
      <w:r w:rsidRPr="008F7A9F">
        <w:t>,</w:t>
      </w:r>
    </w:p>
    <w:p w:rsidR="00005F7A" w:rsidRPr="008F7A9F" w:rsidP="00005F7A" w14:paraId="451C9F65" w14:textId="77777777">
      <w:pPr>
        <w:pStyle w:val="NormalHanging12a"/>
      </w:pPr>
      <w:r w:rsidRPr="008F7A9F">
        <w:t>–</w:t>
      </w:r>
      <w:r w:rsidRPr="008F7A9F">
        <w:tab/>
        <w:t>uzimajući u obzir Uredbu (EZ) br. 1829/2003 Europskog parlamenta i Vijeća od 22. rujna 2003. o genetski modificiranoj hrani i hrani za životinje</w:t>
      </w:r>
      <w:r>
        <w:rPr>
          <w:rStyle w:val="FootnoteReference"/>
        </w:rPr>
        <w:footnoteReference w:id="3"/>
      </w:r>
      <w:r w:rsidRPr="008F7A9F">
        <w:t>, a posebno njezin članak 7. stavak 3. i članak 19. stavak 3.,</w:t>
      </w:r>
    </w:p>
    <w:p w:rsidR="00005F7A" w:rsidRPr="008F7A9F" w:rsidP="00005F7A" w14:paraId="761BB0FE" w14:textId="77777777">
      <w:pPr>
        <w:pStyle w:val="NormalHanging12a"/>
      </w:pPr>
      <w:r w:rsidRPr="008F7A9F">
        <w:t>–</w:t>
      </w:r>
      <w:r w:rsidRPr="008F7A9F">
        <w:tab/>
        <w:t>uzimajući u obzir glasovanje Stalnog odbora za bilje, životinje, hranu i hranu za životinje iz članka 35. Uredbe (EZ) br. 1829/2003, koje je održano 27. travnja 2026. i na kojem nije doneseno mišljenje te glasovanje žalbenog odbora od 2. lipnja 2026. na kojem, isto tako, nije doneseno mišljenje,</w:t>
      </w:r>
    </w:p>
    <w:p w:rsidR="00005F7A" w:rsidRPr="008F7A9F" w:rsidP="00005F7A" w14:paraId="1F61EF2B" w14:textId="77777777">
      <w:pPr>
        <w:pStyle w:val="NormalHanging12a"/>
      </w:pPr>
      <w:r w:rsidRPr="008F7A9F">
        <w:t>–</w:t>
      </w:r>
      <w:r w:rsidRPr="008F7A9F">
        <w:tab/>
        <w:t>uzimajući u obzir članak 11. Uredbe (EU) br. 182/2011 Europskog parlamenta i Vijeća od 16. veljače 2011. o utvrđivanju pravila i općih načela u vezi s mehanizmima nadzora država članica nad izvršavanjem provedbenih ovlasti Komisije</w:t>
      </w:r>
      <w:r>
        <w:rPr>
          <w:rStyle w:val="FootnoteReference"/>
        </w:rPr>
        <w:footnoteReference w:id="4"/>
      </w:r>
      <w:r w:rsidRPr="008F7A9F">
        <w:t>,</w:t>
      </w:r>
    </w:p>
    <w:p w:rsidR="00005F7A" w:rsidRPr="008F7A9F" w:rsidP="00005F7A" w14:paraId="0B2117DF" w14:textId="77777777">
      <w:pPr>
        <w:pStyle w:val="NormalHanging12a"/>
      </w:pPr>
      <w:r w:rsidRPr="008F7A9F">
        <w:t>–</w:t>
      </w:r>
      <w:r w:rsidRPr="008F7A9F">
        <w:tab/>
        <w:t xml:space="preserve">uzimajući u obzir mišljenje Europske agencije za sigurnost hrane (EFSA) usvojeno </w:t>
      </w:r>
      <w:r w:rsidRPr="008F7A9F">
        <w:t>30. listopada 2025. i objavljeno 5. prosinca 2025.</w:t>
      </w:r>
      <w:r>
        <w:rPr>
          <w:rStyle w:val="FootnoteReference"/>
        </w:rPr>
        <w:footnoteReference w:id="5"/>
      </w:r>
      <w:r w:rsidRPr="008F7A9F">
        <w:t>,</w:t>
      </w:r>
    </w:p>
    <w:p w:rsidR="00005F7A" w:rsidRPr="008F7A9F" w:rsidP="00005F7A" w14:paraId="0F9D71EC" w14:textId="77777777">
      <w:pPr>
        <w:pStyle w:val="NormalHanging12a"/>
      </w:pPr>
      <w:r w:rsidRPr="008F7A9F">
        <w:t>–</w:t>
      </w:r>
      <w:r w:rsidRPr="008F7A9F">
        <w:tab/>
        <w:t>uzimajući u obzir svoje prethodne rezolucije u kojima se protivi odobrenju genetski modificiranih organizama („GMO”)</w:t>
      </w:r>
      <w:r>
        <w:rPr>
          <w:rStyle w:val="FootnoteReference"/>
        </w:rPr>
        <w:footnoteReference w:id="6"/>
      </w:r>
      <w:r w:rsidRPr="008F7A9F">
        <w:t>,</w:t>
      </w:r>
    </w:p>
    <w:p w:rsidR="00005F7A" w:rsidRPr="008F7A9F" w:rsidP="00005F7A" w14:paraId="26282F25" w14:textId="77777777">
      <w:pPr>
        <w:pStyle w:val="NormalHanging12a"/>
      </w:pPr>
      <w:r w:rsidRPr="008F7A9F">
        <w:t>–</w:t>
      </w:r>
      <w:r w:rsidRPr="008F7A9F">
        <w:tab/>
        <w:t>uzimajući u obzir članak 115. stavke 2. i 3. Poslovnika,</w:t>
      </w:r>
    </w:p>
    <w:p w:rsidR="00005F7A" w:rsidRPr="008F7A9F" w:rsidP="00005F7A" w14:paraId="6EA5720F" w14:textId="77777777">
      <w:pPr>
        <w:pStyle w:val="NormalHanging12a"/>
      </w:pPr>
      <w:r w:rsidRPr="008F7A9F">
        <w:t>–</w:t>
      </w:r>
      <w:r w:rsidRPr="008F7A9F">
        <w:tab/>
        <w:t>uzimajući u obzir Prijedlog rezolucije Odbora za okoliš, klimu i sigurnost hrane,</w:t>
      </w:r>
    </w:p>
    <w:p w:rsidR="00005F7A" w:rsidRPr="008F7A9F" w:rsidP="00FC1086" w14:paraId="5C159E90" w14:textId="77777777">
      <w:pPr>
        <w:pStyle w:val="Considrant"/>
        <w:numPr>
          <w:ilvl w:val="0"/>
          <w:numId w:val="0"/>
        </w:numPr>
        <w:spacing w:after="240"/>
        <w:ind w:left="567" w:hanging="567"/>
        <w:jc w:val="left"/>
        <w:rPr>
          <w:szCs w:val="24"/>
        </w:rPr>
      </w:pPr>
      <w:r w:rsidRPr="008F7A9F">
        <w:t>A.</w:t>
      </w:r>
      <w:r w:rsidRPr="008F7A9F">
        <w:tab/>
        <w:t xml:space="preserve">budući da je u skladu s člancima 5. i 17. Uredbe (EZ) br. 1829/2003 društvo </w:t>
      </w:r>
      <w:r w:rsidRPr="008F7A9F">
        <w:rPr>
          <w:snapToGrid w:val="0"/>
        </w:rPr>
        <w:t>Corteva</w:t>
      </w:r>
      <w:r w:rsidRPr="008F7A9F">
        <w:rPr>
          <w:snapToGrid w:val="0"/>
        </w:rPr>
        <w:t xml:space="preserve"> </w:t>
      </w:r>
      <w:r w:rsidRPr="008F7A9F">
        <w:rPr>
          <w:snapToGrid w:val="0"/>
        </w:rPr>
        <w:t>Agriscience</w:t>
      </w:r>
      <w:r w:rsidRPr="008F7A9F">
        <w:rPr>
          <w:snapToGrid w:val="0"/>
        </w:rPr>
        <w:t xml:space="preserve"> </w:t>
      </w:r>
      <w:r w:rsidRPr="008F7A9F">
        <w:rPr>
          <w:snapToGrid w:val="0"/>
        </w:rPr>
        <w:t>Belgium</w:t>
      </w:r>
      <w:r w:rsidRPr="008F7A9F">
        <w:rPr>
          <w:snapToGrid w:val="0"/>
        </w:rPr>
        <w:t xml:space="preserve"> B.V. sa sjedištem u Belgiji, u ime društva </w:t>
      </w:r>
      <w:r w:rsidRPr="008F7A9F">
        <w:rPr>
          <w:snapToGrid w:val="0"/>
        </w:rPr>
        <w:t>Corteva</w:t>
      </w:r>
      <w:r w:rsidRPr="008F7A9F">
        <w:rPr>
          <w:snapToGrid w:val="0"/>
        </w:rPr>
        <w:t xml:space="preserve"> </w:t>
      </w:r>
      <w:r w:rsidRPr="008F7A9F">
        <w:rPr>
          <w:snapToGrid w:val="0"/>
        </w:rPr>
        <w:t>Agriscience</w:t>
      </w:r>
      <w:r w:rsidRPr="008F7A9F">
        <w:rPr>
          <w:snapToGrid w:val="0"/>
        </w:rPr>
        <w:t xml:space="preserve"> LLC sa sjedištem u Sjedinjenim Američkim Državama,</w:t>
      </w:r>
      <w:r w:rsidRPr="008F7A9F">
        <w:t xml:space="preserve"> 10. ožujka 2023. podnijelo zahtjev za stavljanje na tržište hrane, sastojaka hrane i hrane za životinje koji sadržavaju genetski modificirani kukuruz DP202216 × NK603 × DAS-40279-9, od njega se sastoje ili su od njega proizvedeni; budući da je taj zahtjev također obuhvaćao stavljanje na tržište proizvoda koji sadrže genetski modificiran kukuruz ili se sastoje od njega za druge namjene osim uporabe u hrani i hrani za životinje, no ne i za uzgoj;</w:t>
      </w:r>
    </w:p>
    <w:p w:rsidR="00005F7A" w:rsidRPr="008F7A9F" w:rsidP="00FC1086" w14:paraId="4470D08E" w14:textId="77777777">
      <w:pPr>
        <w:widowControl/>
        <w:shd w:val="clear" w:color="auto" w:fill="FFFFFF"/>
        <w:spacing w:after="240"/>
        <w:ind w:left="567" w:hanging="567"/>
        <w:rPr>
          <w:szCs w:val="24"/>
        </w:rPr>
      </w:pPr>
      <w:r w:rsidRPr="008F7A9F">
        <w:t>B.</w:t>
      </w:r>
      <w:r w:rsidRPr="008F7A9F">
        <w:tab/>
        <w:t xml:space="preserve">budući da je EFSA 30. listopada 2025. donijela pozitivno znanstveno mišljenje o odobrenju za genetski modificirani kukuruz, koje je objavljeno </w:t>
      </w:r>
      <w:r w:rsidRPr="008F7A9F">
        <w:rPr>
          <w:shd w:val="clear" w:color="auto" w:fill="FFFFFF"/>
        </w:rPr>
        <w:t>5. prosinca 2025.</w:t>
      </w:r>
      <w:r w:rsidRPr="008F7A9F">
        <w:t>;</w:t>
      </w:r>
    </w:p>
    <w:p w:rsidR="00005F7A" w:rsidRPr="008F7A9F" w:rsidP="00FC1086" w14:paraId="36FDB40C" w14:textId="77777777">
      <w:pPr>
        <w:widowControl/>
        <w:autoSpaceDE w:val="0"/>
        <w:autoSpaceDN w:val="0"/>
        <w:adjustRightInd w:val="0"/>
        <w:spacing w:after="240"/>
        <w:ind w:left="567" w:hanging="567"/>
        <w:rPr>
          <w:rFonts w:eastAsiaTheme="minorHAnsi"/>
          <w:szCs w:val="24"/>
        </w:rPr>
      </w:pPr>
      <w:r w:rsidRPr="008F7A9F">
        <w:t>C.</w:t>
      </w:r>
      <w:r w:rsidRPr="008F7A9F">
        <w:tab/>
        <w:t xml:space="preserve">budući da je EFSA je zaključila da su genetski modificirani kukuruz i njegove </w:t>
      </w:r>
      <w:r w:rsidRPr="008F7A9F">
        <w:t>potkombinacije</w:t>
      </w:r>
      <w:r w:rsidRPr="008F7A9F">
        <w:t xml:space="preserve">, kako je opisano u zahtjevu, jednako sigurni s obzirom na moguće učinke na zdravlje ljudi i životinja i na okoliš kao i njihov konvencionalni ekvivalent i testirane referentne sorte kukuruza koje nisu genetski modificirane; budući da je EFSA također zaključila da konzumacija hrane i hrane za životinje dobivene od genetski modificiranog kukuruza i njegovih </w:t>
      </w:r>
      <w:r w:rsidRPr="008F7A9F">
        <w:t>potkombinacija</w:t>
      </w:r>
      <w:r w:rsidRPr="008F7A9F">
        <w:t xml:space="preserve"> ne izaziva nikakvu zabrinutost s nutritivnog stajališta pri upotrebi kod ljudi i životinja; budući da se u tom mišljenju nije razmotrilo nekoliko širih ekoloških, socioekonomskih i kumulativnih učinaka, za koje EFSA smatra da nisu u njezinu djelokrugu;</w:t>
      </w:r>
    </w:p>
    <w:p w:rsidR="00005F7A" w:rsidRPr="008F7A9F" w:rsidP="00FC1086" w14:paraId="3DF10FBE" w14:textId="77777777">
      <w:pPr>
        <w:widowControl/>
        <w:autoSpaceDE w:val="0"/>
        <w:autoSpaceDN w:val="0"/>
        <w:adjustRightInd w:val="0"/>
        <w:spacing w:after="240"/>
        <w:ind w:left="567" w:hanging="567"/>
        <w:rPr>
          <w:rFonts w:eastAsiaTheme="minorHAnsi"/>
          <w:szCs w:val="24"/>
        </w:rPr>
      </w:pPr>
      <w:r w:rsidRPr="008F7A9F">
        <w:t>D.</w:t>
      </w:r>
      <w:r w:rsidRPr="008F7A9F">
        <w:tab/>
        <w:t xml:space="preserve">budući da je genetski modificirani kukuruz nastao križanjem kako bi se kombinirale sljedeće tri pojedinačne genetske promjene: DP202216 </w:t>
      </w:r>
      <w:r w:rsidRPr="008F7A9F">
        <w:t>eksprimira</w:t>
      </w:r>
      <w:r w:rsidRPr="008F7A9F">
        <w:t xml:space="preserve"> enzim </w:t>
      </w:r>
      <w:r w:rsidRPr="008F7A9F">
        <w:t>fosfinotricin-acetil-transferazu</w:t>
      </w:r>
      <w:r w:rsidRPr="008F7A9F">
        <w:t xml:space="preserve"> (PAT) koji daje toleranciju na herbicide koji sadrže amonijev </w:t>
      </w:r>
      <w:r w:rsidRPr="008F7A9F">
        <w:t>glufosinat</w:t>
      </w:r>
      <w:r w:rsidRPr="008F7A9F">
        <w:t xml:space="preserve">, kao i endogene bjelančevine kukuruza s promijenjenom ekspresijom (EPAE) ZMM28 kako bi se osigurala mogućnost povećanja prinosa (YE) u terenskim uvjetima; NK603, koji </w:t>
      </w:r>
      <w:r w:rsidRPr="008F7A9F">
        <w:t>eksprimira</w:t>
      </w:r>
      <w:r w:rsidRPr="008F7A9F">
        <w:t xml:space="preserve"> CP4 EPSPS i CP4 EPSPS L214P kako bi se omogućila tolerancija na herbicide na bazi </w:t>
      </w:r>
      <w:r w:rsidRPr="008F7A9F">
        <w:t>glifosata</w:t>
      </w:r>
      <w:r w:rsidRPr="008F7A9F">
        <w:t xml:space="preserve">; i DAS-40278 – 9, koji </w:t>
      </w:r>
      <w:r w:rsidRPr="008F7A9F">
        <w:t>eksprimira</w:t>
      </w:r>
      <w:r w:rsidRPr="008F7A9F">
        <w:t xml:space="preserve"> </w:t>
      </w:r>
      <w:r w:rsidRPr="008F7A9F">
        <w:t>ariloksialkanoat</w:t>
      </w:r>
      <w:r w:rsidRPr="008F7A9F">
        <w:t xml:space="preserve"> </w:t>
      </w:r>
      <w:r w:rsidRPr="008F7A9F">
        <w:t>dioksigenazu</w:t>
      </w:r>
      <w:r w:rsidRPr="008F7A9F">
        <w:t xml:space="preserve"> (AAD-1) kako bi se omogućila tolerancija na razred herbicida 2,4-diklorfenoksioctena kiselina i </w:t>
      </w:r>
      <w:r w:rsidRPr="008F7A9F">
        <w:t>ariloksifenoksipropionat</w:t>
      </w:r>
      <w:r w:rsidRPr="008F7A9F">
        <w:t xml:space="preserve"> (AOPP)</w:t>
      </w:r>
      <w:r>
        <w:rPr>
          <w:rStyle w:val="FootnoteReference"/>
          <w:rFonts w:eastAsiaTheme="minorHAnsi"/>
          <w:szCs w:val="24"/>
        </w:rPr>
        <w:footnoteReference w:id="7"/>
      </w:r>
      <w:r w:rsidRPr="008F7A9F">
        <w:t>;</w:t>
      </w:r>
    </w:p>
    <w:p w:rsidR="00005F7A" w:rsidRPr="008F7A9F" w:rsidP="00FC1086" w14:paraId="63F5CEA1" w14:textId="77777777">
      <w:pPr>
        <w:spacing w:after="240"/>
        <w:ind w:left="567" w:hanging="567"/>
        <w:rPr>
          <w:rFonts w:eastAsiaTheme="minorHAnsi"/>
          <w:szCs w:val="24"/>
        </w:rPr>
      </w:pPr>
      <w:r w:rsidRPr="008F7A9F">
        <w:t>E.</w:t>
      </w:r>
      <w:r w:rsidRPr="008F7A9F">
        <w:tab/>
        <w:t xml:space="preserve">budući da je EFSA prethodno procijenila samo </w:t>
      </w:r>
      <w:r w:rsidRPr="008F7A9F">
        <w:t>potkombinaciju</w:t>
      </w:r>
      <w:r w:rsidRPr="008F7A9F">
        <w:t xml:space="preserve"> NK603 × DAS- 40278-9; budući da podnositelj zahtjeva nije dostavio eksperimentalne podatke za </w:t>
      </w:r>
      <w:r w:rsidRPr="008F7A9F">
        <w:t>potkombinacije</w:t>
      </w:r>
      <w:r w:rsidRPr="008F7A9F">
        <w:t xml:space="preserve"> DP202216 x NK603 i DP202216 x DAS-40278-9, koje EFSA nije prethodno procijenila; budući da je EFSA unatoč tome zaključila da ta </w:t>
      </w:r>
      <w:r w:rsidRPr="008F7A9F">
        <w:t>potkombinacija</w:t>
      </w:r>
      <w:r w:rsidRPr="008F7A9F">
        <w:t xml:space="preserve"> ne pobuđuje zabrinutost u smislu sigurnosti;</w:t>
      </w:r>
    </w:p>
    <w:p w:rsidR="00005F7A" w:rsidRPr="008F7A9F" w:rsidP="00FC1086" w14:paraId="6804D1D3" w14:textId="77777777">
      <w:pPr>
        <w:spacing w:after="240"/>
        <w:ind w:left="567" w:hanging="567"/>
        <w:rPr>
          <w:rFonts w:eastAsiaTheme="minorHAnsi"/>
          <w:szCs w:val="24"/>
        </w:rPr>
      </w:pPr>
      <w:r w:rsidRPr="008F7A9F">
        <w:t>F.</w:t>
      </w:r>
      <w:r w:rsidRPr="008F7A9F">
        <w:tab/>
        <w:t>budući da procjena rizika koju je provela EFSA nije obuhvaćala dugoročne toksikološke studije niti detaljnu analizu kumulativnih i kombinatornih učinaka, uključujući moguće interakcije s ostacima pesticida koji se obično upotrebljavaju pri uzgoju kukuruza;</w:t>
      </w:r>
    </w:p>
    <w:p w:rsidR="00005F7A" w:rsidRPr="008F7A9F" w:rsidP="00FC1086" w14:paraId="1BF2759A" w14:textId="77777777">
      <w:pPr>
        <w:spacing w:after="240"/>
        <w:ind w:left="567" w:hanging="567"/>
        <w:rPr>
          <w:rFonts w:eastAsiaTheme="minorHAnsi"/>
          <w:szCs w:val="24"/>
        </w:rPr>
      </w:pPr>
      <w:r w:rsidRPr="008F7A9F">
        <w:t>G.</w:t>
      </w:r>
      <w:r w:rsidRPr="008F7A9F">
        <w:tab/>
        <w:t xml:space="preserve">budući da je velika većina genetski modificiranih usjeva, uključujući genetski modificirani kukuruz, genetski modificirana kako bi bila otporna na jedan ili više „komplementarnih” herbicida koji se mogu upotrebljavati tijekom cijelog uzgoja </w:t>
      </w:r>
      <w:r w:rsidRPr="008F7A9F">
        <w:t>genetski modificiranog usjeva, a da pritom ne dođe do odumiranja usjeva, što bi se dogodilo s usjevom koji nije otporan na herbicide; budući da se u brojnim studijama navodi da je za genetski modificirane usjeve otporne na herbicide potrebna veća upotreba komplementarnih herbicida, velikim dijelom zbog pojave korova otpornih na herbicide;</w:t>
      </w:r>
    </w:p>
    <w:p w:rsidR="00005F7A" w:rsidRPr="008F7A9F" w:rsidP="00FC1086" w14:paraId="3F9668A4" w14:textId="77777777">
      <w:pPr>
        <w:spacing w:after="240"/>
        <w:ind w:left="567" w:hanging="567"/>
        <w:rPr>
          <w:rFonts w:eastAsiaTheme="minorHAnsi"/>
          <w:szCs w:val="24"/>
        </w:rPr>
      </w:pPr>
      <w:r w:rsidRPr="008F7A9F">
        <w:t>H.</w:t>
      </w:r>
      <w:r w:rsidRPr="008F7A9F">
        <w:tab/>
        <w:t>budući da genetski modificirani usjevi otporni na herbicide poljoprivrednike uvlače u sustav suzbijanja korova koji u velikoj mjeri ili u potpunosti ovisi o herbicidima te se istodobno stvara ovisnost o korištenju komplementarnih herbicida kao sastavnog dijela proizvodnog sustava; budući da će se povećanim oslanjanjem na komplementarne herbicide na poljoprivrednim gospodarstvima na kojima je posađen genetski modificirani kukuruz ubrzati pojava i širenje korova otpornih na te herbicide, što će dovesti do potrebe za još većom upotrebom herbicida i do pojave pod nazivom „začarani krug herbicida”; budući da će se zbog toga povećati negativni učinci koji proizlaze iz prekomjernog oslanjanja na herbicide na zdravlje tla i kvalitetu vode te na biološku raznolikost iznad zemlje i u njoj te će to dovesti do povećane izloženosti ljudi i životinja tim negativnim učincima, potencijalno i preko povećanja ostataka herbicida u hrani i hrani za životinje;</w:t>
      </w:r>
    </w:p>
    <w:p w:rsidR="00005F7A" w:rsidRPr="008F7A9F" w:rsidP="00FC1086" w14:paraId="0839314D" w14:textId="77777777">
      <w:pPr>
        <w:autoSpaceDE w:val="0"/>
        <w:autoSpaceDN w:val="0"/>
        <w:adjustRightInd w:val="0"/>
        <w:spacing w:after="240"/>
        <w:ind w:left="567" w:hanging="567"/>
        <w:rPr>
          <w:rFonts w:eastAsiaTheme="minorHAnsi"/>
          <w:szCs w:val="24"/>
        </w:rPr>
      </w:pPr>
      <w:r w:rsidRPr="008F7A9F">
        <w:t>I.</w:t>
      </w:r>
      <w:r w:rsidRPr="008F7A9F">
        <w:tab/>
        <w:t>budući da se u brojnim studijama navodi da je za genetski modificirane usjeve otporne na herbicide potrebna veća upotreba komplementarnih herbicida, velikim dijelom zbog pojave korova otpornih na herbicide</w:t>
      </w:r>
      <w:r>
        <w:rPr>
          <w:rFonts w:eastAsiaTheme="minorHAnsi"/>
          <w:vertAlign w:val="superscript"/>
        </w:rPr>
        <w:footnoteReference w:id="8"/>
      </w:r>
      <w:r w:rsidRPr="008F7A9F">
        <w:t xml:space="preserve">; budući da se zbog toga mora očekivati da će genetski modificiran kukuruz biti izložen i višim i ponovljenim dozama herbicida koji sadržavaju </w:t>
      </w:r>
      <w:r w:rsidRPr="008F7A9F">
        <w:t>glifosat</w:t>
      </w:r>
      <w:r w:rsidRPr="008F7A9F">
        <w:t xml:space="preserve">, </w:t>
      </w:r>
      <w:r w:rsidRPr="008F7A9F">
        <w:t>glufosin</w:t>
      </w:r>
      <w:r w:rsidRPr="008F7A9F">
        <w:t>, AOPP te 2,4-D i da bi stoga količina njihovih ostataka i proizvoda razgradnje (metabolita) tijekom žetve mogla biti veća;</w:t>
      </w:r>
    </w:p>
    <w:p w:rsidR="00005F7A" w:rsidRPr="008F7A9F" w:rsidP="00FC1086" w14:paraId="152502A9" w14:textId="77777777">
      <w:pPr>
        <w:autoSpaceDE w:val="0"/>
        <w:autoSpaceDN w:val="0"/>
        <w:adjustRightInd w:val="0"/>
        <w:spacing w:after="240"/>
        <w:ind w:left="567" w:hanging="567"/>
        <w:rPr>
          <w:rFonts w:eastAsiaTheme="minorHAnsi"/>
          <w:szCs w:val="24"/>
        </w:rPr>
      </w:pPr>
      <w:r w:rsidRPr="008F7A9F">
        <w:t>J.</w:t>
      </w:r>
      <w:r w:rsidRPr="008F7A9F">
        <w:tab/>
        <w:t xml:space="preserve">budući da se </w:t>
      </w:r>
      <w:r w:rsidRPr="008F7A9F">
        <w:t>glufosinat</w:t>
      </w:r>
      <w:r w:rsidRPr="008F7A9F">
        <w:t xml:space="preserve"> klasificira kao tvar koja je toksična za reproduktivno zdravlje (kategorija 1B) i stoga ispunjava kriterije za isključivanje iz Uredbe (EZ) br. 1107/2009 Europskog parlamenta i Vijeća</w:t>
      </w:r>
      <w:r>
        <w:rPr>
          <w:rFonts w:eastAsiaTheme="minorHAnsi"/>
          <w:vertAlign w:val="superscript"/>
        </w:rPr>
        <w:footnoteReference w:id="9"/>
      </w:r>
      <w:r w:rsidRPr="008F7A9F">
        <w:t xml:space="preserve">; budući da je odobrenje za upotrebu </w:t>
      </w:r>
      <w:r w:rsidRPr="008F7A9F">
        <w:t>glufosinata</w:t>
      </w:r>
      <w:r w:rsidRPr="008F7A9F">
        <w:t xml:space="preserve"> u Uniji isteklo 31. srpnja 2018.</w:t>
      </w:r>
      <w:r>
        <w:rPr>
          <w:rFonts w:eastAsiaTheme="minorHAnsi"/>
          <w:vertAlign w:val="superscript"/>
        </w:rPr>
        <w:footnoteReference w:id="10"/>
      </w:r>
      <w:r w:rsidRPr="008F7A9F">
        <w:t>;</w:t>
      </w:r>
    </w:p>
    <w:p w:rsidR="00005F7A" w:rsidRPr="008F7A9F" w:rsidP="00FC1086" w14:paraId="47E3BCE6" w14:textId="77777777">
      <w:pPr>
        <w:autoSpaceDE w:val="0"/>
        <w:autoSpaceDN w:val="0"/>
        <w:adjustRightInd w:val="0"/>
        <w:spacing w:after="240"/>
        <w:ind w:left="567" w:hanging="567"/>
        <w:rPr>
          <w:rFonts w:eastAsiaTheme="minorHAnsi"/>
          <w:szCs w:val="24"/>
        </w:rPr>
      </w:pPr>
      <w:r w:rsidRPr="008F7A9F">
        <w:t>K.</w:t>
      </w:r>
      <w:r w:rsidRPr="008F7A9F">
        <w:tab/>
        <w:t xml:space="preserve">budući da i dalje postoje znatne znanstvene nesigurnosti u pogledu sigurnosti </w:t>
      </w:r>
      <w:r w:rsidRPr="008F7A9F">
        <w:t>glifosata</w:t>
      </w:r>
      <w:r w:rsidRPr="008F7A9F">
        <w:t xml:space="preserve"> za zdravlje ljudi i okoliš; budući da je EFSA u studenome 2015. zaključila da </w:t>
      </w:r>
      <w:r w:rsidRPr="008F7A9F">
        <w:t>glifosat</w:t>
      </w:r>
      <w:r w:rsidRPr="008F7A9F">
        <w:t xml:space="preserve"> vjerojatno nije karcinogen, a Europska agencija za kemikalije u ožujku 2017. da nije potrebna nikakva klasifikacija; budući da je, s druge strane, Međunarodna agencija za istraživanje raka, specijalizirana agencija Svjetske zdravstvene organizacije, 2015. kategorizirala </w:t>
      </w:r>
      <w:r w:rsidRPr="008F7A9F">
        <w:t>glifosat</w:t>
      </w:r>
      <w:r w:rsidRPr="008F7A9F">
        <w:t xml:space="preserve"> kao tvar vjerojatno karcinogenu za čovjeka; budući da se u nizu </w:t>
      </w:r>
      <w:r w:rsidRPr="008F7A9F">
        <w:t xml:space="preserve">najnovijih znanstvenih stručno recenziranih studija potvrđuje moguća karcinogenost </w:t>
      </w:r>
      <w:r w:rsidRPr="008F7A9F">
        <w:t>glifosata</w:t>
      </w:r>
      <w:r>
        <w:rPr>
          <w:rFonts w:eastAsiaTheme="minorHAnsi"/>
          <w:vertAlign w:val="superscript"/>
        </w:rPr>
        <w:footnoteReference w:id="11"/>
      </w:r>
      <w:r w:rsidRPr="008F7A9F">
        <w:t xml:space="preserve">; budući da je časopis </w:t>
      </w:r>
      <w:r w:rsidRPr="008F7A9F">
        <w:t>Regulatory</w:t>
      </w:r>
      <w:r w:rsidRPr="008F7A9F">
        <w:t xml:space="preserve"> </w:t>
      </w:r>
      <w:r w:rsidRPr="008F7A9F">
        <w:t>Toxicology</w:t>
      </w:r>
      <w:r w:rsidRPr="008F7A9F">
        <w:t xml:space="preserve"> </w:t>
      </w:r>
      <w:r w:rsidRPr="008F7A9F">
        <w:t>and</w:t>
      </w:r>
      <w:r w:rsidRPr="008F7A9F">
        <w:t xml:space="preserve"> </w:t>
      </w:r>
      <w:r w:rsidRPr="008F7A9F">
        <w:t>Pharmacology</w:t>
      </w:r>
      <w:r w:rsidRPr="008F7A9F">
        <w:t xml:space="preserve"> službeno povukao znanstveni rad „</w:t>
      </w:r>
      <w:r w:rsidRPr="008F7A9F">
        <w:t>Safety</w:t>
      </w:r>
      <w:r w:rsidRPr="008F7A9F">
        <w:t xml:space="preserve"> </w:t>
      </w:r>
      <w:r w:rsidRPr="008F7A9F">
        <w:t>Evaluation</w:t>
      </w:r>
      <w:r w:rsidRPr="008F7A9F">
        <w:t xml:space="preserve"> </w:t>
      </w:r>
      <w:r w:rsidRPr="008F7A9F">
        <w:t>and</w:t>
      </w:r>
      <w:r w:rsidRPr="008F7A9F">
        <w:t xml:space="preserve"> </w:t>
      </w:r>
      <w:r w:rsidRPr="008F7A9F">
        <w:t>Risk</w:t>
      </w:r>
      <w:r w:rsidRPr="008F7A9F">
        <w:t xml:space="preserve"> </w:t>
      </w:r>
      <w:r w:rsidRPr="008F7A9F">
        <w:t>Assessment</w:t>
      </w:r>
      <w:r w:rsidRPr="008F7A9F">
        <w:t xml:space="preserve"> </w:t>
      </w:r>
      <w:r w:rsidRPr="008F7A9F">
        <w:t>of</w:t>
      </w:r>
      <w:r w:rsidRPr="008F7A9F">
        <w:t xml:space="preserve"> </w:t>
      </w:r>
      <w:r w:rsidRPr="008F7A9F">
        <w:t>the</w:t>
      </w:r>
      <w:r w:rsidRPr="008F7A9F">
        <w:t xml:space="preserve"> Herbicide </w:t>
      </w:r>
      <w:r w:rsidRPr="008F7A9F">
        <w:t>Roundup</w:t>
      </w:r>
      <w:r w:rsidRPr="008F7A9F">
        <w:t xml:space="preserve"> </w:t>
      </w:r>
      <w:r w:rsidRPr="008F7A9F">
        <w:t>and</w:t>
      </w:r>
      <w:r w:rsidRPr="008F7A9F">
        <w:t xml:space="preserve"> </w:t>
      </w:r>
      <w:r w:rsidRPr="008F7A9F">
        <w:t>Its</w:t>
      </w:r>
      <w:r w:rsidRPr="008F7A9F">
        <w:t xml:space="preserve"> </w:t>
      </w:r>
      <w:r w:rsidRPr="008F7A9F">
        <w:t>Active</w:t>
      </w:r>
      <w:r w:rsidRPr="008F7A9F">
        <w:t xml:space="preserve"> </w:t>
      </w:r>
      <w:r w:rsidRPr="008F7A9F">
        <w:t>Ingredient</w:t>
      </w:r>
      <w:r w:rsidRPr="008F7A9F">
        <w:t xml:space="preserve">, </w:t>
      </w:r>
      <w:r w:rsidRPr="008F7A9F">
        <w:t>Glyphosate</w:t>
      </w:r>
      <w:r w:rsidRPr="008F7A9F">
        <w:t xml:space="preserve"> for </w:t>
      </w:r>
      <w:r w:rsidRPr="008F7A9F">
        <w:t>Humans</w:t>
      </w:r>
      <w:r w:rsidRPr="008F7A9F">
        <w:rPr>
          <w:shd w:val="clear" w:color="auto" w:fill="FFFFFF"/>
        </w:rPr>
        <w:t>”</w:t>
      </w:r>
      <w:r w:rsidRPr="008F7A9F">
        <w:t xml:space="preserve"> (Procjena sigurnosti i rizika za ljude u pogledu herbicida </w:t>
      </w:r>
      <w:r w:rsidRPr="008F7A9F">
        <w:t>Roundup</w:t>
      </w:r>
      <w:r w:rsidRPr="008F7A9F">
        <w:t xml:space="preserve"> i njegova aktivnog sastojka </w:t>
      </w:r>
      <w:r w:rsidRPr="008F7A9F">
        <w:t>glifosata</w:t>
      </w:r>
      <w:r w:rsidRPr="008F7A9F">
        <w:t xml:space="preserve">), objavljen 2000., koji je u mnogim procjenama rizika korišten za obranu sigurnosti </w:t>
      </w:r>
      <w:r w:rsidRPr="008F7A9F">
        <w:t>glifosata</w:t>
      </w:r>
      <w:r w:rsidRPr="008F7A9F">
        <w:t>, i to jer je izražena zabrinutost u pogledu njegovih autora, valjanosti rezultata istraživanja u kontekstu pogrešnog prikazivanja doprinosa autora i sponzora studije te mogućih sukoba interesa autora</w:t>
      </w:r>
      <w:r>
        <w:rPr>
          <w:rStyle w:val="FootnoteReference"/>
        </w:rPr>
        <w:footnoteReference w:id="12"/>
      </w:r>
      <w:r w:rsidRPr="008F7A9F">
        <w:t>;</w:t>
      </w:r>
    </w:p>
    <w:p w:rsidR="00005F7A" w:rsidRPr="008F7A9F" w:rsidP="00FC1086" w14:paraId="06D2A38B" w14:textId="77777777">
      <w:pPr>
        <w:autoSpaceDE w:val="0"/>
        <w:autoSpaceDN w:val="0"/>
        <w:adjustRightInd w:val="0"/>
        <w:spacing w:after="240"/>
        <w:ind w:left="567" w:hanging="567"/>
        <w:rPr>
          <w:rFonts w:eastAsiaTheme="minorHAnsi"/>
          <w:szCs w:val="24"/>
        </w:rPr>
      </w:pPr>
      <w:r w:rsidRPr="008F7A9F">
        <w:t>L.</w:t>
      </w:r>
      <w:r w:rsidRPr="008F7A9F">
        <w:tab/>
        <w:t xml:space="preserve">budući da se u stručno recenziranom znanstvenom članku čiji je autor stručnjak uključen u razvoj genetski modificiranih biljaka dovodi u pitanje sigurnost genetski modificiranih usjeva tolerantnih na 2,4-D zbog njegove razgradnje u </w:t>
      </w:r>
      <w:r w:rsidRPr="008F7A9F">
        <w:t>citotoksične</w:t>
      </w:r>
      <w:r w:rsidRPr="008F7A9F">
        <w:t xml:space="preserve"> proizvode</w:t>
      </w:r>
      <w:r>
        <w:rPr>
          <w:rFonts w:eastAsiaTheme="minorHAnsi"/>
          <w:vertAlign w:val="superscript"/>
        </w:rPr>
        <w:footnoteReference w:id="13"/>
      </w:r>
      <w:r w:rsidRPr="008F7A9F">
        <w:t>;</w:t>
      </w:r>
    </w:p>
    <w:p w:rsidR="00005F7A" w:rsidRPr="008F7A9F" w:rsidP="00FC1086" w14:paraId="59D8B2C2" w14:textId="77777777">
      <w:pPr>
        <w:autoSpaceDE w:val="0"/>
        <w:autoSpaceDN w:val="0"/>
        <w:adjustRightInd w:val="0"/>
        <w:spacing w:after="240"/>
        <w:ind w:left="567" w:hanging="567"/>
        <w:rPr>
          <w:rFonts w:eastAsiaTheme="minorHAnsi"/>
          <w:szCs w:val="24"/>
        </w:rPr>
      </w:pPr>
      <w:r w:rsidRPr="008F7A9F">
        <w:t>M.</w:t>
      </w:r>
      <w:r w:rsidRPr="008F7A9F">
        <w:tab/>
        <w:t>budući da se smatra da procjena za ostatke herbicida i metabolite pronađene na genetski modificiranim biljkama nije u nadležnosti Povjerenstva EFSA-e za genetski modificirane organizme te se stoga ne provodi u okviru postupka odobravanja GMO-a; budući da je to problematično jer sama genetska modifikacija može utjecati na način na koji pojedina genetski modificirana biljka razgrađuje komplementarne herbicide, kao i na sastav, a stoga i toksičnost metabolita</w:t>
      </w:r>
      <w:r>
        <w:rPr>
          <w:rFonts w:eastAsiaTheme="minorHAnsi"/>
          <w:vertAlign w:val="superscript"/>
        </w:rPr>
        <w:footnoteReference w:id="14"/>
      </w:r>
      <w:r w:rsidRPr="008F7A9F">
        <w:t>;</w:t>
      </w:r>
    </w:p>
    <w:p w:rsidR="00005F7A" w:rsidRPr="008F7A9F" w:rsidP="00FC1086" w14:paraId="694E9D35" w14:textId="77777777">
      <w:pPr>
        <w:autoSpaceDE w:val="0"/>
        <w:autoSpaceDN w:val="0"/>
        <w:adjustRightInd w:val="0"/>
        <w:spacing w:after="240"/>
        <w:ind w:left="567" w:hanging="567"/>
        <w:rPr>
          <w:rFonts w:eastAsiaTheme="minorHAnsi"/>
          <w:szCs w:val="24"/>
        </w:rPr>
      </w:pPr>
      <w:r w:rsidRPr="008F7A9F">
        <w:t>N.</w:t>
      </w:r>
      <w:r w:rsidRPr="008F7A9F">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takvi legitimni čimbenici trebali obuhvaćati obveze Unije u okviru ciljeva održivog razvoja Ujedinjenih naroda, Pariškog sporazuma o klimatskim promjenama</w:t>
      </w:r>
      <w:r>
        <w:rPr>
          <w:rStyle w:val="FootnoteReference"/>
          <w:rFonts w:eastAsiaTheme="minorHAnsi"/>
          <w:szCs w:val="24"/>
        </w:rPr>
        <w:footnoteReference w:id="15"/>
      </w:r>
      <w:r w:rsidRPr="008F7A9F">
        <w:t xml:space="preserve"> i Konvencije UN-a o biološkoj raznolikosti</w:t>
      </w:r>
      <w:r>
        <w:rPr>
          <w:rStyle w:val="FootnoteReference"/>
          <w:rFonts w:eastAsiaTheme="minorHAnsi"/>
          <w:szCs w:val="24"/>
        </w:rPr>
        <w:footnoteReference w:id="16"/>
      </w:r>
      <w:r w:rsidRPr="008F7A9F">
        <w:t>;</w:t>
      </w:r>
    </w:p>
    <w:p w:rsidR="00005F7A" w:rsidRPr="008F7A9F" w:rsidP="00FC1086" w14:paraId="07F1E734" w14:textId="77777777">
      <w:pPr>
        <w:autoSpaceDE w:val="0"/>
        <w:autoSpaceDN w:val="0"/>
        <w:adjustRightInd w:val="0"/>
        <w:spacing w:after="240"/>
        <w:ind w:left="567" w:hanging="567"/>
        <w:rPr>
          <w:rFonts w:eastAsiaTheme="minorHAnsi"/>
          <w:szCs w:val="24"/>
        </w:rPr>
      </w:pPr>
      <w:r w:rsidRPr="008F7A9F">
        <w:t>O.</w:t>
      </w:r>
      <w:r w:rsidRPr="008F7A9F">
        <w:tab/>
        <w:t xml:space="preserve">budući da su neovisno praćenje i nadzor mogućih štetnih učinaka na biološku raznolikost, zdravlje tla, oprašivače i </w:t>
      </w:r>
      <w:r w:rsidRPr="008F7A9F">
        <w:t>neciljane</w:t>
      </w:r>
      <w:r w:rsidRPr="008F7A9F">
        <w:t xml:space="preserve"> organizme i dalje nedostatno zajamčeni;</w:t>
      </w:r>
    </w:p>
    <w:p w:rsidR="00005F7A" w:rsidRPr="008F7A9F" w:rsidP="00FC1086" w14:paraId="663F6D69" w14:textId="77777777">
      <w:pPr>
        <w:autoSpaceDE w:val="0"/>
        <w:autoSpaceDN w:val="0"/>
        <w:adjustRightInd w:val="0"/>
        <w:spacing w:after="240"/>
        <w:ind w:left="567" w:hanging="567"/>
        <w:rPr>
          <w:rFonts w:eastAsiaTheme="minorHAnsi"/>
          <w:szCs w:val="24"/>
        </w:rPr>
      </w:pPr>
      <w:r w:rsidRPr="008F7A9F">
        <w:t>P.</w:t>
      </w:r>
      <w:r w:rsidRPr="008F7A9F">
        <w:tab/>
        <w:t>budući da bi se u slučajevima znanstvene nesigurnosti trebalo primjenjivati načelo predostrožnosti iz članka 191. Ugovora o funkcioniranju Europske unije;</w:t>
      </w:r>
    </w:p>
    <w:p w:rsidR="00005F7A" w:rsidRPr="008F7A9F" w:rsidP="00FC1086" w14:paraId="2A5545D7" w14:textId="77777777">
      <w:pPr>
        <w:autoSpaceDE w:val="0"/>
        <w:autoSpaceDN w:val="0"/>
        <w:adjustRightInd w:val="0"/>
        <w:spacing w:after="240"/>
        <w:ind w:left="567" w:hanging="567"/>
        <w:rPr>
          <w:rFonts w:eastAsiaTheme="minorHAnsi"/>
          <w:szCs w:val="24"/>
        </w:rPr>
      </w:pPr>
      <w:r w:rsidRPr="008F7A9F">
        <w:t>Q.</w:t>
      </w:r>
      <w:r w:rsidRPr="008F7A9F">
        <w:tab/>
        <w:t xml:space="preserve">budući da Unija kao ugovorna stranka Konvencije UN-a o biološkoj raznolikosti u </w:t>
      </w:r>
      <w:r w:rsidRPr="008F7A9F">
        <w:t xml:space="preserve">skladu s člankom 3. te konvencije ima odgovornost zajamčiti da se aktivnostima u okviru njezine jurisdikcije ili pod njezinom kontrolom ne </w:t>
      </w:r>
      <w:r w:rsidRPr="008F7A9F">
        <w:t>prouzročuje</w:t>
      </w:r>
      <w:r w:rsidRPr="008F7A9F">
        <w:t xml:space="preserve"> šteta u okolišu drugih država;</w:t>
      </w:r>
    </w:p>
    <w:p w:rsidR="00005F7A" w:rsidRPr="008F7A9F" w:rsidP="00FC1086" w14:paraId="246503C7" w14:textId="77777777">
      <w:pPr>
        <w:autoSpaceDE w:val="0"/>
        <w:autoSpaceDN w:val="0"/>
        <w:adjustRightInd w:val="0"/>
        <w:spacing w:after="240"/>
        <w:ind w:left="567" w:hanging="567"/>
        <w:rPr>
          <w:rFonts w:eastAsiaTheme="minorHAnsi"/>
          <w:szCs w:val="24"/>
        </w:rPr>
      </w:pPr>
      <w:r w:rsidRPr="008F7A9F">
        <w:t>R.</w:t>
      </w:r>
      <w:r w:rsidRPr="008F7A9F">
        <w:tab/>
        <w:t>budući da obnova odobrenja Unije za genetski modificirani kukuruz ne bi bila u skladu s međunarodnim obvezama u pogledu smanjenja pesticida</w:t>
      </w:r>
      <w:r>
        <w:rPr>
          <w:rFonts w:eastAsiaTheme="minorHAnsi"/>
          <w:vertAlign w:val="superscript"/>
        </w:rPr>
        <w:footnoteReference w:id="17"/>
      </w:r>
      <w:r w:rsidRPr="008F7A9F">
        <w:t xml:space="preserve">, s obzirom na povećanu izloženost ljudi, životinja i okoliša </w:t>
      </w:r>
      <w:r w:rsidRPr="008F7A9F">
        <w:t>glifosatu</w:t>
      </w:r>
      <w:r w:rsidRPr="008F7A9F">
        <w:t xml:space="preserve"> i amonijevu </w:t>
      </w:r>
      <w:r w:rsidRPr="008F7A9F">
        <w:t>glufosinatu</w:t>
      </w:r>
      <w:r w:rsidRPr="008F7A9F">
        <w:t xml:space="preserve"> u zemljama u kojima se uzgaja taj genetski modificiran usjev otporan na herbicide, kao i s obzirom na potencijalno teške zdravstvene posljedice;</w:t>
      </w:r>
    </w:p>
    <w:p w:rsidR="00005F7A" w:rsidRPr="008F7A9F" w:rsidP="00FC1086" w14:paraId="524EA562" w14:textId="77777777">
      <w:pPr>
        <w:autoSpaceDE w:val="0"/>
        <w:autoSpaceDN w:val="0"/>
        <w:adjustRightInd w:val="0"/>
        <w:spacing w:after="240"/>
        <w:ind w:left="567" w:hanging="567"/>
        <w:rPr>
          <w:rFonts w:eastAsiaTheme="minorHAnsi"/>
          <w:szCs w:val="24"/>
        </w:rPr>
      </w:pPr>
      <w:r w:rsidRPr="008F7A9F">
        <w:t>S.</w:t>
      </w:r>
      <w:r w:rsidRPr="008F7A9F">
        <w:tab/>
        <w:t>budući da u Uniji nije dopušteno uzgajati genetski modificiran kukuruz;</w:t>
      </w:r>
    </w:p>
    <w:p w:rsidR="00005F7A" w:rsidRPr="008F7A9F" w:rsidP="00FC1086" w14:paraId="2E2B945E" w14:textId="33CAC1A4">
      <w:pPr>
        <w:autoSpaceDE w:val="0"/>
        <w:autoSpaceDN w:val="0"/>
        <w:adjustRightInd w:val="0"/>
        <w:spacing w:after="240"/>
        <w:ind w:left="567" w:hanging="567"/>
        <w:rPr>
          <w:rFonts w:eastAsiaTheme="minorHAnsi"/>
          <w:szCs w:val="24"/>
        </w:rPr>
      </w:pPr>
      <w:r w:rsidRPr="008F7A9F">
        <w:t>T.</w:t>
      </w:r>
      <w:r w:rsidRPr="008F7A9F">
        <w:tab/>
        <w:t xml:space="preserve">budući da bi se </w:t>
      </w:r>
      <w:r w:rsidR="002958E8">
        <w:t>P</w:t>
      </w:r>
      <w:r w:rsidRPr="008F7A9F">
        <w:t>rovedben</w:t>
      </w:r>
      <w:r w:rsidR="002958E8">
        <w:t>om</w:t>
      </w:r>
      <w:r w:rsidRPr="008F7A9F">
        <w:t xml:space="preserve"> odluk</w:t>
      </w:r>
      <w:r w:rsidR="002958E8">
        <w:t>om</w:t>
      </w:r>
      <w:r w:rsidRPr="008F7A9F">
        <w:t xml:space="preserve"> Komisije </w:t>
      </w:r>
      <w:r w:rsidRPr="002958E8" w:rsidR="002958E8">
        <w:t xml:space="preserve">(EU) 2026/1443 </w:t>
      </w:r>
      <w:r w:rsidRPr="008F7A9F">
        <w:t>omogućio uvoz u Uniju koji nije u skladu sa standardima koje poštuju poljoprivrednici Unije, čime bi se stavili u nepovoljan tržišni položaj;</w:t>
      </w:r>
    </w:p>
    <w:p w:rsidR="00005F7A" w:rsidRPr="008F7A9F" w:rsidP="00FC1086" w14:paraId="58E7A5FA" w14:textId="77777777">
      <w:pPr>
        <w:autoSpaceDE w:val="0"/>
        <w:autoSpaceDN w:val="0"/>
        <w:adjustRightInd w:val="0"/>
        <w:spacing w:after="240"/>
        <w:ind w:left="567" w:hanging="567"/>
        <w:rPr>
          <w:rFonts w:eastAsiaTheme="minorHAnsi"/>
          <w:szCs w:val="24"/>
        </w:rPr>
      </w:pPr>
      <w:r w:rsidRPr="008F7A9F">
        <w:t>U.</w:t>
      </w:r>
      <w:r w:rsidRPr="008F7A9F">
        <w:tab/>
        <w:t>budući da se u zaključcima strateškog dijaloga o budućnosti poljoprivrede u EU-u,</w:t>
      </w:r>
      <w:r>
        <w:rPr>
          <w:rFonts w:eastAsiaTheme="minorHAnsi"/>
          <w:vertAlign w:val="superscript"/>
        </w:rPr>
        <w:footnoteReference w:id="18"/>
      </w:r>
      <w:r w:rsidRPr="008F7A9F">
        <w:t>, a s obzirom na problem različitih standarda Unije i njezinih trgovinskih partnera, Komisija poziva da preispita svoj pristup u pogledu pristupa tržištu za uvoz i izvoz poljoprivredno-prehrambenih proizvoda; budući da su pravedniji trgovinski odnosi na globalnoj razini, usklađeni s ciljevima u pogledu zdravog okoliša, bili jedan od glavnih zahtjeva poljoprivrednika tijekom prosvjeda održanih 2023., 2024. i 2025.;</w:t>
      </w:r>
    </w:p>
    <w:p w:rsidR="00005F7A" w:rsidRPr="008F7A9F" w:rsidP="00FC1086" w14:paraId="49D73AC4" w14:textId="77777777">
      <w:pPr>
        <w:autoSpaceDE w:val="0"/>
        <w:autoSpaceDN w:val="0"/>
        <w:adjustRightInd w:val="0"/>
        <w:spacing w:after="360"/>
        <w:ind w:left="567" w:hanging="567"/>
        <w:rPr>
          <w:rFonts w:eastAsiaTheme="minorHAnsi"/>
          <w:szCs w:val="24"/>
        </w:rPr>
      </w:pPr>
      <w:r w:rsidRPr="008F7A9F">
        <w:t>V.</w:t>
      </w:r>
      <w:r w:rsidRPr="008F7A9F">
        <w:tab/>
        <w:t xml:space="preserve">budući da je Parlament u više navrata naglasio da, kako bi se odgovorilo na trajni demokratski deficit, Komisija ne bi trebala odobravati genetski modificirane organizme u slučajevima u kojima države članice ne postignu kvalificiranu većinu u Stalnom odboru za bilje, životinje, hranu i hranu za životinje ili žalbenom odboru; </w:t>
      </w:r>
    </w:p>
    <w:p w:rsidR="00005F7A" w:rsidRPr="008F7A9F" w:rsidP="00FC1086" w14:paraId="60F64DF6" w14:textId="77777777">
      <w:pPr>
        <w:autoSpaceDE w:val="0"/>
        <w:autoSpaceDN w:val="0"/>
        <w:adjustRightInd w:val="0"/>
        <w:spacing w:after="360"/>
        <w:ind w:left="567" w:hanging="567"/>
        <w:rPr>
          <w:rFonts w:eastAsiaTheme="minorHAnsi"/>
          <w:szCs w:val="24"/>
        </w:rPr>
      </w:pPr>
      <w:r w:rsidRPr="008F7A9F">
        <w:t>W.</w:t>
      </w:r>
      <w:r w:rsidRPr="008F7A9F">
        <w:tab/>
        <w:t>budući da Komisija i dalje izdaje odobrenja za genetski modificirane organizme unatoč tome što je i sama priznala postojanje demokratskih nedostataka te usprkos izostanku potpore država članica i prigovorima Parlamenta;</w:t>
      </w:r>
    </w:p>
    <w:p w:rsidR="00005F7A" w:rsidRPr="008F7A9F" w:rsidP="00FC1086" w14:paraId="6419D19F" w14:textId="77777777">
      <w:pPr>
        <w:autoSpaceDE w:val="0"/>
        <w:autoSpaceDN w:val="0"/>
        <w:adjustRightInd w:val="0"/>
        <w:spacing w:after="360"/>
        <w:ind w:left="567" w:hanging="567"/>
      </w:pPr>
      <w:r w:rsidRPr="008F7A9F">
        <w:t>X.</w:t>
      </w:r>
      <w:r w:rsidRPr="008F7A9F">
        <w:tab/>
        <w:t>budući da se pristupom „Jedno zdravlje” zahtijeva da se pri procjeni dugoročne održivosti i sigurnosti genetski modificiranih organizama uzme u obzir međuovisnost zdravlja ljudi, životinja, biljaka i okoliša;</w:t>
      </w:r>
    </w:p>
    <w:p w:rsidR="00005F7A" w:rsidRPr="008F7A9F" w:rsidP="00FC1086" w14:paraId="4D8BB93F" w14:textId="14395A86">
      <w:pPr>
        <w:pStyle w:val="NormalHanging12a"/>
      </w:pPr>
      <w:r w:rsidRPr="008F7A9F">
        <w:t>1.</w:t>
      </w:r>
      <w:r w:rsidRPr="008F7A9F">
        <w:tab/>
        <w:t xml:space="preserve">smatra da se </w:t>
      </w:r>
      <w:r w:rsidR="002958E8">
        <w:t>P</w:t>
      </w:r>
      <w:r w:rsidRPr="008F7A9F">
        <w:t>rovedben</w:t>
      </w:r>
      <w:r w:rsidR="002958E8">
        <w:t>om</w:t>
      </w:r>
      <w:r w:rsidRPr="008F7A9F">
        <w:t xml:space="preserve"> odluk</w:t>
      </w:r>
      <w:r w:rsidR="002958E8">
        <w:t>om</w:t>
      </w:r>
      <w:r w:rsidRPr="008F7A9F">
        <w:t xml:space="preserve"> Komisije </w:t>
      </w:r>
      <w:r w:rsidRPr="002958E8" w:rsidR="002958E8">
        <w:t xml:space="preserve">(EU) 2026/1443 </w:t>
      </w:r>
      <w:r w:rsidRPr="008F7A9F">
        <w:t>prekoračuju provedbene ovlasti predviđene Uredbom (EZ) br. 1829/2003;</w:t>
      </w:r>
    </w:p>
    <w:p w:rsidR="00005F7A" w:rsidRPr="008F7A9F" w:rsidP="00FC1086" w14:paraId="044E82BA" w14:textId="6E8118F1">
      <w:pPr>
        <w:pStyle w:val="NormalHanging12a"/>
      </w:pPr>
      <w:r w:rsidRPr="008F7A9F">
        <w:t>2.</w:t>
      </w:r>
      <w:r w:rsidRPr="008F7A9F">
        <w:tab/>
        <w:t xml:space="preserve">smatra da </w:t>
      </w:r>
      <w:r w:rsidR="002958E8">
        <w:t>P</w:t>
      </w:r>
      <w:r w:rsidRPr="008F7A9F">
        <w:t>rovedben</w:t>
      </w:r>
      <w:r w:rsidR="002958E8">
        <w:t>a</w:t>
      </w:r>
      <w:r w:rsidRPr="008F7A9F">
        <w:t xml:space="preserve"> odluk</w:t>
      </w:r>
      <w:r w:rsidR="002958E8">
        <w:t>a</w:t>
      </w:r>
      <w:r w:rsidRPr="008F7A9F">
        <w:t xml:space="preserve"> Komisije </w:t>
      </w:r>
      <w:r w:rsidRPr="002958E8" w:rsidR="002958E8">
        <w:t xml:space="preserve">(EU) 2026/1443 </w:t>
      </w:r>
      <w:r w:rsidRPr="008F7A9F">
        <w:t xml:space="preserve">nije u skladu s pravom Unije jer nije spojiv s ciljem Uredbe (EZ) br. 1829/2003, a on je, u skladu s općim načelima </w:t>
      </w:r>
      <w:r w:rsidRPr="008F7A9F">
        <w:t>utvrđenima u Uredbi (EZ) br. 178/2002 Europskog parlamenta i Vijeća</w:t>
      </w:r>
      <w:r>
        <w:rPr>
          <w:vertAlign w:val="superscript"/>
        </w:rPr>
        <w:footnoteReference w:id="19"/>
      </w:r>
      <w:r w:rsidRPr="008F7A9F">
        <w:t>, pružanje osnove za visoku razinu zaštite života i zdravlja ljudi, zdravlja i dobrobiti životinja, interesa okoliša i potrošača u pogledu genetski modificirane hrane i hrane za životinje, uz istovremeno osiguravanje uspješnog funkcioniranja unutarnjeg tržišta;</w:t>
      </w:r>
    </w:p>
    <w:p w:rsidR="00005F7A" w:rsidRPr="008F7A9F" w:rsidP="00FC1086" w14:paraId="52F9CF11" w14:textId="51CBCB0A">
      <w:pPr>
        <w:pStyle w:val="NormalHanging12a"/>
      </w:pPr>
      <w:r w:rsidRPr="008F7A9F">
        <w:t>3.</w:t>
      </w:r>
      <w:r w:rsidRPr="008F7A9F">
        <w:tab/>
        <w:t xml:space="preserve">traži od Komisije da </w:t>
      </w:r>
      <w:r w:rsidR="002958E8">
        <w:t>stavi izvan snage</w:t>
      </w:r>
      <w:r w:rsidRPr="008F7A9F">
        <w:t xml:space="preserve"> </w:t>
      </w:r>
      <w:r w:rsidR="00A53D9B">
        <w:t>P</w:t>
      </w:r>
      <w:r w:rsidRPr="008F7A9F">
        <w:t>rovedben</w:t>
      </w:r>
      <w:r w:rsidR="002958E8">
        <w:t>u</w:t>
      </w:r>
      <w:r w:rsidRPr="008F7A9F">
        <w:t xml:space="preserve"> odluk</w:t>
      </w:r>
      <w:r w:rsidR="002958E8">
        <w:t>u</w:t>
      </w:r>
      <w:r w:rsidR="00A53D9B">
        <w:t xml:space="preserve"> Komisije </w:t>
      </w:r>
      <w:r w:rsidRPr="00A53D9B" w:rsidR="00A53D9B">
        <w:t>(EU) 2026/1443</w:t>
      </w:r>
      <w:r w:rsidRPr="008F7A9F">
        <w:t>;</w:t>
      </w:r>
    </w:p>
    <w:p w:rsidR="00005F7A" w:rsidRPr="008F7A9F" w:rsidP="00FC1086" w14:paraId="5489B38A" w14:textId="77777777">
      <w:pPr>
        <w:pStyle w:val="NormalHanging12a"/>
      </w:pPr>
      <w:r w:rsidRPr="008F7A9F">
        <w:t>4.</w:t>
      </w:r>
      <w:r w:rsidRPr="008F7A9F">
        <w:tab/>
        <w:t>traži od Komisije da ne odobri uvoz genetski modificiranih usjeva otpornih na herbicide zbog povezane povećane upotrebe komplementarnih herbicida i stoga povećanih rizika za biološku raznolikost, sigurnost hrane i zdravlje radnika;</w:t>
      </w:r>
    </w:p>
    <w:p w:rsidR="00005F7A" w:rsidRPr="008F7A9F" w:rsidP="00FC1086" w14:paraId="41B99258" w14:textId="77777777">
      <w:pPr>
        <w:pStyle w:val="NormalHanging12a"/>
      </w:pPr>
      <w:r w:rsidRPr="008F7A9F">
        <w:t>5.</w:t>
      </w:r>
      <w:r w:rsidRPr="008F7A9F">
        <w:tab/>
        <w:t>pozdravlja činjenicu da je Komisija u dopisu zastupnicima od 11. rujna 2020. konačno uvidjela potrebu da se pri donošenju odluka o odobravanju genetski modificiranih organizama u obzir uzme održivost</w:t>
      </w:r>
      <w:r>
        <w:rPr>
          <w:vertAlign w:val="superscript"/>
        </w:rPr>
        <w:footnoteReference w:id="20"/>
      </w:r>
      <w:r w:rsidRPr="008F7A9F">
        <w:t>; međutim, izražava duboko razočaranje zbog toga što Komisija i dalje odobrava uvoz genetski modificiranih organizama u Uniju unatoč stalnim prigovorima Parlamenta i činjenici da većina država članica glasuje protiv toga;</w:t>
      </w:r>
    </w:p>
    <w:p w:rsidR="00005F7A" w:rsidRPr="008F7A9F" w:rsidP="00FC1086" w14:paraId="07301250" w14:textId="77777777">
      <w:pPr>
        <w:pStyle w:val="NormalHanging12a"/>
      </w:pPr>
      <w:r w:rsidRPr="008F7A9F">
        <w:t>6.</w:t>
      </w:r>
      <w:r w:rsidRPr="008F7A9F">
        <w:tab/>
        <w:t>ponovno apelira na Komisiju da u obzir uzme obveze Unije na temelju međunarodnih sporazuma, kao što su Pariški sporazum o klimatskim promjenama, Konvencija UN-a o biološkoj raznolikosti i ciljevi održivog razvoja UN-a; ponavlja poziv da se nacrti provedbenih akata poprate obrazloženjem u kojem se objašnjava na koji se način poštuje načelo „</w:t>
      </w:r>
      <w:r w:rsidRPr="008F7A9F">
        <w:t>nenanošenja</w:t>
      </w:r>
      <w:r w:rsidRPr="008F7A9F">
        <w:t xml:space="preserve"> štete”</w:t>
      </w:r>
      <w:r>
        <w:rPr>
          <w:vertAlign w:val="superscript"/>
        </w:rPr>
        <w:footnoteReference w:id="21"/>
      </w:r>
      <w:r w:rsidRPr="008F7A9F">
        <w:t>;</w:t>
      </w:r>
    </w:p>
    <w:p w:rsidR="00005F7A" w:rsidRPr="008F7A9F" w:rsidP="00FC1086" w14:paraId="5A3B4075" w14:textId="77777777">
      <w:pPr>
        <w:pStyle w:val="NormalHanging12a"/>
      </w:pPr>
      <w:r w:rsidRPr="008F7A9F">
        <w:t>7.</w:t>
      </w:r>
      <w:r w:rsidRPr="008F7A9F">
        <w:tab/>
        <w:t>naglašava da se u amandmanima na Prijedlog uredbe Europskog parlamenta i Vijeća o izmjeni Uredbe (EU) br. 182/2011</w:t>
      </w:r>
      <w:r>
        <w:rPr>
          <w:vertAlign w:val="superscript"/>
        </w:rPr>
        <w:footnoteReference w:id="22"/>
      </w:r>
      <w:r w:rsidRPr="008F7A9F">
        <w:t>, koje je Europski parlament usvojio 17. prosinca 2020. kao temelj za pregovore s Vijećem, navodi da Komisija ne smije dati odobrenje za genetski modificirane organizme ako se kvalificirana većina država članica nije izjasnila za to; inzistira na tome da Komisija poštuje to stajalište te poziva Vijeće da hitno nastavi s radom i donese opći pristup o tom predmetu;</w:t>
      </w:r>
    </w:p>
    <w:p w:rsidR="008F7A9F" w:rsidRPr="008F7A9F" w:rsidP="00FC1086" w14:paraId="2E24A797" w14:textId="5B7F8A4D">
      <w:pPr>
        <w:pStyle w:val="NormalHanging12a"/>
      </w:pPr>
      <w:r w:rsidRPr="008F7A9F">
        <w:t>8.</w:t>
      </w:r>
      <w:r w:rsidRPr="008F7A9F">
        <w:tab/>
        <w:t>nalaže svojoj predsjednici da ovu Rezoluciju proslijedi Vijeću i Komisiji te vladama i parlamentima država članica.</w:t>
      </w:r>
    </w:p>
    <w:p w:rsidR="00E365E1" w:rsidRPr="008F7A9F" w:rsidP="00BF306B" w14:paraId="3AB18546" w14:textId="379AC3FA"/>
    <w:p w:rsidR="00FC1086" w:rsidRPr="008F7A9F" w14:paraId="46218753" w14:textId="77777777"/>
    <w:sectPr w:rsidSect="008F7A9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7A9F" w14:paraId="360BD33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7A9F" w14:paraId="2EC19CC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7A9F" w14:paraId="767CF4C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F306B" w:rsidRPr="008F7A9F" w14:paraId="6F6FC617" w14:textId="77777777">
      <w:r w:rsidRPr="008F7A9F">
        <w:separator/>
      </w:r>
    </w:p>
  </w:footnote>
  <w:footnote w:type="continuationSeparator" w:id="1">
    <w:p w:rsidR="00BF306B" w:rsidRPr="008F7A9F" w14:paraId="1ABC7088" w14:textId="77777777">
      <w:r w:rsidRPr="008F7A9F">
        <w:continuationSeparator/>
      </w:r>
    </w:p>
  </w:footnote>
  <w:footnote w:id="2">
    <w:p w:rsidR="00FC1086" w:rsidRPr="00FC1086" w:rsidP="00FC1086" w14:paraId="55C00AEF" w14:textId="4C919769">
      <w:pPr>
        <w:pStyle w:val="FootnoteText"/>
        <w:ind w:left="567" w:hanging="567"/>
        <w:rPr>
          <w:lang w:val="fi-FI"/>
        </w:rPr>
      </w:pPr>
      <w:r>
        <w:rPr>
          <w:rStyle w:val="FootnoteReference"/>
        </w:rPr>
        <w:footnoteRef/>
      </w:r>
      <w:r w:rsidRPr="00FC1086">
        <w:rPr>
          <w:lang w:val="fi-FI"/>
        </w:rPr>
        <w:t xml:space="preserve"> </w:t>
      </w:r>
      <w:r>
        <w:rPr>
          <w:lang w:val="fi-FI"/>
        </w:rPr>
        <w:tab/>
      </w:r>
      <w:r w:rsidRPr="00FC1086">
        <w:rPr>
          <w:sz w:val="24"/>
          <w:szCs w:val="24"/>
          <w:lang w:val="fi-FI"/>
        </w:rPr>
        <w:t xml:space="preserve">SL L, 2026/1443, 3.7.2026, ELI: </w:t>
      </w:r>
      <w:hyperlink r:id="rId1" w:history="1">
        <w:r w:rsidRPr="00FC1086">
          <w:rPr>
            <w:rStyle w:val="Hyperlink"/>
            <w:sz w:val="24"/>
            <w:szCs w:val="24"/>
            <w:lang w:val="fi-FI"/>
          </w:rPr>
          <w:t>http://data.europa.eu/eli/dec_impl/2026/1443/oj</w:t>
        </w:r>
      </w:hyperlink>
      <w:r>
        <w:rPr>
          <w:lang w:val="fi-FI"/>
        </w:rPr>
        <w:t>.</w:t>
      </w:r>
    </w:p>
  </w:footnote>
  <w:footnote w:id="3">
    <w:p w:rsidR="00005F7A" w:rsidRPr="008F7A9F" w:rsidP="008F7A9F" w14:paraId="1B5BF051" w14:textId="1AC58F35">
      <w:pPr>
        <w:pStyle w:val="FootnoteText"/>
        <w:ind w:left="567" w:hanging="567"/>
        <w:rPr>
          <w:sz w:val="24"/>
          <w:lang w:val="hr-HR"/>
        </w:rPr>
      </w:pPr>
      <w:r w:rsidRPr="008F7A9F">
        <w:rPr>
          <w:rStyle w:val="Funotenzeichen"/>
          <w:sz w:val="24"/>
          <w:lang w:val="hr-HR"/>
        </w:rPr>
        <w:footnoteRef/>
      </w:r>
      <w:r w:rsidRPr="008F7A9F" w:rsidR="008F7A9F">
        <w:rPr>
          <w:sz w:val="24"/>
          <w:lang w:val="hr-HR"/>
        </w:rPr>
        <w:t xml:space="preserve"> </w:t>
      </w:r>
      <w:r w:rsidRPr="008F7A9F" w:rsidR="008F7A9F">
        <w:rPr>
          <w:sz w:val="24"/>
          <w:lang w:val="hr-HR"/>
        </w:rPr>
        <w:tab/>
      </w:r>
      <w:r w:rsidRPr="008F7A9F">
        <w:rPr>
          <w:sz w:val="24"/>
          <w:lang w:val="hr-HR"/>
        </w:rPr>
        <w:t>SL L 268, 18.10.2003., str. 1., ELI: </w:t>
      </w:r>
      <w:hyperlink r:id="rId2" w:tooltip="ELI URI za pristup dokumentu." w:history="1">
        <w:r w:rsidRPr="008F7A9F">
          <w:rPr>
            <w:rStyle w:val="Hyperlink"/>
            <w:sz w:val="24"/>
            <w:lang w:val="hr-HR"/>
          </w:rPr>
          <w:t>http://data.europa.eu/eli/reg/2003/1829/oj</w:t>
        </w:r>
      </w:hyperlink>
      <w:r w:rsidRPr="008F7A9F">
        <w:rPr>
          <w:sz w:val="24"/>
          <w:lang w:val="hr-HR"/>
        </w:rPr>
        <w:t>.</w:t>
      </w:r>
    </w:p>
  </w:footnote>
  <w:footnote w:id="4">
    <w:p w:rsidR="00005F7A" w:rsidRPr="008F7A9F" w:rsidP="008F7A9F" w14:paraId="311F1584" w14:textId="172CF7F1">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r w:rsidRPr="008F7A9F">
        <w:rPr>
          <w:sz w:val="24"/>
          <w:lang w:val="hr-HR"/>
        </w:rPr>
        <w:t>SL L 55, 28.2.2011., str. 13., ELI: </w:t>
      </w:r>
      <w:hyperlink r:id="rId3" w:history="1">
        <w:r w:rsidRPr="008F7A9F">
          <w:rPr>
            <w:rStyle w:val="Hyperlink"/>
            <w:sz w:val="24"/>
            <w:lang w:val="hr-HR"/>
          </w:rPr>
          <w:t>http://data.europa.eu/eli/reg/2011/182/oj</w:t>
        </w:r>
      </w:hyperlink>
      <w:r w:rsidRPr="008F7A9F">
        <w:rPr>
          <w:sz w:val="24"/>
          <w:lang w:val="hr-HR"/>
        </w:rPr>
        <w:t>.</w:t>
      </w:r>
    </w:p>
  </w:footnote>
  <w:footnote w:id="5">
    <w:p w:rsidR="00005F7A" w:rsidRPr="00A200B7" w:rsidP="008F7A9F" w14:paraId="10892460" w14:textId="7ABB5507">
      <w:pPr>
        <w:pStyle w:val="FootnoteText"/>
        <w:ind w:left="567" w:hanging="567"/>
        <w:rPr>
          <w:sz w:val="24"/>
          <w:szCs w:val="24"/>
          <w:lang w:val="hr-HR"/>
        </w:rPr>
      </w:pPr>
      <w:r w:rsidRPr="008F7A9F">
        <w:rPr>
          <w:rStyle w:val="Funotenzeichen"/>
          <w:sz w:val="24"/>
          <w:lang w:val="hr-HR"/>
        </w:rPr>
        <w:footnoteRef/>
      </w:r>
      <w:r w:rsidRPr="008F7A9F" w:rsidR="008F7A9F">
        <w:rPr>
          <w:sz w:val="24"/>
          <w:lang w:val="hr-HR"/>
        </w:rPr>
        <w:t xml:space="preserve"> </w:t>
      </w:r>
      <w:r w:rsidRPr="008F7A9F" w:rsidR="008F7A9F">
        <w:rPr>
          <w:sz w:val="24"/>
          <w:lang w:val="hr-HR"/>
        </w:rPr>
        <w:tab/>
      </w:r>
      <w:r w:rsidRPr="008F7A9F">
        <w:rPr>
          <w:sz w:val="24"/>
          <w:lang w:val="hr-HR"/>
        </w:rPr>
        <w:t>Znanstveno mišljenje Povjerenstva EFSA-e za genetski modificirane organizme o procjeni genetski modificiranog kukuruza DP202216 × NK603 × DAS-40278-9 (zahtjev GMFF</w:t>
      </w:r>
      <w:r w:rsidRPr="008F7A9F">
        <w:rPr>
          <w:sz w:val="24"/>
          <w:lang w:val="hr-HR"/>
        </w:rPr>
        <w:noBreakHyphen/>
        <w:t xml:space="preserve">2022-6232), </w:t>
      </w:r>
      <w:r w:rsidRPr="008F7A9F">
        <w:rPr>
          <w:i/>
          <w:iCs/>
          <w:sz w:val="24"/>
          <w:lang w:val="hr-HR"/>
        </w:rPr>
        <w:t>EFSA Journal</w:t>
      </w:r>
      <w:r w:rsidRPr="008F7A9F">
        <w:rPr>
          <w:sz w:val="24"/>
          <w:lang w:val="hr-HR"/>
        </w:rPr>
        <w:t xml:space="preserve">, 2025., 23(12):e9746, </w:t>
      </w:r>
      <w:hyperlink r:id="rId4" w:history="1">
        <w:r w:rsidRPr="00A200B7">
          <w:rPr>
            <w:rStyle w:val="Hyperlink"/>
            <w:sz w:val="24"/>
            <w:szCs w:val="24"/>
            <w:lang w:val="hr-HR"/>
          </w:rPr>
          <w:t>https://doi.org/10.2903/j.efsa.2025.9746</w:t>
        </w:r>
      </w:hyperlink>
      <w:r w:rsidRPr="00A200B7">
        <w:rPr>
          <w:rStyle w:val="Hyperlink"/>
          <w:sz w:val="24"/>
          <w:szCs w:val="24"/>
          <w:lang w:val="hr-HR"/>
        </w:rPr>
        <w:t>.</w:t>
      </w:r>
    </w:p>
  </w:footnote>
  <w:footnote w:id="6">
    <w:p w:rsidR="00005F7A" w:rsidRPr="008F7A9F" w:rsidP="008F7A9F" w14:paraId="78452BEC" w14:textId="11CF0B3D">
      <w:pPr>
        <w:pStyle w:val="FootnoteText"/>
        <w:ind w:left="567" w:hanging="567"/>
        <w:rPr>
          <w:color w:val="000000" w:themeColor="text1"/>
          <w:sz w:val="24"/>
          <w:vertAlign w:val="superscript"/>
          <w:lang w:val="hr-HR"/>
        </w:rPr>
      </w:pPr>
      <w:r w:rsidRPr="00A200B7">
        <w:rPr>
          <w:rStyle w:val="Funotenzeichen"/>
          <w:sz w:val="24"/>
          <w:szCs w:val="24"/>
          <w:lang w:val="hr-HR"/>
        </w:rPr>
        <w:footnoteRef/>
      </w:r>
      <w:r w:rsidRPr="00A200B7" w:rsidR="008F7A9F">
        <w:rPr>
          <w:sz w:val="24"/>
          <w:szCs w:val="24"/>
          <w:lang w:val="hr-HR"/>
        </w:rPr>
        <w:t xml:space="preserve"> </w:t>
      </w:r>
      <w:r w:rsidRPr="00A200B7" w:rsidR="008F7A9F">
        <w:rPr>
          <w:sz w:val="24"/>
          <w:szCs w:val="24"/>
          <w:lang w:val="hr-HR"/>
        </w:rPr>
        <w:tab/>
      </w:r>
      <w:r w:rsidRPr="00A200B7">
        <w:rPr>
          <w:sz w:val="24"/>
          <w:szCs w:val="24"/>
          <w:lang w:val="hr-HR"/>
        </w:rPr>
        <w:t>Parlament je u osmom sazivu donio 36, a u devetom sazivu 3</w:t>
      </w:r>
      <w:r w:rsidRPr="008F7A9F">
        <w:rPr>
          <w:sz w:val="24"/>
          <w:lang w:val="hr-HR"/>
        </w:rPr>
        <w:t>8 rezolucija u kojima se protivi odobravanju genetski modificiranih organizama.</w:t>
      </w:r>
      <w:r w:rsidRPr="008F7A9F">
        <w:rPr>
          <w:color w:val="000000" w:themeColor="text1"/>
          <w:sz w:val="24"/>
          <w:lang w:val="hr-HR"/>
        </w:rPr>
        <w:t xml:space="preserve"> Nadalje, u desetom sazivu Parlament je donio sljedeće rezolucije:</w:t>
      </w:r>
    </w:p>
    <w:p w:rsidR="00005F7A" w:rsidRPr="008F7A9F" w:rsidP="00FC1086" w14:paraId="10B2EDA8" w14:textId="2D688742">
      <w:pPr>
        <w:pStyle w:val="FootnoteText"/>
        <w:ind w:left="1134" w:hanging="567"/>
        <w:rPr>
          <w:color w:val="000000" w:themeColor="text1"/>
          <w:sz w:val="24"/>
          <w:vertAlign w:val="superscript"/>
          <w:lang w:val="hr-HR"/>
        </w:rPr>
      </w:pPr>
      <w:r w:rsidRPr="008F7A9F">
        <w:rPr>
          <w:color w:val="000000" w:themeColor="text1"/>
          <w:sz w:val="24"/>
          <w:lang w:val="hr-HR"/>
        </w:rPr>
        <w:t>–</w:t>
      </w:r>
      <w:r w:rsidRPr="008F7A9F">
        <w:rPr>
          <w:color w:val="000000" w:themeColor="text1"/>
          <w:sz w:val="24"/>
          <w:lang w:val="hr-HR"/>
        </w:rPr>
        <w:tab/>
        <w:t>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1829/2003 Europskog parlamenta i Vijeća (SL C, C/2025/1797, 4.4.2025., ELI: </w:t>
      </w:r>
      <w:hyperlink r:id="rId5" w:history="1">
        <w:r w:rsidRPr="008F7A9F">
          <w:rPr>
            <w:rStyle w:val="Hyperlink"/>
            <w:sz w:val="24"/>
            <w:lang w:val="hr-HR"/>
          </w:rPr>
          <w:t>http://data.europa.eu/eli/C/2025/1797/oj</w:t>
        </w:r>
      </w:hyperlink>
      <w:r w:rsidRPr="008F7A9F">
        <w:rPr>
          <w:color w:val="000000" w:themeColor="text1"/>
          <w:sz w:val="24"/>
          <w:lang w:val="hr-HR"/>
        </w:rPr>
        <w:t>).</w:t>
      </w:r>
    </w:p>
    <w:p w:rsidR="00005F7A" w:rsidRPr="008F7A9F" w:rsidP="00FC1086" w14:paraId="3B53EF51" w14:textId="45D592AB">
      <w:pPr>
        <w:pStyle w:val="FootnoteText"/>
        <w:ind w:left="1134" w:hanging="567"/>
        <w:rPr>
          <w:color w:val="000000" w:themeColor="text1"/>
          <w:sz w:val="24"/>
          <w:vertAlign w:val="superscript"/>
          <w:lang w:val="hr-HR"/>
        </w:rPr>
      </w:pPr>
      <w:r w:rsidRPr="008F7A9F">
        <w:rPr>
          <w:color w:val="000000" w:themeColor="text1"/>
          <w:sz w:val="24"/>
          <w:lang w:val="hr-HR"/>
        </w:rPr>
        <w:t>–</w:t>
      </w:r>
      <w:r w:rsidRPr="008F7A9F">
        <w:rPr>
          <w:color w:val="000000" w:themeColor="text1"/>
          <w:sz w:val="24"/>
          <w:lang w:val="hr-HR"/>
        </w:rPr>
        <w:tab/>
        <w:t>Rezoluciju Europskog parlamenta od 26. studenoga 2024. o Provedbenoj odluci Komisije (EU) 2024/2627 o odobravanju stavljanja na tržište proizvoda koji sadržavaju genetski modificirani pamuk COT102, sastoje se od njega ili su od njega proizvedeni, na temelju Uredbe (EZ) br. 1829/2003 Europskog parlamenta i Vijeća (SL C, C/2025/1798, 4.4.2025., ELI: </w:t>
      </w:r>
      <w:hyperlink r:id="rId6" w:history="1">
        <w:r w:rsidRPr="008F7A9F">
          <w:rPr>
            <w:rStyle w:val="Hyperlink"/>
            <w:sz w:val="24"/>
            <w:lang w:val="hr-HR"/>
          </w:rPr>
          <w:t>http://data.europa.eu/eli/C/2025/1798/oj</w:t>
        </w:r>
      </w:hyperlink>
      <w:r w:rsidRPr="008F7A9F">
        <w:rPr>
          <w:color w:val="000000" w:themeColor="text1"/>
          <w:sz w:val="24"/>
          <w:lang w:val="hr-HR"/>
        </w:rPr>
        <w:t>).</w:t>
      </w:r>
    </w:p>
    <w:p w:rsidR="00005F7A" w:rsidRPr="008F7A9F" w:rsidP="00FC1086" w14:paraId="1E10D37D" w14:textId="5CF4FA36">
      <w:pPr>
        <w:pStyle w:val="FootnoteText"/>
        <w:ind w:left="1134" w:hanging="567"/>
        <w:rPr>
          <w:color w:val="000000" w:themeColor="text1"/>
          <w:sz w:val="24"/>
          <w:vertAlign w:val="superscript"/>
          <w:lang w:val="hr-HR"/>
        </w:rPr>
      </w:pPr>
      <w:r w:rsidRPr="008F7A9F">
        <w:rPr>
          <w:color w:val="000000" w:themeColor="text1"/>
          <w:sz w:val="24"/>
          <w:lang w:val="hr-HR"/>
        </w:rPr>
        <w:t>–</w:t>
      </w:r>
      <w:r w:rsidRPr="008F7A9F">
        <w:rPr>
          <w:color w:val="000000" w:themeColor="text1"/>
          <w:sz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w:t>
      </w:r>
      <w:r w:rsidRPr="008F7A9F">
        <w:rPr>
          <w:color w:val="000000" w:themeColor="text1"/>
          <w:sz w:val="24"/>
          <w:lang w:val="hr-HR"/>
        </w:rPr>
        <w:t>potkombinacija</w:t>
      </w:r>
      <w:r w:rsidRPr="008F7A9F">
        <w:rPr>
          <w:color w:val="000000" w:themeColor="text1"/>
          <w:sz w:val="24"/>
          <w:lang w:val="hr-HR"/>
        </w:rPr>
        <w:t>, sastoje se ili su proizvedeni od njih, u skladu s Uredbom (EZ) br. 1829/2003 Europskog parlamenta i Vijeća (SL C, C/2025/1799, 4.4.2025., ELI: </w:t>
      </w:r>
      <w:hyperlink r:id="rId7" w:history="1">
        <w:r w:rsidRPr="008F7A9F">
          <w:rPr>
            <w:rStyle w:val="Hyperlink"/>
            <w:sz w:val="24"/>
            <w:lang w:val="hr-HR"/>
          </w:rPr>
          <w:t>http://data.europa.eu/eli/C/2025/1799/oj</w:t>
        </w:r>
      </w:hyperlink>
      <w:r w:rsidRPr="008F7A9F">
        <w:rPr>
          <w:color w:val="000000" w:themeColor="text1"/>
          <w:sz w:val="24"/>
          <w:lang w:val="hr-HR"/>
        </w:rPr>
        <w:t>).</w:t>
      </w:r>
    </w:p>
    <w:p w:rsidR="00005F7A" w:rsidRPr="008F7A9F" w:rsidP="00FC1086" w14:paraId="068E2CD1" w14:textId="6D2508C4">
      <w:pPr>
        <w:pStyle w:val="FootnoteText"/>
        <w:ind w:left="1134" w:hanging="567"/>
        <w:rPr>
          <w:color w:val="000000" w:themeColor="text1"/>
          <w:sz w:val="24"/>
          <w:vertAlign w:val="superscript"/>
          <w:lang w:val="hr-HR"/>
        </w:rPr>
      </w:pPr>
      <w:r w:rsidRPr="008F7A9F">
        <w:rPr>
          <w:color w:val="000000" w:themeColor="text1"/>
          <w:sz w:val="24"/>
          <w:lang w:val="hr-HR"/>
        </w:rPr>
        <w:t>–</w:t>
      </w:r>
      <w:r w:rsidRPr="008F7A9F">
        <w:rPr>
          <w:color w:val="000000" w:themeColor="text1"/>
          <w:sz w:val="24"/>
          <w:lang w:val="hr-HR"/>
        </w:rPr>
        <w:tab/>
        <w:t>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8" w:history="1">
        <w:r w:rsidRPr="008F7A9F">
          <w:rPr>
            <w:rStyle w:val="Hyperlink"/>
            <w:sz w:val="24"/>
            <w:lang w:val="hr-HR"/>
          </w:rPr>
          <w:t>http://data.europa.eu/eli/C/2025/1800/oj</w:t>
        </w:r>
      </w:hyperlink>
      <w:r w:rsidRPr="008F7A9F">
        <w:rPr>
          <w:color w:val="000000" w:themeColor="text1"/>
          <w:sz w:val="24"/>
          <w:lang w:val="hr-HR"/>
        </w:rPr>
        <w:t>).</w:t>
      </w:r>
    </w:p>
    <w:p w:rsidR="00005F7A" w:rsidRPr="008F7A9F" w:rsidP="00FC1086" w14:paraId="175A0F91" w14:textId="1F8862F9">
      <w:pPr>
        <w:pStyle w:val="FootnoteText"/>
        <w:ind w:left="1134" w:hanging="567"/>
        <w:rPr>
          <w:color w:val="000000" w:themeColor="text1"/>
          <w:sz w:val="24"/>
          <w:vertAlign w:val="superscript"/>
          <w:lang w:val="hr-HR"/>
        </w:rPr>
      </w:pPr>
      <w:r w:rsidRPr="008F7A9F">
        <w:rPr>
          <w:color w:val="000000" w:themeColor="text1"/>
          <w:sz w:val="24"/>
          <w:lang w:val="hr-HR"/>
        </w:rPr>
        <w:t>–</w:t>
      </w:r>
      <w:r w:rsidRPr="008F7A9F">
        <w:rPr>
          <w:color w:val="000000" w:themeColor="text1"/>
          <w:sz w:val="24"/>
          <w:lang w:val="hr-HR"/>
        </w:rPr>
        <w:tab/>
        <w:t>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9" w:history="1">
        <w:r w:rsidRPr="008F7A9F">
          <w:rPr>
            <w:rStyle w:val="Hyperlink"/>
            <w:sz w:val="24"/>
            <w:lang w:val="hr-HR"/>
          </w:rPr>
          <w:t>http://data.europa.eu/eli/C/2025/1801/oj</w:t>
        </w:r>
      </w:hyperlink>
      <w:r w:rsidRPr="008F7A9F">
        <w:rPr>
          <w:color w:val="000000" w:themeColor="text1"/>
          <w:sz w:val="24"/>
          <w:lang w:val="hr-HR"/>
        </w:rPr>
        <w:t>).</w:t>
      </w:r>
    </w:p>
    <w:p w:rsidR="00005F7A" w:rsidRPr="008F7A9F" w:rsidP="00FC1086" w14:paraId="7513E5A5" w14:textId="7AEBD818">
      <w:pPr>
        <w:pStyle w:val="FootnoteText"/>
        <w:ind w:left="1134" w:hanging="567"/>
        <w:rPr>
          <w:color w:val="000000" w:themeColor="text1"/>
          <w:sz w:val="24"/>
          <w:vertAlign w:val="superscript"/>
          <w:lang w:val="hr-HR"/>
        </w:rPr>
      </w:pPr>
      <w:r w:rsidRPr="008F7A9F">
        <w:rPr>
          <w:color w:val="000000" w:themeColor="text1"/>
          <w:sz w:val="24"/>
          <w:lang w:val="hr-HR"/>
        </w:rPr>
        <w:t>–</w:t>
      </w:r>
      <w:r w:rsidRPr="008F7A9F">
        <w:rPr>
          <w:color w:val="000000" w:themeColor="text1"/>
          <w:sz w:val="24"/>
          <w:lang w:val="hr-HR"/>
        </w:rPr>
        <w:tab/>
        <w:t>Rezoluciju Europskog parlamenta od 26. studenoga 2024. o Provedbenoj odluci Komisije (EU) 2024/1826 o odobravanju stavljanja na tržište proizvoda koji sadržavaju genetski modificirani kukuruz DP23211, sastoje se od njega ili su od njega proizvedeni, na temelju Uredbe (EZ) br. 1829/2003 Europskog parlamenta i Vijeća (SL C, C/2025/1802, 4.4.2025., ELI: </w:t>
      </w:r>
      <w:hyperlink r:id="rId10" w:history="1">
        <w:r w:rsidRPr="008F7A9F">
          <w:rPr>
            <w:rStyle w:val="Hyperlink"/>
            <w:sz w:val="24"/>
            <w:lang w:val="hr-HR"/>
          </w:rPr>
          <w:t>http://data.europa.eu/eli/C/2025/1802/oj</w:t>
        </w:r>
      </w:hyperlink>
      <w:r w:rsidRPr="008F7A9F">
        <w:rPr>
          <w:color w:val="000000" w:themeColor="text1"/>
          <w:sz w:val="24"/>
          <w:lang w:val="hr-HR"/>
        </w:rPr>
        <w:t>).</w:t>
      </w:r>
    </w:p>
    <w:p w:rsidR="00005F7A" w:rsidRPr="008F7A9F" w:rsidP="00FC1086" w14:paraId="175DDF15" w14:textId="2FB407C2">
      <w:pPr>
        <w:pStyle w:val="FootnoteText"/>
        <w:ind w:left="1134" w:hanging="567"/>
        <w:rPr>
          <w:color w:val="000000" w:themeColor="text1"/>
          <w:sz w:val="24"/>
          <w:vertAlign w:val="superscript"/>
          <w:lang w:val="hr-HR"/>
        </w:rPr>
      </w:pPr>
      <w:r w:rsidRPr="008F7A9F">
        <w:rPr>
          <w:color w:val="000000" w:themeColor="text1"/>
          <w:sz w:val="24"/>
          <w:lang w:val="hr-HR"/>
        </w:rPr>
        <w:t>–</w:t>
      </w:r>
      <w:r w:rsidRPr="008F7A9F">
        <w:rPr>
          <w:color w:val="000000" w:themeColor="text1"/>
          <w:sz w:val="24"/>
          <w:lang w:val="hr-HR"/>
        </w:rPr>
        <w:tab/>
        <w:t>Rezoluciju Europskog parlamenta od 26. studenoga 2024. o Provedbenoj odluci Komisije (EU) 2024/2618 o odobravanju stavljanja na tržište proizvoda koji sadržavaju genetski modificirani kukuruz DP202216, sastoje se od njega ili su od njega proizvedeni, na temelju Uredbe (EZ) br. 1829/2003 Europskog parlamenta i Vijeća (SL C, C/2025/1803, 4.4.2025., ELI: </w:t>
      </w:r>
      <w:hyperlink r:id="rId11" w:history="1">
        <w:r w:rsidRPr="008F7A9F">
          <w:rPr>
            <w:rStyle w:val="Hyperlink"/>
            <w:sz w:val="24"/>
            <w:lang w:val="hr-HR"/>
          </w:rPr>
          <w:t>http://data.europa.eu/eli/C/2025/1803/oj</w:t>
        </w:r>
      </w:hyperlink>
      <w:r w:rsidRPr="008F7A9F">
        <w:rPr>
          <w:color w:val="000000" w:themeColor="text1"/>
          <w:sz w:val="24"/>
          <w:lang w:val="hr-HR"/>
        </w:rPr>
        <w:t>).</w:t>
      </w:r>
    </w:p>
    <w:p w:rsidR="00005F7A" w:rsidRPr="00FC1086" w:rsidP="00FC1086" w14:paraId="0743F117" w14:textId="49224D1F">
      <w:pPr>
        <w:pStyle w:val="FootnoteText"/>
        <w:ind w:left="1134" w:hanging="567"/>
        <w:rPr>
          <w:color w:val="000000" w:themeColor="text1"/>
          <w:sz w:val="24"/>
          <w:szCs w:val="24"/>
          <w:vertAlign w:val="superscript"/>
          <w:lang w:val="hr-HR"/>
        </w:rPr>
      </w:pPr>
      <w:r w:rsidRPr="00FC1086">
        <w:rPr>
          <w:color w:val="000000" w:themeColor="text1"/>
          <w:sz w:val="24"/>
          <w:szCs w:val="24"/>
          <w:lang w:val="hr-HR"/>
        </w:rPr>
        <w:t>–</w:t>
      </w:r>
      <w:r w:rsidRPr="00FC1086">
        <w:rPr>
          <w:color w:val="000000" w:themeColor="text1"/>
          <w:sz w:val="24"/>
          <w:szCs w:val="24"/>
          <w:lang w:val="hr-HR"/>
        </w:rPr>
        <w:tab/>
        <w:t>Rezoluciju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2" w:history="1">
        <w:r w:rsidRPr="00FC1086">
          <w:rPr>
            <w:rStyle w:val="Hyperlink"/>
            <w:sz w:val="24"/>
            <w:szCs w:val="24"/>
            <w:lang w:val="hr-HR"/>
          </w:rPr>
          <w:t>http://data.europa.eu/eli/C/2025/1804/oj</w:t>
        </w:r>
      </w:hyperlink>
      <w:r w:rsidRPr="00FC1086">
        <w:rPr>
          <w:color w:val="000000" w:themeColor="text1"/>
          <w:sz w:val="24"/>
          <w:szCs w:val="24"/>
          <w:lang w:val="hr-HR"/>
        </w:rPr>
        <w:t>).</w:t>
      </w:r>
    </w:p>
    <w:p w:rsidR="00005F7A" w:rsidRPr="00FC1086" w:rsidP="00FC1086" w14:paraId="5484A545" w14:textId="3E070CD9">
      <w:pPr>
        <w:pStyle w:val="FootnoteText"/>
        <w:ind w:left="1134" w:hanging="567"/>
        <w:rPr>
          <w:sz w:val="24"/>
          <w:szCs w:val="24"/>
          <w:vertAlign w:val="superscript"/>
          <w:lang w:val="hr-HR"/>
        </w:rPr>
      </w:pPr>
      <w:r w:rsidRPr="00FC1086">
        <w:rPr>
          <w:color w:val="000000" w:themeColor="text1"/>
          <w:sz w:val="24"/>
          <w:szCs w:val="24"/>
          <w:lang w:val="hr-HR"/>
        </w:rPr>
        <w:t>–</w:t>
      </w:r>
      <w:r w:rsidRPr="00FC1086">
        <w:rPr>
          <w:color w:val="000000" w:themeColor="text1"/>
          <w:sz w:val="24"/>
          <w:szCs w:val="24"/>
          <w:lang w:val="hr-HR"/>
        </w:rPr>
        <w:tab/>
      </w:r>
      <w:r w:rsidRPr="00FC1086">
        <w:rPr>
          <w:sz w:val="24"/>
          <w:szCs w:val="24"/>
          <w:lang w:val="hr-HR"/>
        </w:rPr>
        <w:t>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3" w:history="1">
        <w:r w:rsidRPr="00FC1086">
          <w:rPr>
            <w:rStyle w:val="Hyperlink"/>
            <w:sz w:val="24"/>
            <w:szCs w:val="24"/>
            <w:lang w:val="hr-HR"/>
          </w:rPr>
          <w:t>http://data.europa.eu/eli/C/2025/2246/oj</w:t>
        </w:r>
      </w:hyperlink>
      <w:r w:rsidRPr="00FC1086">
        <w:rPr>
          <w:sz w:val="24"/>
          <w:szCs w:val="24"/>
          <w:lang w:val="hr-HR"/>
        </w:rPr>
        <w:t>).</w:t>
      </w:r>
    </w:p>
    <w:p w:rsidR="00005F7A" w:rsidRPr="00FC1086" w:rsidP="00FC1086" w14:paraId="7FC51E75" w14:textId="0F39E9D8">
      <w:pPr>
        <w:pStyle w:val="FootnoteText"/>
        <w:ind w:left="1134" w:hanging="567"/>
        <w:rPr>
          <w:sz w:val="24"/>
          <w:szCs w:val="24"/>
          <w:vertAlign w:val="superscript"/>
          <w:lang w:val="hr-HR"/>
        </w:rPr>
      </w:pPr>
      <w:r w:rsidRPr="00FC1086">
        <w:rPr>
          <w:sz w:val="24"/>
          <w:szCs w:val="24"/>
          <w:lang w:val="hr-HR"/>
        </w:rPr>
        <w:t>–</w:t>
      </w:r>
      <w:r w:rsidRPr="00FC1086">
        <w:rPr>
          <w:sz w:val="24"/>
          <w:szCs w:val="24"/>
          <w:lang w:val="hr-HR"/>
        </w:rPr>
        <w:tab/>
        <w:t>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4" w:history="1">
        <w:r w:rsidRPr="00FC1086">
          <w:rPr>
            <w:rStyle w:val="Hyperlink"/>
            <w:sz w:val="24"/>
            <w:szCs w:val="24"/>
            <w:lang w:val="hr-HR"/>
          </w:rPr>
          <w:t>http://data.europa.eu/eli/C/2025/2247/oj</w:t>
        </w:r>
      </w:hyperlink>
      <w:r w:rsidRPr="00FC1086">
        <w:rPr>
          <w:sz w:val="24"/>
          <w:szCs w:val="24"/>
          <w:lang w:val="hr-HR"/>
        </w:rPr>
        <w:t>).</w:t>
      </w:r>
    </w:p>
    <w:p w:rsidR="00005F7A" w:rsidRPr="00FC1086" w:rsidP="00FC1086" w14:paraId="482E58E7" w14:textId="39567F48">
      <w:pPr>
        <w:pStyle w:val="FootnoteText"/>
        <w:ind w:left="1134" w:hanging="567"/>
        <w:rPr>
          <w:sz w:val="24"/>
          <w:szCs w:val="24"/>
          <w:vertAlign w:val="superscript"/>
          <w:lang w:val="hr-HR"/>
        </w:rPr>
      </w:pPr>
      <w:r w:rsidRPr="00FC1086">
        <w:rPr>
          <w:sz w:val="24"/>
          <w:szCs w:val="24"/>
          <w:lang w:val="hr-HR"/>
        </w:rPr>
        <w:t>–</w:t>
      </w:r>
      <w:r w:rsidRPr="00FC1086">
        <w:rPr>
          <w:sz w:val="24"/>
          <w:szCs w:val="24"/>
          <w:lang w:val="hr-HR"/>
        </w:rPr>
        <w:tab/>
        <w:t>Rezoluciju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(SL C, C/2026/586, 24.2.2026., ELI: </w:t>
      </w:r>
      <w:hyperlink r:id="rId15" w:tooltip="ELI URI za pristup dokumentu." w:history="1">
        <w:r w:rsidRPr="00FC1086">
          <w:rPr>
            <w:rStyle w:val="Hyperlink"/>
            <w:sz w:val="24"/>
            <w:szCs w:val="24"/>
            <w:lang w:val="hr-HR"/>
          </w:rPr>
          <w:t>http://data.europa.eu/eli/C/2026/586/oj</w:t>
        </w:r>
      </w:hyperlink>
      <w:r w:rsidRPr="00FC1086">
        <w:rPr>
          <w:sz w:val="24"/>
          <w:szCs w:val="24"/>
          <w:lang w:val="hr-HR"/>
        </w:rPr>
        <w:t>).</w:t>
      </w:r>
    </w:p>
    <w:p w:rsidR="00005F7A" w:rsidRPr="00FC1086" w:rsidP="00FC1086" w14:paraId="35156D10" w14:textId="5686563B">
      <w:pPr>
        <w:pStyle w:val="FootnoteText"/>
        <w:ind w:left="1134" w:hanging="567"/>
        <w:rPr>
          <w:sz w:val="24"/>
          <w:szCs w:val="24"/>
          <w:vertAlign w:val="superscript"/>
          <w:lang w:val="hr-HR"/>
        </w:rPr>
      </w:pPr>
      <w:r w:rsidRPr="00FC1086">
        <w:rPr>
          <w:sz w:val="24"/>
          <w:szCs w:val="24"/>
          <w:lang w:val="hr-HR"/>
        </w:rPr>
        <w:t>–</w:t>
      </w:r>
      <w:r w:rsidRPr="00FC1086">
        <w:rPr>
          <w:sz w:val="24"/>
          <w:szCs w:val="24"/>
          <w:lang w:val="hr-HR"/>
        </w:rPr>
        <w:tab/>
        <w:t xml:space="preserve">Rezoluciju Europskog parlamenta od 8. listopada 2025. </w:t>
      </w:r>
      <w:r w:rsidRPr="00FC1086">
        <w:rPr>
          <w:sz w:val="24"/>
          <w:szCs w:val="24"/>
          <w:lang w:val="hr-HR"/>
        </w:rPr>
        <w:t>o Provedbenoj odluci Komisije (EU) 202</w:t>
      </w:r>
      <w:r w:rsidR="005773F3">
        <w:rPr>
          <w:sz w:val="24"/>
          <w:szCs w:val="24"/>
          <w:lang w:val="hr-HR"/>
        </w:rPr>
        <w:t>5</w:t>
      </w:r>
      <w:r w:rsidRPr="00FC1086">
        <w:rPr>
          <w:sz w:val="24"/>
          <w:szCs w:val="24"/>
          <w:lang w:val="hr-HR"/>
        </w:rPr>
        <w:t>/1898 od 22. rujna 2025. o odobravanju stavljanja na tržište proizvoda koji sadržavaju genetski modificirani kukuruz DP51291, sastoje se od njega ili su od njega proizvedeni, na temelju Uredbe (EZ) br. 1829/2003 Europskog parlamenta i Vijeća (SL C, C/2026/1523, 15.4.2026., ELI: </w:t>
      </w:r>
      <w:hyperlink r:id="rId16" w:history="1">
        <w:r w:rsidRPr="00FC1086">
          <w:rPr>
            <w:rStyle w:val="Hyperlink"/>
            <w:sz w:val="24"/>
            <w:szCs w:val="24"/>
            <w:lang w:val="hr-HR"/>
          </w:rPr>
          <w:t>http://data.europa.eu/eli/C/2026/1523/oj</w:t>
        </w:r>
      </w:hyperlink>
      <w:r w:rsidRPr="00FC1086">
        <w:rPr>
          <w:sz w:val="24"/>
          <w:szCs w:val="24"/>
          <w:lang w:val="hr-HR"/>
        </w:rPr>
        <w:t>).</w:t>
      </w:r>
    </w:p>
    <w:p w:rsidR="00005F7A" w:rsidRPr="00FC1086" w:rsidP="00FC1086" w14:paraId="1205BBCF" w14:textId="416E135B">
      <w:pPr>
        <w:pStyle w:val="FootnoteText"/>
        <w:ind w:left="1134" w:hanging="567"/>
        <w:rPr>
          <w:sz w:val="24"/>
          <w:szCs w:val="24"/>
          <w:vertAlign w:val="superscript"/>
          <w:lang w:val="hr-HR"/>
        </w:rPr>
      </w:pPr>
      <w:r w:rsidRPr="00FC1086">
        <w:rPr>
          <w:sz w:val="24"/>
          <w:szCs w:val="24"/>
          <w:lang w:val="hr-HR"/>
        </w:rPr>
        <w:t>–</w:t>
      </w:r>
      <w:r w:rsidRPr="00FC1086">
        <w:rPr>
          <w:sz w:val="24"/>
          <w:szCs w:val="24"/>
          <w:lang w:val="hr-HR"/>
        </w:rPr>
        <w:tab/>
        <w:t>Rezoluciju Europskog parlamenta od 25. studenog 2025. o Nacrtu provedbene odluke Komisije o odobravanju stavljanja na tržište proizvoda koji sadržavaju genetski modificirani kukuruz DAS1131, sastoje se od njega ili su od njega proizvedeni, na temelju Uredbe (EZ) br. 1829/2003 Europskog parlamenta i Vijeća (SL C, C/2026/1703, 24.4.2026., ELI: </w:t>
      </w:r>
      <w:hyperlink r:id="rId17" w:history="1">
        <w:r w:rsidRPr="00FC1086">
          <w:rPr>
            <w:rStyle w:val="Hyperlink"/>
            <w:sz w:val="24"/>
            <w:szCs w:val="24"/>
            <w:lang w:val="hr-HR"/>
          </w:rPr>
          <w:t>http://data.europa.eu/eli/C/2026/1703/oj</w:t>
        </w:r>
      </w:hyperlink>
      <w:r w:rsidRPr="00FC1086">
        <w:rPr>
          <w:sz w:val="24"/>
          <w:szCs w:val="24"/>
          <w:lang w:val="hr-HR"/>
        </w:rPr>
        <w:t>).</w:t>
      </w:r>
    </w:p>
    <w:p w:rsidR="00005F7A" w:rsidRPr="00FC1086" w:rsidP="00FC1086" w14:paraId="0102A222" w14:textId="31CCEA30">
      <w:pPr>
        <w:pStyle w:val="FootnoteText"/>
        <w:ind w:left="1134" w:hanging="567"/>
        <w:rPr>
          <w:sz w:val="24"/>
          <w:szCs w:val="24"/>
          <w:vertAlign w:val="superscript"/>
          <w:lang w:val="hr-HR"/>
        </w:rPr>
      </w:pPr>
      <w:r w:rsidRPr="00FC1086">
        <w:rPr>
          <w:sz w:val="24"/>
          <w:szCs w:val="24"/>
          <w:lang w:val="hr-HR"/>
        </w:rPr>
        <w:t>–</w:t>
      </w:r>
      <w:r w:rsidRPr="00FC1086">
        <w:rPr>
          <w:sz w:val="24"/>
          <w:szCs w:val="24"/>
          <w:lang w:val="hr-HR"/>
        </w:rPr>
        <w:tab/>
        <w:t>Rezoluciju Europskog parlamenta od 25. studenog 2025. o Nacrtu provedbene odluke Komisije o produljenju odobrenja za stavljanje na tržište proizvoda koji sadržavaju genetski modificirani pamuk MON 88913 (MON-88913-8), sastoje se od njega ili su proizvedeni od njega, u skladu s Uredbom (EZ) br. 1829/2003 Europskog parlamenta i Vijeća (SL C, C/2026/1704, 24.4.2026., ELI: </w:t>
      </w:r>
      <w:hyperlink r:id="rId18" w:history="1">
        <w:r w:rsidRPr="00FC1086">
          <w:rPr>
            <w:rStyle w:val="Hyperlink"/>
            <w:sz w:val="24"/>
            <w:szCs w:val="24"/>
            <w:lang w:val="hr-HR"/>
          </w:rPr>
          <w:t>http://data.europa.eu/eli/C/2026/1704/oj</w:t>
        </w:r>
      </w:hyperlink>
      <w:r w:rsidRPr="00FC1086">
        <w:rPr>
          <w:sz w:val="24"/>
          <w:szCs w:val="24"/>
          <w:lang w:val="hr-HR"/>
        </w:rPr>
        <w:t>).</w:t>
      </w:r>
    </w:p>
    <w:p w:rsidR="00005F7A" w:rsidRPr="00FC1086" w:rsidP="00FC1086" w14:paraId="5D12B317" w14:textId="5F65BF7A">
      <w:pPr>
        <w:pStyle w:val="FootnoteText"/>
        <w:ind w:left="1134" w:hanging="567"/>
        <w:rPr>
          <w:sz w:val="24"/>
          <w:szCs w:val="24"/>
          <w:vertAlign w:val="superscript"/>
          <w:lang w:val="hr-HR"/>
        </w:rPr>
      </w:pPr>
      <w:r w:rsidRPr="00FC1086">
        <w:rPr>
          <w:sz w:val="24"/>
          <w:szCs w:val="24"/>
          <w:lang w:val="hr-HR"/>
        </w:rPr>
        <w:t>–</w:t>
      </w:r>
      <w:r w:rsidRPr="00FC1086">
        <w:rPr>
          <w:sz w:val="24"/>
          <w:szCs w:val="24"/>
          <w:lang w:val="hr-HR"/>
        </w:rPr>
        <w:tab/>
        <w:t>Rezoluciju Europskog parlamenta od 25. studenog 2025. o Nacrtu provedbene odluke Komisije o produljenju odobrenja za stavljanje na tržište proizvoda koji sadržavaju genetski modificiranu uljanu repicu MON 88302, sastoje se ili su proizvedeni od nje na temelju Uredbe (EZ) br. 1829/2003 Europskog parlamenta i Vijeća (SL C, C/2026/1705, 24.4.2026., ELI: </w:t>
      </w:r>
      <w:hyperlink r:id="rId19" w:history="1">
        <w:r w:rsidRPr="00FC1086">
          <w:rPr>
            <w:rStyle w:val="Hyperlink"/>
            <w:sz w:val="24"/>
            <w:szCs w:val="24"/>
            <w:lang w:val="hr-HR"/>
          </w:rPr>
          <w:t>http://data.europa.eu/eli/C/2026/1705/oj</w:t>
        </w:r>
      </w:hyperlink>
      <w:r w:rsidRPr="00FC1086">
        <w:rPr>
          <w:sz w:val="24"/>
          <w:szCs w:val="24"/>
          <w:lang w:val="hr-HR"/>
        </w:rPr>
        <w:t>).</w:t>
      </w:r>
    </w:p>
    <w:p w:rsidR="00005F7A" w:rsidRPr="008F7A9F" w:rsidP="00FC1086" w14:paraId="316D50CD" w14:textId="1E5C3924">
      <w:pPr>
        <w:pStyle w:val="FootnoteText"/>
        <w:ind w:left="1134" w:hanging="567"/>
        <w:rPr>
          <w:sz w:val="24"/>
          <w:vertAlign w:val="superscript"/>
          <w:lang w:val="hr-HR"/>
        </w:rPr>
      </w:pPr>
      <w:r w:rsidRPr="00FC1086">
        <w:rPr>
          <w:sz w:val="24"/>
          <w:szCs w:val="24"/>
          <w:lang w:val="hr-HR"/>
        </w:rPr>
        <w:t>–</w:t>
      </w:r>
      <w:r w:rsidRPr="00FC1086">
        <w:rPr>
          <w:sz w:val="24"/>
          <w:szCs w:val="24"/>
          <w:lang w:val="hr-HR"/>
        </w:rPr>
        <w:tab/>
        <w:t>Rezoluciju Europskog parlamenta od 25. studenog 2025. o Nacrtu provedb</w:t>
      </w:r>
      <w:r w:rsidRPr="008F7A9F">
        <w:rPr>
          <w:sz w:val="24"/>
          <w:lang w:val="hr-HR"/>
        </w:rPr>
        <w:t>ene odluke Komisije o produljenju odobrenja za stavljanje na tržište proizvoda koji sadržavaju genetski modificiranu soju MON 87708, sastoje se ili su proizvedeni od nje, u skladu s Uredbom (EZ) br. 1829/2003 Europskog parlamenta i Vijeća (SL C, C/2026/1706, 24.4.2026., ELI: </w:t>
      </w:r>
      <w:hyperlink r:id="rId20" w:history="1">
        <w:r w:rsidRPr="008F7A9F">
          <w:rPr>
            <w:rStyle w:val="Hyperlink"/>
            <w:sz w:val="24"/>
            <w:lang w:val="hr-HR"/>
          </w:rPr>
          <w:t>http://data.europa.eu/eli/C/2026/1706/oj</w:t>
        </w:r>
      </w:hyperlink>
      <w:r w:rsidRPr="008F7A9F">
        <w:rPr>
          <w:sz w:val="24"/>
          <w:lang w:val="hr-HR"/>
        </w:rPr>
        <w:t>).</w:t>
      </w:r>
    </w:p>
    <w:p w:rsidR="00005F7A" w:rsidRPr="008F7A9F" w:rsidP="00FC1086" w14:paraId="49C18670" w14:textId="6681ADBC">
      <w:pPr>
        <w:pStyle w:val="FootnoteText"/>
        <w:ind w:left="1134" w:hanging="567"/>
        <w:rPr>
          <w:sz w:val="24"/>
          <w:vertAlign w:val="superscript"/>
          <w:lang w:val="hr-HR"/>
        </w:rPr>
      </w:pPr>
      <w:r w:rsidRPr="008F7A9F">
        <w:rPr>
          <w:sz w:val="24"/>
          <w:lang w:val="hr-HR"/>
        </w:rPr>
        <w:t>–</w:t>
      </w:r>
      <w:r w:rsidRPr="008F7A9F">
        <w:rPr>
          <w:sz w:val="24"/>
          <w:lang w:val="hr-HR"/>
        </w:rPr>
        <w:tab/>
        <w:t xml:space="preserve">Rezoluciju Europskog parlamenta od 25. studenog 2025. o Nacrtu provedbene odluke Komisije o produljenju odobrenja za stavljanje na tržište proizvoda koji sadržavaju genetski modificirani kukuruz MON 87427 (MON-88913-8), sastoje se od njega ili su proizvedeni od njega, u skladu s Uredbom </w:t>
      </w:r>
      <w:r w:rsidR="005773F3">
        <w:rPr>
          <w:sz w:val="24"/>
          <w:lang w:val="hr-HR"/>
        </w:rPr>
        <w:t xml:space="preserve">(EZ) </w:t>
      </w:r>
      <w:r w:rsidRPr="008F7A9F">
        <w:rPr>
          <w:sz w:val="24"/>
          <w:lang w:val="hr-HR"/>
        </w:rPr>
        <w:t>br. 1829/2003 Europskog parlamenta i Vijeća (SL C, C/2026/1707, 24.4.2026., ELI: </w:t>
      </w:r>
      <w:hyperlink r:id="rId21" w:history="1">
        <w:r w:rsidRPr="008F7A9F">
          <w:rPr>
            <w:rStyle w:val="Hyperlink"/>
            <w:sz w:val="24"/>
            <w:lang w:val="hr-HR"/>
          </w:rPr>
          <w:t>http://data.europa.eu/eli/C/2026/1707/oj</w:t>
        </w:r>
      </w:hyperlink>
      <w:r w:rsidRPr="008F7A9F">
        <w:rPr>
          <w:sz w:val="24"/>
          <w:lang w:val="hr-HR"/>
        </w:rPr>
        <w:t>).</w:t>
      </w:r>
    </w:p>
    <w:p w:rsidR="00005F7A" w:rsidRPr="008F7A9F" w:rsidP="00FC1086" w14:paraId="204F58D9" w14:textId="35AA2B60">
      <w:pPr>
        <w:pStyle w:val="FootnoteText"/>
        <w:ind w:left="1134" w:hanging="567"/>
        <w:rPr>
          <w:sz w:val="24"/>
          <w:vertAlign w:val="superscript"/>
          <w:lang w:val="hr-HR"/>
        </w:rPr>
      </w:pPr>
      <w:r w:rsidRPr="008F7A9F">
        <w:rPr>
          <w:sz w:val="24"/>
          <w:lang w:val="hr-HR"/>
        </w:rPr>
        <w:t>–</w:t>
      </w:r>
      <w:r w:rsidRPr="008F7A9F">
        <w:rPr>
          <w:sz w:val="24"/>
          <w:lang w:val="hr-HR"/>
        </w:rPr>
        <w:tab/>
        <w:t>Rezoluciju Europskog parlamenta od 16. prosinca 2025. o Nacrtu provedbene odluke Komisije o produljenju odobrenja za stavljanje na tržište proizvoda koji sadržavaju genetski modificirani kukuruz NK603, sastoje se ili su proizvedeni od nje na temelju Uredbe (EZ) br. 1829/2003 Europskog parlamenta i Vijeća (SL C, C/2026/2150, 6.5.2026., ELI: </w:t>
      </w:r>
      <w:hyperlink r:id="rId22" w:history="1">
        <w:r w:rsidRPr="008F7A9F">
          <w:rPr>
            <w:rStyle w:val="Hyperlink"/>
            <w:sz w:val="24"/>
            <w:lang w:val="hr-HR"/>
          </w:rPr>
          <w:t>http://data.europa.eu/eli/C/2026/2150/oj</w:t>
        </w:r>
      </w:hyperlink>
      <w:r w:rsidRPr="008F7A9F">
        <w:rPr>
          <w:sz w:val="24"/>
          <w:lang w:val="hr-HR"/>
        </w:rPr>
        <w:t>).</w:t>
      </w:r>
    </w:p>
    <w:p w:rsidR="00005F7A" w:rsidRPr="008F7A9F" w:rsidP="00FC1086" w14:paraId="1F102E5D" w14:textId="17F3043A">
      <w:pPr>
        <w:pStyle w:val="FootnoteText"/>
        <w:ind w:left="1134" w:hanging="567"/>
        <w:rPr>
          <w:sz w:val="24"/>
          <w:vertAlign w:val="superscript"/>
          <w:lang w:val="hr-HR"/>
        </w:rPr>
      </w:pPr>
      <w:r w:rsidRPr="008F7A9F">
        <w:rPr>
          <w:sz w:val="24"/>
          <w:lang w:val="hr-HR"/>
        </w:rPr>
        <w:t>–</w:t>
      </w:r>
      <w:r w:rsidRPr="008F7A9F">
        <w:rPr>
          <w:sz w:val="24"/>
          <w:lang w:val="hr-HR"/>
        </w:rPr>
        <w:tab/>
        <w:t>Rezoluciju Europskog parlamenta od 16. prosinca 2025. o Nacrtu provedbene odluke Komisije o odobravanju stavljanja na tržište hrane, sastojaka hrane i hrane za životinje proizvedenih od genetski modificirane šećerne repe KWS20-1 u skladu s Uredbom (EZ) br. </w:t>
      </w:r>
      <w:r w:rsidR="005773F3">
        <w:rPr>
          <w:sz w:val="24"/>
          <w:lang w:val="hr-HR"/>
        </w:rPr>
        <w:t>1</w:t>
      </w:r>
      <w:r w:rsidRPr="008F7A9F">
        <w:rPr>
          <w:sz w:val="24"/>
          <w:lang w:val="hr-HR"/>
        </w:rPr>
        <w:t>829/2003 Europskog parlamenta i Vijeća (SL C, C/2026/2151, 6.5.2026., ELI: </w:t>
      </w:r>
      <w:hyperlink r:id="rId23" w:history="1">
        <w:r w:rsidRPr="008F7A9F">
          <w:rPr>
            <w:rStyle w:val="Hyperlink"/>
            <w:sz w:val="24"/>
            <w:lang w:val="hr-HR"/>
          </w:rPr>
          <w:t>http://data.europa.eu/eli/C/2026/2151/oj</w:t>
        </w:r>
      </w:hyperlink>
      <w:r w:rsidRPr="008F7A9F">
        <w:rPr>
          <w:sz w:val="24"/>
          <w:lang w:val="hr-HR"/>
        </w:rPr>
        <w:t>).</w:t>
      </w:r>
    </w:p>
    <w:p w:rsidR="00005F7A" w:rsidRPr="008F7A9F" w:rsidP="00FC1086" w14:paraId="4ACF5BBC" w14:textId="0661705F">
      <w:pPr>
        <w:pStyle w:val="FootnoteText"/>
        <w:ind w:left="1134" w:hanging="567"/>
        <w:rPr>
          <w:sz w:val="24"/>
          <w:vertAlign w:val="superscript"/>
          <w:lang w:val="hr-HR"/>
        </w:rPr>
      </w:pPr>
      <w:r w:rsidRPr="008F7A9F">
        <w:rPr>
          <w:sz w:val="24"/>
          <w:lang w:val="hr-HR"/>
        </w:rPr>
        <w:t>–</w:t>
      </w:r>
      <w:r w:rsidRPr="008F7A9F">
        <w:rPr>
          <w:sz w:val="24"/>
          <w:lang w:val="hr-HR"/>
        </w:rPr>
        <w:tab/>
        <w:t>Rezoluciju Europskog parlamenta od 11. veljače 2026. o Nacrtu provedbene odluke Komisije o odobravanju stavljanja na tržište proizvoda koji sadržavaju genetski modificiranu soju DBN</w:t>
      </w:r>
      <w:r w:rsidRPr="008F7A9F">
        <w:rPr>
          <w:sz w:val="24"/>
          <w:lang w:val="hr-HR"/>
        </w:rPr>
        <w:noBreakHyphen/>
        <w:t>09004-6, sastoje se ili su proizvedeni od nje, u skladu s Uredbom (EZ) br. 1829/2003 Europskog parlamenta i Vijeća (Usvojeni tekstovi, P10_TA(2026)0041).</w:t>
      </w:r>
    </w:p>
    <w:p w:rsidR="00005F7A" w:rsidRPr="008F7A9F" w:rsidP="00FC1086" w14:paraId="0FFF0CBF" w14:textId="7661562C">
      <w:pPr>
        <w:pStyle w:val="FootnoteText"/>
        <w:ind w:left="1134" w:hanging="567"/>
        <w:rPr>
          <w:sz w:val="24"/>
          <w:vertAlign w:val="superscript"/>
          <w:lang w:val="hr-HR"/>
        </w:rPr>
      </w:pPr>
      <w:r w:rsidRPr="008F7A9F">
        <w:rPr>
          <w:sz w:val="24"/>
          <w:lang w:val="hr-HR"/>
        </w:rPr>
        <w:t>–</w:t>
      </w:r>
      <w:r w:rsidRPr="008F7A9F">
        <w:rPr>
          <w:sz w:val="24"/>
          <w:lang w:val="hr-HR"/>
        </w:rPr>
        <w:tab/>
        <w:t>Rezoluciju Europskog parlamenta od 11. veljače 2026. o nacrtu Provedbene odluke Komisije o produljenju odobrenja za stavljanje na tržište proizvoda koji sadržavaju genetski modificirani kukuruz T25 (ACS-ZMØØ3-2), sastoje se ili su proizvedeni od njega na temelju Uredbe (EZ) br. 1829/2003 Europskog parlamenta i Vijeća (Usvojeni tekstovi, P10_TA(2026)0042).</w:t>
      </w:r>
    </w:p>
    <w:p w:rsidR="00005F7A" w:rsidRPr="008F7A9F" w:rsidP="00FC1086" w14:paraId="4698BFDF" w14:textId="52B560DF">
      <w:pPr>
        <w:pStyle w:val="FootnoteText"/>
        <w:ind w:left="1134" w:hanging="567"/>
        <w:rPr>
          <w:sz w:val="24"/>
          <w:vertAlign w:val="superscript"/>
          <w:lang w:val="hr-HR"/>
        </w:rPr>
      </w:pPr>
      <w:r w:rsidRPr="008F7A9F">
        <w:rPr>
          <w:sz w:val="24"/>
          <w:lang w:val="hr-HR"/>
        </w:rPr>
        <w:t>–</w:t>
      </w:r>
      <w:r w:rsidRPr="008F7A9F">
        <w:rPr>
          <w:sz w:val="24"/>
          <w:lang w:val="hr-HR"/>
        </w:rPr>
        <w:tab/>
        <w:t>Rezoluciju Europskog parlamenta od 11. veljače 2026. o Nacrtu provedbene odluke Komisije o produljenju odobrenja za stavljanje na tržište proizvoda koji sadržavaju genetski modificirani pamuk GHB614 × LLCotton25, sastoje se ili su proizvedeni od njega na temelju Uredbe (EZ) br. 1829/2003 Europskog parlamenta i Vijeća (Usvojeni tekstovi, P10_TA(2026)0043).</w:t>
      </w:r>
    </w:p>
    <w:p w:rsidR="00005F7A" w:rsidRPr="008F7A9F" w:rsidP="00FC1086" w14:paraId="6D05A899" w14:textId="5187AEED">
      <w:pPr>
        <w:pStyle w:val="FootnoteText"/>
        <w:ind w:left="1134" w:hanging="567"/>
        <w:rPr>
          <w:sz w:val="24"/>
          <w:vertAlign w:val="superscript"/>
          <w:lang w:val="hr-HR"/>
        </w:rPr>
      </w:pPr>
      <w:r w:rsidRPr="008F7A9F">
        <w:rPr>
          <w:sz w:val="24"/>
          <w:lang w:val="hr-HR"/>
        </w:rPr>
        <w:t>–</w:t>
      </w:r>
      <w:r w:rsidRPr="008F7A9F">
        <w:rPr>
          <w:sz w:val="24"/>
          <w:lang w:val="hr-HR"/>
        </w:rPr>
        <w:tab/>
        <w:t>Rezoluciju Europskog parlamenta od 11. veljače 2026. o Nacrtu provedbene odluke Komisije o produljenju odobrenja za stavljanje na tržište proizvoda koji sadržavaju genetski modificirani pamuk T304-40, sastoje se ili su proizvedeni od njega, u skladu s Uredbom (EZ) br. 1829/2003 Europskog parlamenta i Vijeća (Usvojeni tekstovi, P10_TA(2026)0044).</w:t>
      </w:r>
    </w:p>
    <w:p w:rsidR="00005F7A" w:rsidRPr="008F7A9F" w:rsidP="00FC1086" w14:paraId="0D21E694" w14:textId="2CB8F6E7">
      <w:pPr>
        <w:pStyle w:val="FootnoteText"/>
        <w:ind w:left="1134" w:hanging="567"/>
        <w:rPr>
          <w:sz w:val="24"/>
          <w:lang w:val="hr-HR"/>
        </w:rPr>
      </w:pPr>
      <w:r w:rsidRPr="008F7A9F">
        <w:rPr>
          <w:sz w:val="24"/>
          <w:lang w:val="hr-HR"/>
        </w:rPr>
        <w:t>–</w:t>
      </w:r>
      <w:r w:rsidRPr="008F7A9F">
        <w:rPr>
          <w:sz w:val="24"/>
          <w:lang w:val="hr-HR"/>
        </w:rPr>
        <w:tab/>
        <w:t>Rezoluciju Europskog parlamenta od 29. travnja 2026. o Nacrtu provedbene odluke Komisije o odobravanju stavljanja na tržište proizvoda koji sadržavaju genetski modificiranu soju MON 94637, sastoje se ili su proizvedeni od nje, u skladu s Uredbom (EZ) br. 1829/2003 Europskog parlamenta i Vijeća (Usvojeni tekstovi, P10_TA(2026)0150).</w:t>
      </w:r>
    </w:p>
  </w:footnote>
  <w:footnote w:id="7">
    <w:p w:rsidR="00005F7A" w:rsidRPr="008F7A9F" w:rsidP="008F7A9F" w14:paraId="68976BF1" w14:textId="00C51DB2">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r w:rsidR="002958E8">
        <w:rPr>
          <w:sz w:val="24"/>
          <w:lang w:val="hr-HR"/>
        </w:rPr>
        <w:t>Z</w:t>
      </w:r>
      <w:r w:rsidRPr="002958E8" w:rsidR="002958E8">
        <w:rPr>
          <w:sz w:val="24"/>
          <w:lang w:val="hr-HR"/>
        </w:rPr>
        <w:t>nanstveno</w:t>
      </w:r>
      <w:r w:rsidR="002958E8">
        <w:rPr>
          <w:sz w:val="24"/>
          <w:lang w:val="hr-HR"/>
        </w:rPr>
        <w:t xml:space="preserve"> m</w:t>
      </w:r>
      <w:r w:rsidRPr="008F7A9F">
        <w:rPr>
          <w:sz w:val="24"/>
          <w:lang w:val="hr-HR"/>
        </w:rPr>
        <w:t xml:space="preserve">išljenje EFSA-e, </w:t>
      </w:r>
      <w:hyperlink r:id="rId4" w:history="1">
        <w:r w:rsidRPr="008F7A9F">
          <w:rPr>
            <w:rStyle w:val="Hyperlink"/>
            <w:sz w:val="24"/>
            <w:lang w:val="hr-HR"/>
          </w:rPr>
          <w:t>https://doi.org/10.2903/j.efsa.2025.9746</w:t>
        </w:r>
      </w:hyperlink>
      <w:r w:rsidRPr="008F7A9F">
        <w:rPr>
          <w:sz w:val="24"/>
          <w:lang w:val="hr-HR"/>
        </w:rPr>
        <w:t>, str. 7.</w:t>
      </w:r>
    </w:p>
  </w:footnote>
  <w:footnote w:id="8">
    <w:p w:rsidR="00005F7A" w:rsidRPr="008F7A9F" w:rsidP="008F7A9F" w14:paraId="1414F4E3" w14:textId="369F07AA">
      <w:pPr>
        <w:pStyle w:val="FootnoteText"/>
        <w:ind w:left="567" w:hanging="567"/>
        <w:rPr>
          <w:sz w:val="24"/>
          <w:lang w:val="hr-HR"/>
        </w:rPr>
      </w:pPr>
      <w:r w:rsidRPr="008F7A9F">
        <w:rPr>
          <w:rStyle w:val="FootnoteReference"/>
          <w:sz w:val="24"/>
          <w:lang w:val="hr-HR"/>
        </w:rPr>
        <w:footnoteRef/>
      </w:r>
      <w:r w:rsidRPr="008F7A9F" w:rsidR="008F7A9F">
        <w:rPr>
          <w:sz w:val="24"/>
          <w:shd w:val="clear" w:color="auto" w:fill="FFFFFF"/>
          <w:lang w:val="hr-HR"/>
        </w:rPr>
        <w:t xml:space="preserve"> </w:t>
      </w:r>
      <w:r w:rsidRPr="008F7A9F" w:rsidR="008F7A9F">
        <w:rPr>
          <w:sz w:val="24"/>
          <w:shd w:val="clear" w:color="auto" w:fill="FFFFFF"/>
          <w:lang w:val="hr-HR"/>
        </w:rPr>
        <w:tab/>
      </w:r>
      <w:r w:rsidRPr="008F7A9F">
        <w:rPr>
          <w:sz w:val="24"/>
          <w:shd w:val="clear" w:color="auto" w:fill="FFFFFF"/>
          <w:lang w:val="hr-HR"/>
        </w:rPr>
        <w:t xml:space="preserve">Vidi primjerice </w:t>
      </w:r>
      <w:r w:rsidRPr="008F7A9F">
        <w:rPr>
          <w:sz w:val="24"/>
          <w:shd w:val="clear" w:color="auto" w:fill="FFFFFF"/>
          <w:lang w:val="hr-HR"/>
        </w:rPr>
        <w:t>Bonny</w:t>
      </w:r>
      <w:r w:rsidRPr="008F7A9F">
        <w:rPr>
          <w:sz w:val="24"/>
          <w:shd w:val="clear" w:color="auto" w:fill="FFFFFF"/>
          <w:lang w:val="hr-HR"/>
        </w:rPr>
        <w:t>, S., „</w:t>
      </w:r>
      <w:r w:rsidRPr="008F7A9F">
        <w:rPr>
          <w:sz w:val="24"/>
          <w:shd w:val="clear" w:color="auto" w:fill="FFFFFF"/>
          <w:lang w:val="hr-HR"/>
        </w:rPr>
        <w:t>Genetically</w:t>
      </w:r>
      <w:r w:rsidRPr="008F7A9F">
        <w:rPr>
          <w:sz w:val="24"/>
          <w:shd w:val="clear" w:color="auto" w:fill="FFFFFF"/>
          <w:lang w:val="hr-HR"/>
        </w:rPr>
        <w:t xml:space="preserve"> </w:t>
      </w:r>
      <w:r w:rsidRPr="008F7A9F">
        <w:rPr>
          <w:sz w:val="24"/>
          <w:shd w:val="clear" w:color="auto" w:fill="FFFFFF"/>
          <w:lang w:val="hr-HR"/>
        </w:rPr>
        <w:t>Modified</w:t>
      </w:r>
      <w:r w:rsidRPr="008F7A9F">
        <w:rPr>
          <w:sz w:val="24"/>
          <w:shd w:val="clear" w:color="auto" w:fill="FFFFFF"/>
          <w:lang w:val="hr-HR"/>
        </w:rPr>
        <w:t xml:space="preserve"> Herbicide-</w:t>
      </w:r>
      <w:r w:rsidRPr="008F7A9F">
        <w:rPr>
          <w:sz w:val="24"/>
          <w:shd w:val="clear" w:color="auto" w:fill="FFFFFF"/>
          <w:lang w:val="hr-HR"/>
        </w:rPr>
        <w:t>Tolerant</w:t>
      </w:r>
      <w:r w:rsidRPr="008F7A9F">
        <w:rPr>
          <w:sz w:val="24"/>
          <w:shd w:val="clear" w:color="auto" w:fill="FFFFFF"/>
          <w:lang w:val="hr-HR"/>
        </w:rPr>
        <w:t xml:space="preserve"> </w:t>
      </w:r>
      <w:r w:rsidRPr="008F7A9F">
        <w:rPr>
          <w:sz w:val="24"/>
          <w:shd w:val="clear" w:color="auto" w:fill="FFFFFF"/>
          <w:lang w:val="hr-HR"/>
        </w:rPr>
        <w:t>Crops</w:t>
      </w:r>
      <w:r w:rsidRPr="008F7A9F">
        <w:rPr>
          <w:sz w:val="24"/>
          <w:shd w:val="clear" w:color="auto" w:fill="FFFFFF"/>
          <w:lang w:val="hr-HR"/>
        </w:rPr>
        <w:t xml:space="preserve">, </w:t>
      </w:r>
      <w:r w:rsidRPr="008F7A9F">
        <w:rPr>
          <w:sz w:val="24"/>
          <w:shd w:val="clear" w:color="auto" w:fill="FFFFFF"/>
          <w:lang w:val="hr-HR"/>
        </w:rPr>
        <w:t>Weeds</w:t>
      </w:r>
      <w:r w:rsidRPr="008F7A9F">
        <w:rPr>
          <w:sz w:val="24"/>
          <w:shd w:val="clear" w:color="auto" w:fill="FFFFFF"/>
          <w:lang w:val="hr-HR"/>
        </w:rPr>
        <w:t xml:space="preserve">, </w:t>
      </w:r>
      <w:r w:rsidRPr="008F7A9F">
        <w:rPr>
          <w:sz w:val="24"/>
          <w:shd w:val="clear" w:color="auto" w:fill="FFFFFF"/>
          <w:lang w:val="hr-HR"/>
        </w:rPr>
        <w:t>and</w:t>
      </w:r>
      <w:r w:rsidRPr="008F7A9F">
        <w:rPr>
          <w:sz w:val="24"/>
          <w:shd w:val="clear" w:color="auto" w:fill="FFFFFF"/>
          <w:lang w:val="hr-HR"/>
        </w:rPr>
        <w:t xml:space="preserve"> </w:t>
      </w:r>
      <w:r w:rsidRPr="008F7A9F">
        <w:rPr>
          <w:sz w:val="24"/>
          <w:shd w:val="clear" w:color="auto" w:fill="FFFFFF"/>
          <w:lang w:val="hr-HR"/>
        </w:rPr>
        <w:t>Herbicides</w:t>
      </w:r>
      <w:r w:rsidRPr="008F7A9F">
        <w:rPr>
          <w:sz w:val="24"/>
          <w:shd w:val="clear" w:color="auto" w:fill="FFFFFF"/>
          <w:lang w:val="hr-HR"/>
        </w:rPr>
        <w:t xml:space="preserve">: </w:t>
      </w:r>
      <w:r w:rsidRPr="008F7A9F">
        <w:rPr>
          <w:sz w:val="24"/>
          <w:shd w:val="clear" w:color="auto" w:fill="FFFFFF"/>
          <w:lang w:val="hr-HR"/>
        </w:rPr>
        <w:t>Overview</w:t>
      </w:r>
      <w:r w:rsidRPr="008F7A9F">
        <w:rPr>
          <w:sz w:val="24"/>
          <w:shd w:val="clear" w:color="auto" w:fill="FFFFFF"/>
          <w:lang w:val="hr-HR"/>
        </w:rPr>
        <w:t xml:space="preserve"> </w:t>
      </w:r>
      <w:r w:rsidRPr="008F7A9F">
        <w:rPr>
          <w:sz w:val="24"/>
          <w:shd w:val="clear" w:color="auto" w:fill="FFFFFF"/>
          <w:lang w:val="hr-HR"/>
        </w:rPr>
        <w:t>and</w:t>
      </w:r>
      <w:r w:rsidRPr="008F7A9F">
        <w:rPr>
          <w:sz w:val="24"/>
          <w:shd w:val="clear" w:color="auto" w:fill="FFFFFF"/>
          <w:lang w:val="hr-HR"/>
        </w:rPr>
        <w:t xml:space="preserve"> </w:t>
      </w:r>
      <w:r w:rsidRPr="008F7A9F">
        <w:rPr>
          <w:sz w:val="24"/>
          <w:shd w:val="clear" w:color="auto" w:fill="FFFFFF"/>
          <w:lang w:val="hr-HR"/>
        </w:rPr>
        <w:t>Impact</w:t>
      </w:r>
      <w:r w:rsidRPr="008F7A9F">
        <w:rPr>
          <w:sz w:val="24"/>
          <w:shd w:val="clear" w:color="auto" w:fill="FFFFFF"/>
          <w:lang w:val="hr-HR"/>
        </w:rPr>
        <w:t xml:space="preserve">” (Genetski modificirani usjevi i korovi otporni na herbicide i herbicidi: pregled i učinak), </w:t>
      </w:r>
      <w:r w:rsidRPr="008F7A9F">
        <w:rPr>
          <w:i/>
          <w:iCs/>
          <w:sz w:val="24"/>
          <w:shd w:val="clear" w:color="auto" w:fill="FFFFFF"/>
          <w:lang w:val="hr-HR"/>
        </w:rPr>
        <w:t>Environmental</w:t>
      </w:r>
      <w:r w:rsidRPr="008F7A9F">
        <w:rPr>
          <w:i/>
          <w:iCs/>
          <w:sz w:val="24"/>
          <w:shd w:val="clear" w:color="auto" w:fill="FFFFFF"/>
          <w:lang w:val="hr-HR"/>
        </w:rPr>
        <w:t xml:space="preserve"> Management</w:t>
      </w:r>
      <w:r w:rsidRPr="008F7A9F">
        <w:rPr>
          <w:sz w:val="24"/>
          <w:shd w:val="clear" w:color="auto" w:fill="FFFFFF"/>
          <w:lang w:val="hr-HR"/>
        </w:rPr>
        <w:t>, siječanj 2016., 57(1), str. 31. – 48.,</w:t>
      </w:r>
      <w:hyperlink r:id="rId24" w:history="1">
        <w:r w:rsidRPr="008F7A9F">
          <w:rPr>
            <w:rStyle w:val="Hyperlink"/>
            <w:sz w:val="24"/>
            <w:shd w:val="clear" w:color="auto" w:fill="FFFFFF"/>
            <w:lang w:val="hr-HR"/>
          </w:rPr>
          <w:t>https://doi.org/10.1007/s00267-015-0589-7</w:t>
        </w:r>
      </w:hyperlink>
      <w:r w:rsidRPr="008F7A9F">
        <w:rPr>
          <w:sz w:val="24"/>
          <w:lang w:val="hr-HR"/>
        </w:rPr>
        <w:t xml:space="preserve"> i </w:t>
      </w:r>
      <w:r w:rsidRPr="008F7A9F">
        <w:rPr>
          <w:sz w:val="24"/>
          <w:shd w:val="clear" w:color="auto" w:fill="FFFFFF"/>
          <w:lang w:val="hr-HR"/>
        </w:rPr>
        <w:t>Benbrook</w:t>
      </w:r>
      <w:r w:rsidRPr="008F7A9F">
        <w:rPr>
          <w:sz w:val="24"/>
          <w:shd w:val="clear" w:color="auto" w:fill="FFFFFF"/>
          <w:lang w:val="hr-HR"/>
        </w:rPr>
        <w:t>, C.M., „</w:t>
      </w:r>
      <w:r w:rsidRPr="008F7A9F">
        <w:rPr>
          <w:sz w:val="24"/>
          <w:shd w:val="clear" w:color="auto" w:fill="FFFFFF"/>
          <w:lang w:val="hr-HR"/>
        </w:rPr>
        <w:t>Impacts</w:t>
      </w:r>
      <w:r w:rsidRPr="008F7A9F">
        <w:rPr>
          <w:sz w:val="24"/>
          <w:shd w:val="clear" w:color="auto" w:fill="FFFFFF"/>
          <w:lang w:val="hr-HR"/>
        </w:rPr>
        <w:t xml:space="preserve"> </w:t>
      </w:r>
      <w:r w:rsidRPr="008F7A9F">
        <w:rPr>
          <w:sz w:val="24"/>
          <w:shd w:val="clear" w:color="auto" w:fill="FFFFFF"/>
          <w:lang w:val="hr-HR"/>
        </w:rPr>
        <w:t>of</w:t>
      </w:r>
      <w:r w:rsidRPr="008F7A9F">
        <w:rPr>
          <w:sz w:val="24"/>
          <w:shd w:val="clear" w:color="auto" w:fill="FFFFFF"/>
          <w:lang w:val="hr-HR"/>
        </w:rPr>
        <w:t xml:space="preserve"> </w:t>
      </w:r>
      <w:r w:rsidRPr="008F7A9F">
        <w:rPr>
          <w:sz w:val="24"/>
          <w:shd w:val="clear" w:color="auto" w:fill="FFFFFF"/>
          <w:lang w:val="hr-HR"/>
        </w:rPr>
        <w:t>genetically</w:t>
      </w:r>
      <w:r w:rsidRPr="008F7A9F">
        <w:rPr>
          <w:sz w:val="24"/>
          <w:shd w:val="clear" w:color="auto" w:fill="FFFFFF"/>
          <w:lang w:val="hr-HR"/>
        </w:rPr>
        <w:t xml:space="preserve"> </w:t>
      </w:r>
      <w:r w:rsidRPr="008F7A9F">
        <w:rPr>
          <w:sz w:val="24"/>
          <w:shd w:val="clear" w:color="auto" w:fill="FFFFFF"/>
          <w:lang w:val="hr-HR"/>
        </w:rPr>
        <w:t>engineered</w:t>
      </w:r>
      <w:r w:rsidRPr="008F7A9F">
        <w:rPr>
          <w:sz w:val="24"/>
          <w:shd w:val="clear" w:color="auto" w:fill="FFFFFF"/>
          <w:lang w:val="hr-HR"/>
        </w:rPr>
        <w:t xml:space="preserve"> </w:t>
      </w:r>
      <w:r w:rsidRPr="008F7A9F">
        <w:rPr>
          <w:sz w:val="24"/>
          <w:shd w:val="clear" w:color="auto" w:fill="FFFFFF"/>
          <w:lang w:val="hr-HR"/>
        </w:rPr>
        <w:t>crops</w:t>
      </w:r>
      <w:r w:rsidRPr="008F7A9F">
        <w:rPr>
          <w:sz w:val="24"/>
          <w:shd w:val="clear" w:color="auto" w:fill="FFFFFF"/>
          <w:lang w:val="hr-HR"/>
        </w:rPr>
        <w:t xml:space="preserve"> on pesticide use </w:t>
      </w:r>
      <w:r w:rsidRPr="008F7A9F">
        <w:rPr>
          <w:sz w:val="24"/>
          <w:shd w:val="clear" w:color="auto" w:fill="FFFFFF"/>
          <w:lang w:val="hr-HR"/>
        </w:rPr>
        <w:t>in</w:t>
      </w:r>
      <w:r w:rsidRPr="008F7A9F">
        <w:rPr>
          <w:sz w:val="24"/>
          <w:shd w:val="clear" w:color="auto" w:fill="FFFFFF"/>
          <w:lang w:val="hr-HR"/>
        </w:rPr>
        <w:t xml:space="preserve"> </w:t>
      </w:r>
      <w:r w:rsidRPr="008F7A9F">
        <w:rPr>
          <w:sz w:val="24"/>
          <w:shd w:val="clear" w:color="auto" w:fill="FFFFFF"/>
          <w:lang w:val="hr-HR"/>
        </w:rPr>
        <w:t>the</w:t>
      </w:r>
      <w:r w:rsidRPr="008F7A9F">
        <w:rPr>
          <w:sz w:val="24"/>
          <w:shd w:val="clear" w:color="auto" w:fill="FFFFFF"/>
          <w:lang w:val="hr-HR"/>
        </w:rPr>
        <w:t xml:space="preserve"> U.S. - </w:t>
      </w:r>
      <w:r w:rsidRPr="008F7A9F">
        <w:rPr>
          <w:sz w:val="24"/>
          <w:shd w:val="clear" w:color="auto" w:fill="FFFFFF"/>
          <w:lang w:val="hr-HR"/>
        </w:rPr>
        <w:t>the</w:t>
      </w:r>
      <w:r w:rsidRPr="008F7A9F">
        <w:rPr>
          <w:sz w:val="24"/>
          <w:shd w:val="clear" w:color="auto" w:fill="FFFFFF"/>
          <w:lang w:val="hr-HR"/>
        </w:rPr>
        <w:t xml:space="preserve"> </w:t>
      </w:r>
      <w:r w:rsidRPr="008F7A9F">
        <w:rPr>
          <w:sz w:val="24"/>
          <w:shd w:val="clear" w:color="auto" w:fill="FFFFFF"/>
          <w:lang w:val="hr-HR"/>
        </w:rPr>
        <w:t>first</w:t>
      </w:r>
      <w:r w:rsidRPr="008F7A9F">
        <w:rPr>
          <w:sz w:val="24"/>
          <w:shd w:val="clear" w:color="auto" w:fill="FFFFFF"/>
          <w:lang w:val="hr-HR"/>
        </w:rPr>
        <w:t xml:space="preserve"> </w:t>
      </w:r>
      <w:r w:rsidRPr="008F7A9F">
        <w:rPr>
          <w:sz w:val="24"/>
          <w:shd w:val="clear" w:color="auto" w:fill="FFFFFF"/>
          <w:lang w:val="hr-HR"/>
        </w:rPr>
        <w:t>sixteen</w:t>
      </w:r>
      <w:r w:rsidRPr="008F7A9F">
        <w:rPr>
          <w:sz w:val="24"/>
          <w:shd w:val="clear" w:color="auto" w:fill="FFFFFF"/>
          <w:lang w:val="hr-HR"/>
        </w:rPr>
        <w:t xml:space="preserve"> </w:t>
      </w:r>
      <w:r w:rsidRPr="008F7A9F">
        <w:rPr>
          <w:sz w:val="24"/>
          <w:shd w:val="clear" w:color="auto" w:fill="FFFFFF"/>
          <w:lang w:val="hr-HR"/>
        </w:rPr>
        <w:t>years</w:t>
      </w:r>
      <w:r w:rsidRPr="008F7A9F">
        <w:rPr>
          <w:sz w:val="24"/>
          <w:shd w:val="clear" w:color="auto" w:fill="FFFFFF"/>
          <w:lang w:val="hr-HR"/>
        </w:rPr>
        <w:t xml:space="preserve">” (Učinak genetski modificiranih usjeva na korištenje pesticida u SAD-u – prvih šesnaest godina), </w:t>
      </w:r>
      <w:r w:rsidRPr="008F7A9F">
        <w:rPr>
          <w:i/>
          <w:iCs/>
          <w:sz w:val="24"/>
          <w:shd w:val="clear" w:color="auto" w:fill="FFFFFF"/>
          <w:lang w:val="hr-HR"/>
        </w:rPr>
        <w:t>Environmental</w:t>
      </w:r>
      <w:r w:rsidRPr="008F7A9F">
        <w:rPr>
          <w:i/>
          <w:iCs/>
          <w:sz w:val="24"/>
          <w:shd w:val="clear" w:color="auto" w:fill="FFFFFF"/>
          <w:lang w:val="hr-HR"/>
        </w:rPr>
        <w:t xml:space="preserve"> </w:t>
      </w:r>
      <w:r w:rsidRPr="008F7A9F">
        <w:rPr>
          <w:i/>
          <w:iCs/>
          <w:sz w:val="24"/>
          <w:shd w:val="clear" w:color="auto" w:fill="FFFFFF"/>
          <w:lang w:val="hr-HR"/>
        </w:rPr>
        <w:t>Sciences</w:t>
      </w:r>
      <w:r w:rsidRPr="008F7A9F">
        <w:rPr>
          <w:i/>
          <w:iCs/>
          <w:sz w:val="24"/>
          <w:shd w:val="clear" w:color="auto" w:fill="FFFFFF"/>
          <w:lang w:val="hr-HR"/>
        </w:rPr>
        <w:t xml:space="preserve"> Europe</w:t>
      </w:r>
      <w:r w:rsidRPr="008F7A9F">
        <w:rPr>
          <w:sz w:val="24"/>
          <w:shd w:val="clear" w:color="auto" w:fill="FFFFFF"/>
          <w:lang w:val="hr-HR"/>
        </w:rPr>
        <w:t>, 28. rujna 2012., sv. 24(1),</w:t>
      </w:r>
      <w:hyperlink r:id="rId25" w:history="1">
        <w:r w:rsidRPr="008F7A9F">
          <w:rPr>
            <w:rStyle w:val="Hyperlink"/>
            <w:sz w:val="24"/>
            <w:lang w:val="hr-HR"/>
          </w:rPr>
          <w:t>https://doi.org/10.1186/2190-4715-24-24</w:t>
        </w:r>
      </w:hyperlink>
      <w:r w:rsidRPr="008F7A9F">
        <w:rPr>
          <w:sz w:val="24"/>
          <w:lang w:val="hr-HR"/>
        </w:rPr>
        <w:t>.</w:t>
      </w:r>
    </w:p>
  </w:footnote>
  <w:footnote w:id="9">
    <w:p w:rsidR="00005F7A" w:rsidRPr="008F7A9F" w:rsidP="008F7A9F" w14:paraId="0303775E" w14:textId="28E2CDDD">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r w:rsidRPr="008F7A9F">
        <w:rPr>
          <w:sz w:val="24"/>
          <w:lang w:val="hr-HR"/>
        </w:rPr>
        <w:t>Uredba (EZ) br. 1107/2009 Europskog parlamenta i Vijeća od 21. listopada 2009. o stavljanju na tržište sredstava za zaštitu bilja i stavljanju izvan snage direktiva Vijeća 79/117/EEZ i 91/414/EEZ (SL L 309, 24.11.2009., str. 1, ELI: </w:t>
      </w:r>
      <w:hyperlink r:id="rId26" w:tooltip="ELI URI za pristup dokumentu." w:history="1">
        <w:r w:rsidRPr="008F7A9F">
          <w:rPr>
            <w:rStyle w:val="Hyperlink"/>
            <w:sz w:val="24"/>
            <w:lang w:val="hr-HR"/>
          </w:rPr>
          <w:t>http://data.europa.eu/eli/reg/2009/1107/oj</w:t>
        </w:r>
      </w:hyperlink>
      <w:r w:rsidRPr="008F7A9F">
        <w:rPr>
          <w:sz w:val="24"/>
          <w:lang w:val="hr-HR"/>
        </w:rPr>
        <w:t>).</w:t>
      </w:r>
    </w:p>
  </w:footnote>
  <w:footnote w:id="10">
    <w:p w:rsidR="00005F7A" w:rsidRPr="008F7A9F" w:rsidP="008F7A9F" w14:paraId="37070EE4" w14:textId="4372C691">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hyperlink r:id="rId27" w:history="1">
        <w:r w:rsidRPr="002958E8" w:rsidR="002958E8">
          <w:rPr>
            <w:rStyle w:val="Hyperlink"/>
            <w:sz w:val="24"/>
            <w:lang w:val="hr-HR"/>
          </w:rPr>
          <w:t>https://ec.europa.eu/food/plant/pesticides/eu-pesticides-database/start/screen/active-substances/details/79</w:t>
        </w:r>
      </w:hyperlink>
      <w:r w:rsidR="002958E8">
        <w:rPr>
          <w:sz w:val="24"/>
          <w:lang w:val="hr-HR"/>
        </w:rPr>
        <w:t>.</w:t>
      </w:r>
    </w:p>
  </w:footnote>
  <w:footnote w:id="11">
    <w:p w:rsidR="00005F7A" w:rsidRPr="008F7A9F" w:rsidP="008F7A9F" w14:paraId="24D30E15" w14:textId="1B128D1B">
      <w:pPr>
        <w:pStyle w:val="FootnoteText"/>
        <w:ind w:left="567" w:hanging="567"/>
        <w:rPr>
          <w:sz w:val="24"/>
          <w:lang w:val="hr-HR"/>
        </w:rPr>
      </w:pPr>
      <w:r w:rsidRPr="008F7A9F">
        <w:rPr>
          <w:rStyle w:val="FootnoteReference"/>
          <w:sz w:val="24"/>
          <w:lang w:val="hr-HR"/>
        </w:rPr>
        <w:footnoteRef/>
      </w:r>
      <w:r w:rsidRPr="008F7A9F" w:rsidR="008F7A9F">
        <w:rPr>
          <w:sz w:val="24"/>
          <w:shd w:val="clear" w:color="auto" w:fill="FFFFFF"/>
          <w:lang w:val="hr-HR"/>
        </w:rPr>
        <w:t xml:space="preserve"> </w:t>
      </w:r>
      <w:r w:rsidRPr="008F7A9F" w:rsidR="008F7A9F">
        <w:rPr>
          <w:sz w:val="24"/>
          <w:shd w:val="clear" w:color="auto" w:fill="FFFFFF"/>
          <w:lang w:val="hr-HR"/>
        </w:rPr>
        <w:tab/>
      </w:r>
      <w:r w:rsidRPr="008F7A9F">
        <w:rPr>
          <w:sz w:val="24"/>
          <w:shd w:val="clear" w:color="auto" w:fill="FFFFFF"/>
          <w:lang w:val="hr-HR"/>
        </w:rPr>
        <w:t xml:space="preserve">Vidi primjerice </w:t>
      </w:r>
      <w:hyperlink r:id="rId28" w:history="1">
        <w:r w:rsidRPr="008F7A9F">
          <w:rPr>
            <w:rStyle w:val="Hyperlink"/>
            <w:sz w:val="24"/>
            <w:lang w:val="hr-HR"/>
          </w:rPr>
          <w:t>https://doi.org/10.1016/j.mrrev.2019.02.001</w:t>
        </w:r>
      </w:hyperlink>
      <w:r w:rsidRPr="008F7A9F">
        <w:rPr>
          <w:sz w:val="24"/>
          <w:lang w:val="hr-HR"/>
        </w:rPr>
        <w:t xml:space="preserve">, </w:t>
      </w:r>
      <w:hyperlink r:id="rId29" w:history="1">
        <w:r w:rsidRPr="008F7A9F">
          <w:rPr>
            <w:rStyle w:val="Hyperlink"/>
            <w:sz w:val="24"/>
            <w:lang w:val="hr-HR"/>
          </w:rPr>
          <w:t>https://doi.org/10.1093/ije/dyz017</w:t>
        </w:r>
      </w:hyperlink>
      <w:r w:rsidRPr="008F7A9F">
        <w:rPr>
          <w:sz w:val="24"/>
          <w:lang w:val="hr-HR"/>
        </w:rPr>
        <w:t xml:space="preserve">, </w:t>
      </w:r>
      <w:hyperlink r:id="rId30" w:history="1">
        <w:r w:rsidRPr="008F7A9F">
          <w:rPr>
            <w:rStyle w:val="Hyperlink"/>
            <w:sz w:val="24"/>
            <w:lang w:val="hr-HR"/>
          </w:rPr>
          <w:t>https://doi.org/10.1371/journal.pone.0219610</w:t>
        </w:r>
      </w:hyperlink>
      <w:r w:rsidRPr="008F7A9F">
        <w:rPr>
          <w:sz w:val="24"/>
          <w:lang w:val="hr-HR"/>
        </w:rPr>
        <w:t xml:space="preserve"> i </w:t>
      </w:r>
      <w:hyperlink r:id="rId31" w:history="1">
        <w:r w:rsidRPr="008F7A9F">
          <w:rPr>
            <w:rStyle w:val="Hyperlink"/>
            <w:sz w:val="24"/>
            <w:lang w:val="hr-HR"/>
          </w:rPr>
          <w:t>https://doi.org/10.1186/s13045-019-0767-9</w:t>
        </w:r>
      </w:hyperlink>
      <w:r w:rsidRPr="008F7A9F">
        <w:rPr>
          <w:sz w:val="24"/>
          <w:lang w:val="hr-HR"/>
        </w:rPr>
        <w:t>.</w:t>
      </w:r>
    </w:p>
  </w:footnote>
  <w:footnote w:id="12">
    <w:p w:rsidR="00005F7A" w:rsidRPr="008F7A9F" w:rsidP="008F7A9F" w14:paraId="4FD01086" w14:textId="6DA3A6A9">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hyperlink r:id="rId32" w:tgtFrame="_blank" w:tooltip="Trajna poveznica koja se koristi digitalnim identifikatorom objekta" w:history="1">
        <w:r w:rsidRPr="008F7A9F">
          <w:rPr>
            <w:rStyle w:val="Hyperlink"/>
            <w:sz w:val="24"/>
            <w:lang w:val="hr-HR"/>
          </w:rPr>
          <w:t>https://doi.org/10.1006/rtph.1999.1371</w:t>
        </w:r>
      </w:hyperlink>
      <w:r w:rsidRPr="008F7A9F">
        <w:rPr>
          <w:sz w:val="24"/>
          <w:lang w:val="hr-HR"/>
        </w:rPr>
        <w:t>.</w:t>
      </w:r>
    </w:p>
  </w:footnote>
  <w:footnote w:id="13">
    <w:p w:rsidR="00005F7A" w:rsidRPr="008F7A9F" w:rsidP="008F7A9F" w14:paraId="7C16B6CC" w14:textId="4C828F08">
      <w:pPr>
        <w:pStyle w:val="FootnoteText"/>
        <w:ind w:left="567" w:hanging="567"/>
        <w:rPr>
          <w:sz w:val="24"/>
          <w:lang w:val="hr-HR"/>
        </w:rPr>
      </w:pPr>
      <w:r w:rsidRPr="008F7A9F">
        <w:rPr>
          <w:rStyle w:val="FootnoteReference"/>
          <w:sz w:val="24"/>
          <w:lang w:val="hr-HR"/>
        </w:rPr>
        <w:footnoteRef/>
      </w:r>
      <w:r w:rsidRPr="008F7A9F" w:rsidR="008F7A9F">
        <w:rPr>
          <w:sz w:val="24"/>
          <w:shd w:val="clear" w:color="auto" w:fill="FFFFFF"/>
          <w:lang w:val="hr-HR"/>
        </w:rPr>
        <w:t xml:space="preserve"> </w:t>
      </w:r>
      <w:r w:rsidRPr="008F7A9F" w:rsidR="008F7A9F">
        <w:rPr>
          <w:sz w:val="24"/>
          <w:shd w:val="clear" w:color="auto" w:fill="FFFFFF"/>
          <w:lang w:val="hr-HR"/>
        </w:rPr>
        <w:tab/>
      </w:r>
      <w:r w:rsidRPr="008F7A9F">
        <w:rPr>
          <w:sz w:val="24"/>
          <w:shd w:val="clear" w:color="auto" w:fill="FFFFFF"/>
          <w:lang w:val="hr-HR"/>
        </w:rPr>
        <w:t>Lurquin</w:t>
      </w:r>
      <w:r w:rsidRPr="008F7A9F">
        <w:rPr>
          <w:sz w:val="24"/>
          <w:shd w:val="clear" w:color="auto" w:fill="FFFFFF"/>
          <w:lang w:val="hr-HR"/>
        </w:rPr>
        <w:t>, P.F., „</w:t>
      </w:r>
      <w:r w:rsidRPr="008F7A9F">
        <w:rPr>
          <w:sz w:val="24"/>
          <w:shd w:val="clear" w:color="auto" w:fill="FFFFFF"/>
          <w:lang w:val="hr-HR"/>
        </w:rPr>
        <w:t>Production</w:t>
      </w:r>
      <w:r w:rsidRPr="008F7A9F">
        <w:rPr>
          <w:sz w:val="24"/>
          <w:shd w:val="clear" w:color="auto" w:fill="FFFFFF"/>
          <w:lang w:val="hr-HR"/>
        </w:rPr>
        <w:t xml:space="preserve"> </w:t>
      </w:r>
      <w:r w:rsidRPr="008F7A9F">
        <w:rPr>
          <w:sz w:val="24"/>
          <w:shd w:val="clear" w:color="auto" w:fill="FFFFFF"/>
          <w:lang w:val="hr-HR"/>
        </w:rPr>
        <w:t>of</w:t>
      </w:r>
      <w:r w:rsidRPr="008F7A9F">
        <w:rPr>
          <w:sz w:val="24"/>
          <w:shd w:val="clear" w:color="auto" w:fill="FFFFFF"/>
          <w:lang w:val="hr-HR"/>
        </w:rPr>
        <w:t xml:space="preserve"> a </w:t>
      </w:r>
      <w:r w:rsidRPr="008F7A9F">
        <w:rPr>
          <w:sz w:val="24"/>
          <w:shd w:val="clear" w:color="auto" w:fill="FFFFFF"/>
          <w:lang w:val="hr-HR"/>
        </w:rPr>
        <w:t>toxic</w:t>
      </w:r>
      <w:r w:rsidRPr="008F7A9F">
        <w:rPr>
          <w:sz w:val="24"/>
          <w:shd w:val="clear" w:color="auto" w:fill="FFFFFF"/>
          <w:lang w:val="hr-HR"/>
        </w:rPr>
        <w:t xml:space="preserve"> metabolite </w:t>
      </w:r>
      <w:r w:rsidRPr="008F7A9F">
        <w:rPr>
          <w:sz w:val="24"/>
          <w:shd w:val="clear" w:color="auto" w:fill="FFFFFF"/>
          <w:lang w:val="hr-HR"/>
        </w:rPr>
        <w:t>in</w:t>
      </w:r>
      <w:r w:rsidRPr="008F7A9F">
        <w:rPr>
          <w:sz w:val="24"/>
          <w:shd w:val="clear" w:color="auto" w:fill="FFFFFF"/>
          <w:lang w:val="hr-HR"/>
        </w:rPr>
        <w:t xml:space="preserve"> 2, 4-D-resistant GM </w:t>
      </w:r>
      <w:r w:rsidRPr="008F7A9F">
        <w:rPr>
          <w:sz w:val="24"/>
          <w:shd w:val="clear" w:color="auto" w:fill="FFFFFF"/>
          <w:lang w:val="hr-HR"/>
        </w:rPr>
        <w:t>crop</w:t>
      </w:r>
      <w:r w:rsidRPr="008F7A9F">
        <w:rPr>
          <w:sz w:val="24"/>
          <w:shd w:val="clear" w:color="auto" w:fill="FFFFFF"/>
          <w:lang w:val="hr-HR"/>
        </w:rPr>
        <w:t xml:space="preserve"> </w:t>
      </w:r>
      <w:r w:rsidRPr="008F7A9F">
        <w:rPr>
          <w:sz w:val="24"/>
          <w:shd w:val="clear" w:color="auto" w:fill="FFFFFF"/>
          <w:lang w:val="hr-HR"/>
        </w:rPr>
        <w:t>plants</w:t>
      </w:r>
      <w:r w:rsidRPr="008F7A9F">
        <w:rPr>
          <w:sz w:val="24"/>
          <w:shd w:val="clear" w:color="auto" w:fill="FFFFFF"/>
          <w:lang w:val="hr-HR"/>
        </w:rPr>
        <w:t xml:space="preserve">” („Proizvodnja toksičnog metabolita u genetski modificiranim usjevima koji su otporni na herbicid 2,4-D”), 3 </w:t>
      </w:r>
      <w:r w:rsidRPr="008F7A9F">
        <w:rPr>
          <w:sz w:val="24"/>
          <w:shd w:val="clear" w:color="auto" w:fill="FFFFFF"/>
          <w:lang w:val="hr-HR"/>
        </w:rPr>
        <w:t>Biotech</w:t>
      </w:r>
      <w:r w:rsidRPr="008F7A9F">
        <w:rPr>
          <w:sz w:val="24"/>
          <w:shd w:val="clear" w:color="auto" w:fill="FFFFFF"/>
          <w:lang w:val="hr-HR"/>
        </w:rPr>
        <w:t xml:space="preserve"> 6, 82 (2016.), </w:t>
      </w:r>
      <w:hyperlink r:id="rId33" w:history="1">
        <w:r w:rsidRPr="008F7A9F">
          <w:rPr>
            <w:rStyle w:val="Hyperlink"/>
            <w:sz w:val="24"/>
            <w:shd w:val="clear" w:color="auto" w:fill="FCFCFC"/>
            <w:lang w:val="hr-HR"/>
          </w:rPr>
          <w:t>https://doi.org/10.1007/s13205-016-0387-9</w:t>
        </w:r>
      </w:hyperlink>
    </w:p>
  </w:footnote>
  <w:footnote w:id="14">
    <w:p w:rsidR="00005F7A" w:rsidRPr="008F7A9F" w:rsidP="008F7A9F" w14:paraId="0E6FB350" w14:textId="70B0354D">
      <w:pPr>
        <w:pStyle w:val="FootnoteText"/>
        <w:ind w:left="567" w:hanging="567"/>
        <w:rPr>
          <w:sz w:val="24"/>
          <w:szCs w:val="24"/>
          <w:lang w:val="hr-HR"/>
        </w:rPr>
      </w:pPr>
      <w:r w:rsidRPr="008F7A9F">
        <w:rPr>
          <w:rStyle w:val="FootnoteReference"/>
          <w:sz w:val="24"/>
          <w:lang w:val="hr-HR"/>
        </w:rPr>
        <w:footnoteRef/>
      </w:r>
      <w:r w:rsidRPr="008F7A9F" w:rsidR="008F7A9F">
        <w:rPr>
          <w:sz w:val="24"/>
          <w:shd w:val="clear" w:color="auto" w:fill="FFFFFF"/>
          <w:lang w:val="hr-HR"/>
        </w:rPr>
        <w:t xml:space="preserve"> </w:t>
      </w:r>
      <w:r w:rsidRPr="008F7A9F" w:rsidR="008F7A9F">
        <w:rPr>
          <w:sz w:val="24"/>
          <w:shd w:val="clear" w:color="auto" w:fill="FFFFFF"/>
          <w:lang w:val="hr-HR"/>
        </w:rPr>
        <w:tab/>
      </w:r>
      <w:r w:rsidRPr="008F7A9F">
        <w:rPr>
          <w:sz w:val="24"/>
          <w:shd w:val="clear" w:color="auto" w:fill="FFFFFF"/>
          <w:lang w:val="hr-HR"/>
        </w:rPr>
        <w:t xml:space="preserve">To je doista slučaj s </w:t>
      </w:r>
      <w:r w:rsidRPr="008F7A9F">
        <w:rPr>
          <w:sz w:val="24"/>
          <w:shd w:val="clear" w:color="auto" w:fill="FFFFFF"/>
          <w:lang w:val="hr-HR"/>
        </w:rPr>
        <w:t>glifosatima</w:t>
      </w:r>
      <w:r w:rsidRPr="008F7A9F">
        <w:rPr>
          <w:sz w:val="24"/>
          <w:shd w:val="clear" w:color="auto" w:fill="FFFFFF"/>
          <w:lang w:val="hr-HR"/>
        </w:rPr>
        <w:t>, kako se navodi u obrazloženom mišljenju EFSA-e „</w:t>
      </w:r>
      <w:r w:rsidRPr="008F7A9F">
        <w:rPr>
          <w:sz w:val="24"/>
          <w:shd w:val="clear" w:color="auto" w:fill="FFFFFF"/>
          <w:lang w:val="hr-HR"/>
        </w:rPr>
        <w:t>Review</w:t>
      </w:r>
      <w:r w:rsidRPr="008F7A9F">
        <w:rPr>
          <w:sz w:val="24"/>
          <w:shd w:val="clear" w:color="auto" w:fill="FFFFFF"/>
          <w:lang w:val="hr-HR"/>
        </w:rPr>
        <w:t xml:space="preserve"> </w:t>
      </w:r>
      <w:r w:rsidRPr="008F7A9F">
        <w:rPr>
          <w:sz w:val="24"/>
          <w:shd w:val="clear" w:color="auto" w:fill="FFFFFF"/>
          <w:lang w:val="hr-HR"/>
        </w:rPr>
        <w:t>of</w:t>
      </w:r>
      <w:r w:rsidRPr="008F7A9F">
        <w:rPr>
          <w:sz w:val="24"/>
          <w:shd w:val="clear" w:color="auto" w:fill="FFFFFF"/>
          <w:lang w:val="hr-HR"/>
        </w:rPr>
        <w:t xml:space="preserve"> </w:t>
      </w:r>
      <w:r w:rsidRPr="008F7A9F">
        <w:rPr>
          <w:sz w:val="24"/>
          <w:shd w:val="clear" w:color="auto" w:fill="FFFFFF"/>
          <w:lang w:val="hr-HR"/>
        </w:rPr>
        <w:t>the</w:t>
      </w:r>
      <w:r w:rsidRPr="008F7A9F">
        <w:rPr>
          <w:sz w:val="24"/>
          <w:shd w:val="clear" w:color="auto" w:fill="FFFFFF"/>
          <w:lang w:val="hr-HR"/>
        </w:rPr>
        <w:t xml:space="preserve"> </w:t>
      </w:r>
      <w:r w:rsidRPr="008F7A9F">
        <w:rPr>
          <w:sz w:val="24"/>
          <w:shd w:val="clear" w:color="auto" w:fill="FFFFFF"/>
          <w:lang w:val="hr-HR"/>
        </w:rPr>
        <w:t>existing</w:t>
      </w:r>
      <w:r w:rsidRPr="008F7A9F">
        <w:rPr>
          <w:sz w:val="24"/>
          <w:shd w:val="clear" w:color="auto" w:fill="FFFFFF"/>
          <w:lang w:val="hr-HR"/>
        </w:rPr>
        <w:t xml:space="preserve"> </w:t>
      </w:r>
      <w:r w:rsidRPr="008F7A9F">
        <w:rPr>
          <w:sz w:val="24"/>
          <w:shd w:val="clear" w:color="auto" w:fill="FFFFFF"/>
          <w:lang w:val="hr-HR"/>
        </w:rPr>
        <w:t>maximum</w:t>
      </w:r>
      <w:r w:rsidRPr="008F7A9F">
        <w:rPr>
          <w:sz w:val="24"/>
          <w:shd w:val="clear" w:color="auto" w:fill="FFFFFF"/>
          <w:lang w:val="hr-HR"/>
        </w:rPr>
        <w:t xml:space="preserve"> </w:t>
      </w:r>
      <w:r w:rsidRPr="008F7A9F">
        <w:rPr>
          <w:sz w:val="24"/>
          <w:shd w:val="clear" w:color="auto" w:fill="FFFFFF"/>
          <w:lang w:val="hr-HR"/>
        </w:rPr>
        <w:t>residue</w:t>
      </w:r>
      <w:r w:rsidRPr="008F7A9F">
        <w:rPr>
          <w:sz w:val="24"/>
          <w:shd w:val="clear" w:color="auto" w:fill="FFFFFF"/>
          <w:lang w:val="hr-HR"/>
        </w:rPr>
        <w:t xml:space="preserve"> </w:t>
      </w:r>
      <w:r w:rsidRPr="008F7A9F">
        <w:rPr>
          <w:sz w:val="24"/>
          <w:shd w:val="clear" w:color="auto" w:fill="FFFFFF"/>
          <w:lang w:val="hr-HR"/>
        </w:rPr>
        <w:t>levels</w:t>
      </w:r>
      <w:r w:rsidRPr="008F7A9F">
        <w:rPr>
          <w:sz w:val="24"/>
          <w:shd w:val="clear" w:color="auto" w:fill="FFFFFF"/>
          <w:lang w:val="hr-HR"/>
        </w:rPr>
        <w:t xml:space="preserve"> for </w:t>
      </w:r>
      <w:r w:rsidRPr="008F7A9F">
        <w:rPr>
          <w:sz w:val="24"/>
          <w:shd w:val="clear" w:color="auto" w:fill="FFFFFF"/>
          <w:lang w:val="hr-HR"/>
        </w:rPr>
        <w:t>glyphosate</w:t>
      </w:r>
      <w:r w:rsidRPr="008F7A9F">
        <w:rPr>
          <w:sz w:val="24"/>
          <w:shd w:val="clear" w:color="auto" w:fill="FFFFFF"/>
          <w:lang w:val="hr-HR"/>
        </w:rPr>
        <w:t xml:space="preserve"> </w:t>
      </w:r>
      <w:r w:rsidRPr="008F7A9F">
        <w:rPr>
          <w:sz w:val="24"/>
          <w:shd w:val="clear" w:color="auto" w:fill="FFFFFF"/>
          <w:lang w:val="hr-HR"/>
        </w:rPr>
        <w:t>according</w:t>
      </w:r>
      <w:r w:rsidRPr="008F7A9F">
        <w:rPr>
          <w:sz w:val="24"/>
          <w:shd w:val="clear" w:color="auto" w:fill="FFFFFF"/>
          <w:lang w:val="hr-HR"/>
        </w:rPr>
        <w:t xml:space="preserve"> to </w:t>
      </w:r>
      <w:r w:rsidRPr="008F7A9F">
        <w:rPr>
          <w:sz w:val="24"/>
          <w:shd w:val="clear" w:color="auto" w:fill="FFFFFF"/>
          <w:lang w:val="hr-HR"/>
        </w:rPr>
        <w:t>Article</w:t>
      </w:r>
      <w:r w:rsidRPr="008F7A9F">
        <w:rPr>
          <w:sz w:val="24"/>
          <w:shd w:val="clear" w:color="auto" w:fill="FFFFFF"/>
          <w:lang w:val="hr-HR"/>
        </w:rPr>
        <w:t xml:space="preserve"> 12 </w:t>
      </w:r>
      <w:r w:rsidRPr="008F7A9F">
        <w:rPr>
          <w:sz w:val="24"/>
          <w:shd w:val="clear" w:color="auto" w:fill="FFFFFF"/>
          <w:lang w:val="hr-HR"/>
        </w:rPr>
        <w:t>of</w:t>
      </w:r>
      <w:r w:rsidRPr="008F7A9F">
        <w:rPr>
          <w:sz w:val="24"/>
          <w:shd w:val="clear" w:color="auto" w:fill="FFFFFF"/>
          <w:lang w:val="hr-HR"/>
        </w:rPr>
        <w:t xml:space="preserve"> </w:t>
      </w:r>
      <w:r w:rsidRPr="008F7A9F">
        <w:rPr>
          <w:sz w:val="24"/>
          <w:shd w:val="clear" w:color="auto" w:fill="FFFFFF"/>
          <w:lang w:val="hr-HR"/>
        </w:rPr>
        <w:t>Regulation</w:t>
      </w:r>
      <w:r w:rsidRPr="008F7A9F">
        <w:rPr>
          <w:sz w:val="24"/>
          <w:shd w:val="clear" w:color="auto" w:fill="FFFFFF"/>
          <w:lang w:val="hr-HR"/>
        </w:rPr>
        <w:t xml:space="preserve"> (EC) No 396/2005” (Revizija postojećih maksimalnih razina ostataka </w:t>
      </w:r>
      <w:r w:rsidRPr="008F7A9F">
        <w:rPr>
          <w:sz w:val="24"/>
          <w:shd w:val="clear" w:color="auto" w:fill="FFFFFF"/>
          <w:lang w:val="hr-HR"/>
        </w:rPr>
        <w:t>glifosata</w:t>
      </w:r>
      <w:r w:rsidRPr="008F7A9F">
        <w:rPr>
          <w:sz w:val="24"/>
          <w:shd w:val="clear" w:color="auto" w:fill="FFFFFF"/>
          <w:lang w:val="hr-HR"/>
        </w:rPr>
        <w:t xml:space="preserve"> u skladu s člankom 12. Uredbe (EZ) br. 396/2005), </w:t>
      </w:r>
      <w:r w:rsidRPr="008F7A9F">
        <w:rPr>
          <w:i/>
          <w:sz w:val="24"/>
          <w:shd w:val="clear" w:color="auto" w:fill="FFFFFF"/>
          <w:lang w:val="hr-HR"/>
        </w:rPr>
        <w:t>EFSA Journal</w:t>
      </w:r>
      <w:r w:rsidRPr="008F7A9F">
        <w:rPr>
          <w:sz w:val="24"/>
          <w:shd w:val="clear" w:color="auto" w:fill="FFFFFF"/>
          <w:lang w:val="hr-HR"/>
        </w:rPr>
        <w:t xml:space="preserve">, 2018,16(5):e5263, str. 12., </w:t>
      </w:r>
      <w:hyperlink r:id="rId34" w:history="1">
        <w:r w:rsidRPr="008F7A9F">
          <w:rPr>
            <w:rStyle w:val="Hyperlink"/>
            <w:sz w:val="24"/>
            <w:lang w:val="hr-HR"/>
          </w:rPr>
          <w:t>https://doi.org/10.2903/j.efsa.2018.5263</w:t>
        </w:r>
      </w:hyperlink>
      <w:r w:rsidRPr="008F7A9F">
        <w:rPr>
          <w:sz w:val="24"/>
          <w:lang w:val="hr-HR"/>
        </w:rPr>
        <w:t>.</w:t>
      </w:r>
    </w:p>
  </w:footnote>
  <w:footnote w:id="15">
    <w:p w:rsidR="00005F7A" w:rsidRPr="008F7A9F" w:rsidP="008F7A9F" w14:paraId="6E3EB9A2" w14:textId="31900AB8">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r w:rsidRPr="008F7A9F">
        <w:rPr>
          <w:sz w:val="24"/>
          <w:lang w:val="hr-HR"/>
        </w:rPr>
        <w:t xml:space="preserve">SL L 282, 19.10.2016., str. 4. </w:t>
      </w:r>
    </w:p>
  </w:footnote>
  <w:footnote w:id="16">
    <w:p w:rsidR="00005F7A" w:rsidRPr="008F7A9F" w:rsidP="008F7A9F" w14:paraId="7764772E" w14:textId="2BEE7413">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r w:rsidRPr="008F7A9F">
        <w:rPr>
          <w:sz w:val="24"/>
          <w:lang w:val="hr-HR"/>
        </w:rPr>
        <w:t>SL L 309, 13.12.1993., str. 3., ELI: </w:t>
      </w:r>
      <w:hyperlink r:id="rId35" w:tooltip="ELI URI za pristup dokumentu." w:history="1">
        <w:r w:rsidRPr="008F7A9F">
          <w:rPr>
            <w:rStyle w:val="Hyperlink"/>
            <w:sz w:val="24"/>
            <w:lang w:val="hr-HR"/>
          </w:rPr>
          <w:t>http://data.europa.eu/eli/convention/1993/626/oj</w:t>
        </w:r>
      </w:hyperlink>
      <w:r w:rsidRPr="008F7A9F">
        <w:rPr>
          <w:sz w:val="24"/>
          <w:lang w:val="hr-HR"/>
        </w:rPr>
        <w:t>.</w:t>
      </w:r>
    </w:p>
  </w:footnote>
  <w:footnote w:id="17">
    <w:p w:rsidR="00005F7A" w:rsidRPr="008F7A9F" w:rsidP="008F7A9F" w14:paraId="643D1F50" w14:textId="1C7C7E72">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r w:rsidRPr="008F7A9F">
        <w:rPr>
          <w:sz w:val="24"/>
          <w:lang w:val="hr-HR"/>
        </w:rPr>
        <w:t>Na 15. konferenciji stranaka Konvencije Ujedinjenih naroda o biološkoj raznolikosti održanoj u prosincu 2022. dogovoren je globalni okvir za biološku raznolikost, koji uključuje globalni cilj smanjenja rizika od pesticida za najmanje 50 % do 2030. (vidi:</w:t>
      </w:r>
      <w:r w:rsidRPr="008F7A9F">
        <w:rPr>
          <w:color w:val="000000" w:themeColor="text1"/>
          <w:sz w:val="24"/>
          <w:lang w:val="hr-HR"/>
        </w:rPr>
        <w:t xml:space="preserve"> </w:t>
      </w:r>
      <w:hyperlink r:id="rId36" w:history="1">
        <w:r w:rsidRPr="008F7A9F">
          <w:rPr>
            <w:rStyle w:val="Hyperlink"/>
            <w:sz w:val="24"/>
            <w:lang w:val="hr-HR"/>
          </w:rPr>
          <w:t>https://ec.europa.eu/commission/presscorner/detail/hr/ip_22_7834</w:t>
        </w:r>
      </w:hyperlink>
      <w:r w:rsidRPr="008F7A9F">
        <w:rPr>
          <w:sz w:val="24"/>
          <w:lang w:val="hr-HR"/>
        </w:rPr>
        <w:t xml:space="preserve">). </w:t>
      </w:r>
    </w:p>
  </w:footnote>
  <w:footnote w:id="18">
    <w:p w:rsidR="00005F7A" w:rsidRPr="008F7A9F" w:rsidP="008F7A9F" w14:paraId="17E726CB" w14:textId="2DAB8201">
      <w:pPr>
        <w:pStyle w:val="FootnoteText"/>
        <w:ind w:left="567" w:hanging="567"/>
        <w:rPr>
          <w:sz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hyperlink r:id="rId37" w:history="1">
        <w:r w:rsidRPr="008F7A9F">
          <w:rPr>
            <w:rStyle w:val="Hyperlink"/>
            <w:sz w:val="24"/>
            <w:lang w:val="hr-HR"/>
          </w:rPr>
          <w:t>https://commission.europa.eu/strategy-and-policy/priorities-2019-2024/european-green-deal/agriculture-and-green-deal/strategic-dialogue-future-eu-agriculture_hr</w:t>
        </w:r>
      </w:hyperlink>
      <w:r w:rsidRPr="008F7A9F">
        <w:rPr>
          <w:rStyle w:val="Hyperlink"/>
          <w:sz w:val="24"/>
          <w:lang w:val="hr-HR"/>
        </w:rPr>
        <w:t>.</w:t>
      </w:r>
      <w:r w:rsidRPr="008F7A9F">
        <w:rPr>
          <w:sz w:val="24"/>
          <w:lang w:val="hr-HR"/>
        </w:rPr>
        <w:t xml:space="preserve"> </w:t>
      </w:r>
    </w:p>
  </w:footnote>
  <w:footnote w:id="19">
    <w:p w:rsidR="00005F7A" w:rsidRPr="008F7A9F" w:rsidP="008F7A9F" w14:paraId="19C7EE59" w14:textId="53C181F6">
      <w:pPr>
        <w:pStyle w:val="FootnoteText"/>
        <w:ind w:left="567" w:hanging="567"/>
        <w:rPr>
          <w:sz w:val="24"/>
          <w:szCs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r w:rsidRPr="008F7A9F">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1., ELI: </w:t>
      </w:r>
      <w:hyperlink r:id="rId38" w:tooltip="ELI URI za pristup dokumentu." w:history="1">
        <w:r w:rsidRPr="008F7A9F">
          <w:rPr>
            <w:rStyle w:val="Hyperlink"/>
            <w:sz w:val="24"/>
            <w:lang w:val="hr-HR"/>
          </w:rPr>
          <w:t>http://data.europa.eu/eli/reg/2002/178/oj</w:t>
        </w:r>
      </w:hyperlink>
      <w:r w:rsidRPr="008F7A9F">
        <w:rPr>
          <w:sz w:val="24"/>
          <w:lang w:val="hr-HR"/>
        </w:rPr>
        <w:t>).</w:t>
      </w:r>
    </w:p>
  </w:footnote>
  <w:footnote w:id="20">
    <w:p w:rsidR="00005F7A" w:rsidRPr="008F7A9F" w:rsidP="008F7A9F" w14:paraId="260F9371" w14:textId="26878DCE">
      <w:pPr>
        <w:pStyle w:val="FootnoteText"/>
        <w:ind w:left="567" w:hanging="567"/>
        <w:rPr>
          <w:sz w:val="24"/>
          <w:szCs w:val="24"/>
          <w:lang w:val="hr-HR"/>
        </w:rPr>
      </w:pPr>
      <w:r w:rsidRPr="008F7A9F">
        <w:rPr>
          <w:rStyle w:val="FootnoteReference"/>
          <w:sz w:val="24"/>
          <w:lang w:val="hr-HR"/>
        </w:rPr>
        <w:footnoteRef/>
      </w:r>
      <w:r w:rsidRPr="008F7A9F" w:rsidR="008F7A9F">
        <w:rPr>
          <w:sz w:val="24"/>
          <w:lang w:val="hr-HR"/>
        </w:rPr>
        <w:t xml:space="preserve"> </w:t>
      </w:r>
      <w:r w:rsidRPr="008F7A9F" w:rsidR="008F7A9F">
        <w:rPr>
          <w:sz w:val="24"/>
          <w:lang w:val="hr-HR"/>
        </w:rPr>
        <w:tab/>
      </w:r>
      <w:hyperlink r:id="rId39" w:history="1">
        <w:r w:rsidRPr="008F7A9F">
          <w:rPr>
            <w:rStyle w:val="Hyperlink"/>
            <w:sz w:val="24"/>
            <w:shd w:val="clear" w:color="auto" w:fill="FFFFFF"/>
            <w:lang w:val="hr-HR"/>
          </w:rPr>
          <w:t>https://tillymetz.lu/wp-content/uploads/2020/09/Co-signed-letter-MEP-Metz.pdf</w:t>
        </w:r>
      </w:hyperlink>
      <w:r w:rsidRPr="008F7A9F">
        <w:rPr>
          <w:sz w:val="24"/>
          <w:lang w:val="hr-HR"/>
        </w:rPr>
        <w:t>.</w:t>
      </w:r>
      <w:r w:rsidRPr="008F7A9F">
        <w:rPr>
          <w:sz w:val="24"/>
          <w:shd w:val="clear" w:color="auto" w:fill="FFFFFF"/>
          <w:lang w:val="hr-HR"/>
        </w:rPr>
        <w:t xml:space="preserve"> </w:t>
      </w:r>
    </w:p>
  </w:footnote>
  <w:footnote w:id="21">
    <w:p w:rsidR="00005F7A" w:rsidRPr="008F7A9F" w:rsidP="008F7A9F" w14:paraId="3E9817FD" w14:textId="286EAD35">
      <w:pPr>
        <w:pStyle w:val="FootnoteText"/>
        <w:ind w:left="567" w:hanging="567"/>
        <w:rPr>
          <w:sz w:val="24"/>
          <w:lang w:val="hr-HR"/>
        </w:rPr>
      </w:pPr>
      <w:r w:rsidRPr="008F7A9F">
        <w:rPr>
          <w:rStyle w:val="FootnoteReference"/>
          <w:sz w:val="24"/>
          <w:lang w:val="hr-HR"/>
        </w:rPr>
        <w:footnoteRef/>
      </w:r>
      <w:r w:rsidRPr="008F7A9F" w:rsidR="008F7A9F">
        <w:rPr>
          <w:sz w:val="24"/>
          <w:shd w:val="clear" w:color="auto" w:fill="FFFFFF"/>
          <w:lang w:val="hr-HR"/>
        </w:rPr>
        <w:t xml:space="preserve"> </w:t>
      </w:r>
      <w:r w:rsidRPr="008F7A9F" w:rsidR="008F7A9F">
        <w:rPr>
          <w:sz w:val="24"/>
          <w:shd w:val="clear" w:color="auto" w:fill="FFFFFF"/>
          <w:lang w:val="hr-HR"/>
        </w:rPr>
        <w:tab/>
      </w:r>
      <w:r w:rsidRPr="008F7A9F">
        <w:rPr>
          <w:sz w:val="24"/>
          <w:shd w:val="clear" w:color="auto" w:fill="FFFFFF"/>
          <w:lang w:val="hr-HR"/>
        </w:rPr>
        <w:t>Rezolucija Europskog parlamenta od 15. siječnja 2020. o europskom zelenom planu (SL C 270, 7.7.2021., str. 2.), stavak 102.</w:t>
      </w:r>
    </w:p>
  </w:footnote>
  <w:footnote w:id="22">
    <w:p w:rsidR="00005F7A" w:rsidRPr="008F7A9F" w:rsidP="008F7A9F" w14:paraId="6BDD18C1" w14:textId="7BD03305">
      <w:pPr>
        <w:pStyle w:val="FootnoteText"/>
        <w:ind w:left="567" w:hanging="567"/>
        <w:rPr>
          <w:sz w:val="24"/>
          <w:szCs w:val="24"/>
          <w:lang w:val="hr-HR"/>
        </w:rPr>
      </w:pPr>
      <w:r w:rsidRPr="008F7A9F">
        <w:rPr>
          <w:rStyle w:val="FootnoteReference"/>
          <w:sz w:val="24"/>
          <w:lang w:val="hr-HR"/>
        </w:rPr>
        <w:footnoteRef/>
      </w:r>
      <w:r w:rsidRPr="008F7A9F" w:rsidR="008F7A9F">
        <w:rPr>
          <w:sz w:val="24"/>
          <w:shd w:val="clear" w:color="auto" w:fill="FFFFFF"/>
          <w:lang w:val="hr-HR"/>
        </w:rPr>
        <w:t xml:space="preserve"> </w:t>
      </w:r>
      <w:r w:rsidRPr="008F7A9F" w:rsidR="008F7A9F">
        <w:rPr>
          <w:sz w:val="24"/>
          <w:shd w:val="clear" w:color="auto" w:fill="FFFFFF"/>
          <w:lang w:val="hr-HR"/>
        </w:rPr>
        <w:tab/>
      </w:r>
      <w:r w:rsidRPr="008F7A9F">
        <w:rPr>
          <w:sz w:val="24"/>
          <w:shd w:val="clear" w:color="auto" w:fill="FFFFFF"/>
          <w:lang w:val="hr-HR"/>
        </w:rPr>
        <w:t>SL C 445, 29.10.2021., str.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7A9F" w14:paraId="7A95F24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7A9F" w14:paraId="1AB05F2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7A9F" w14:paraId="2DE6D5B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302223215">
    <w:abstractNumId w:val="9"/>
  </w:num>
  <w:num w:numId="2" w16cid:durableId="225989630">
    <w:abstractNumId w:val="9"/>
  </w:num>
  <w:num w:numId="3" w16cid:durableId="412431894">
    <w:abstractNumId w:val="7"/>
  </w:num>
  <w:num w:numId="4" w16cid:durableId="686561867">
    <w:abstractNumId w:val="7"/>
  </w:num>
  <w:num w:numId="5" w16cid:durableId="1490099203">
    <w:abstractNumId w:val="6"/>
  </w:num>
  <w:num w:numId="6" w16cid:durableId="1378894309">
    <w:abstractNumId w:val="6"/>
  </w:num>
  <w:num w:numId="7" w16cid:durableId="6299968">
    <w:abstractNumId w:val="5"/>
  </w:num>
  <w:num w:numId="8" w16cid:durableId="1494024847">
    <w:abstractNumId w:val="5"/>
  </w:num>
  <w:num w:numId="9" w16cid:durableId="2111391742">
    <w:abstractNumId w:val="4"/>
  </w:num>
  <w:num w:numId="10" w16cid:durableId="315498418">
    <w:abstractNumId w:val="4"/>
  </w:num>
  <w:num w:numId="11" w16cid:durableId="13697144">
    <w:abstractNumId w:val="8"/>
  </w:num>
  <w:num w:numId="12" w16cid:durableId="383798164">
    <w:abstractNumId w:val="8"/>
  </w:num>
  <w:num w:numId="13" w16cid:durableId="1293748537">
    <w:abstractNumId w:val="3"/>
  </w:num>
  <w:num w:numId="14" w16cid:durableId="1475294922">
    <w:abstractNumId w:val="3"/>
  </w:num>
  <w:num w:numId="15" w16cid:durableId="1899318613">
    <w:abstractNumId w:val="2"/>
  </w:num>
  <w:num w:numId="16" w16cid:durableId="634483601">
    <w:abstractNumId w:val="2"/>
  </w:num>
  <w:num w:numId="17" w16cid:durableId="533463691">
    <w:abstractNumId w:val="1"/>
  </w:num>
  <w:num w:numId="18" w16cid:durableId="1687826240">
    <w:abstractNumId w:val="1"/>
  </w:num>
  <w:num w:numId="19" w16cid:durableId="556011138">
    <w:abstractNumId w:val="0"/>
  </w:num>
  <w:num w:numId="20" w16cid:durableId="1111709811">
    <w:abstractNumId w:val="0"/>
  </w:num>
  <w:num w:numId="21" w16cid:durableId="104732406">
    <w:abstractNumId w:val="9"/>
  </w:num>
  <w:num w:numId="22" w16cid:durableId="303052388">
    <w:abstractNumId w:val="7"/>
  </w:num>
  <w:num w:numId="23" w16cid:durableId="1174497629">
    <w:abstractNumId w:val="6"/>
  </w:num>
  <w:num w:numId="24" w16cid:durableId="788359995">
    <w:abstractNumId w:val="5"/>
  </w:num>
  <w:num w:numId="25" w16cid:durableId="1870682107">
    <w:abstractNumId w:val="4"/>
  </w:num>
  <w:num w:numId="26" w16cid:durableId="2121098572">
    <w:abstractNumId w:val="8"/>
  </w:num>
  <w:num w:numId="27" w16cid:durableId="1661424814">
    <w:abstractNumId w:val="3"/>
  </w:num>
  <w:num w:numId="28" w16cid:durableId="35744032">
    <w:abstractNumId w:val="2"/>
  </w:num>
  <w:num w:numId="29" w16cid:durableId="1247960880">
    <w:abstractNumId w:val="1"/>
  </w:num>
  <w:num w:numId="30" w16cid:durableId="1549950019">
    <w:abstractNumId w:val="0"/>
  </w:num>
  <w:num w:numId="31" w16cid:durableId="1297832718">
    <w:abstractNumId w:val="9"/>
  </w:num>
  <w:num w:numId="32" w16cid:durableId="1540624791">
    <w:abstractNumId w:val="7"/>
  </w:num>
  <w:num w:numId="33" w16cid:durableId="1394691396">
    <w:abstractNumId w:val="6"/>
  </w:num>
  <w:num w:numId="34" w16cid:durableId="1454859780">
    <w:abstractNumId w:val="5"/>
  </w:num>
  <w:num w:numId="35" w16cid:durableId="1007750730">
    <w:abstractNumId w:val="4"/>
  </w:num>
  <w:num w:numId="36" w16cid:durableId="449931574">
    <w:abstractNumId w:val="8"/>
  </w:num>
  <w:num w:numId="37" w16cid:durableId="706682742">
    <w:abstractNumId w:val="3"/>
  </w:num>
  <w:num w:numId="38" w16cid:durableId="504515581">
    <w:abstractNumId w:val="2"/>
  </w:num>
  <w:num w:numId="39" w16cid:durableId="486096031">
    <w:abstractNumId w:val="1"/>
  </w:num>
  <w:num w:numId="40" w16cid:durableId="1332954385">
    <w:abstractNumId w:val="0"/>
  </w:num>
  <w:num w:numId="41" w16cid:durableId="999311806">
    <w:abstractNumId w:val="10"/>
  </w:num>
  <w:num w:numId="42" w16cid:durableId="1056126656">
    <w:abstractNumId w:val="10"/>
  </w:num>
  <w:num w:numId="43" w16cid:durableId="1131939694">
    <w:abstractNumId w:val="10"/>
  </w:num>
  <w:num w:numId="44" w16cid:durableId="1092239904">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06B"/>
    <w:rsid w:val="00002272"/>
    <w:rsid w:val="00005F7A"/>
    <w:rsid w:val="00064002"/>
    <w:rsid w:val="000677B9"/>
    <w:rsid w:val="000831BA"/>
    <w:rsid w:val="000A42CC"/>
    <w:rsid w:val="000E7DD9"/>
    <w:rsid w:val="0010095E"/>
    <w:rsid w:val="00125B37"/>
    <w:rsid w:val="00187494"/>
    <w:rsid w:val="001F32AE"/>
    <w:rsid w:val="002767FF"/>
    <w:rsid w:val="002958E8"/>
    <w:rsid w:val="002B18FE"/>
    <w:rsid w:val="002B5493"/>
    <w:rsid w:val="00343214"/>
    <w:rsid w:val="00361C00"/>
    <w:rsid w:val="00395FA1"/>
    <w:rsid w:val="003E15D4"/>
    <w:rsid w:val="00411CCE"/>
    <w:rsid w:val="0041666E"/>
    <w:rsid w:val="00421060"/>
    <w:rsid w:val="00430436"/>
    <w:rsid w:val="00471C19"/>
    <w:rsid w:val="004867E3"/>
    <w:rsid w:val="00494A28"/>
    <w:rsid w:val="004C0004"/>
    <w:rsid w:val="004C5D52"/>
    <w:rsid w:val="0050519A"/>
    <w:rsid w:val="005072A1"/>
    <w:rsid w:val="00514517"/>
    <w:rsid w:val="00545827"/>
    <w:rsid w:val="00560270"/>
    <w:rsid w:val="005773F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BFB"/>
    <w:rsid w:val="00865F67"/>
    <w:rsid w:val="00881A7B"/>
    <w:rsid w:val="008840E5"/>
    <w:rsid w:val="00887B3E"/>
    <w:rsid w:val="008C2AC6"/>
    <w:rsid w:val="008F7A9F"/>
    <w:rsid w:val="00930C23"/>
    <w:rsid w:val="0093193B"/>
    <w:rsid w:val="009509D8"/>
    <w:rsid w:val="00950B64"/>
    <w:rsid w:val="00981893"/>
    <w:rsid w:val="00A1687D"/>
    <w:rsid w:val="00A200B7"/>
    <w:rsid w:val="00A43E52"/>
    <w:rsid w:val="00A4678D"/>
    <w:rsid w:val="00A53D9B"/>
    <w:rsid w:val="00A778C7"/>
    <w:rsid w:val="00AB441E"/>
    <w:rsid w:val="00AB4C91"/>
    <w:rsid w:val="00AB6293"/>
    <w:rsid w:val="00AE0928"/>
    <w:rsid w:val="00AF3B82"/>
    <w:rsid w:val="00B12E95"/>
    <w:rsid w:val="00B22876"/>
    <w:rsid w:val="00B558F0"/>
    <w:rsid w:val="00BD48FE"/>
    <w:rsid w:val="00BD7BD8"/>
    <w:rsid w:val="00BE6ADC"/>
    <w:rsid w:val="00BF306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27A"/>
    <w:rsid w:val="00FB4360"/>
    <w:rsid w:val="00FC1086"/>
    <w:rsid w:val="00FD0C70"/>
  </w:rsids>
  <w:docVars>
    <w:docVar w:name="dvdocse" w:val="B10-0336/2026"/>
    <w:docVar w:name="dvlangue" w:val="HR"/>
    <w:docVar w:name="dvnumam" w:val="0"/>
    <w:docVar w:name="dvpe" w:val="789.025"/>
    <w:docVar w:name="dvtitre" w:val="Rezolucija Europskog parlamenta od .... 2026. o Nacrtu provedbene odluke Komisije o odobravanju stavljanja na tržište proizvoda koji sadržavaju genetski modificirani kukuruz DP202216 x NK603 x DAS-40278-9 i njegove potkombinacije DP202216 x NK603, DP202216 x DAS-40278-9, sastoje se ili su proizvedeni od njih, na temelju Uredbe (EZ) br. 1829/2003 Europskog parlamenta i Vijeća(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38AF33"/>
  <w15:chartTrackingRefBased/>
  <w15:docId w15:val="{1A8AD6E9-DF67-435F-BA3E-993DFCA7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005F7A"/>
    <w:pPr>
      <w:spacing w:after="240"/>
      <w:ind w:left="567" w:hanging="567"/>
    </w:pPr>
  </w:style>
  <w:style w:type="character" w:styleId="Hyperlink">
    <w:name w:val="Hyperlink"/>
    <w:basedOn w:val="DefaultParagraphFont"/>
    <w:uiPriority w:val="99"/>
    <w:rsid w:val="00005F7A"/>
    <w:rPr>
      <w:color w:val="0563C1" w:themeColor="hyperlink"/>
      <w:u w:val="single"/>
    </w:rPr>
  </w:style>
  <w:style w:type="paragraph" w:customStyle="1" w:styleId="Considrant">
    <w:name w:val="Considérant"/>
    <w:basedOn w:val="Normal"/>
    <w:uiPriority w:val="99"/>
    <w:semiHidden/>
    <w:rsid w:val="00005F7A"/>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005F7A"/>
    <w:rPr>
      <w:rFonts w:ascii="Times New Roman" w:hAnsi="Times New Roman" w:cs="Times New Roman" w:hint="default"/>
      <w:vertAlign w:val="superscript"/>
    </w:rPr>
  </w:style>
  <w:style w:type="character" w:styleId="FollowedHyperlink">
    <w:name w:val="FollowedHyperlink"/>
    <w:basedOn w:val="DefaultParagraphFont"/>
    <w:rsid w:val="00AB4C91"/>
    <w:rPr>
      <w:color w:val="954F72" w:themeColor="followedHyperlink"/>
      <w:u w:val="single"/>
    </w:rPr>
  </w:style>
  <w:style w:type="character" w:styleId="UnresolvedMention">
    <w:name w:val="Unresolved Mention"/>
    <w:basedOn w:val="DefaultParagraphFont"/>
    <w:uiPriority w:val="99"/>
    <w:semiHidden/>
    <w:unhideWhenUsed/>
    <w:rsid w:val="00FC1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hr/ip_22_7834" TargetMode="External" /><Relationship Id="rId37" Type="http://schemas.openxmlformats.org/officeDocument/2006/relationships/hyperlink" Target="https://commission.europa.eu/strategy-and-policy/priorities-2019-2024/european-green-deal/agriculture-and-green-deal/strategic-dialogue-future-eu-agriculture_hr"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2153</Words>
  <Characters>12699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2026-08-05T14:52:00Z</dcterms:created>
  <dcterms:modified xsi:type="dcterms:W3CDTF">2026-08-05T14:52:00Z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B10-0336/2026</vt:lpwstr>
  </property>
  <property fmtid="{D5CDD505-2E9C-101B-9397-08002B2CF9AE}" pid="4" name="&lt;Type&gt;">
    <vt:lpwstr>RR</vt:lpwstr>
  </property>
</Properties>
</file>