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0B94C3" w14:textId="77777777" w:rsidTr="0010095E">
        <w:tblPrEx>
          <w:tblW w:w="9072" w:type="dxa"/>
          <w:tblLook w:val="01E0"/>
        </w:tblPrEx>
        <w:trPr>
          <w:trHeight w:hRule="exact" w:val="1418"/>
        </w:trPr>
        <w:tc>
          <w:tcPr>
            <w:tcW w:w="6804" w:type="dxa"/>
            <w:shd w:val="clear" w:color="auto" w:fill="auto"/>
            <w:vAlign w:val="center"/>
          </w:tcPr>
          <w:p w:rsidR="00751A4A" w:rsidRPr="005A36AC" w:rsidP="0010095E" w14:paraId="6BB48B12" w14:textId="77777777">
            <w:pPr>
              <w:pStyle w:val="EPName"/>
            </w:pPr>
            <w:r w:rsidRPr="005A36AC">
              <w:t>Parlamento europeo</w:t>
            </w:r>
          </w:p>
          <w:p w:rsidR="00751A4A" w:rsidRPr="005A36AC" w:rsidP="005F1B17" w14:paraId="08482169" w14:textId="77777777">
            <w:pPr>
              <w:pStyle w:val="EPTerm"/>
              <w:rPr>
                <w:rStyle w:val="HideTWBExt"/>
                <w:noProof w:val="0"/>
                <w:vanish w:val="0"/>
                <w:color w:val="auto"/>
              </w:rPr>
            </w:pPr>
            <w:r w:rsidRPr="005A36AC">
              <w:t>2024</w:t>
            </w:r>
            <w:r w:rsidRPr="005A36AC" w:rsidR="00817416">
              <w:t>-202</w:t>
            </w:r>
            <w:r w:rsidRPr="005A36AC">
              <w:t>9</w:t>
            </w:r>
          </w:p>
        </w:tc>
        <w:tc>
          <w:tcPr>
            <w:tcW w:w="2268" w:type="dxa"/>
            <w:shd w:val="clear" w:color="auto" w:fill="auto"/>
          </w:tcPr>
          <w:p w:rsidR="00751A4A" w:rsidRPr="005A36AC" w:rsidP="0010095E" w14:paraId="523673F6" w14:textId="77777777">
            <w:pPr>
              <w:pStyle w:val="EPLogo"/>
            </w:pPr>
            <w:r w:rsidRPr="005A36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A36AC" w:rsidP="004C5D52" w14:paraId="6D56C1FF" w14:textId="77777777">
      <w:pPr>
        <w:pStyle w:val="LineTop"/>
      </w:pPr>
    </w:p>
    <w:p w:rsidR="00680577" w:rsidRPr="005A36AC" w:rsidP="00680577" w14:paraId="345D4694" w14:textId="77777777">
      <w:pPr>
        <w:pStyle w:val="EPBodyTA1"/>
      </w:pPr>
      <w:r w:rsidRPr="005A36AC">
        <w:t>TESTI APPROVATI</w:t>
      </w:r>
    </w:p>
    <w:p w:rsidR="00D058B8" w:rsidRPr="005A36AC" w:rsidP="00D058B8" w14:paraId="796967D1" w14:textId="77777777">
      <w:pPr>
        <w:pStyle w:val="LineBottom"/>
      </w:pPr>
    </w:p>
    <w:p w:rsidR="00C856FC" w:rsidRPr="005A36AC" w:rsidP="00C856FC" w14:paraId="5BC0A4C6" w14:textId="1BADB460">
      <w:pPr>
        <w:pStyle w:val="ATHeading1"/>
      </w:pPr>
      <w:bookmarkStart w:id="0" w:name="TANumber"/>
      <w:r w:rsidRPr="005A36AC">
        <w:t>P10_TA(2026)0</w:t>
      </w:r>
      <w:bookmarkEnd w:id="0"/>
      <w:r w:rsidRPr="005A36AC" w:rsidR="005A36AC">
        <w:t>265</w:t>
      </w:r>
    </w:p>
    <w:p w:rsidR="00C856FC" w:rsidRPr="005A36AC" w:rsidP="00C856FC" w14:paraId="087E36D8" w14:textId="71ED9519">
      <w:pPr>
        <w:pStyle w:val="ATHeading2"/>
      </w:pPr>
      <w:bookmarkStart w:id="1" w:name="title"/>
      <w:r w:rsidRPr="005A36AC">
        <w:t>G</w:t>
      </w:r>
      <w:r w:rsidRPr="005A36AC">
        <w:t xml:space="preserve">ranturco geneticamente modificato DP202216 x NK603 x DAS-40278-9 e relative </w:t>
      </w:r>
      <w:r w:rsidRPr="005A36AC">
        <w:t>sottocombinazioni</w:t>
      </w:r>
      <w:r w:rsidRPr="005A36AC">
        <w:t xml:space="preserve"> DP202216 x NK603, DP202216 x DAS-40278-9</w:t>
      </w:r>
      <w:bookmarkEnd w:id="1"/>
    </w:p>
    <w:p w:rsidR="00C856FC" w:rsidRPr="005A36AC" w:rsidP="00C856FC" w14:paraId="6D0ABA0F" w14:textId="77777777">
      <w:pPr>
        <w:rPr>
          <w:i/>
          <w:vanish/>
        </w:rPr>
      </w:pPr>
      <w:r>
        <w:rPr>
          <w:i/>
        </w:rPr>
        <w:fldChar w:fldCharType="begin"/>
      </w:r>
      <w:r w:rsidRPr="005A36AC">
        <w:rPr>
          <w:i/>
        </w:rPr>
        <w:instrText xml:space="preserve"> TC"(</w:instrText>
      </w:r>
      <w:bookmarkStart w:id="2" w:name="DocNumber"/>
      <w:r w:rsidRPr="005A36AC">
        <w:rPr>
          <w:i/>
        </w:rPr>
        <w:instrText>B10-0336/2026</w:instrText>
      </w:r>
      <w:bookmarkEnd w:id="2"/>
      <w:r w:rsidRPr="005A36AC">
        <w:rPr>
          <w:i/>
        </w:rPr>
        <w:instrText xml:space="preserve">)"\l3 \n&gt; \* MERGEFORMAT </w:instrText>
      </w:r>
      <w:r>
        <w:rPr>
          <w:i/>
        </w:rPr>
        <w:fldChar w:fldCharType="end"/>
      </w:r>
    </w:p>
    <w:p w:rsidR="00C856FC" w:rsidRPr="005A36AC" w:rsidP="00C856FC" w14:paraId="4F90B720" w14:textId="77777777">
      <w:pPr>
        <w:rPr>
          <w:vanish/>
        </w:rPr>
      </w:pPr>
      <w:bookmarkStart w:id="3" w:name="PE"/>
      <w:r w:rsidRPr="005A36AC">
        <w:rPr>
          <w:vanish/>
        </w:rPr>
        <w:t>PE789.025</w:t>
      </w:r>
      <w:bookmarkEnd w:id="3"/>
    </w:p>
    <w:p w:rsidR="00C856FC" w:rsidRPr="005A36AC" w:rsidP="00F97F94" w14:paraId="6A8EE692" w14:textId="234EA18C">
      <w:pPr>
        <w:pStyle w:val="ATHeading3"/>
      </w:pPr>
      <w:bookmarkStart w:id="4" w:name="Sujet"/>
      <w:r w:rsidRPr="005A36AC">
        <w:t>Risoluzione del Parlamento europeo del</w:t>
      </w:r>
      <w:r w:rsidRPr="005A36AC" w:rsidR="00F27DF9">
        <w:t>l’8 luglio</w:t>
      </w:r>
      <w:r w:rsidRPr="005A36AC">
        <w:t xml:space="preserve"> 2026 </w:t>
      </w:r>
      <w:r w:rsidRPr="005A36AC" w:rsidR="00F27DF9">
        <w:t>sulla</w:t>
      </w:r>
      <w:r w:rsidRPr="005A36AC">
        <w:t xml:space="preserve"> decisione di esecuzione </w:t>
      </w:r>
      <w:r w:rsidRPr="005A36AC" w:rsidR="00F27DF9">
        <w:t xml:space="preserve">(UE) 2026/1443 </w:t>
      </w:r>
      <w:r w:rsidRPr="005A36AC">
        <w:t>della Commissione</w:t>
      </w:r>
      <w:r w:rsidRPr="005A36AC" w:rsidR="00F27DF9">
        <w:t>, del 29 giugno 2026,</w:t>
      </w:r>
      <w:r w:rsidRPr="005A36AC">
        <w:t xml:space="preserve"> che autorizza l'immissione in commercio di prodotti contenenti, costituiti o derivanti da granturco geneticamente modificato DP202216 x NK603 x DAS-40278-9 e d</w:t>
      </w:r>
      <w:r w:rsidRPr="005A36AC" w:rsidR="00F27DF9">
        <w:t>e</w:t>
      </w:r>
      <w:r w:rsidRPr="005A36AC">
        <w:t xml:space="preserve">lle relative </w:t>
      </w:r>
      <w:r w:rsidRPr="005A36AC">
        <w:t>sottocombinazioni</w:t>
      </w:r>
      <w:r w:rsidRPr="005A36AC">
        <w:t xml:space="preserve"> DP202216 x NK603, DP202216 x DAS-40278-9, </w:t>
      </w:r>
      <w:r w:rsidRPr="005A36AC" w:rsidR="00F27DF9">
        <w:t>conformemente al</w:t>
      </w:r>
      <w:r w:rsidRPr="005A36AC">
        <w:t xml:space="preserve"> regolamento (CE) n. 1829/2003 del Parlamento europeo e del Consiglio</w:t>
      </w:r>
      <w:bookmarkEnd w:id="4"/>
      <w:r w:rsidRPr="005A36AC">
        <w:t xml:space="preserve"> </w:t>
      </w:r>
      <w:bookmarkStart w:id="5" w:name="References"/>
      <w:r w:rsidRPr="005A36AC">
        <w:t>(2026/2746(RSP))</w:t>
      </w:r>
      <w:bookmarkEnd w:id="5"/>
    </w:p>
    <w:p w:rsidR="007F3076" w:rsidRPr="005A36AC" w:rsidP="007F3076" w14:paraId="1C8ACCBD" w14:textId="77777777">
      <w:pPr>
        <w:pStyle w:val="NormalHanging12a"/>
        <w:tabs>
          <w:tab w:val="center" w:pos="4535"/>
        </w:tabs>
        <w:spacing w:before="240"/>
      </w:pPr>
      <w:bookmarkStart w:id="6" w:name="TextBodyBegin"/>
      <w:bookmarkEnd w:id="6"/>
      <w:r w:rsidRPr="005A36AC">
        <w:rPr>
          <w:i/>
          <w:iCs/>
        </w:rPr>
        <w:t>Il Parlamento europeo</w:t>
      </w:r>
      <w:r w:rsidRPr="005A36AC">
        <w:t>,</w:t>
      </w:r>
    </w:p>
    <w:p w:rsidR="007F3076" w:rsidRPr="005A36AC" w:rsidP="007F3076" w14:paraId="13DD3446" w14:textId="3235C41A">
      <w:pPr>
        <w:pStyle w:val="NormalHanging12a"/>
      </w:pPr>
      <w:r w:rsidRPr="005A36AC">
        <w:t>–</w:t>
      </w:r>
      <w:r w:rsidRPr="005A36AC">
        <w:tab/>
        <w:t>vist</w:t>
      </w:r>
      <w:r w:rsidRPr="005A36AC" w:rsidR="00F27DF9">
        <w:t>a</w:t>
      </w:r>
      <w:r w:rsidRPr="005A36AC">
        <w:t xml:space="preserve"> </w:t>
      </w:r>
      <w:r w:rsidRPr="005A36AC" w:rsidR="00F27DF9">
        <w:t>la</w:t>
      </w:r>
      <w:r w:rsidRPr="005A36AC">
        <w:t xml:space="preserve"> decisione di esecuzione </w:t>
      </w:r>
      <w:r w:rsidR="00940646">
        <w:t>(</w:t>
      </w:r>
      <w:r w:rsidRPr="005A36AC" w:rsidR="00F27DF9">
        <w:t xml:space="preserve">UE) 2026/1443 </w:t>
      </w:r>
      <w:r w:rsidRPr="005A36AC">
        <w:t>della Commissione</w:t>
      </w:r>
      <w:r w:rsidRPr="005A36AC" w:rsidR="00F27DF9">
        <w:t>, del 29 giugno 2026,</w:t>
      </w:r>
      <w:r w:rsidRPr="005A36AC">
        <w:t xml:space="preserve"> che autorizza l'immissione in commercio di prodotti contenenti, costituiti o derivanti da granturco geneticamente modificato DP202216 x NK603 x DAS-40278-9 e d</w:t>
      </w:r>
      <w:r w:rsidRPr="005A36AC" w:rsidR="00F27DF9">
        <w:t>e</w:t>
      </w:r>
      <w:r w:rsidRPr="005A36AC">
        <w:t xml:space="preserve">lle relative </w:t>
      </w:r>
      <w:r w:rsidRPr="005A36AC">
        <w:t>sottocombinazioni</w:t>
      </w:r>
      <w:r w:rsidRPr="005A36AC">
        <w:t xml:space="preserve"> DP202216 x NK603, DP202216 x DAS-40278-9, </w:t>
      </w:r>
      <w:r w:rsidRPr="005A36AC" w:rsidR="00F27DF9">
        <w:t>conformemente al</w:t>
      </w:r>
      <w:r w:rsidRPr="005A36AC">
        <w:t xml:space="preserve"> regolamento (CE) n. 1829/2003 del Parlamento europeo e del Consiglio</w:t>
      </w:r>
      <w:r>
        <w:rPr>
          <w:rStyle w:val="FootnoteReference"/>
        </w:rPr>
        <w:footnoteReference w:id="2"/>
      </w:r>
      <w:r w:rsidRPr="005A36AC">
        <w:t>,</w:t>
      </w:r>
    </w:p>
    <w:p w:rsidR="007F3076" w:rsidRPr="005A36AC" w:rsidP="007F3076" w14:paraId="282B0B17" w14:textId="77777777">
      <w:pPr>
        <w:pStyle w:val="NormalHanging12a"/>
      </w:pPr>
      <w:r w:rsidRPr="005A36AC">
        <w:t>–</w:t>
      </w:r>
      <w:r w:rsidRPr="005A36AC">
        <w:tab/>
        <w:t>visto il regolamento (CE) n. 1829/2003 del Parlamento europeo e del Consiglio, del 22 settembre 2003, relativo agli alimenti e ai mangimi geneticamente modificati</w:t>
      </w:r>
      <w:r>
        <w:rPr>
          <w:rStyle w:val="FootnoteReference"/>
        </w:rPr>
        <w:footnoteReference w:id="3"/>
      </w:r>
      <w:r w:rsidRPr="005A36AC">
        <w:t>, in particolare l'articolo 7, paragrafo 3, e l'articolo 19, paragrafo 3,</w:t>
      </w:r>
    </w:p>
    <w:p w:rsidR="007F3076" w:rsidRPr="005A36AC" w:rsidP="007F3076" w14:paraId="16554AE6" w14:textId="77777777">
      <w:pPr>
        <w:pStyle w:val="NormalHanging12a"/>
      </w:pPr>
      <w:r w:rsidRPr="005A36AC">
        <w:t>–</w:t>
      </w:r>
      <w:r w:rsidRPr="005A36AC">
        <w:tab/>
        <w:t>viste la votazione tenutasi il 27 aprile 2026 in seno al comitato permanente per le piante, gli animali, gli alimenti e i mangimi di cui all'articolo 35 del regolamento (CE) n. 1829/2003, durante la quale non sono stati espressi pareri, e la votazione tenutasi il 2 giugno 2026, durante la quale, ancora una volta, non sono stati espressi pareri,</w:t>
      </w:r>
    </w:p>
    <w:p w:rsidR="007F3076" w:rsidRPr="005A36AC" w:rsidP="007F3076" w14:paraId="61270F5A" w14:textId="77777777">
      <w:pPr>
        <w:pStyle w:val="NormalHanging12a"/>
      </w:pPr>
      <w:r w:rsidRPr="005A36AC">
        <w:t>–</w:t>
      </w:r>
      <w:r w:rsidRPr="005A36AC">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Pr>
          <w:rStyle w:val="FootnoteReference"/>
        </w:rPr>
        <w:footnoteReference w:id="4"/>
      </w:r>
      <w:r w:rsidRPr="005A36AC">
        <w:t>,</w:t>
      </w:r>
    </w:p>
    <w:p w:rsidR="007F3076" w:rsidRPr="005A36AC" w:rsidP="007F3076" w14:paraId="3284D992" w14:textId="77777777">
      <w:pPr>
        <w:pStyle w:val="NormalHanging12a"/>
      </w:pPr>
      <w:r w:rsidRPr="005A36AC">
        <w:t>–</w:t>
      </w:r>
      <w:r w:rsidRPr="005A36AC">
        <w:tab/>
        <w:t xml:space="preserve">visto il parere adottato dall'Autorità europea per la sicurezza alimentare (EFSA) il 30 </w:t>
      </w:r>
      <w:r w:rsidRPr="005A36AC">
        <w:t>ottobre 2025 e pubblicato il 5 dicembre 2025</w:t>
      </w:r>
      <w:r>
        <w:rPr>
          <w:rStyle w:val="FootnoteReference"/>
        </w:rPr>
        <w:footnoteReference w:id="5"/>
      </w:r>
      <w:r w:rsidRPr="005A36AC">
        <w:t>,</w:t>
      </w:r>
    </w:p>
    <w:p w:rsidR="007F3076" w:rsidRPr="005A36AC" w:rsidP="007F3076" w14:paraId="2D9B82C4" w14:textId="77777777">
      <w:pPr>
        <w:pStyle w:val="NormalHanging12a"/>
      </w:pPr>
      <w:r w:rsidRPr="005A36AC">
        <w:t>–</w:t>
      </w:r>
      <w:r w:rsidRPr="005A36AC">
        <w:tab/>
        <w:t>viste le sue precedenti risoluzioni che sollevano obiezioni all'autorizzazione di organismi geneticamente modificati ("OGM")</w:t>
      </w:r>
      <w:r>
        <w:rPr>
          <w:rStyle w:val="FootnoteReference"/>
        </w:rPr>
        <w:footnoteReference w:id="6"/>
      </w:r>
      <w:r w:rsidRPr="005A36AC">
        <w:t>,</w:t>
      </w:r>
    </w:p>
    <w:p w:rsidR="007F3076" w:rsidRPr="005A36AC" w:rsidP="007F3076" w14:paraId="41F4730B" w14:textId="77777777">
      <w:pPr>
        <w:pStyle w:val="NormalHanging12a"/>
      </w:pPr>
      <w:r w:rsidRPr="005A36AC">
        <w:t>–</w:t>
      </w:r>
      <w:r w:rsidRPr="005A36AC">
        <w:tab/>
        <w:t>visto l'articolo 115, paragrafi 2 e 3, del suo regolamento,</w:t>
      </w:r>
    </w:p>
    <w:p w:rsidR="007F3076" w:rsidRPr="005A36AC" w:rsidP="007F3076" w14:paraId="59EE3EAB" w14:textId="77777777">
      <w:pPr>
        <w:pStyle w:val="NormalHanging12a"/>
      </w:pPr>
      <w:r w:rsidRPr="005A36AC">
        <w:t>–</w:t>
      </w:r>
      <w:r w:rsidRPr="005A36AC">
        <w:tab/>
        <w:t>vista la proposta di risoluzione della commissione per l'ambiente, il clima e la sicurezza alimentare,</w:t>
      </w:r>
    </w:p>
    <w:p w:rsidR="007F3076" w:rsidRPr="005A36AC" w:rsidP="00A71383" w14:paraId="23E6FF83" w14:textId="77777777">
      <w:pPr>
        <w:pStyle w:val="Considrant"/>
        <w:numPr>
          <w:ilvl w:val="0"/>
          <w:numId w:val="0"/>
        </w:numPr>
        <w:spacing w:after="240"/>
        <w:ind w:left="567" w:hanging="567"/>
        <w:jc w:val="left"/>
        <w:rPr>
          <w:szCs w:val="24"/>
        </w:rPr>
      </w:pPr>
      <w:r w:rsidRPr="005A36AC">
        <w:t>A.</w:t>
      </w:r>
      <w:r w:rsidRPr="005A36AC">
        <w:tab/>
        <w:t xml:space="preserve">considerando che, il 10 marzo 2023, </w:t>
      </w:r>
      <w:r w:rsidRPr="005A36AC">
        <w:rPr>
          <w:snapToGrid w:val="0"/>
        </w:rPr>
        <w:t>Corteva</w:t>
      </w:r>
      <w:r w:rsidRPr="005A36AC">
        <w:rPr>
          <w:snapToGrid w:val="0"/>
        </w:rPr>
        <w:t xml:space="preserve"> </w:t>
      </w:r>
      <w:r w:rsidRPr="005A36AC">
        <w:rPr>
          <w:snapToGrid w:val="0"/>
        </w:rPr>
        <w:t>Agriscience</w:t>
      </w:r>
      <w:r w:rsidRPr="005A36AC">
        <w:rPr>
          <w:snapToGrid w:val="0"/>
        </w:rPr>
        <w:t xml:space="preserve"> </w:t>
      </w:r>
      <w:r w:rsidRPr="005A36AC">
        <w:rPr>
          <w:snapToGrid w:val="0"/>
        </w:rPr>
        <w:t>Belgium</w:t>
      </w:r>
      <w:r w:rsidRPr="005A36AC">
        <w:rPr>
          <w:snapToGrid w:val="0"/>
        </w:rPr>
        <w:t xml:space="preserve"> B.V., con sede in Belgio, ha presentato, per conto di </w:t>
      </w:r>
      <w:r w:rsidRPr="005A36AC">
        <w:rPr>
          <w:snapToGrid w:val="0"/>
        </w:rPr>
        <w:t>Corteva</w:t>
      </w:r>
      <w:r w:rsidRPr="005A36AC">
        <w:rPr>
          <w:snapToGrid w:val="0"/>
        </w:rPr>
        <w:t xml:space="preserve"> </w:t>
      </w:r>
      <w:r w:rsidRPr="005A36AC">
        <w:rPr>
          <w:snapToGrid w:val="0"/>
        </w:rPr>
        <w:t>Agriscience</w:t>
      </w:r>
      <w:r w:rsidRPr="005A36AC">
        <w:rPr>
          <w:snapToGrid w:val="0"/>
        </w:rPr>
        <w:t xml:space="preserve"> LLC, con sede negli Stati Uniti, una domanda relativa</w:t>
      </w:r>
      <w:r w:rsidRPr="005A36AC">
        <w:t xml:space="preserve"> all'immissione in commercio di alimenti, ingredienti alimentari e mangimi contenenti, costituiti o derivati da granturco geneticamente modificato DP202216 × NK603 × DAS-40279-9 ("granturco geneticamente modificato"), conformemente agli articoli 5 e 17 del regolamento (CE) n. 1829/2003; che la domanda riguardava altresì l'immissione in commercio di prodotti contenenti granturco geneticamente modificato, o da esso costituiti, per usi diversi dagli alimenti e dai mangimi, ad eccezione della coltivazione;</w:t>
      </w:r>
    </w:p>
    <w:p w:rsidR="007F3076" w:rsidRPr="005A36AC" w:rsidP="00A71383" w14:paraId="6FE512D0" w14:textId="77777777">
      <w:pPr>
        <w:widowControl/>
        <w:shd w:val="clear" w:color="auto" w:fill="FFFFFF"/>
        <w:spacing w:after="240"/>
        <w:ind w:left="567" w:hanging="567"/>
        <w:rPr>
          <w:szCs w:val="24"/>
        </w:rPr>
      </w:pPr>
      <w:r w:rsidRPr="005A36AC">
        <w:t>B.</w:t>
      </w:r>
      <w:r w:rsidRPr="005A36AC">
        <w:tab/>
        <w:t xml:space="preserve">considerando che, il 30 ottobre 2025, l'EFSA ha adottato un parere scientifico favorevole in relazione all'autorizzazione del granturco  geneticamente modificato, pubblicato il </w:t>
      </w:r>
      <w:r w:rsidRPr="005A36AC">
        <w:rPr>
          <w:shd w:val="clear" w:color="auto" w:fill="FFFFFF"/>
        </w:rPr>
        <w:t>5 dicembre 2025</w:t>
      </w:r>
      <w:r w:rsidRPr="005A36AC">
        <w:t>;</w:t>
      </w:r>
    </w:p>
    <w:p w:rsidR="007F3076" w:rsidRPr="005A36AC" w:rsidP="00A71383" w14:paraId="420FA7AE" w14:textId="77777777">
      <w:pPr>
        <w:widowControl/>
        <w:autoSpaceDE w:val="0"/>
        <w:autoSpaceDN w:val="0"/>
        <w:adjustRightInd w:val="0"/>
        <w:spacing w:after="240"/>
        <w:ind w:left="567" w:hanging="567"/>
      </w:pPr>
      <w:r w:rsidRPr="005A36AC">
        <w:t>C.</w:t>
      </w:r>
      <w:r w:rsidRPr="005A36AC">
        <w:tab/>
        <w:t xml:space="preserve">considerando che l'EFSA ha concluso che il granturco geneticamente modificato e le relative </w:t>
      </w:r>
      <w:r w:rsidRPr="005A36AC">
        <w:t>sottocombinazioni</w:t>
      </w:r>
      <w:r w:rsidRPr="005A36AC">
        <w:t xml:space="preserve">, come descritto nella domanda, sono sicuri quanto la loro versione tradizionale e le varietà di riferimento non geneticamente modificate sottoposte a test per quanto riguarda i potenziali effetti sulla salute umana e animale e sull'ambiente. che l'EFSA ha altresì concluso che il consumo di alimenti e mangimi a base di granturco geneticamente modificato e le relative </w:t>
      </w:r>
      <w:r w:rsidRPr="005A36AC">
        <w:t>sottocombinazioni</w:t>
      </w:r>
      <w:r w:rsidRPr="005A36AC">
        <w:t xml:space="preserve"> non costituisce una preoccupazione sul piano nutrizionale per l’uomo e gli animali; che tale parere non ha preso in considerazione diversi effetti ambientali, socioeconomici e cumulativi più ampi che l'EFSA ritiene esulino dalle sue competenze;</w:t>
      </w:r>
    </w:p>
    <w:p w:rsidR="007F3076" w:rsidRPr="005A36AC" w:rsidP="00A71383" w14:paraId="6DA08A43" w14:textId="77777777">
      <w:pPr>
        <w:widowControl/>
        <w:autoSpaceDE w:val="0"/>
        <w:autoSpaceDN w:val="0"/>
        <w:adjustRightInd w:val="0"/>
        <w:spacing w:after="240"/>
        <w:ind w:left="567" w:hanging="567"/>
        <w:rPr>
          <w:rFonts w:eastAsiaTheme="minorHAnsi"/>
          <w:szCs w:val="24"/>
        </w:rPr>
      </w:pPr>
      <w:r w:rsidRPr="005A36AC">
        <w:t>D.</w:t>
      </w:r>
      <w:r w:rsidRPr="005A36AC">
        <w:tab/>
        <w:t xml:space="preserve">considerando che il granturco geneticamente modificato è stato sviluppato mediante incroci mirati alla combinazione di tre singoli eventi: DP202216, che esprime l'enzima </w:t>
      </w:r>
      <w:r w:rsidRPr="005A36AC">
        <w:t>fosfinotricina</w:t>
      </w:r>
      <w:r w:rsidRPr="005A36AC">
        <w:t xml:space="preserve"> </w:t>
      </w:r>
      <w:r w:rsidRPr="005A36AC">
        <w:t>acetiltransferasi</w:t>
      </w:r>
      <w:r w:rsidRPr="005A36AC">
        <w:t xml:space="preserve"> (PAT), per conferire resistenza agli erbicidi contenenti </w:t>
      </w:r>
      <w:r w:rsidRPr="005A36AC">
        <w:t>glufosinato</w:t>
      </w:r>
      <w:r w:rsidRPr="005A36AC">
        <w:t xml:space="preserve"> d'ammonio, e la proteina endogena del granturco con espressione alterata (EPAE) ZMM28, che permette il miglioramento della resa in condizioni di campo; NK603, che esprime le proteine CP4 EPSPS e CP4 EPSPS L214P, per conferire resistenza agli erbicidi a base di glifosato, e DAS-40278-9, che esprime l'</w:t>
      </w:r>
      <w:r w:rsidRPr="005A36AC">
        <w:t>arilossialcanoato</w:t>
      </w:r>
      <w:r w:rsidRPr="005A36AC">
        <w:t xml:space="preserve"> </w:t>
      </w:r>
      <w:r w:rsidRPr="005A36AC">
        <w:t>diossigenasi</w:t>
      </w:r>
      <w:r w:rsidRPr="005A36AC">
        <w:t xml:space="preserve"> (AAD-1), per conferire resistenza agli erbicidi a base di 2,4-D e </w:t>
      </w:r>
      <w:r w:rsidRPr="005A36AC">
        <w:t>arilossifenossipropionato</w:t>
      </w:r>
      <w:r w:rsidRPr="005A36AC">
        <w:t xml:space="preserve"> (AOPP</w:t>
      </w:r>
      <w:r>
        <w:rPr>
          <w:rStyle w:val="FootnoteReference"/>
          <w:rFonts w:eastAsiaTheme="minorHAnsi"/>
          <w:szCs w:val="24"/>
        </w:rPr>
        <w:footnoteReference w:id="7"/>
      </w:r>
      <w:r w:rsidRPr="005A36AC">
        <w:t>);</w:t>
      </w:r>
    </w:p>
    <w:p w:rsidR="007F3076" w:rsidRPr="005A36AC" w:rsidP="00A71383" w14:paraId="42E51431" w14:textId="77777777">
      <w:pPr>
        <w:spacing w:after="240"/>
        <w:ind w:left="567" w:hanging="567"/>
        <w:rPr>
          <w:rFonts w:eastAsiaTheme="minorHAnsi"/>
          <w:szCs w:val="24"/>
        </w:rPr>
      </w:pPr>
      <w:r w:rsidRPr="005A36AC">
        <w:t>E.</w:t>
      </w:r>
      <w:r w:rsidRPr="005A36AC">
        <w:tab/>
        <w:t xml:space="preserve">considerando che solo la </w:t>
      </w:r>
      <w:r w:rsidRPr="005A36AC">
        <w:t>sottocombinazione</w:t>
      </w:r>
      <w:r w:rsidRPr="005A36AC">
        <w:t xml:space="preserve"> NK603 × DAS- 40278-9 è stata precedentemente valutata dall'EFSA; che il richiedente non ha presentato dati sperimentali per le </w:t>
      </w:r>
      <w:r w:rsidRPr="005A36AC">
        <w:t>sottocombinazioni</w:t>
      </w:r>
      <w:r w:rsidRPr="005A36AC">
        <w:t xml:space="preserve"> DP202216 x NK603 e DP202216 x DAS-40278-9, che non sono state precedentemente valutate dall'EFSA; che, nonostante ciò, l'EFSA ha concluso che tale </w:t>
      </w:r>
      <w:r w:rsidRPr="005A36AC">
        <w:t>sottocombinazione</w:t>
      </w:r>
      <w:r w:rsidRPr="005A36AC">
        <w:t xml:space="preserve"> non desta preoccupazioni riguardo alla </w:t>
      </w:r>
      <w:r w:rsidRPr="005A36AC">
        <w:t>sicurezza;</w:t>
      </w:r>
    </w:p>
    <w:p w:rsidR="007F3076" w:rsidRPr="005A36AC" w:rsidP="00A71383" w14:paraId="69446C59" w14:textId="77777777">
      <w:pPr>
        <w:spacing w:after="240"/>
        <w:ind w:left="567" w:hanging="567"/>
        <w:rPr>
          <w:rFonts w:eastAsiaTheme="minorHAnsi"/>
          <w:szCs w:val="24"/>
        </w:rPr>
      </w:pPr>
      <w:r w:rsidRPr="005A36AC">
        <w:t>F.</w:t>
      </w:r>
      <w:r w:rsidRPr="005A36AC">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 granturco;</w:t>
      </w:r>
    </w:p>
    <w:p w:rsidR="007F3076" w:rsidRPr="005A36AC" w:rsidP="00A71383" w14:paraId="00FD764A" w14:textId="77777777">
      <w:pPr>
        <w:spacing w:after="240"/>
        <w:ind w:left="567" w:hanging="567"/>
        <w:rPr>
          <w:rFonts w:eastAsiaTheme="minorHAnsi"/>
          <w:szCs w:val="24"/>
        </w:rPr>
      </w:pPr>
      <w:r w:rsidRPr="005A36AC">
        <w:t>G.</w:t>
      </w:r>
      <w:r w:rsidRPr="005A36AC">
        <w:tab/>
        <w:t>considerando che la maggior parte delle colture geneticamente modificate, compreso il granturco geneticamente modificato,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che una serie di studi dimostra che le colture geneticamente modificate resistenti agli erbicidi determinano un maggiore ricorso agli erbicidi complementari, dovuto principalmente alla comparsa di piante infestanti resistenti agli erbicidi;</w:t>
      </w:r>
    </w:p>
    <w:p w:rsidR="007F3076" w:rsidRPr="005A36AC" w:rsidP="00A71383" w14:paraId="16AFB433" w14:textId="77777777">
      <w:pPr>
        <w:spacing w:after="240"/>
        <w:ind w:left="567" w:hanging="567"/>
        <w:rPr>
          <w:rFonts w:eastAsiaTheme="minorHAnsi"/>
          <w:szCs w:val="24"/>
        </w:rPr>
      </w:pPr>
      <w:r w:rsidRPr="005A36AC">
        <w:t>H.</w:t>
      </w:r>
      <w:r w:rsidRPr="005A36AC">
        <w:tab/>
        <w:t>considerando che le colture geneticamente modificate resistenti agli erbicidi vincolano gli agricoltori a un sistema di gestione delle piante infestanti che dipende in gran parte o del tutto dagli erbicidi, creando nel contempo una dipendenza dall'uso degli erbicidi complementari quale parte integrante del sistema di produzione; che la sempre maggiore dipendenza dagli erbicidi complementari da parte delle aziende agricole che coltivano granturco geneticamente modificato accelererà la comparsa e la diffusione di erbe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p>
    <w:p w:rsidR="007F3076" w:rsidRPr="005A36AC" w:rsidP="00A71383" w14:paraId="6DA0CEA9" w14:textId="77777777">
      <w:pPr>
        <w:autoSpaceDE w:val="0"/>
        <w:autoSpaceDN w:val="0"/>
        <w:adjustRightInd w:val="0"/>
        <w:spacing w:after="240"/>
        <w:ind w:left="567" w:hanging="567"/>
        <w:rPr>
          <w:rFonts w:eastAsiaTheme="minorHAnsi"/>
          <w:szCs w:val="24"/>
        </w:rPr>
      </w:pPr>
      <w:r w:rsidRPr="005A36AC">
        <w:t>I.</w:t>
      </w:r>
      <w:r w:rsidRPr="005A36AC">
        <w:tab/>
        <w:t>considerando che una serie di studi dimostra che le colture geneticamente modificate resistenti agli erbicidi determinano un maggiore ricorso agli erbicidi complementari, dovuto principalmente alla comparsa di piante infestanti resistenti agli erbicidi</w:t>
      </w:r>
      <w:r>
        <w:rPr>
          <w:rFonts w:eastAsiaTheme="minorHAnsi"/>
          <w:vertAlign w:val="superscript"/>
        </w:rPr>
        <w:footnoteReference w:id="8"/>
      </w:r>
      <w:r w:rsidRPr="005A36AC">
        <w:t xml:space="preserve">; che, di conseguenza, occorre prevedere che il granturco geneticamente modificato sarà esposto a dosi più elevate e ripetute di erbicidi a base di glifosato, </w:t>
      </w:r>
      <w:r w:rsidRPr="005A36AC">
        <w:t>glufosinato</w:t>
      </w:r>
      <w:r w:rsidRPr="005A36AC">
        <w:t>, AOPP e 2,4-D e che, pertanto, i raccolti potrebbero presentare una maggiore quantità di residui e di relativi prodotti di degradazione ("metaboliti");</w:t>
      </w:r>
    </w:p>
    <w:p w:rsidR="007F3076" w:rsidRPr="005A36AC" w:rsidP="00A71383" w14:paraId="4D250F56" w14:textId="77777777">
      <w:pPr>
        <w:autoSpaceDE w:val="0"/>
        <w:autoSpaceDN w:val="0"/>
        <w:adjustRightInd w:val="0"/>
        <w:spacing w:after="240"/>
        <w:ind w:left="567" w:hanging="567"/>
        <w:rPr>
          <w:rFonts w:eastAsiaTheme="minorHAnsi"/>
          <w:szCs w:val="24"/>
        </w:rPr>
      </w:pPr>
      <w:r w:rsidRPr="005A36AC">
        <w:t>J.</w:t>
      </w:r>
      <w:r w:rsidRPr="005A36AC">
        <w:tab/>
        <w:t xml:space="preserve">considerando che il </w:t>
      </w:r>
      <w:r w:rsidRPr="005A36AC">
        <w:t>glufosinato</w:t>
      </w:r>
      <w:r w:rsidRPr="005A36AC">
        <w:t xml:space="preserve"> è classificato come tossico ai fini della riproduzione 1B e rientra pertanto fra i criteri di esclusione del regolamento (CE) n. 1107/2009 del </w:t>
      </w:r>
      <w:r w:rsidRPr="005A36AC">
        <w:t>Parlamento europeo e del Consiglio</w:t>
      </w:r>
      <w:r>
        <w:rPr>
          <w:rFonts w:eastAsiaTheme="minorHAnsi"/>
          <w:vertAlign w:val="superscript"/>
        </w:rPr>
        <w:footnoteReference w:id="9"/>
      </w:r>
      <w:r w:rsidRPr="005A36AC">
        <w:t xml:space="preserve">; che l'approvazione dell'uso del </w:t>
      </w:r>
      <w:r w:rsidRPr="005A36AC">
        <w:t>glufosinato</w:t>
      </w:r>
      <w:r w:rsidRPr="005A36AC">
        <w:t xml:space="preserve"> nell'Unione è giunta a scadenza il 31 luglio 2018</w:t>
      </w:r>
      <w:r>
        <w:rPr>
          <w:rFonts w:eastAsiaTheme="minorHAnsi"/>
          <w:vertAlign w:val="superscript"/>
        </w:rPr>
        <w:footnoteReference w:id="10"/>
      </w:r>
      <w:r w:rsidRPr="005A36AC">
        <w:t>;</w:t>
      </w:r>
    </w:p>
    <w:p w:rsidR="007F3076" w:rsidRPr="005A36AC" w:rsidP="00A71383" w14:paraId="21CA21B2" w14:textId="77777777">
      <w:pPr>
        <w:autoSpaceDE w:val="0"/>
        <w:autoSpaceDN w:val="0"/>
        <w:adjustRightInd w:val="0"/>
        <w:spacing w:after="240"/>
        <w:ind w:left="567" w:hanging="567"/>
        <w:rPr>
          <w:rFonts w:eastAsiaTheme="minorHAnsi"/>
          <w:szCs w:val="24"/>
        </w:rPr>
      </w:pPr>
      <w:r w:rsidRPr="005A36AC">
        <w:t>K.</w:t>
      </w:r>
      <w:r w:rsidRPr="005A36AC">
        <w:tab/>
        <w:t>considerando che persistono notevoli incertezze scientifiche in merito alla sicurezza del glifosato per la salute umana e l'ambiente; che nel novembre 2015 l'EFSA ha concluso che è improbabile che il glifosato sia cancerogeno e che nel marzo 2017 l'Agenzia europea per le sostanze chimiche ha concluso che nulla giustificava la sua classificazione come tale; che nel 2015 l'Agenzia internazionale per la ricerca sul cancro, l'organismo specializzato dell'Organizzazione mondiale della sanità, ha invece classificato il glifosato come probabilmente cancerogeno per gli esseri umani; che una serie di altri recenti studi scientifici oggetto di valutazione inter pares confermano il potenziale cancerogeno del glifosato</w:t>
      </w:r>
      <w:r>
        <w:rPr>
          <w:rFonts w:eastAsiaTheme="minorHAnsi"/>
          <w:vertAlign w:val="superscript"/>
        </w:rPr>
        <w:footnoteReference w:id="11"/>
      </w:r>
      <w:r w:rsidRPr="005A36AC">
        <w:t xml:space="preserve">; che la rivista </w:t>
      </w:r>
      <w:r w:rsidRPr="005A36AC">
        <w:rPr>
          <w:i/>
          <w:iCs/>
        </w:rPr>
        <w:t xml:space="preserve">Regulatory </w:t>
      </w:r>
      <w:r w:rsidRPr="005A36AC">
        <w:rPr>
          <w:i/>
          <w:iCs/>
        </w:rPr>
        <w:t>Toxicology</w:t>
      </w:r>
      <w:r w:rsidRPr="005A36AC">
        <w:rPr>
          <w:i/>
          <w:iCs/>
        </w:rPr>
        <w:t xml:space="preserve"> and </w:t>
      </w:r>
      <w:r w:rsidRPr="005A36AC">
        <w:rPr>
          <w:i/>
          <w:iCs/>
        </w:rPr>
        <w:t>Pharmacology</w:t>
      </w:r>
      <w:r w:rsidRPr="005A36AC">
        <w:t xml:space="preserve"> ha ufficialmente ritirato l'articolo scientifico dal titolo "</w:t>
      </w:r>
      <w:r w:rsidRPr="005A36AC">
        <w:t>Safety</w:t>
      </w:r>
      <w:r w:rsidRPr="005A36AC">
        <w:t xml:space="preserve"> Evaluation and Risk Assessment of the </w:t>
      </w:r>
      <w:r w:rsidRPr="005A36AC">
        <w:t>Herbicide</w:t>
      </w:r>
      <w:r w:rsidRPr="005A36AC">
        <w:t xml:space="preserve"> Roundup and </w:t>
      </w:r>
      <w:r w:rsidRPr="005A36AC">
        <w:t>Its</w:t>
      </w:r>
      <w:r w:rsidRPr="005A36AC">
        <w:t xml:space="preserve"> Active </w:t>
      </w:r>
      <w:r w:rsidRPr="005A36AC">
        <w:t>Ingredient</w:t>
      </w:r>
      <w:r w:rsidRPr="005A36AC">
        <w:t xml:space="preserve">, </w:t>
      </w:r>
      <w:r w:rsidRPr="005A36AC">
        <w:t>Glyphosate</w:t>
      </w:r>
      <w:r w:rsidRPr="005A36AC">
        <w:t xml:space="preserve">, for </w:t>
      </w:r>
      <w:r w:rsidRPr="005A36AC">
        <w:t>Humans</w:t>
      </w:r>
      <w:r w:rsidRPr="005A36AC">
        <w:t xml:space="preserve">" (Valutazione della sicurezza e dei rischi per l'uomo dell'erbicida Roundup e del suo ingrediente attivo, il glifosato), pubblicato nel 2000, che è stato utilizzato per sostenere la sicurezza del glifosato in molte </w:t>
      </w:r>
      <w:r w:rsidRPr="005A36AC">
        <w:t>valutazioni</w:t>
      </w:r>
      <w:r w:rsidRPr="005A36AC">
        <w:t xml:space="preserve"> dei rischi, in quanto "sono state sollevate preoccupazioni in merito agli autori, alla validità dei risultati della ricerca nel contesto della distorsione dei contributi da parte degli autori e dello sponsor dello studio e ai potenziali conflitti di interessi degli autori"</w:t>
      </w:r>
      <w:r>
        <w:rPr>
          <w:rStyle w:val="FootnoteReference"/>
        </w:rPr>
        <w:footnoteReference w:id="12"/>
      </w:r>
      <w:r w:rsidRPr="005A36AC">
        <w:t>;</w:t>
      </w:r>
    </w:p>
    <w:p w:rsidR="007F3076" w:rsidRPr="005A36AC" w:rsidP="00A71383" w14:paraId="627B8021" w14:textId="77777777">
      <w:pPr>
        <w:autoSpaceDE w:val="0"/>
        <w:autoSpaceDN w:val="0"/>
        <w:adjustRightInd w:val="0"/>
        <w:spacing w:after="240"/>
        <w:ind w:left="567" w:hanging="567"/>
        <w:rPr>
          <w:rFonts w:eastAsiaTheme="minorHAnsi"/>
          <w:szCs w:val="24"/>
        </w:rPr>
      </w:pPr>
      <w:r w:rsidRPr="005A36AC">
        <w:t>L.</w:t>
      </w:r>
      <w:r w:rsidRPr="005A36AC">
        <w:tab/>
        <w:t>considerando che un articolo scientifico sottoposto a valutazione inter pares di un esperto di sviluppo di piante geneticamente modificate pone in dubbio la sicurezza delle colture geneticamente modificate resistenti al 2,4-D in ragione della degradazione di quest'ultimo nel prodotto di degradazione citotossico</w:t>
      </w:r>
      <w:r>
        <w:rPr>
          <w:rFonts w:eastAsiaTheme="minorHAnsi"/>
          <w:vertAlign w:val="superscript"/>
        </w:rPr>
        <w:footnoteReference w:id="13"/>
      </w:r>
      <w:r w:rsidRPr="005A36AC">
        <w:t>;</w:t>
      </w:r>
    </w:p>
    <w:p w:rsidR="007F3076" w:rsidRPr="005A36AC" w:rsidP="00A71383" w14:paraId="36EF635B" w14:textId="00640645">
      <w:pPr>
        <w:autoSpaceDE w:val="0"/>
        <w:autoSpaceDN w:val="0"/>
        <w:adjustRightInd w:val="0"/>
        <w:spacing w:after="240"/>
        <w:ind w:left="567" w:hanging="567"/>
        <w:rPr>
          <w:rFonts w:eastAsiaTheme="minorHAnsi"/>
          <w:szCs w:val="24"/>
        </w:rPr>
      </w:pPr>
      <w:r w:rsidRPr="005A36AC">
        <w:t>M.</w:t>
      </w:r>
      <w:r w:rsidRPr="005A36AC">
        <w:tab/>
        <w:t xml:space="preserve">considerando che </w:t>
      </w:r>
      <w:r w:rsidRPr="005A36AC" w:rsidR="003D4009">
        <w:t xml:space="preserve">si ritiene che </w:t>
      </w:r>
      <w:r w:rsidRPr="005A36AC">
        <w:t xml:space="preserve">la valutazione dei residui di erbicidi e dei metaboliti riscontrati sulle piante geneticamente modificate </w:t>
      </w:r>
      <w:r w:rsidRPr="005A36AC" w:rsidR="003D4009">
        <w:t>esuli</w:t>
      </w:r>
      <w:r w:rsidRPr="005A36AC">
        <w:t xml:space="preserve"> dall'ambito di competenza del gruppo di esperti scientifici dell'EFSA sugli organismi geneticamente modificati e quindi non viene eseguita nell'ambito del processo di autorizzazione degli OGM; che tale aspetto è problematico poiché nelle piante geneticamente modificate potrebbe essere la modificazione genetica stessa a influenzare il modo in cui gli erbicidi complementari sono decomposti dalla pianta nonché la composizione e quindi la tossicità dei metaboliti</w:t>
      </w:r>
      <w:r>
        <w:rPr>
          <w:rFonts w:eastAsiaTheme="minorHAnsi"/>
          <w:vertAlign w:val="superscript"/>
        </w:rPr>
        <w:footnoteReference w:id="14"/>
      </w:r>
      <w:r w:rsidRPr="005A36AC">
        <w:t>;</w:t>
      </w:r>
    </w:p>
    <w:p w:rsidR="007F3076" w:rsidRPr="005A36AC" w:rsidP="00A71383" w14:paraId="18C36D15" w14:textId="77777777">
      <w:pPr>
        <w:autoSpaceDE w:val="0"/>
        <w:autoSpaceDN w:val="0"/>
        <w:adjustRightInd w:val="0"/>
        <w:spacing w:after="240"/>
        <w:ind w:left="567" w:hanging="567"/>
        <w:rPr>
          <w:rFonts w:eastAsiaTheme="minorHAnsi"/>
          <w:szCs w:val="24"/>
        </w:rPr>
      </w:pPr>
      <w:r w:rsidRPr="005A36AC">
        <w:t>N.</w:t>
      </w:r>
      <w:r w:rsidRPr="005A36AC">
        <w:tab/>
        <w:t>considerando che il regolamento (CE) n. 1829/2003 dispone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obblighi dell'Unione derivanti dagli obiettivi di sviluppo sostenibile delle Nazioni Unite, dall'accordo di Parigi sul clima</w:t>
      </w:r>
      <w:r>
        <w:rPr>
          <w:rStyle w:val="FootnoteReference"/>
          <w:rFonts w:eastAsiaTheme="minorHAnsi"/>
          <w:szCs w:val="24"/>
        </w:rPr>
        <w:footnoteReference w:id="15"/>
      </w:r>
      <w:r w:rsidRPr="005A36AC">
        <w:t xml:space="preserve"> e dalla convenzione delle Nazioni Unite sulla diversità biologica</w:t>
      </w:r>
      <w:r>
        <w:rPr>
          <w:rStyle w:val="FootnoteReference"/>
          <w:rFonts w:eastAsiaTheme="minorHAnsi"/>
          <w:szCs w:val="24"/>
        </w:rPr>
        <w:footnoteReference w:id="16"/>
      </w:r>
      <w:r w:rsidRPr="005A36AC">
        <w:t>;</w:t>
      </w:r>
    </w:p>
    <w:p w:rsidR="007F3076" w:rsidRPr="005A36AC" w:rsidP="00A71383" w14:paraId="1C3C7BFF" w14:textId="77777777">
      <w:pPr>
        <w:autoSpaceDE w:val="0"/>
        <w:autoSpaceDN w:val="0"/>
        <w:adjustRightInd w:val="0"/>
        <w:spacing w:after="240"/>
        <w:ind w:left="567" w:hanging="567"/>
        <w:rPr>
          <w:rFonts w:eastAsiaTheme="minorHAnsi"/>
          <w:szCs w:val="24"/>
        </w:rPr>
      </w:pPr>
      <w:r w:rsidRPr="005A36AC">
        <w:t>O.</w:t>
      </w:r>
      <w:r w:rsidRPr="005A36AC">
        <w:tab/>
        <w:t>considerando che il monitoraggio e la sorveglianza indipendenti dei potenziali effetti negativi sulla biodiversità, sulla salute del suolo, sugli impollinatori e sugli organismi non bersaglio continuano a non essere sufficientemente garantiti;</w:t>
      </w:r>
    </w:p>
    <w:p w:rsidR="007F3076" w:rsidRPr="005A36AC" w:rsidP="00A71383" w14:paraId="576DB669" w14:textId="77777777">
      <w:pPr>
        <w:autoSpaceDE w:val="0"/>
        <w:autoSpaceDN w:val="0"/>
        <w:adjustRightInd w:val="0"/>
        <w:spacing w:after="240"/>
        <w:ind w:left="567" w:hanging="567"/>
        <w:rPr>
          <w:rFonts w:eastAsiaTheme="minorHAnsi"/>
          <w:szCs w:val="24"/>
        </w:rPr>
      </w:pPr>
      <w:r w:rsidRPr="005A36AC">
        <w:t>P.</w:t>
      </w:r>
      <w:r w:rsidRPr="005A36AC">
        <w:tab/>
        <w:t>considerando che nei casi di incertezza scientifica dovrebbe applicarsi il principio di precauzione, sancito dall'articolo 191 del trattato sul funzionamento dell'Unione europea;</w:t>
      </w:r>
    </w:p>
    <w:p w:rsidR="007F3076" w:rsidRPr="005A36AC" w:rsidP="00A71383" w14:paraId="26FBACA4" w14:textId="77777777">
      <w:pPr>
        <w:autoSpaceDE w:val="0"/>
        <w:autoSpaceDN w:val="0"/>
        <w:adjustRightInd w:val="0"/>
        <w:spacing w:after="240"/>
        <w:ind w:left="567" w:hanging="567"/>
        <w:rPr>
          <w:rFonts w:eastAsiaTheme="minorHAnsi"/>
          <w:szCs w:val="24"/>
        </w:rPr>
      </w:pPr>
      <w:r w:rsidRPr="005A36AC">
        <w:t>Q.</w:t>
      </w:r>
      <w:r w:rsidRPr="005A36AC">
        <w:tab/>
        <w:t>considerando che l'Unione, in quanto parte contraente della convenzione delle Nazioni Unite sulla diversità biologica e conformemente al suo articolo 3, ha la responsabilità di garantire che le attività svolte all'interno della sua giurisdizione o sotto il suo controllo non danneggino l'ambiente di altri Stati;</w:t>
      </w:r>
    </w:p>
    <w:p w:rsidR="007F3076" w:rsidRPr="005A36AC" w:rsidP="00A71383" w14:paraId="201AE8E5" w14:textId="77777777">
      <w:pPr>
        <w:autoSpaceDE w:val="0"/>
        <w:autoSpaceDN w:val="0"/>
        <w:adjustRightInd w:val="0"/>
        <w:spacing w:after="240"/>
        <w:ind w:left="567" w:hanging="567"/>
        <w:rPr>
          <w:rFonts w:eastAsiaTheme="minorHAnsi"/>
          <w:szCs w:val="24"/>
        </w:rPr>
      </w:pPr>
      <w:r w:rsidRPr="005A36AC">
        <w:t>R.</w:t>
      </w:r>
      <w:r w:rsidRPr="005A36AC">
        <w:tab/>
        <w:t>considerando che il rinnovo dell'autorizzazione da parte dell'Unione del granturco geneticamente modificato non sarebbe coerente con gli impegni internazionali in materia di riduzione dei pesticidi</w:t>
      </w:r>
      <w:r>
        <w:rPr>
          <w:rFonts w:eastAsiaTheme="minorHAnsi"/>
          <w:vertAlign w:val="superscript"/>
        </w:rPr>
        <w:footnoteReference w:id="17"/>
      </w:r>
      <w:r w:rsidRPr="005A36AC">
        <w:t xml:space="preserve">, alla luce della maggiore esposizione umana, animale e ambientale al glifosato e al </w:t>
      </w:r>
      <w:r w:rsidRPr="005A36AC">
        <w:t>glufosinato</w:t>
      </w:r>
      <w:r w:rsidRPr="005A36AC">
        <w:t xml:space="preserve"> nei paesi che coltivano tale coltura geneticamente modificata resistente agli erbicidi, nonché dei potenziali effetti gravi associati sulla salute;</w:t>
      </w:r>
    </w:p>
    <w:p w:rsidR="007F3076" w:rsidRPr="005A36AC" w:rsidP="00A71383" w14:paraId="43656073" w14:textId="77777777">
      <w:pPr>
        <w:autoSpaceDE w:val="0"/>
        <w:autoSpaceDN w:val="0"/>
        <w:adjustRightInd w:val="0"/>
        <w:spacing w:after="240"/>
        <w:ind w:left="567" w:hanging="567"/>
        <w:rPr>
          <w:rFonts w:eastAsiaTheme="minorHAnsi"/>
          <w:szCs w:val="24"/>
        </w:rPr>
      </w:pPr>
      <w:r w:rsidRPr="005A36AC">
        <w:t>S.</w:t>
      </w:r>
      <w:r w:rsidRPr="005A36AC">
        <w:tab/>
        <w:t>considerando che la coltivazione del granturco geneticamente modificato non è autorizzata nell'Unione;</w:t>
      </w:r>
    </w:p>
    <w:p w:rsidR="007F3076" w:rsidRPr="005A36AC" w:rsidP="00A71383" w14:paraId="2331EBA7" w14:textId="18512FDA">
      <w:pPr>
        <w:autoSpaceDE w:val="0"/>
        <w:autoSpaceDN w:val="0"/>
        <w:adjustRightInd w:val="0"/>
        <w:spacing w:after="240"/>
        <w:ind w:left="567" w:hanging="567"/>
        <w:rPr>
          <w:rFonts w:eastAsiaTheme="minorHAnsi"/>
          <w:szCs w:val="24"/>
        </w:rPr>
      </w:pPr>
      <w:r w:rsidRPr="005A36AC">
        <w:t>T.</w:t>
      </w:r>
      <w:r w:rsidRPr="005A36AC">
        <w:tab/>
        <w:t xml:space="preserve">considerando che </w:t>
      </w:r>
      <w:r w:rsidRPr="005A36AC" w:rsidR="000103AE">
        <w:t>la</w:t>
      </w:r>
      <w:r w:rsidRPr="005A36AC">
        <w:t xml:space="preserve"> decisione di esecuzione </w:t>
      </w:r>
      <w:r w:rsidRPr="005A36AC" w:rsidR="000103AE">
        <w:t xml:space="preserve">(UE) 2026/1443 </w:t>
      </w:r>
      <w:r w:rsidRPr="005A36AC">
        <w:t>della Commissione consentirebbe importazioni nell'Unione di prodotti non conformi alle norme osservate dagli agricoltori dell'Unione, il che determinerebbe una situazione di svantaggio competitivo per questi ultimi;</w:t>
      </w:r>
    </w:p>
    <w:p w:rsidR="007F3076" w:rsidRPr="005A36AC" w:rsidP="00A71383" w14:paraId="4D2A3145" w14:textId="77777777">
      <w:pPr>
        <w:autoSpaceDE w:val="0"/>
        <w:autoSpaceDN w:val="0"/>
        <w:adjustRightInd w:val="0"/>
        <w:spacing w:after="240"/>
        <w:ind w:left="567" w:hanging="567"/>
        <w:rPr>
          <w:rFonts w:eastAsiaTheme="minorHAnsi"/>
          <w:szCs w:val="24"/>
        </w:rPr>
      </w:pPr>
      <w:r w:rsidRPr="005A36AC">
        <w:t>U.</w:t>
      </w:r>
      <w:r w:rsidRPr="005A36AC">
        <w:tab/>
        <w:t>considerando che le conclusioni del dialogo strategico sul futuro dell'agricoltura dell'UE</w:t>
      </w:r>
      <w:r>
        <w:rPr>
          <w:rFonts w:eastAsiaTheme="minorHAnsi"/>
          <w:vertAlign w:val="superscript"/>
        </w:rPr>
        <w:footnoteReference w:id="18"/>
      </w:r>
      <w:r w:rsidRPr="005A36AC">
        <w:t xml:space="preserve"> invitano la Commissione a riesaminare il suo approccio all'accesso al mercato per le importazioni e le esportazioni agroalimentari, alla luce delle difficoltà dovute alla divergenza tra le norme dell'Unione e quelle dei suoi partner commerciali; che una delle principali richieste avanzate dagli agricoltori durante le manifestazioni del 2023, del </w:t>
      </w:r>
      <w:r w:rsidRPr="005A36AC">
        <w:t>2024 e del 2025 riguardava l'instaurazione, a livello mondiale, di relazioni commerciali più eque e coerenti con gli obiettivi relativi a un ambiente sano;</w:t>
      </w:r>
    </w:p>
    <w:p w:rsidR="007F3076" w:rsidRPr="005A36AC" w:rsidP="00A71383" w14:paraId="66B10878" w14:textId="77777777">
      <w:pPr>
        <w:autoSpaceDE w:val="0"/>
        <w:autoSpaceDN w:val="0"/>
        <w:adjustRightInd w:val="0"/>
        <w:spacing w:after="360"/>
        <w:ind w:left="567" w:hanging="567"/>
        <w:rPr>
          <w:rFonts w:eastAsiaTheme="minorHAnsi"/>
          <w:szCs w:val="24"/>
        </w:rPr>
      </w:pPr>
      <w:r w:rsidRPr="005A36AC">
        <w:t>V.</w:t>
      </w:r>
      <w:r w:rsidRPr="005A36AC">
        <w:tab/>
        <w:t xml:space="preserve">considerando che il Parlamento ha ripetutamente sottolineato che, al fine di rimediare al persistente deficit democratico, la Commissione non dovrebbe autorizzare gli OGM nei casi in cui gli Stati membri non raggiungono la maggioranza qualificata in seno al comitato permanente per le piante, gli animali, gli alimenti e i mangimi o al comitato di appello; </w:t>
      </w:r>
    </w:p>
    <w:p w:rsidR="007F3076" w:rsidRPr="005A36AC" w:rsidP="00A71383" w14:paraId="309ECCB8" w14:textId="77777777">
      <w:pPr>
        <w:autoSpaceDE w:val="0"/>
        <w:autoSpaceDN w:val="0"/>
        <w:adjustRightInd w:val="0"/>
        <w:spacing w:after="360"/>
        <w:ind w:left="567" w:hanging="567"/>
        <w:rPr>
          <w:rFonts w:eastAsiaTheme="minorHAnsi"/>
          <w:szCs w:val="24"/>
        </w:rPr>
      </w:pPr>
      <w:r w:rsidRPr="005A36AC">
        <w:t>W.</w:t>
      </w:r>
      <w:r w:rsidRPr="005A36AC">
        <w:tab/>
        <w:t>considerando che, nonostante abbia riconosciuto l'esistenza di carenze democratiche, la mancanza di sostegno da parte degli Stati membri e le obiezioni sollevate dal Parlamento, la Commissione continua ad autorizzare OGM;</w:t>
      </w:r>
    </w:p>
    <w:p w:rsidR="007F3076" w:rsidRPr="005A36AC" w:rsidP="00A71383" w14:paraId="5720829D" w14:textId="77777777">
      <w:pPr>
        <w:autoSpaceDE w:val="0"/>
        <w:autoSpaceDN w:val="0"/>
        <w:adjustRightInd w:val="0"/>
        <w:spacing w:after="360"/>
        <w:ind w:left="567" w:hanging="567"/>
      </w:pPr>
      <w:r w:rsidRPr="005A36AC">
        <w:t>X.</w:t>
      </w:r>
      <w:r w:rsidRPr="005A36AC">
        <w:tab/>
        <w:t>considerando che l'approccio "One Health" richiede di tenere conto dell'interdipendenza tra salute umana, animale, vegetale e ambientale nel valutare la sostenibilità e la sicurezza a lungo termine degli OGM;</w:t>
      </w:r>
    </w:p>
    <w:p w:rsidR="007F3076" w:rsidRPr="005A36AC" w:rsidP="00A71383" w14:paraId="153F9DB9" w14:textId="7DA58D2B">
      <w:pPr>
        <w:pStyle w:val="NormalHanging12a"/>
      </w:pPr>
      <w:r w:rsidRPr="005A36AC">
        <w:t>1.</w:t>
      </w:r>
      <w:r w:rsidRPr="005A36AC">
        <w:tab/>
        <w:t xml:space="preserve">ritiene che </w:t>
      </w:r>
      <w:r w:rsidRPr="005A36AC" w:rsidR="000103AE">
        <w:t>la</w:t>
      </w:r>
      <w:r w:rsidRPr="005A36AC">
        <w:t xml:space="preserve"> decisione di esecuzione </w:t>
      </w:r>
      <w:r w:rsidRPr="005A36AC" w:rsidR="000103AE">
        <w:t xml:space="preserve">(UE) 2026/1443 </w:t>
      </w:r>
      <w:r w:rsidRPr="005A36AC">
        <w:t>della Commissione ecceda le competenze di esecuzione previste dal regolamento (CE) n. 1829/2003;</w:t>
      </w:r>
    </w:p>
    <w:p w:rsidR="007F3076" w:rsidRPr="005A36AC" w:rsidP="00A71383" w14:paraId="44929022" w14:textId="6531BDE4">
      <w:pPr>
        <w:pStyle w:val="NormalHanging12a"/>
      </w:pPr>
      <w:r w:rsidRPr="005A36AC">
        <w:t>2.</w:t>
      </w:r>
      <w:r w:rsidRPr="005A36AC">
        <w:tab/>
      </w:r>
      <w:r w:rsidRPr="005A36AC" w:rsidR="003D4009">
        <w:t xml:space="preserve">ritiene </w:t>
      </w:r>
      <w:r w:rsidRPr="005A36AC">
        <w:t xml:space="preserve">che </w:t>
      </w:r>
      <w:r w:rsidRPr="005A36AC" w:rsidR="000103AE">
        <w:t>la</w:t>
      </w:r>
      <w:r w:rsidRPr="005A36AC">
        <w:t xml:space="preserve"> decisione di esecuzione </w:t>
      </w:r>
      <w:r w:rsidRPr="005A36AC" w:rsidR="000103AE">
        <w:t xml:space="preserve">(UE) 2026/1443 </w:t>
      </w:r>
      <w:r w:rsidRPr="005A36AC">
        <w:t xml:space="preserve">della Commissione non sia </w:t>
      </w:r>
      <w:r w:rsidRPr="005A36AC" w:rsidR="003D4009">
        <w:t>conforme al</w:t>
      </w:r>
      <w:r w:rsidRPr="005A36AC">
        <w:t xml:space="preserve"> diritto dell'Unione, in quanto non è compatibile con l'obiettivo del regolamento (CE) n. 1829/2003, che consiste, in conformità dei principi generali sanciti dal regolamento (CE) n. 178/2002 del Parlamento europeo e del Consiglio</w:t>
      </w:r>
      <w:r>
        <w:rPr>
          <w:vertAlign w:val="superscript"/>
        </w:rPr>
        <w:footnoteReference w:id="19"/>
      </w:r>
      <w:r w:rsidRPr="005A36AC">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7F3076" w:rsidRPr="005A36AC" w:rsidP="00A71383" w14:paraId="45B03E98" w14:textId="404ED0F5">
      <w:pPr>
        <w:pStyle w:val="NormalHanging12a"/>
      </w:pPr>
      <w:r w:rsidRPr="005A36AC">
        <w:t>3.</w:t>
      </w:r>
      <w:r w:rsidRPr="005A36AC">
        <w:tab/>
        <w:t xml:space="preserve">chiede alla Commissione di </w:t>
      </w:r>
      <w:r w:rsidRPr="005A36AC" w:rsidR="000103AE">
        <w:t>abrogare la</w:t>
      </w:r>
      <w:r w:rsidRPr="005A36AC">
        <w:t xml:space="preserve"> decisione di esecuzione</w:t>
      </w:r>
      <w:r w:rsidRPr="005A36AC" w:rsidR="000103AE">
        <w:t xml:space="preserve"> (UE) 2026/1443 della Commissione</w:t>
      </w:r>
      <w:r w:rsidRPr="005A36AC">
        <w:t>;</w:t>
      </w:r>
    </w:p>
    <w:p w:rsidR="007F3076" w:rsidRPr="005A36AC" w:rsidP="00A71383" w14:paraId="155E29AF" w14:textId="77777777">
      <w:pPr>
        <w:pStyle w:val="NormalHanging12a"/>
      </w:pPr>
      <w:r w:rsidRPr="005A36AC">
        <w:t>4.</w:t>
      </w:r>
      <w:r w:rsidRPr="005A36AC">
        <w:tab/>
        <w:t>invita la Commissione a non autorizzare l'importazione di colture geneticamente modificate resistenti agli erbicidi, a causa del conseguente aumento dell'uso di erbicidi complementari e, pertanto, dei maggiori rischi per la biodiversità, la sicurezza alimentare e la salute dei lavoratori;</w:t>
      </w:r>
    </w:p>
    <w:p w:rsidR="007F3076" w:rsidRPr="005A36AC" w:rsidP="00A71383" w14:paraId="5871D798" w14:textId="77777777">
      <w:pPr>
        <w:pStyle w:val="NormalHanging12a"/>
      </w:pPr>
      <w:r w:rsidRPr="005A36AC">
        <w:t>5.</w:t>
      </w:r>
      <w:r w:rsidRPr="005A36AC">
        <w:tab/>
        <w:t>plaude al fatto che, in una lettera ai deputati dell'11 settembre 2020, la Commissione abbia riconosciuto la necessità di prendere in considerazione la sostenibilità nelle decisioni di autorizzazione relative agli OGM</w:t>
      </w:r>
      <w:r>
        <w:rPr>
          <w:vertAlign w:val="superscript"/>
        </w:rPr>
        <w:footnoteReference w:id="20"/>
      </w:r>
      <w:r w:rsidRPr="005A36AC">
        <w:t xml:space="preserve">; esprime tuttavia profondo rammarico per il fatto che, da allora, la Commissione abbia continuato ad autorizzare l'importazione di OGM nell'Unione, nonostante le continue obiezioni sollevate dal </w:t>
      </w:r>
      <w:r w:rsidRPr="005A36AC">
        <w:t>Parlamento e il voto contrario da parte della maggioranza degli Stati membri;</w:t>
      </w:r>
    </w:p>
    <w:p w:rsidR="007F3076" w:rsidRPr="005A36AC" w:rsidP="00A71383" w14:paraId="2268C4D4" w14:textId="77777777">
      <w:pPr>
        <w:pStyle w:val="NormalHanging12a"/>
      </w:pPr>
      <w:r w:rsidRPr="005A36AC">
        <w:t>6.</w:t>
      </w:r>
      <w:r w:rsidRPr="005A36AC">
        <w:tab/>
        <w:t>esorta nuovamente la Commissione a tenere conto degli obblighi dell'Unione derivanti dagli accordi internazionali, quali l'accordo di Parigi sui cambiamenti climatici, la convenzione delle Nazioni Unite sulla diversità biologica e gli OSS delle Nazioni Unite; ribadisce la sua richiesta affinché i progetti di atti di esecuzione siano corredati di una sezione che spieghi in che modo essi rispettano il principio del "non nuocere"</w:t>
      </w:r>
      <w:r>
        <w:rPr>
          <w:vertAlign w:val="superscript"/>
        </w:rPr>
        <w:footnoteReference w:id="21"/>
      </w:r>
      <w:r w:rsidRPr="005A36AC">
        <w:t>;</w:t>
      </w:r>
    </w:p>
    <w:p w:rsidR="007F3076" w:rsidRPr="005A36AC" w:rsidP="00A71383" w14:paraId="2853ADFE" w14:textId="77777777">
      <w:pPr>
        <w:pStyle w:val="NormalHanging12a"/>
      </w:pPr>
      <w:r w:rsidRPr="005A36AC">
        <w:t>7.</w:t>
      </w:r>
      <w:r w:rsidRPr="005A36AC">
        <w:tab/>
        <w:t>sottolinea che gli emendamenti alla proposta di regolamento del Parlamento europeo e del Consiglio recante modifica del regolamento (UE) n. 182/2011</w:t>
      </w:r>
      <w:r>
        <w:rPr>
          <w:vertAlign w:val="superscript"/>
        </w:rPr>
        <w:footnoteReference w:id="22"/>
      </w:r>
      <w:r w:rsidRPr="005A36AC">
        <w:t>, approvati dal Parlamento il 17 dicembre 2020 come base per i negoziati con il Consiglio, affermano che la Commissione non può autorizzare OGM quando non vi è una maggioranza qualificata di Stati membri favorevoli; insiste affinché la Commissione rispetti tale posizione e invita il Consiglio a proseguire i suoi lavori e ad adottare con urgenza un orientamento generale in merito a tale fascicolo;</w:t>
      </w:r>
    </w:p>
    <w:p w:rsidR="00E365E1" w:rsidRPr="005A36AC" w:rsidP="005A36AC" w14:paraId="632C289D" w14:textId="2AB32DE2">
      <w:pPr>
        <w:pStyle w:val="NormalHanging12a"/>
      </w:pPr>
      <w:r w:rsidRPr="005A36AC">
        <w:t>8.</w:t>
      </w:r>
      <w:r w:rsidRPr="005A36AC">
        <w:tab/>
        <w:t>incarica la sua Presidente di trasmettere la presente risoluzione al Consiglio e alla Commissione nonché ai governi e ai parlamenti degli Stati membri.</w:t>
      </w:r>
    </w:p>
    <w:sectPr w:rsidSect="00B8226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226A" w14:paraId="1B2CECD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226A" w14:paraId="398FF40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226A" w14:paraId="285FFD4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56FC" w:rsidRPr="00B8226A" w14:paraId="633830AF" w14:textId="77777777">
      <w:r w:rsidRPr="00B8226A">
        <w:separator/>
      </w:r>
    </w:p>
  </w:footnote>
  <w:footnote w:type="continuationSeparator" w:id="1">
    <w:p w:rsidR="00C856FC" w:rsidRPr="00B8226A" w14:paraId="7874A241" w14:textId="77777777">
      <w:r w:rsidRPr="00B8226A">
        <w:continuationSeparator/>
      </w:r>
    </w:p>
  </w:footnote>
  <w:footnote w:id="2">
    <w:p w:rsidR="00F27DF9" w:rsidRPr="005A36AC" w:rsidP="00F27DF9" w14:paraId="3AB82992" w14:textId="29249E92">
      <w:pPr>
        <w:pStyle w:val="FootnoteText"/>
        <w:ind w:left="567" w:hanging="567"/>
        <w:rPr>
          <w:sz w:val="24"/>
          <w:lang w:val="fi-FI"/>
        </w:rPr>
      </w:pPr>
      <w:r w:rsidRPr="00B8226A">
        <w:rPr>
          <w:rStyle w:val="Funotenzeichen"/>
          <w:sz w:val="24"/>
          <w:lang w:val="it-IT"/>
        </w:rPr>
        <w:footnoteRef/>
      </w:r>
      <w:r w:rsidRPr="005A36AC">
        <w:rPr>
          <w:sz w:val="24"/>
          <w:lang w:val="fi-FI"/>
        </w:rPr>
        <w:t xml:space="preserve"> </w:t>
      </w:r>
      <w:r w:rsidRPr="005A36AC">
        <w:rPr>
          <w:sz w:val="24"/>
          <w:lang w:val="fi-FI"/>
        </w:rPr>
        <w:tab/>
      </w:r>
      <w:r>
        <w:rPr>
          <w:sz w:val="24"/>
          <w:lang w:val="fi-FI"/>
        </w:rPr>
        <w:t>GU</w:t>
      </w:r>
      <w:r w:rsidRPr="005A36AC">
        <w:rPr>
          <w:sz w:val="24"/>
          <w:lang w:val="fi-FI"/>
        </w:rPr>
        <w:t xml:space="preserve"> L, 2026/1443, 3.7.2026, ELI: </w:t>
      </w:r>
      <w:hyperlink r:id="rId1" w:history="1">
        <w:r w:rsidRPr="005A36AC">
          <w:rPr>
            <w:rStyle w:val="Hyperlink"/>
            <w:lang w:val="fi-FI"/>
          </w:rPr>
          <w:t>http://data.europa.eu/eli/dec_impl/2026/1443/oj</w:t>
        </w:r>
      </w:hyperlink>
      <w:r w:rsidRPr="005A36AC">
        <w:rPr>
          <w:sz w:val="24"/>
          <w:lang w:val="fi-FI"/>
        </w:rPr>
        <w:t>.</w:t>
      </w:r>
    </w:p>
  </w:footnote>
  <w:footnote w:id="3">
    <w:p w:rsidR="007F3076" w:rsidRPr="005A36AC" w:rsidP="00B8226A" w14:paraId="54624E1E" w14:textId="17B6E5B3">
      <w:pPr>
        <w:pStyle w:val="FootnoteText"/>
        <w:ind w:left="567" w:hanging="567"/>
        <w:rPr>
          <w:sz w:val="24"/>
          <w:lang w:val="fi-FI"/>
        </w:rPr>
      </w:pPr>
      <w:r w:rsidRPr="00B8226A">
        <w:rPr>
          <w:rStyle w:val="Funotenzeichen"/>
          <w:sz w:val="24"/>
          <w:lang w:val="it-IT"/>
        </w:rPr>
        <w:footnoteRef/>
      </w:r>
      <w:r w:rsidRPr="005A36AC" w:rsidR="00B8226A">
        <w:rPr>
          <w:sz w:val="24"/>
          <w:lang w:val="fi-FI"/>
        </w:rPr>
        <w:t xml:space="preserve"> </w:t>
      </w:r>
      <w:r w:rsidRPr="005A36AC" w:rsidR="00B8226A">
        <w:rPr>
          <w:sz w:val="24"/>
          <w:lang w:val="fi-FI"/>
        </w:rPr>
        <w:tab/>
      </w:r>
      <w:r w:rsidRPr="005A36AC">
        <w:rPr>
          <w:sz w:val="24"/>
          <w:lang w:val="fi-FI"/>
        </w:rPr>
        <w:t>GU L 268 del 18.10.2003, pag. 1, ELI:  </w:t>
      </w:r>
      <w:hyperlink r:id="rId2" w:tooltip="Accesso al documento tramite l'URI dell'ELI." w:history="1">
        <w:r w:rsidRPr="005A36AC">
          <w:rPr>
            <w:rStyle w:val="Hyperlink"/>
            <w:sz w:val="24"/>
            <w:lang w:val="fi-FI"/>
          </w:rPr>
          <w:t>http://data.europa.eu/eli/reg/2003/1829/oj</w:t>
        </w:r>
      </w:hyperlink>
      <w:r w:rsidRPr="005A36AC">
        <w:rPr>
          <w:sz w:val="24"/>
          <w:lang w:val="fi-FI"/>
        </w:rPr>
        <w:t>.</w:t>
      </w:r>
    </w:p>
  </w:footnote>
  <w:footnote w:id="4">
    <w:p w:rsidR="007F3076" w:rsidRPr="005A36AC" w:rsidP="00B8226A" w14:paraId="5A5BA6F2" w14:textId="40364A64">
      <w:pPr>
        <w:pStyle w:val="FootnoteText"/>
        <w:ind w:left="567" w:hanging="567"/>
        <w:rPr>
          <w:sz w:val="24"/>
          <w:lang w:val="fi-FI"/>
        </w:rPr>
      </w:pPr>
      <w:r w:rsidRPr="00B8226A">
        <w:rPr>
          <w:rStyle w:val="FootnoteReference"/>
          <w:sz w:val="24"/>
          <w:lang w:val="it-IT"/>
        </w:rPr>
        <w:footnoteRef/>
      </w:r>
      <w:r w:rsidRPr="005A36AC" w:rsidR="00B8226A">
        <w:rPr>
          <w:sz w:val="24"/>
          <w:lang w:val="fi-FI"/>
        </w:rPr>
        <w:t xml:space="preserve"> </w:t>
      </w:r>
      <w:r w:rsidRPr="005A36AC" w:rsidR="00B8226A">
        <w:rPr>
          <w:sz w:val="24"/>
          <w:lang w:val="fi-FI"/>
        </w:rPr>
        <w:tab/>
      </w:r>
      <w:r w:rsidRPr="005A36AC">
        <w:rPr>
          <w:sz w:val="24"/>
          <w:lang w:val="fi-FI"/>
        </w:rPr>
        <w:t>GU L 55 del 28.2.2011, pag. 13, ELI: </w:t>
      </w:r>
      <w:hyperlink r:id="rId3" w:history="1">
        <w:r w:rsidRPr="005A36AC">
          <w:rPr>
            <w:rStyle w:val="Hyperlink"/>
            <w:sz w:val="24"/>
            <w:lang w:val="fi-FI"/>
          </w:rPr>
          <w:t>http://data.europa.eu/eli/reg/2011/182/oj</w:t>
        </w:r>
      </w:hyperlink>
      <w:r w:rsidRPr="005A36AC">
        <w:rPr>
          <w:sz w:val="24"/>
          <w:lang w:val="fi-FI"/>
        </w:rPr>
        <w:t>.</w:t>
      </w:r>
    </w:p>
  </w:footnote>
  <w:footnote w:id="5">
    <w:p w:rsidR="007F3076" w:rsidRPr="00B8226A" w:rsidP="00B8226A" w14:paraId="3B3A43A4" w14:textId="48BCC771">
      <w:pPr>
        <w:pStyle w:val="FootnoteText"/>
        <w:ind w:left="567" w:hanging="567"/>
        <w:rPr>
          <w:sz w:val="24"/>
          <w:lang w:val="it-IT"/>
        </w:rPr>
      </w:pPr>
      <w:r w:rsidRPr="00B8226A">
        <w:rPr>
          <w:rStyle w:val="Funotenzeichen"/>
          <w:sz w:val="24"/>
          <w:lang w:val="it-IT"/>
        </w:rPr>
        <w:footnoteRef/>
      </w:r>
      <w:r w:rsidRPr="00B8226A" w:rsidR="00B8226A">
        <w:rPr>
          <w:sz w:val="24"/>
          <w:lang w:val="it-IT"/>
        </w:rPr>
        <w:t xml:space="preserve"> </w:t>
      </w:r>
      <w:r w:rsidRPr="00B8226A" w:rsidR="00B8226A">
        <w:rPr>
          <w:sz w:val="24"/>
          <w:lang w:val="it-IT"/>
        </w:rPr>
        <w:tab/>
      </w:r>
      <w:r w:rsidRPr="00B8226A">
        <w:rPr>
          <w:sz w:val="24"/>
          <w:lang w:val="it-IT"/>
        </w:rPr>
        <w:t xml:space="preserve">Parere del gruppo di esperti scientifici dell'EFSA sugli organismi geneticamente modificati relativo alla valutazione del granturco geneticamente modificato DP202216 × NK603 × DAS-40278-9 (domanda GMFF-2022-6232), </w:t>
      </w:r>
      <w:r w:rsidRPr="00B8226A">
        <w:rPr>
          <w:i/>
          <w:sz w:val="24"/>
          <w:lang w:val="it-IT"/>
        </w:rPr>
        <w:t>EFSA Journal</w:t>
      </w:r>
      <w:r w:rsidRPr="00B8226A">
        <w:rPr>
          <w:sz w:val="24"/>
          <w:lang w:val="it-IT"/>
        </w:rPr>
        <w:t xml:space="preserve">, 2025, 23(12):e9746, </w:t>
      </w:r>
      <w:hyperlink r:id="rId4" w:history="1">
        <w:r w:rsidRPr="00B8226A">
          <w:rPr>
            <w:rStyle w:val="Hyperlink"/>
            <w:sz w:val="24"/>
            <w:lang w:val="it-IT"/>
          </w:rPr>
          <w:t>https://doi.org/10.2903/j.efsa.2025.9746</w:t>
        </w:r>
      </w:hyperlink>
      <w:r w:rsidRPr="00B8226A">
        <w:rPr>
          <w:rStyle w:val="Hyperlink"/>
          <w:sz w:val="24"/>
          <w:lang w:val="it-IT"/>
        </w:rPr>
        <w:t>.</w:t>
      </w:r>
    </w:p>
  </w:footnote>
  <w:footnote w:id="6">
    <w:p w:rsidR="007F3076" w:rsidRPr="00B8226A" w:rsidP="00B8226A" w14:paraId="4541B834" w14:textId="0D3C231B">
      <w:pPr>
        <w:pStyle w:val="FootnoteText"/>
        <w:ind w:left="567" w:hanging="567"/>
        <w:rPr>
          <w:color w:val="000000" w:themeColor="text1"/>
          <w:sz w:val="24"/>
          <w:vertAlign w:val="superscript"/>
          <w:lang w:val="it-IT"/>
        </w:rPr>
      </w:pPr>
      <w:r w:rsidRPr="00B8226A">
        <w:rPr>
          <w:rStyle w:val="Funotenzeichen"/>
          <w:sz w:val="24"/>
          <w:lang w:val="it-IT"/>
        </w:rPr>
        <w:footnoteRef/>
      </w:r>
      <w:r w:rsidR="00F27DF9">
        <w:rPr>
          <w:sz w:val="24"/>
          <w:lang w:val="it-IT"/>
        </w:rPr>
        <w:tab/>
      </w:r>
      <w:r w:rsidRPr="00B8226A">
        <w:rPr>
          <w:sz w:val="24"/>
          <w:lang w:val="it-IT"/>
        </w:rPr>
        <w:t>Nel corso dell'ottava e della nona legislatura il Parlamento ha approvato rispettivamente 36 e 38 risoluzioni che sollevano obiezioni all'autorizzazione di OGM.</w:t>
      </w:r>
      <w:r w:rsidRPr="00B8226A">
        <w:rPr>
          <w:color w:val="000000" w:themeColor="text1"/>
          <w:sz w:val="24"/>
          <w:lang w:val="it-IT"/>
        </w:rPr>
        <w:t xml:space="preserve"> Inoltre, nel corso della decima legislatura il Parlamento ha approvato le risoluzioni seguenti:</w:t>
      </w:r>
    </w:p>
    <w:p w:rsidR="007F3076" w:rsidRPr="00B8226A" w:rsidP="005A36AC" w14:paraId="054483A1" w14:textId="571B693F">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5" w:history="1">
        <w:r w:rsidRPr="00B8226A">
          <w:rPr>
            <w:rStyle w:val="Hyperlink"/>
            <w:sz w:val="24"/>
            <w:lang w:val="it-IT"/>
          </w:rPr>
          <w:t>http://data.europa.eu/eli/C/2025/1797/</w:t>
        </w:r>
        <w:r w:rsidRPr="00B8226A">
          <w:rPr>
            <w:rStyle w:val="Hyperlink"/>
            <w:sz w:val="24"/>
            <w:lang w:val="it-IT"/>
          </w:rPr>
          <w:t>oj</w:t>
        </w:r>
      </w:hyperlink>
      <w:r w:rsidRPr="00B8226A">
        <w:rPr>
          <w:color w:val="000000" w:themeColor="text1"/>
          <w:sz w:val="24"/>
          <w:lang w:val="it-IT"/>
        </w:rPr>
        <w:t>).</w:t>
      </w:r>
    </w:p>
    <w:p w:rsidR="007F3076" w:rsidRPr="00B8226A" w:rsidP="005A36AC" w14:paraId="307A57B5" w14:textId="51A176B1">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6" w:history="1">
        <w:r w:rsidRPr="00B8226A">
          <w:rPr>
            <w:rStyle w:val="Hyperlink"/>
            <w:sz w:val="24"/>
            <w:lang w:val="it-IT"/>
          </w:rPr>
          <w:t>http://data.europa.eu/eli/C/2025/1798/</w:t>
        </w:r>
        <w:r w:rsidRPr="00B8226A">
          <w:rPr>
            <w:rStyle w:val="Hyperlink"/>
            <w:sz w:val="24"/>
            <w:lang w:val="it-IT"/>
          </w:rPr>
          <w:t>oj</w:t>
        </w:r>
      </w:hyperlink>
      <w:r w:rsidRPr="00B8226A">
        <w:rPr>
          <w:color w:val="000000" w:themeColor="text1"/>
          <w:sz w:val="24"/>
          <w:lang w:val="it-IT"/>
        </w:rPr>
        <w:t>).</w:t>
      </w:r>
    </w:p>
    <w:p w:rsidR="007F3076" w:rsidRPr="00B8226A" w:rsidP="005A36AC" w14:paraId="608398A3" w14:textId="3A535837">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r w:rsidRPr="00B8226A">
        <w:rPr>
          <w:color w:val="000000" w:themeColor="text1"/>
          <w:sz w:val="24"/>
          <w:lang w:val="it-IT"/>
        </w:rPr>
        <w:t>sottocombinazioni</w:t>
      </w:r>
      <w:r w:rsidRPr="00B8226A">
        <w:rPr>
          <w:color w:val="000000" w:themeColor="text1"/>
          <w:sz w:val="24"/>
          <w:lang w:val="it-IT"/>
        </w:rPr>
        <w:t xml:space="preserve"> in conformità al regolamento (CE) n. 1829/2003 del Parlamento europeo e del Consiglio (GU C, C/2025/1799, 4.4.2025, ELI: </w:t>
      </w:r>
      <w:hyperlink r:id="rId7" w:history="1">
        <w:r w:rsidRPr="00B8226A">
          <w:rPr>
            <w:rStyle w:val="Hyperlink"/>
            <w:sz w:val="24"/>
            <w:lang w:val="it-IT"/>
          </w:rPr>
          <w:t>http://data.europa.eu/eli/C/2025/1799/</w:t>
        </w:r>
        <w:r w:rsidRPr="00B8226A">
          <w:rPr>
            <w:rStyle w:val="Hyperlink"/>
            <w:sz w:val="24"/>
            <w:lang w:val="it-IT"/>
          </w:rPr>
          <w:t>oj</w:t>
        </w:r>
      </w:hyperlink>
      <w:r w:rsidRPr="00B8226A">
        <w:rPr>
          <w:color w:val="000000" w:themeColor="text1"/>
          <w:sz w:val="24"/>
          <w:lang w:val="it-IT"/>
        </w:rPr>
        <w:t>).</w:t>
      </w:r>
    </w:p>
    <w:p w:rsidR="007F3076" w:rsidRPr="00B8226A" w:rsidP="005A36AC" w14:paraId="338395E8" w14:textId="2A6C0FBF">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8" w:history="1">
        <w:r w:rsidRPr="00B8226A">
          <w:rPr>
            <w:rStyle w:val="Hyperlink"/>
            <w:sz w:val="24"/>
            <w:lang w:val="it-IT"/>
          </w:rPr>
          <w:t>http://data.europa.eu/eli/C/2025/1800/</w:t>
        </w:r>
        <w:r w:rsidRPr="00B8226A">
          <w:rPr>
            <w:rStyle w:val="Hyperlink"/>
            <w:sz w:val="24"/>
            <w:lang w:val="it-IT"/>
          </w:rPr>
          <w:t>oj</w:t>
        </w:r>
      </w:hyperlink>
      <w:r w:rsidRPr="00B8226A">
        <w:rPr>
          <w:color w:val="000000" w:themeColor="text1"/>
          <w:sz w:val="24"/>
          <w:lang w:val="it-IT"/>
        </w:rPr>
        <w:t>).</w:t>
      </w:r>
    </w:p>
    <w:p w:rsidR="007F3076" w:rsidRPr="00B8226A" w:rsidP="005A36AC" w14:paraId="5A1AC650" w14:textId="0EA4DD18">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9" w:history="1">
        <w:r w:rsidRPr="00B8226A">
          <w:rPr>
            <w:rStyle w:val="Hyperlink"/>
            <w:sz w:val="24"/>
            <w:lang w:val="it-IT"/>
          </w:rPr>
          <w:t>http://data.europa.eu/eli/C/2025/1801/</w:t>
        </w:r>
        <w:r w:rsidRPr="00B8226A">
          <w:rPr>
            <w:rStyle w:val="Hyperlink"/>
            <w:sz w:val="24"/>
            <w:lang w:val="it-IT"/>
          </w:rPr>
          <w:t>oj</w:t>
        </w:r>
      </w:hyperlink>
      <w:r w:rsidRPr="00B8226A">
        <w:rPr>
          <w:color w:val="000000" w:themeColor="text1"/>
          <w:sz w:val="24"/>
          <w:lang w:val="it-IT"/>
        </w:rPr>
        <w:t>).</w:t>
      </w:r>
    </w:p>
    <w:p w:rsidR="007F3076" w:rsidRPr="00B8226A" w:rsidP="005A36AC" w14:paraId="5036CD85" w14:textId="65C298DD">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10" w:history="1">
        <w:r w:rsidRPr="00B8226A">
          <w:rPr>
            <w:rStyle w:val="Hyperlink"/>
            <w:sz w:val="24"/>
            <w:lang w:val="it-IT"/>
          </w:rPr>
          <w:t>http://data.europa.eu/eli/C/2025/1802/</w:t>
        </w:r>
        <w:r w:rsidRPr="00B8226A">
          <w:rPr>
            <w:rStyle w:val="Hyperlink"/>
            <w:sz w:val="24"/>
            <w:lang w:val="it-IT"/>
          </w:rPr>
          <w:t>oj</w:t>
        </w:r>
      </w:hyperlink>
      <w:r w:rsidRPr="00B8226A">
        <w:rPr>
          <w:color w:val="000000" w:themeColor="text1"/>
          <w:sz w:val="24"/>
          <w:lang w:val="it-IT"/>
        </w:rPr>
        <w:t>).</w:t>
      </w:r>
    </w:p>
    <w:p w:rsidR="007F3076" w:rsidRPr="00B8226A" w:rsidP="005A36AC" w14:paraId="617734B7" w14:textId="756F4A7F">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1" w:history="1">
        <w:r w:rsidRPr="00B8226A">
          <w:rPr>
            <w:rStyle w:val="Hyperlink"/>
            <w:sz w:val="24"/>
            <w:lang w:val="it-IT"/>
          </w:rPr>
          <w:t>http://data.europa.eu/eli/C/2025/1803/</w:t>
        </w:r>
        <w:r w:rsidRPr="00B8226A">
          <w:rPr>
            <w:rStyle w:val="Hyperlink"/>
            <w:sz w:val="24"/>
            <w:lang w:val="it-IT"/>
          </w:rPr>
          <w:t>oj</w:t>
        </w:r>
      </w:hyperlink>
      <w:r w:rsidRPr="00B8226A">
        <w:rPr>
          <w:color w:val="000000" w:themeColor="text1"/>
          <w:sz w:val="24"/>
          <w:lang w:val="it-IT"/>
        </w:rPr>
        <w:t>).</w:t>
      </w:r>
    </w:p>
    <w:p w:rsidR="007F3076" w:rsidRPr="00B8226A" w:rsidP="005A36AC" w14:paraId="352E42AC" w14:textId="4989DFC6">
      <w:pPr>
        <w:pStyle w:val="FootnoteText"/>
        <w:ind w:left="1134" w:hanging="567"/>
        <w:rPr>
          <w:color w:val="000000" w:themeColor="text1"/>
          <w:sz w:val="24"/>
          <w:vertAlign w:val="superscript"/>
          <w:lang w:val="it-IT"/>
        </w:rPr>
      </w:pPr>
      <w:r w:rsidRPr="00B8226A">
        <w:rPr>
          <w:color w:val="000000" w:themeColor="text1"/>
          <w:sz w:val="24"/>
          <w:lang w:val="it-IT"/>
        </w:rPr>
        <w:t>–</w:t>
      </w:r>
      <w:r w:rsidRPr="00B8226A">
        <w:rPr>
          <w:color w:val="000000" w:themeColor="text1"/>
          <w:sz w:val="24"/>
          <w:lang w:val="it-IT"/>
        </w:rPr>
        <w:tab/>
        <w:t>risoluzione del Parlamento europeo del 26 novembre 2024 sul progetto di decisione di esecuzione della Commissione che autorizza l'immissione in commercio di prodotti contenenti, costituiti od ottenuti da granturco geneticamente modificato MON 94804, a norma del regolamento (CE) n. 1829/2003 del Parlamento europeo e del Consiglio (GU C, C/2025/1804, 4.4.2025, ELI: </w:t>
      </w:r>
      <w:hyperlink r:id="rId12" w:history="1">
        <w:r w:rsidRPr="00B8226A">
          <w:rPr>
            <w:rStyle w:val="Hyperlink"/>
            <w:sz w:val="24"/>
            <w:lang w:val="it-IT"/>
          </w:rPr>
          <w:t>http://data.europa.eu/eli/C/2025/1804/</w:t>
        </w:r>
        <w:r w:rsidRPr="00B8226A">
          <w:rPr>
            <w:rStyle w:val="Hyperlink"/>
            <w:sz w:val="24"/>
            <w:lang w:val="it-IT"/>
          </w:rPr>
          <w:t>oj</w:t>
        </w:r>
      </w:hyperlink>
      <w:r w:rsidRPr="00B8226A">
        <w:rPr>
          <w:color w:val="000000" w:themeColor="text1"/>
          <w:sz w:val="24"/>
          <w:lang w:val="it-IT"/>
        </w:rPr>
        <w:t>).</w:t>
      </w:r>
    </w:p>
    <w:p w:rsidR="007F3076" w:rsidRPr="00B8226A" w:rsidP="005A36AC" w14:paraId="4AC0936E" w14:textId="495A8FA9">
      <w:pPr>
        <w:pStyle w:val="FootnoteText"/>
        <w:ind w:left="1134" w:hanging="567"/>
        <w:rPr>
          <w:sz w:val="24"/>
          <w:vertAlign w:val="superscript"/>
          <w:lang w:val="it-IT"/>
        </w:rPr>
      </w:pPr>
      <w:r w:rsidRPr="00B8226A">
        <w:rPr>
          <w:color w:val="000000" w:themeColor="text1"/>
          <w:sz w:val="24"/>
          <w:lang w:val="it-IT"/>
        </w:rPr>
        <w:t>–</w:t>
      </w:r>
      <w:r w:rsidRPr="00B8226A">
        <w:rPr>
          <w:color w:val="000000" w:themeColor="text1"/>
          <w:sz w:val="24"/>
          <w:lang w:val="it-IT"/>
        </w:rPr>
        <w:tab/>
      </w:r>
      <w:r w:rsidRPr="00B8226A">
        <w:rPr>
          <w:sz w:val="24"/>
          <w:lang w:val="it-IT"/>
        </w:rPr>
        <w:t>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3" w:history="1">
        <w:r w:rsidRPr="00B8226A">
          <w:rPr>
            <w:rStyle w:val="Hyperlink"/>
            <w:sz w:val="24"/>
            <w:lang w:val="it-IT"/>
          </w:rPr>
          <w:t>http://data.europa.eu/eli/C/2025/2246/</w:t>
        </w:r>
        <w:r w:rsidRPr="00B8226A">
          <w:rPr>
            <w:rStyle w:val="Hyperlink"/>
            <w:sz w:val="24"/>
            <w:lang w:val="it-IT"/>
          </w:rPr>
          <w:t>oj</w:t>
        </w:r>
      </w:hyperlink>
      <w:r w:rsidRPr="00B8226A">
        <w:rPr>
          <w:sz w:val="24"/>
          <w:lang w:val="it-IT"/>
        </w:rPr>
        <w:t>).</w:t>
      </w:r>
    </w:p>
    <w:p w:rsidR="007F3076" w:rsidRPr="00B8226A" w:rsidP="005A36AC" w14:paraId="58E4BFB9" w14:textId="32463357">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4" w:history="1">
        <w:r w:rsidRPr="00B8226A">
          <w:rPr>
            <w:rStyle w:val="Hyperlink"/>
            <w:sz w:val="24"/>
            <w:lang w:val="it-IT"/>
          </w:rPr>
          <w:t>http://data.europa.eu/eli/C/2025/2247/</w:t>
        </w:r>
        <w:r w:rsidRPr="00B8226A">
          <w:rPr>
            <w:rStyle w:val="Hyperlink"/>
            <w:sz w:val="24"/>
            <w:lang w:val="it-IT"/>
          </w:rPr>
          <w:t>oj</w:t>
        </w:r>
      </w:hyperlink>
      <w:r w:rsidRPr="00B8226A">
        <w:rPr>
          <w:sz w:val="24"/>
          <w:lang w:val="it-IT"/>
        </w:rPr>
        <w:t>).</w:t>
      </w:r>
    </w:p>
    <w:p w:rsidR="007F3076" w:rsidRPr="00B8226A" w:rsidP="005A36AC" w14:paraId="5A9BF119" w14:textId="4A2C6E7E">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(GU C, C/2026/586, 24.2.2026, ELI: </w:t>
      </w:r>
      <w:hyperlink r:id="rId15" w:tooltip="Accesso al documento tramite l'URI dell'ELI." w:history="1">
        <w:r w:rsidRPr="00B8226A">
          <w:rPr>
            <w:rStyle w:val="Hyperlink"/>
            <w:sz w:val="24"/>
            <w:lang w:val="it-IT"/>
          </w:rPr>
          <w:t>http://data.europa.eu/eli/C/2026/586/</w:t>
        </w:r>
        <w:r w:rsidRPr="00B8226A">
          <w:rPr>
            <w:rStyle w:val="Hyperlink"/>
            <w:sz w:val="24"/>
            <w:lang w:val="it-IT"/>
          </w:rPr>
          <w:t>oj</w:t>
        </w:r>
      </w:hyperlink>
      <w:r w:rsidRPr="00B8226A">
        <w:rPr>
          <w:sz w:val="24"/>
          <w:lang w:val="it-IT"/>
        </w:rPr>
        <w:t>).</w:t>
      </w:r>
    </w:p>
    <w:p w:rsidR="007F3076" w:rsidRPr="00B8226A" w:rsidP="005A36AC" w14:paraId="2B7D4491" w14:textId="2597A21B">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(GU C, C/2026/1523, 15.4.2026, ELI: </w:t>
      </w:r>
      <w:hyperlink r:id="rId16" w:history="1">
        <w:r w:rsidRPr="00B8226A">
          <w:rPr>
            <w:rStyle w:val="Hyperlink"/>
            <w:sz w:val="24"/>
            <w:lang w:val="it-IT"/>
          </w:rPr>
          <w:t>http://data.europa.eu/eli/C/2026/1523/</w:t>
        </w:r>
        <w:r w:rsidRPr="00B8226A">
          <w:rPr>
            <w:rStyle w:val="Hyperlink"/>
            <w:sz w:val="24"/>
            <w:lang w:val="it-IT"/>
          </w:rPr>
          <w:t>oj</w:t>
        </w:r>
      </w:hyperlink>
      <w:r w:rsidRPr="00B8226A">
        <w:rPr>
          <w:sz w:val="24"/>
          <w:lang w:val="it-IT"/>
        </w:rPr>
        <w:t>).</w:t>
      </w:r>
    </w:p>
    <w:p w:rsidR="007F3076" w:rsidRPr="00B8226A" w:rsidP="005A36AC" w14:paraId="7FBC4B82" w14:textId="4532A07A">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(GU C, C/2026/1703, 24.4.2026, ELI: </w:t>
      </w:r>
      <w:hyperlink r:id="rId17" w:history="1">
        <w:r w:rsidRPr="00B8226A">
          <w:rPr>
            <w:rStyle w:val="Hyperlink"/>
            <w:sz w:val="24"/>
            <w:lang w:val="it-IT"/>
          </w:rPr>
          <w:t>http://data.europa.eu/eli/C/2026/1703/</w:t>
        </w:r>
        <w:r w:rsidRPr="00B8226A">
          <w:rPr>
            <w:rStyle w:val="Hyperlink"/>
            <w:sz w:val="24"/>
            <w:lang w:val="it-IT"/>
          </w:rPr>
          <w:t>oj</w:t>
        </w:r>
      </w:hyperlink>
      <w:r w:rsidRPr="00B8226A">
        <w:rPr>
          <w:sz w:val="24"/>
          <w:lang w:val="it-IT"/>
        </w:rPr>
        <w:t>).</w:t>
      </w:r>
    </w:p>
    <w:p w:rsidR="007F3076" w:rsidRPr="00B8226A" w:rsidP="005A36AC" w14:paraId="75A9BC73" w14:textId="42434AC7">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(GU C, C/2026/1704, 24.4.2026, ELI: </w:t>
      </w:r>
      <w:hyperlink r:id="rId18" w:history="1">
        <w:r w:rsidRPr="00B8226A">
          <w:rPr>
            <w:rStyle w:val="Hyperlink"/>
            <w:sz w:val="24"/>
            <w:lang w:val="it-IT"/>
          </w:rPr>
          <w:t>http://data.europa.eu/eli/C/2026/1704/</w:t>
        </w:r>
        <w:r w:rsidRPr="00B8226A">
          <w:rPr>
            <w:rStyle w:val="Hyperlink"/>
            <w:sz w:val="24"/>
            <w:lang w:val="it-IT"/>
          </w:rPr>
          <w:t>oj</w:t>
        </w:r>
      </w:hyperlink>
      <w:r w:rsidRPr="00B8226A">
        <w:rPr>
          <w:sz w:val="24"/>
          <w:lang w:val="it-IT"/>
        </w:rPr>
        <w:t>).</w:t>
      </w:r>
    </w:p>
    <w:p w:rsidR="007F3076" w:rsidRPr="00B8226A" w:rsidP="005A36AC" w14:paraId="0BAF7C4B" w14:textId="2A9881B2">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(GU C, C/2026/1705, 24.4.2026, ELI: </w:t>
      </w:r>
      <w:hyperlink r:id="rId19" w:history="1">
        <w:r w:rsidRPr="00B8226A">
          <w:rPr>
            <w:rStyle w:val="Hyperlink"/>
            <w:sz w:val="24"/>
            <w:lang w:val="it-IT"/>
          </w:rPr>
          <w:t>http://data.europa.eu/eli/C/2026/1705/</w:t>
        </w:r>
        <w:r w:rsidRPr="00B8226A">
          <w:rPr>
            <w:rStyle w:val="Hyperlink"/>
            <w:sz w:val="24"/>
            <w:lang w:val="it-IT"/>
          </w:rPr>
          <w:t>oj</w:t>
        </w:r>
      </w:hyperlink>
      <w:r w:rsidRPr="00B8226A">
        <w:rPr>
          <w:sz w:val="24"/>
          <w:lang w:val="it-IT"/>
        </w:rPr>
        <w:t>).</w:t>
      </w:r>
    </w:p>
    <w:p w:rsidR="007F3076" w:rsidRPr="00B8226A" w:rsidP="005A36AC" w14:paraId="66400E1A" w14:textId="37B4557E">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(GU C, C/2026/1706, 24.4.2026, ELI: </w:t>
      </w:r>
      <w:hyperlink r:id="rId20" w:history="1">
        <w:r w:rsidRPr="00B8226A">
          <w:rPr>
            <w:rStyle w:val="Hyperlink"/>
            <w:sz w:val="24"/>
            <w:lang w:val="it-IT"/>
          </w:rPr>
          <w:t>http://data.europa.eu/eli/C/2026/1706/</w:t>
        </w:r>
        <w:r w:rsidRPr="00B8226A">
          <w:rPr>
            <w:rStyle w:val="Hyperlink"/>
            <w:sz w:val="24"/>
            <w:lang w:val="it-IT"/>
          </w:rPr>
          <w:t>oj</w:t>
        </w:r>
      </w:hyperlink>
      <w:r w:rsidRPr="00B8226A">
        <w:rPr>
          <w:sz w:val="24"/>
          <w:lang w:val="it-IT"/>
        </w:rPr>
        <w:t>).</w:t>
      </w:r>
    </w:p>
    <w:p w:rsidR="007F3076" w:rsidRPr="00B8226A" w:rsidP="005A36AC" w14:paraId="4269F8E0" w14:textId="23C4DAE6">
      <w:pPr>
        <w:pStyle w:val="FootnoteText"/>
        <w:ind w:left="1134" w:hanging="567"/>
        <w:rPr>
          <w:sz w:val="24"/>
          <w:vertAlign w:val="superscript"/>
          <w:lang w:val="it-IT"/>
        </w:rPr>
      </w:pPr>
      <w:r w:rsidRPr="00B8226A">
        <w:rPr>
          <w:sz w:val="24"/>
          <w:lang w:val="it-IT"/>
        </w:rPr>
        <w:t xml:space="preserve"> </w:t>
      </w:r>
      <w:r w:rsidRPr="00B8226A">
        <w:rPr>
          <w:sz w:val="24"/>
          <w:lang w:val="it-IT"/>
        </w:rPr>
        <w:tab/>
      </w:r>
      <w:r w:rsidRPr="00B8226A">
        <w:rPr>
          <w:sz w:val="24"/>
          <w:lang w:val="it-IT"/>
        </w:rPr>
        <w:t>–</w:t>
      </w:r>
      <w:r w:rsidRPr="00B8226A">
        <w:rPr>
          <w:sz w:val="24"/>
          <w:lang w:val="it-IT"/>
        </w:rPr>
        <w:tab/>
        <w:t>risoluzione del Parlamento europeo del 25 novembre 2025 sul progetto di decisione di esecuzione della Commissione che rinnova l'autorizzazione all'immissione in commercio di prodotti contenenti, costituiti o derivati da granturco geneticamente modificato MON 87427 a norma del regolamento (CE) n. 1829/2003 del Parlamento europeo e del Consiglio (GU C, C/2026/1707, 24.4.2026, ELI: </w:t>
      </w:r>
      <w:hyperlink r:id="rId21" w:history="1">
        <w:r w:rsidRPr="00B8226A">
          <w:rPr>
            <w:rStyle w:val="Hyperlink"/>
            <w:sz w:val="24"/>
            <w:lang w:val="it-IT"/>
          </w:rPr>
          <w:t>http://data.europa.eu/eli/C/2026/1707/</w:t>
        </w:r>
        <w:r w:rsidRPr="00B8226A">
          <w:rPr>
            <w:rStyle w:val="Hyperlink"/>
            <w:sz w:val="24"/>
            <w:lang w:val="it-IT"/>
          </w:rPr>
          <w:t>oj</w:t>
        </w:r>
      </w:hyperlink>
      <w:r w:rsidRPr="00B8226A">
        <w:rPr>
          <w:sz w:val="24"/>
          <w:lang w:val="it-IT"/>
        </w:rPr>
        <w:t>).</w:t>
      </w:r>
    </w:p>
    <w:p w:rsidR="007F3076" w:rsidRPr="00B8226A" w:rsidP="005A36AC" w14:paraId="767D85C2" w14:textId="1C4095B9">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(GU C, C/2026/2150, 6.5.2026, ELI: </w:t>
      </w:r>
      <w:hyperlink r:id="rId22" w:history="1">
        <w:r w:rsidRPr="00B8226A">
          <w:rPr>
            <w:rStyle w:val="Hyperlink"/>
            <w:sz w:val="24"/>
            <w:lang w:val="it-IT"/>
          </w:rPr>
          <w:t>http://data.europa.eu/eli/C/2026/2150/</w:t>
        </w:r>
        <w:r w:rsidRPr="00B8226A">
          <w:rPr>
            <w:rStyle w:val="Hyperlink"/>
            <w:sz w:val="24"/>
            <w:lang w:val="it-IT"/>
          </w:rPr>
          <w:t>oj</w:t>
        </w:r>
      </w:hyperlink>
      <w:r w:rsidRPr="00B8226A">
        <w:rPr>
          <w:sz w:val="24"/>
          <w:lang w:val="it-IT"/>
        </w:rPr>
        <w:t>).</w:t>
      </w:r>
    </w:p>
    <w:p w:rsidR="007F3076" w:rsidRPr="00B8226A" w:rsidP="005A36AC" w14:paraId="48816241" w14:textId="74BC909A">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829/2003 del Parlamento europeo e del Consiglio (GU C, C/2026/2151, 6.5.2026, ELI: </w:t>
      </w:r>
      <w:hyperlink r:id="rId23" w:history="1">
        <w:r w:rsidRPr="00B8226A">
          <w:rPr>
            <w:rStyle w:val="Hyperlink"/>
            <w:sz w:val="24"/>
            <w:lang w:val="it-IT"/>
          </w:rPr>
          <w:t>http://data.europa.eu/eli/C/2026/2151/</w:t>
        </w:r>
        <w:r w:rsidRPr="00B8226A">
          <w:rPr>
            <w:rStyle w:val="Hyperlink"/>
            <w:sz w:val="24"/>
            <w:lang w:val="it-IT"/>
          </w:rPr>
          <w:t>oj</w:t>
        </w:r>
      </w:hyperlink>
      <w:r w:rsidRPr="00B8226A">
        <w:rPr>
          <w:sz w:val="24"/>
          <w:lang w:val="it-IT"/>
        </w:rPr>
        <w:t>).</w:t>
      </w:r>
    </w:p>
    <w:p w:rsidR="007F3076" w:rsidRPr="00B8226A" w:rsidP="005A36AC" w14:paraId="26A33E58" w14:textId="01045F35">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dell'11 febbraio 2026 sul progetto di decisione di esecuzione della Commissione che autorizza l'immissione in commercio di prodotti contenenti, costituiti o derivati da soia geneticamente modificata DBN-09004-6, a norma del regolamento (CE) n. 1829/2003 del Parlamento europeo e del Consiglio (Testi approvati, P10_TA(2026)0041).</w:t>
      </w:r>
    </w:p>
    <w:p w:rsidR="007F3076" w:rsidRPr="00B8226A" w:rsidP="005A36AC" w14:paraId="5F9B6A91" w14:textId="1FC52017">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dell'11 febbraio 2026 sul progetto di decisione di esecuzione della Commissione che rinnova l'autorizzazione all'immissione in commercio di prodotti contenenti, costituiti o derivati da granturco geneticamente modificato T25 (ACS-ZMØØ3-2) a norma del regolamento (CE) n. 1829/2003 del Parlamento europeo e del Consiglio (Testi approvati, P10_TA(2026)0042).</w:t>
      </w:r>
    </w:p>
    <w:p w:rsidR="007F3076" w:rsidRPr="00B8226A" w:rsidP="00A71383" w14:paraId="68542A25" w14:textId="686CCFCC">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dell'11 febbraio 2026 sul progetto di decisione di esecuzione della Commissione che rinnova l'autorizzazione all'immissione in commercio di prodotti contenenti, costituiti da o prodotti a partire da cotone geneticamente modificato GHB614 × LLCotton25 a norma del regolamento (CE) n. 1829/2003 del Parlamento europeo e del Consiglio (Testi approvati, P10_TA(2026)0043).</w:t>
      </w:r>
    </w:p>
    <w:p w:rsidR="007F3076" w:rsidRPr="00B8226A" w:rsidP="005A36AC" w14:paraId="7FE1B5BD" w14:textId="316CA85A">
      <w:pPr>
        <w:pStyle w:val="FootnoteText"/>
        <w:ind w:left="1134" w:hanging="567"/>
        <w:rPr>
          <w:sz w:val="24"/>
          <w:vertAlign w:val="superscript"/>
          <w:lang w:val="it-IT"/>
        </w:rPr>
      </w:pPr>
      <w:r w:rsidRPr="00B8226A">
        <w:rPr>
          <w:sz w:val="24"/>
          <w:lang w:val="it-IT"/>
        </w:rPr>
        <w:t>–</w:t>
      </w:r>
      <w:r w:rsidRPr="00B8226A">
        <w:rPr>
          <w:sz w:val="24"/>
          <w:lang w:val="it-IT"/>
        </w:rPr>
        <w:tab/>
        <w:t>risoluzione del Parlamento europeo dell'11 febbraio 2026 sul progetto di decisione di esecuzione della Commissione che rinnova l'autorizzazione all'immissione in commercio di prodotti contenenti, costituiti o derivati da cotone geneticamente modificato T304-40 a norma del regolamento (CE) n. 1829/2003 del Parlamento europeo e del Consiglio (Testi approvati, P10_TA(2026)0044).</w:t>
      </w:r>
    </w:p>
    <w:p w:rsidR="007F3076" w:rsidRPr="00B8226A" w:rsidP="005A36AC" w14:paraId="11060DDF" w14:textId="308361C2">
      <w:pPr>
        <w:pStyle w:val="FootnoteText"/>
        <w:ind w:left="1134" w:hanging="567"/>
        <w:rPr>
          <w:sz w:val="24"/>
          <w:lang w:val="it-IT"/>
        </w:rPr>
      </w:pPr>
      <w:r w:rsidRPr="00B8226A">
        <w:rPr>
          <w:sz w:val="24"/>
          <w:lang w:val="it-IT"/>
        </w:rPr>
        <w:t>–</w:t>
      </w:r>
      <w:r w:rsidRPr="00B8226A">
        <w:rPr>
          <w:sz w:val="24"/>
          <w:lang w:val="it-IT"/>
        </w:rPr>
        <w:tab/>
        <w:t>risoluzione del Parlamento europeo del 29 aprile 2026 sul progetto di decisione di esecuzione della Commissione che autorizza l'immissione in commercio di prodotti contenenti, costituiti o derivati da soia geneticamente modificata MON94637 a norma del regolamento (CE) n. 1829/2003 del Parlamento europeo e del Consiglio (Testi approvati, P10_TA(2026)0150).</w:t>
      </w:r>
    </w:p>
  </w:footnote>
  <w:footnote w:id="7">
    <w:p w:rsidR="007F3076" w:rsidRPr="00B8226A" w:rsidP="00B8226A" w14:paraId="304EE161" w14:textId="30A2DADE">
      <w:pPr>
        <w:pStyle w:val="FootnoteText"/>
        <w:ind w:left="567" w:hanging="567"/>
        <w:rPr>
          <w:sz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r w:rsidRPr="00B8226A">
        <w:rPr>
          <w:sz w:val="24"/>
          <w:lang w:val="it-IT"/>
        </w:rPr>
        <w:t xml:space="preserve">Parere </w:t>
      </w:r>
      <w:r w:rsidRPr="00A71383" w:rsidR="00A71383">
        <w:rPr>
          <w:sz w:val="24"/>
          <w:lang w:val="it-IT"/>
        </w:rPr>
        <w:t xml:space="preserve">scientifico </w:t>
      </w:r>
      <w:r w:rsidRPr="00B8226A">
        <w:rPr>
          <w:sz w:val="24"/>
          <w:lang w:val="it-IT"/>
        </w:rPr>
        <w:t xml:space="preserve">dell'EFSA, </w:t>
      </w:r>
      <w:hyperlink r:id="rId4" w:history="1">
        <w:r w:rsidRPr="00B8226A">
          <w:rPr>
            <w:rStyle w:val="Hyperlink"/>
            <w:sz w:val="24"/>
            <w:lang w:val="it-IT"/>
          </w:rPr>
          <w:t>https://doi.org/10.2903/j.efsa.2025.9746</w:t>
        </w:r>
      </w:hyperlink>
      <w:r w:rsidRPr="00B8226A">
        <w:rPr>
          <w:sz w:val="24"/>
          <w:lang w:val="it-IT"/>
        </w:rPr>
        <w:t>, pag. 7.</w:t>
      </w:r>
    </w:p>
  </w:footnote>
  <w:footnote w:id="8">
    <w:p w:rsidR="007F3076" w:rsidRPr="00B8226A" w:rsidP="00B8226A" w14:paraId="5D291702" w14:textId="1917AF4B">
      <w:pPr>
        <w:pStyle w:val="FootnoteText"/>
        <w:ind w:left="567" w:hanging="567"/>
        <w:rPr>
          <w:sz w:val="24"/>
          <w:lang w:val="it-IT"/>
        </w:rPr>
      </w:pPr>
      <w:r w:rsidRPr="00B8226A">
        <w:rPr>
          <w:rStyle w:val="FootnoteReference"/>
          <w:sz w:val="24"/>
          <w:szCs w:val="24"/>
          <w:lang w:val="it-IT"/>
        </w:rPr>
        <w:footnoteRef/>
      </w:r>
      <w:r w:rsidRPr="00B8226A" w:rsidR="00B8226A">
        <w:rPr>
          <w:sz w:val="24"/>
          <w:shd w:val="clear" w:color="auto" w:fill="FFFFFF"/>
          <w:lang w:val="it-IT"/>
        </w:rPr>
        <w:t xml:space="preserve"> </w:t>
      </w:r>
      <w:r w:rsidRPr="00B8226A" w:rsidR="00B8226A">
        <w:rPr>
          <w:sz w:val="24"/>
          <w:shd w:val="clear" w:color="auto" w:fill="FFFFFF"/>
          <w:lang w:val="it-IT"/>
        </w:rPr>
        <w:tab/>
      </w:r>
      <w:r w:rsidRPr="00B8226A">
        <w:rPr>
          <w:sz w:val="24"/>
          <w:shd w:val="clear" w:color="auto" w:fill="FFFFFF"/>
          <w:lang w:val="it-IT"/>
        </w:rPr>
        <w:t>Cfr., ad esempio, S. Bonny, "</w:t>
      </w:r>
      <w:r w:rsidRPr="00B8226A">
        <w:rPr>
          <w:sz w:val="24"/>
          <w:shd w:val="clear" w:color="auto" w:fill="FFFFFF"/>
          <w:lang w:val="it-IT"/>
        </w:rPr>
        <w:t>Genetically</w:t>
      </w:r>
      <w:r w:rsidRPr="00B8226A">
        <w:rPr>
          <w:sz w:val="24"/>
          <w:shd w:val="clear" w:color="auto" w:fill="FFFFFF"/>
          <w:lang w:val="it-IT"/>
        </w:rPr>
        <w:t xml:space="preserve"> </w:t>
      </w:r>
      <w:r w:rsidRPr="00B8226A">
        <w:rPr>
          <w:sz w:val="24"/>
          <w:shd w:val="clear" w:color="auto" w:fill="FFFFFF"/>
          <w:lang w:val="it-IT"/>
        </w:rPr>
        <w:t>Modified</w:t>
      </w:r>
      <w:r w:rsidRPr="00B8226A">
        <w:rPr>
          <w:sz w:val="24"/>
          <w:shd w:val="clear" w:color="auto" w:fill="FFFFFF"/>
          <w:lang w:val="it-IT"/>
        </w:rPr>
        <w:t xml:space="preserve"> </w:t>
      </w:r>
      <w:r w:rsidRPr="00B8226A">
        <w:rPr>
          <w:sz w:val="24"/>
          <w:shd w:val="clear" w:color="auto" w:fill="FFFFFF"/>
          <w:lang w:val="it-IT"/>
        </w:rPr>
        <w:t>Herbicide-Tolerant</w:t>
      </w:r>
      <w:r w:rsidRPr="00B8226A">
        <w:rPr>
          <w:sz w:val="24"/>
          <w:shd w:val="clear" w:color="auto" w:fill="FFFFFF"/>
          <w:lang w:val="it-IT"/>
        </w:rPr>
        <w:t xml:space="preserve"> </w:t>
      </w:r>
      <w:r w:rsidRPr="00B8226A">
        <w:rPr>
          <w:sz w:val="24"/>
          <w:shd w:val="clear" w:color="auto" w:fill="FFFFFF"/>
          <w:lang w:val="it-IT"/>
        </w:rPr>
        <w:t>Crops</w:t>
      </w:r>
      <w:r w:rsidRPr="00B8226A">
        <w:rPr>
          <w:sz w:val="24"/>
          <w:shd w:val="clear" w:color="auto" w:fill="FFFFFF"/>
          <w:lang w:val="it-IT"/>
        </w:rPr>
        <w:t xml:space="preserve">, </w:t>
      </w:r>
      <w:r w:rsidRPr="00B8226A">
        <w:rPr>
          <w:sz w:val="24"/>
          <w:shd w:val="clear" w:color="auto" w:fill="FFFFFF"/>
          <w:lang w:val="it-IT"/>
        </w:rPr>
        <w:t>Weeds</w:t>
      </w:r>
      <w:r w:rsidRPr="00B8226A">
        <w:rPr>
          <w:sz w:val="24"/>
          <w:shd w:val="clear" w:color="auto" w:fill="FFFFFF"/>
          <w:lang w:val="it-IT"/>
        </w:rPr>
        <w:t xml:space="preserve">, and </w:t>
      </w:r>
      <w:r w:rsidRPr="00B8226A">
        <w:rPr>
          <w:sz w:val="24"/>
          <w:shd w:val="clear" w:color="auto" w:fill="FFFFFF"/>
          <w:lang w:val="it-IT"/>
        </w:rPr>
        <w:t>Herbicides</w:t>
      </w:r>
      <w:r w:rsidRPr="00B8226A">
        <w:rPr>
          <w:sz w:val="24"/>
          <w:shd w:val="clear" w:color="auto" w:fill="FFFFFF"/>
          <w:lang w:val="it-IT"/>
        </w:rPr>
        <w:t xml:space="preserve">: </w:t>
      </w:r>
      <w:r w:rsidRPr="00B8226A">
        <w:rPr>
          <w:sz w:val="24"/>
          <w:shd w:val="clear" w:color="auto" w:fill="FFFFFF"/>
          <w:lang w:val="it-IT"/>
        </w:rPr>
        <w:t>Overview</w:t>
      </w:r>
      <w:r w:rsidRPr="00B8226A">
        <w:rPr>
          <w:sz w:val="24"/>
          <w:shd w:val="clear" w:color="auto" w:fill="FFFFFF"/>
          <w:lang w:val="it-IT"/>
        </w:rPr>
        <w:t xml:space="preserve"> and Impact" (Colture geneticamente modificate resistenti agli erbicidi, piante infestanti ed erbicidi: panoramica e conseguenze), </w:t>
      </w:r>
      <w:r w:rsidRPr="00B8226A">
        <w:rPr>
          <w:i/>
          <w:iCs/>
          <w:sz w:val="24"/>
          <w:shd w:val="clear" w:color="auto" w:fill="FFFFFF"/>
          <w:lang w:val="it-IT"/>
        </w:rPr>
        <w:t>Environmental</w:t>
      </w:r>
      <w:r w:rsidRPr="00B8226A">
        <w:rPr>
          <w:i/>
          <w:iCs/>
          <w:sz w:val="24"/>
          <w:shd w:val="clear" w:color="auto" w:fill="FFFFFF"/>
          <w:lang w:val="it-IT"/>
        </w:rPr>
        <w:t xml:space="preserve"> Management</w:t>
      </w:r>
      <w:r w:rsidRPr="00B8226A">
        <w:rPr>
          <w:sz w:val="24"/>
          <w:shd w:val="clear" w:color="auto" w:fill="FFFFFF"/>
          <w:lang w:val="it-IT"/>
        </w:rPr>
        <w:t>, gennaio 2016, 57(1), pagg. 31-48,</w:t>
      </w:r>
      <w:hyperlink r:id="rId24" w:history="1">
        <w:r w:rsidRPr="00B8226A">
          <w:rPr>
            <w:rStyle w:val="Hyperlink"/>
            <w:sz w:val="24"/>
            <w:shd w:val="clear" w:color="auto" w:fill="FFFFFF"/>
            <w:lang w:val="it-IT"/>
          </w:rPr>
          <w:t>https://doi.org/10.1007/s00267-015-0589-7</w:t>
        </w:r>
      </w:hyperlink>
      <w:r w:rsidRPr="00B8226A">
        <w:rPr>
          <w:sz w:val="24"/>
          <w:shd w:val="clear" w:color="auto" w:fill="FFFFFF"/>
          <w:lang w:val="it-IT"/>
        </w:rPr>
        <w:t xml:space="preserve"> e C.M. </w:t>
      </w:r>
      <w:r w:rsidRPr="00B8226A">
        <w:rPr>
          <w:sz w:val="24"/>
          <w:shd w:val="clear" w:color="auto" w:fill="FFFFFF"/>
          <w:lang w:val="it-IT"/>
        </w:rPr>
        <w:t>Benbrook</w:t>
      </w:r>
      <w:r w:rsidRPr="00B8226A">
        <w:rPr>
          <w:sz w:val="24"/>
          <w:shd w:val="clear" w:color="auto" w:fill="FFFFFF"/>
          <w:lang w:val="it-IT"/>
        </w:rPr>
        <w:t xml:space="preserve">, "Impacts of </w:t>
      </w:r>
      <w:r w:rsidRPr="00B8226A">
        <w:rPr>
          <w:sz w:val="24"/>
          <w:shd w:val="clear" w:color="auto" w:fill="FFFFFF"/>
          <w:lang w:val="it-IT"/>
        </w:rPr>
        <w:t>genetically</w:t>
      </w:r>
      <w:r w:rsidRPr="00B8226A">
        <w:rPr>
          <w:sz w:val="24"/>
          <w:shd w:val="clear" w:color="auto" w:fill="FFFFFF"/>
          <w:lang w:val="it-IT"/>
        </w:rPr>
        <w:t xml:space="preserve"> </w:t>
      </w:r>
      <w:r w:rsidRPr="00B8226A">
        <w:rPr>
          <w:sz w:val="24"/>
          <w:shd w:val="clear" w:color="auto" w:fill="FFFFFF"/>
          <w:lang w:val="it-IT"/>
        </w:rPr>
        <w:t>engineered</w:t>
      </w:r>
      <w:r w:rsidRPr="00B8226A">
        <w:rPr>
          <w:sz w:val="24"/>
          <w:shd w:val="clear" w:color="auto" w:fill="FFFFFF"/>
          <w:lang w:val="it-IT"/>
        </w:rPr>
        <w:t xml:space="preserve"> </w:t>
      </w:r>
      <w:r w:rsidRPr="00B8226A">
        <w:rPr>
          <w:sz w:val="24"/>
          <w:shd w:val="clear" w:color="auto" w:fill="FFFFFF"/>
          <w:lang w:val="it-IT"/>
        </w:rPr>
        <w:t>crops</w:t>
      </w:r>
      <w:r w:rsidRPr="00B8226A">
        <w:rPr>
          <w:sz w:val="24"/>
          <w:shd w:val="clear" w:color="auto" w:fill="FFFFFF"/>
          <w:lang w:val="it-IT"/>
        </w:rPr>
        <w:t xml:space="preserve"> on </w:t>
      </w:r>
      <w:r w:rsidRPr="00B8226A">
        <w:rPr>
          <w:sz w:val="24"/>
          <w:shd w:val="clear" w:color="auto" w:fill="FFFFFF"/>
          <w:lang w:val="it-IT"/>
        </w:rPr>
        <w:t>pesticide</w:t>
      </w:r>
      <w:r w:rsidRPr="00B8226A">
        <w:rPr>
          <w:sz w:val="24"/>
          <w:shd w:val="clear" w:color="auto" w:fill="FFFFFF"/>
          <w:lang w:val="it-IT"/>
        </w:rPr>
        <w:t xml:space="preserve"> use in the U.S. – the first </w:t>
      </w:r>
      <w:r w:rsidRPr="00B8226A">
        <w:rPr>
          <w:sz w:val="24"/>
          <w:shd w:val="clear" w:color="auto" w:fill="FFFFFF"/>
          <w:lang w:val="it-IT"/>
        </w:rPr>
        <w:t>sixteen</w:t>
      </w:r>
      <w:r w:rsidRPr="00B8226A">
        <w:rPr>
          <w:sz w:val="24"/>
          <w:shd w:val="clear" w:color="auto" w:fill="FFFFFF"/>
          <w:lang w:val="it-IT"/>
        </w:rPr>
        <w:t xml:space="preserve"> </w:t>
      </w:r>
      <w:r w:rsidRPr="00B8226A">
        <w:rPr>
          <w:sz w:val="24"/>
          <w:shd w:val="clear" w:color="auto" w:fill="FFFFFF"/>
          <w:lang w:val="it-IT"/>
        </w:rPr>
        <w:t>years</w:t>
      </w:r>
      <w:r w:rsidRPr="00B8226A">
        <w:rPr>
          <w:sz w:val="24"/>
          <w:shd w:val="clear" w:color="auto" w:fill="FFFFFF"/>
          <w:lang w:val="it-IT"/>
        </w:rPr>
        <w:t xml:space="preserve">" (Effetti delle colture geneticamente modificate sui pesticidi negli Stati Uniti – i primi sedici anni), </w:t>
      </w:r>
      <w:r w:rsidRPr="00B8226A">
        <w:rPr>
          <w:i/>
          <w:iCs/>
          <w:sz w:val="24"/>
          <w:shd w:val="clear" w:color="auto" w:fill="FFFFFF"/>
          <w:lang w:val="it-IT"/>
        </w:rPr>
        <w:t>Environmental</w:t>
      </w:r>
      <w:r w:rsidRPr="00B8226A">
        <w:rPr>
          <w:i/>
          <w:iCs/>
          <w:sz w:val="24"/>
          <w:shd w:val="clear" w:color="auto" w:fill="FFFFFF"/>
          <w:lang w:val="it-IT"/>
        </w:rPr>
        <w:t xml:space="preserve"> Sciences Europe</w:t>
      </w:r>
      <w:r w:rsidRPr="00B8226A">
        <w:rPr>
          <w:sz w:val="24"/>
          <w:shd w:val="clear" w:color="auto" w:fill="FFFFFF"/>
          <w:lang w:val="it-IT"/>
        </w:rPr>
        <w:t xml:space="preserve">, 28 settembre 2012, Vol. 24(1), </w:t>
      </w:r>
      <w:hyperlink r:id="rId25" w:history="1">
        <w:r w:rsidRPr="00B8226A">
          <w:rPr>
            <w:rStyle w:val="Hyperlink"/>
            <w:sz w:val="24"/>
            <w:lang w:val="it-IT"/>
          </w:rPr>
          <w:t>https://doi.org/10.1186/2190-4715-24-24</w:t>
        </w:r>
      </w:hyperlink>
      <w:r w:rsidRPr="00B8226A">
        <w:rPr>
          <w:sz w:val="24"/>
          <w:lang w:val="it-IT"/>
        </w:rPr>
        <w:t>.</w:t>
      </w:r>
    </w:p>
  </w:footnote>
  <w:footnote w:id="9">
    <w:p w:rsidR="007F3076" w:rsidRPr="00B8226A" w:rsidP="00B8226A" w14:paraId="0C64A097" w14:textId="41D5DB6A">
      <w:pPr>
        <w:pStyle w:val="FootnoteText"/>
        <w:ind w:left="567" w:hanging="567"/>
        <w:rPr>
          <w:sz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r w:rsidRPr="00B8226A">
        <w:rPr>
          <w:sz w:val="24"/>
          <w:lang w:val="it-IT"/>
        </w:rPr>
        <w:t>Regolamento (CE) n. 1107/2009 del Parlamento europeo e del Consiglio, del 21 ottobre 2009, relativo all'immissione sul mercato dei prodotti fitosanitari e che abroga le direttive del Consiglio 79/117/CEE e 91/414/CEE (GU L 309 del 24.11.2009, pag. 1, ELI: </w:t>
      </w:r>
      <w:hyperlink r:id="rId26" w:tooltip="Accesso al documento tramite l'URI dell'ELI." w:history="1">
        <w:r w:rsidRPr="00B8226A">
          <w:rPr>
            <w:rStyle w:val="Hyperlink"/>
            <w:sz w:val="24"/>
            <w:lang w:val="it-IT"/>
          </w:rPr>
          <w:t>http://data.europa.eu/eli/reg/2009/1107/</w:t>
        </w:r>
        <w:r w:rsidRPr="00B8226A">
          <w:rPr>
            <w:rStyle w:val="Hyperlink"/>
            <w:sz w:val="24"/>
            <w:lang w:val="it-IT"/>
          </w:rPr>
          <w:t>oj</w:t>
        </w:r>
      </w:hyperlink>
      <w:r w:rsidRPr="00B8226A">
        <w:rPr>
          <w:sz w:val="24"/>
          <w:lang w:val="it-IT"/>
        </w:rPr>
        <w:t>).</w:t>
      </w:r>
    </w:p>
  </w:footnote>
  <w:footnote w:id="10">
    <w:p w:rsidR="007F3076" w:rsidRPr="00B8226A" w:rsidP="00B8226A" w14:paraId="0B7173CF" w14:textId="0DE84A8D">
      <w:pPr>
        <w:pStyle w:val="FootnoteText"/>
        <w:ind w:left="567" w:hanging="567"/>
        <w:rPr>
          <w:sz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hyperlink r:id="rId27" w:history="1">
        <w:r w:rsidRPr="00A71383" w:rsidR="00A71383">
          <w:rPr>
            <w:rStyle w:val="Hyperlink"/>
            <w:sz w:val="24"/>
            <w:lang w:val="it-IT"/>
          </w:rPr>
          <w:t>https://ec.europa.eu/food/plant/pesticides/eu-pesticides-database/start/screen/active-substances/details/79</w:t>
        </w:r>
      </w:hyperlink>
      <w:r w:rsidR="00A71383">
        <w:rPr>
          <w:sz w:val="24"/>
          <w:lang w:val="it-IT"/>
        </w:rPr>
        <w:t>.</w:t>
      </w:r>
    </w:p>
  </w:footnote>
  <w:footnote w:id="11">
    <w:p w:rsidR="007F3076" w:rsidRPr="00B8226A" w:rsidP="00B8226A" w14:paraId="1A749375" w14:textId="374CD8BD">
      <w:pPr>
        <w:pStyle w:val="FootnoteText"/>
        <w:ind w:left="567" w:hanging="567"/>
        <w:rPr>
          <w:sz w:val="24"/>
          <w:lang w:val="it-IT"/>
        </w:rPr>
      </w:pPr>
      <w:r w:rsidRPr="00B8226A">
        <w:rPr>
          <w:rStyle w:val="FootnoteReference"/>
          <w:sz w:val="24"/>
          <w:lang w:val="it-IT"/>
        </w:rPr>
        <w:footnoteRef/>
      </w:r>
      <w:r w:rsidRPr="00B8226A" w:rsidR="00B8226A">
        <w:rPr>
          <w:sz w:val="24"/>
          <w:shd w:val="clear" w:color="auto" w:fill="FFFFFF"/>
          <w:lang w:val="it-IT"/>
        </w:rPr>
        <w:t xml:space="preserve"> </w:t>
      </w:r>
      <w:r w:rsidRPr="00B8226A" w:rsidR="00B8226A">
        <w:rPr>
          <w:sz w:val="24"/>
          <w:shd w:val="clear" w:color="auto" w:fill="FFFFFF"/>
          <w:lang w:val="it-IT"/>
        </w:rPr>
        <w:tab/>
      </w:r>
      <w:r w:rsidRPr="00B8226A">
        <w:rPr>
          <w:sz w:val="24"/>
          <w:shd w:val="clear" w:color="auto" w:fill="FFFFFF"/>
          <w:lang w:val="it-IT"/>
        </w:rPr>
        <w:t xml:space="preserve">Cfr. ad esempio, </w:t>
      </w:r>
      <w:hyperlink r:id="rId28" w:history="1">
        <w:r w:rsidRPr="00B8226A">
          <w:rPr>
            <w:rStyle w:val="Hyperlink"/>
            <w:sz w:val="24"/>
            <w:lang w:val="it-IT"/>
          </w:rPr>
          <w:t>https://doi.org/10.1016/j.mrrev.2019.02.001</w:t>
        </w:r>
      </w:hyperlink>
      <w:r w:rsidRPr="00B8226A">
        <w:rPr>
          <w:sz w:val="24"/>
          <w:lang w:val="it-IT"/>
        </w:rPr>
        <w:t xml:space="preserve">, </w:t>
      </w:r>
      <w:hyperlink r:id="rId29" w:history="1">
        <w:r w:rsidRPr="00B8226A">
          <w:rPr>
            <w:rStyle w:val="Hyperlink"/>
            <w:sz w:val="24"/>
            <w:lang w:val="it-IT"/>
          </w:rPr>
          <w:t>https://doi.org/10.1093/ije/dyz017</w:t>
        </w:r>
      </w:hyperlink>
      <w:r w:rsidRPr="00B8226A">
        <w:rPr>
          <w:sz w:val="24"/>
          <w:lang w:val="it-IT"/>
        </w:rPr>
        <w:t xml:space="preserve">, </w:t>
      </w:r>
      <w:hyperlink r:id="rId30" w:history="1">
        <w:r w:rsidRPr="00B8226A">
          <w:rPr>
            <w:rStyle w:val="Hyperlink"/>
            <w:sz w:val="24"/>
            <w:lang w:val="it-IT"/>
          </w:rPr>
          <w:t>https://doi.org/10.1371/journal.pone.0219610</w:t>
        </w:r>
      </w:hyperlink>
      <w:r w:rsidRPr="00B8226A">
        <w:rPr>
          <w:sz w:val="24"/>
          <w:lang w:val="it-IT"/>
        </w:rPr>
        <w:t xml:space="preserve"> e </w:t>
      </w:r>
      <w:hyperlink r:id="rId31" w:history="1">
        <w:r w:rsidRPr="00B8226A">
          <w:rPr>
            <w:rStyle w:val="Hyperlink"/>
            <w:sz w:val="24"/>
            <w:lang w:val="it-IT"/>
          </w:rPr>
          <w:t>https://doi.org/10.1186/s13045-019-0767-9</w:t>
        </w:r>
      </w:hyperlink>
      <w:r w:rsidRPr="00B8226A">
        <w:rPr>
          <w:sz w:val="24"/>
          <w:lang w:val="it-IT"/>
        </w:rPr>
        <w:t>.</w:t>
      </w:r>
    </w:p>
  </w:footnote>
  <w:footnote w:id="12">
    <w:p w:rsidR="007F3076" w:rsidRPr="00F27DF9" w:rsidP="00B8226A" w14:paraId="0549BF62" w14:textId="1D4D4F06">
      <w:pPr>
        <w:pStyle w:val="FootnoteText"/>
        <w:ind w:left="567" w:hanging="567"/>
        <w:rPr>
          <w:sz w:val="24"/>
          <w:lang w:val="en-GB"/>
        </w:rPr>
      </w:pPr>
      <w:r w:rsidRPr="00B8226A">
        <w:rPr>
          <w:rStyle w:val="FootnoteReference"/>
          <w:sz w:val="24"/>
          <w:lang w:val="it-IT"/>
        </w:rPr>
        <w:footnoteRef/>
      </w:r>
      <w:r w:rsidRPr="00F27DF9" w:rsidR="00B8226A">
        <w:rPr>
          <w:sz w:val="24"/>
          <w:lang w:val="en-GB"/>
        </w:rPr>
        <w:t xml:space="preserve"> </w:t>
      </w:r>
      <w:r w:rsidRPr="00F27DF9" w:rsidR="00B8226A">
        <w:rPr>
          <w:sz w:val="24"/>
          <w:lang w:val="en-GB"/>
        </w:rPr>
        <w:tab/>
      </w:r>
      <w:hyperlink r:id="rId32" w:tgtFrame="_blank" w:tooltip="Collegamento permanente mediante identificatore digitale dell'oggetto" w:history="1">
        <w:r w:rsidRPr="00F27DF9">
          <w:rPr>
            <w:rStyle w:val="Hyperlink"/>
            <w:sz w:val="24"/>
            <w:lang w:val="en-GB"/>
          </w:rPr>
          <w:t>https://doi.org/10.1006/rtph.1999.1371</w:t>
        </w:r>
      </w:hyperlink>
      <w:r w:rsidRPr="00F27DF9">
        <w:rPr>
          <w:sz w:val="24"/>
          <w:lang w:val="en-GB"/>
        </w:rPr>
        <w:t>.</w:t>
      </w:r>
    </w:p>
  </w:footnote>
  <w:footnote w:id="13">
    <w:p w:rsidR="007F3076" w:rsidRPr="00F27DF9" w:rsidP="00B8226A" w14:paraId="793FB7D6" w14:textId="0D118008">
      <w:pPr>
        <w:pStyle w:val="FootnoteText"/>
        <w:ind w:left="567" w:hanging="567"/>
        <w:rPr>
          <w:sz w:val="24"/>
          <w:lang w:val="en-GB"/>
        </w:rPr>
      </w:pPr>
      <w:r w:rsidRPr="00B8226A">
        <w:rPr>
          <w:rStyle w:val="FootnoteReference"/>
          <w:sz w:val="24"/>
          <w:lang w:val="it-IT"/>
        </w:rPr>
        <w:footnoteRef/>
      </w:r>
      <w:r w:rsidRPr="00F27DF9" w:rsidR="00B8226A">
        <w:rPr>
          <w:sz w:val="24"/>
          <w:shd w:val="clear" w:color="auto" w:fill="FFFFFF"/>
          <w:lang w:val="en-GB"/>
        </w:rPr>
        <w:t xml:space="preserve"> </w:t>
      </w:r>
      <w:r w:rsidRPr="00F27DF9" w:rsidR="00B8226A">
        <w:rPr>
          <w:sz w:val="24"/>
          <w:shd w:val="clear" w:color="auto" w:fill="FFFFFF"/>
          <w:lang w:val="en-GB"/>
        </w:rPr>
        <w:tab/>
      </w:r>
      <w:r w:rsidRPr="00F27DF9">
        <w:rPr>
          <w:sz w:val="24"/>
          <w:shd w:val="clear" w:color="auto" w:fill="FFFFFF"/>
          <w:lang w:val="en-GB"/>
        </w:rPr>
        <w:t>Lurquin</w:t>
      </w:r>
      <w:r w:rsidRPr="00F27DF9">
        <w:rPr>
          <w:sz w:val="24"/>
          <w:shd w:val="clear" w:color="auto" w:fill="FFFFFF"/>
          <w:lang w:val="en-GB"/>
        </w:rPr>
        <w:t xml:space="preserve">, P.F., "Production of a toxic metabolite in 2,4-D-resistant GM crop plants", </w:t>
      </w:r>
      <w:r w:rsidRPr="00F27DF9">
        <w:rPr>
          <w:i/>
          <w:iCs/>
          <w:sz w:val="24"/>
          <w:shd w:val="clear" w:color="auto" w:fill="FFFFFF"/>
          <w:lang w:val="en-GB"/>
        </w:rPr>
        <w:t>3 Biotech</w:t>
      </w:r>
      <w:r w:rsidRPr="00F27DF9">
        <w:rPr>
          <w:sz w:val="24"/>
          <w:shd w:val="clear" w:color="auto" w:fill="FFFFFF"/>
          <w:lang w:val="en-GB"/>
        </w:rPr>
        <w:t xml:space="preserve">, (6), 82(2016), </w:t>
      </w:r>
      <w:hyperlink r:id="rId33" w:history="1">
        <w:r w:rsidRPr="00F27DF9">
          <w:rPr>
            <w:rStyle w:val="Hyperlink"/>
            <w:sz w:val="24"/>
            <w:shd w:val="clear" w:color="auto" w:fill="FCFCFC"/>
            <w:lang w:val="en-GB"/>
          </w:rPr>
          <w:t>https://doi.org/10.1007/s13205-016-0387-9</w:t>
        </w:r>
      </w:hyperlink>
      <w:r w:rsidRPr="00F27DF9">
        <w:rPr>
          <w:sz w:val="24"/>
          <w:lang w:val="en-GB"/>
        </w:rPr>
        <w:t>.</w:t>
      </w:r>
    </w:p>
  </w:footnote>
  <w:footnote w:id="14">
    <w:p w:rsidR="007F3076" w:rsidRPr="00B8226A" w:rsidP="00B8226A" w14:paraId="1C7C9783" w14:textId="49E77D1B">
      <w:pPr>
        <w:pStyle w:val="FootnoteText"/>
        <w:ind w:left="567" w:hanging="567"/>
        <w:rPr>
          <w:sz w:val="24"/>
          <w:szCs w:val="24"/>
          <w:lang w:val="it-IT"/>
        </w:rPr>
      </w:pPr>
      <w:r w:rsidRPr="00B8226A">
        <w:rPr>
          <w:rStyle w:val="FootnoteReference"/>
          <w:sz w:val="24"/>
          <w:lang w:val="it-IT"/>
        </w:rPr>
        <w:footnoteRef/>
      </w:r>
      <w:r w:rsidRPr="00B8226A" w:rsidR="00B8226A">
        <w:rPr>
          <w:sz w:val="24"/>
          <w:shd w:val="clear" w:color="auto" w:fill="FFFFFF"/>
          <w:lang w:val="it-IT"/>
        </w:rPr>
        <w:t xml:space="preserve"> </w:t>
      </w:r>
      <w:r w:rsidRPr="00B8226A" w:rsidR="00B8226A">
        <w:rPr>
          <w:sz w:val="24"/>
          <w:shd w:val="clear" w:color="auto" w:fill="FFFFFF"/>
          <w:lang w:val="it-IT"/>
        </w:rPr>
        <w:tab/>
      </w:r>
      <w:r w:rsidRPr="00B8226A">
        <w:rPr>
          <w:sz w:val="24"/>
          <w:shd w:val="clear" w:color="auto" w:fill="FFFFFF"/>
          <w:lang w:val="it-IT"/>
        </w:rPr>
        <w:t xml:space="preserve">Tale è infatti il caso del glifosato, come indicato nella revisione dell'EFSA dei livelli massimi di residui esistenti per il glifosato a norma dell'articolo 12 del regolamento (CE) n. 396/2005, </w:t>
      </w:r>
      <w:r w:rsidRPr="00B8226A">
        <w:rPr>
          <w:i/>
          <w:sz w:val="24"/>
          <w:shd w:val="clear" w:color="auto" w:fill="FFFFFF"/>
          <w:lang w:val="it-IT"/>
        </w:rPr>
        <w:t>EFSA Journal</w:t>
      </w:r>
      <w:r w:rsidRPr="00B8226A">
        <w:rPr>
          <w:sz w:val="24"/>
          <w:shd w:val="clear" w:color="auto" w:fill="FFFFFF"/>
          <w:lang w:val="it-IT"/>
        </w:rPr>
        <w:t xml:space="preserve">, 2018, 16(5):5263, pag. 12, </w:t>
      </w:r>
      <w:hyperlink r:id="rId34" w:history="1">
        <w:r w:rsidRPr="00B8226A">
          <w:rPr>
            <w:rStyle w:val="Hyperlink"/>
            <w:sz w:val="24"/>
            <w:lang w:val="it-IT"/>
          </w:rPr>
          <w:t>https://www.efsa.europa.eu/fr/efsajournal/pub/5263</w:t>
        </w:r>
      </w:hyperlink>
      <w:r w:rsidRPr="00B8226A">
        <w:rPr>
          <w:sz w:val="24"/>
          <w:lang w:val="it-IT"/>
        </w:rPr>
        <w:t>.</w:t>
      </w:r>
    </w:p>
  </w:footnote>
  <w:footnote w:id="15">
    <w:p w:rsidR="007F3076" w:rsidRPr="00B8226A" w:rsidP="00B8226A" w14:paraId="72CD3F59" w14:textId="45C95570">
      <w:pPr>
        <w:pStyle w:val="FootnoteText"/>
        <w:ind w:left="567" w:hanging="567"/>
        <w:rPr>
          <w:sz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r w:rsidRPr="00B8226A">
        <w:rPr>
          <w:sz w:val="24"/>
          <w:lang w:val="it-IT"/>
        </w:rPr>
        <w:t xml:space="preserve">GU L 282 del 19.10.2016, pag. 4. </w:t>
      </w:r>
    </w:p>
  </w:footnote>
  <w:footnote w:id="16">
    <w:p w:rsidR="007F3076" w:rsidRPr="00B8226A" w:rsidP="00B8226A" w14:paraId="47043377" w14:textId="7DBF52FD">
      <w:pPr>
        <w:pStyle w:val="FootnoteText"/>
        <w:ind w:left="567" w:hanging="567"/>
        <w:rPr>
          <w:sz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r w:rsidRPr="00B8226A">
        <w:rPr>
          <w:sz w:val="24"/>
          <w:lang w:val="it-IT"/>
        </w:rPr>
        <w:t>GU L 309 del 13.12.1993, pag. 3, ELI: </w:t>
      </w:r>
      <w:hyperlink r:id="rId35" w:tooltip="Accesso al documento tramite l'URI dell'ELI." w:history="1">
        <w:r w:rsidRPr="00B8226A">
          <w:rPr>
            <w:rStyle w:val="Hyperlink"/>
            <w:sz w:val="24"/>
            <w:lang w:val="it-IT"/>
          </w:rPr>
          <w:t>http://data.europa.eu/eli/convention/1993/626/</w:t>
        </w:r>
        <w:r w:rsidRPr="00B8226A">
          <w:rPr>
            <w:rStyle w:val="Hyperlink"/>
            <w:sz w:val="24"/>
            <w:lang w:val="it-IT"/>
          </w:rPr>
          <w:t>oj</w:t>
        </w:r>
      </w:hyperlink>
      <w:r w:rsidRPr="00B8226A">
        <w:rPr>
          <w:sz w:val="24"/>
          <w:lang w:val="it-IT"/>
        </w:rPr>
        <w:t>.</w:t>
      </w:r>
    </w:p>
  </w:footnote>
  <w:footnote w:id="17">
    <w:p w:rsidR="007F3076" w:rsidRPr="00B8226A" w:rsidP="00B8226A" w14:paraId="07373912" w14:textId="32433A3A">
      <w:pPr>
        <w:pStyle w:val="FootnoteText"/>
        <w:ind w:left="567" w:hanging="567"/>
        <w:rPr>
          <w:sz w:val="24"/>
          <w:lang w:val="it-IT"/>
        </w:rPr>
      </w:pPr>
      <w:r w:rsidRPr="00B8226A">
        <w:rPr>
          <w:rStyle w:val="FootnoteReference"/>
          <w:sz w:val="24"/>
          <w:lang w:val="it-IT"/>
        </w:rPr>
        <w:footnoteRef/>
      </w:r>
      <w:r w:rsidRPr="00B8226A" w:rsidR="00B8226A">
        <w:rPr>
          <w:color w:val="000000" w:themeColor="text1"/>
          <w:sz w:val="24"/>
          <w:lang w:val="it-IT"/>
        </w:rPr>
        <w:t xml:space="preserve"> </w:t>
      </w:r>
      <w:r w:rsidRPr="00B8226A" w:rsidR="00B8226A">
        <w:rPr>
          <w:color w:val="000000" w:themeColor="text1"/>
          <w:sz w:val="24"/>
          <w:lang w:val="it-IT"/>
        </w:rPr>
        <w:tab/>
      </w:r>
      <w:r w:rsidRPr="00B8226A">
        <w:rPr>
          <w:color w:val="000000" w:themeColor="text1"/>
          <w:sz w:val="24"/>
          <w:lang w:val="it-IT"/>
        </w:rPr>
        <w:t>Nel dicembre 2022, in occasione della COP15 della convenzione delle Nazioni Unite sulla diversità biologica, è stato concordato un quadro globale sulla biodiversità che comprende un obiettivo globale di riduzione dei rischi derivanti dai pesticidi di almeno il 50</w:t>
      </w:r>
      <w:r w:rsidRPr="00B8226A">
        <w:rPr>
          <w:sz w:val="24"/>
          <w:lang w:val="it-IT"/>
        </w:rPr>
        <w:t> </w:t>
      </w:r>
      <w:r w:rsidRPr="00B8226A">
        <w:rPr>
          <w:color w:val="000000" w:themeColor="text1"/>
          <w:sz w:val="24"/>
          <w:lang w:val="it-IT"/>
        </w:rPr>
        <w:t xml:space="preserve">% entro il 2030 (cfr.: </w:t>
      </w:r>
      <w:hyperlink r:id="rId36" w:history="1">
        <w:r w:rsidRPr="00B8226A">
          <w:rPr>
            <w:rStyle w:val="Hyperlink"/>
            <w:sz w:val="24"/>
            <w:lang w:val="it-IT"/>
          </w:rPr>
          <w:t>https://ec.europa.eu/commission/presscorner/detail/it/ip_22_7834</w:t>
        </w:r>
      </w:hyperlink>
      <w:r w:rsidRPr="00B8226A">
        <w:rPr>
          <w:sz w:val="24"/>
          <w:lang w:val="it-IT"/>
        </w:rPr>
        <w:t xml:space="preserve">). </w:t>
      </w:r>
    </w:p>
  </w:footnote>
  <w:footnote w:id="18">
    <w:p w:rsidR="007F3076" w:rsidRPr="00B8226A" w:rsidP="00B8226A" w14:paraId="6C951D09" w14:textId="7FEECCC8">
      <w:pPr>
        <w:pStyle w:val="FootnoteText"/>
        <w:ind w:left="567" w:hanging="567"/>
        <w:rPr>
          <w:sz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hyperlink r:id="rId37" w:history="1">
        <w:r w:rsidRPr="00B8226A">
          <w:rPr>
            <w:rStyle w:val="Hyperlink"/>
            <w:sz w:val="24"/>
            <w:lang w:val="it-IT"/>
          </w:rPr>
          <w:t>https://commission.europa.eu/strategy-and-policy/priorities-2019-2024/european-green-deal/agriculture-and-green-deal/strategic-dialogue-future-eu-agriculture_it</w:t>
        </w:r>
      </w:hyperlink>
      <w:r w:rsidRPr="00B8226A">
        <w:rPr>
          <w:sz w:val="24"/>
          <w:lang w:val="it-IT"/>
        </w:rPr>
        <w:t xml:space="preserve">. </w:t>
      </w:r>
    </w:p>
  </w:footnote>
  <w:footnote w:id="19">
    <w:p w:rsidR="007F3076" w:rsidRPr="00B8226A" w:rsidP="00B8226A" w14:paraId="2F87D6A2" w14:textId="1718C9BD">
      <w:pPr>
        <w:pStyle w:val="FootnoteText"/>
        <w:ind w:left="567" w:hanging="567"/>
        <w:rPr>
          <w:sz w:val="24"/>
          <w:szCs w:val="24"/>
          <w:lang w:val="it-IT"/>
        </w:rPr>
      </w:pPr>
      <w:r w:rsidRPr="00B8226A">
        <w:rPr>
          <w:rStyle w:val="FootnoteReference"/>
          <w:sz w:val="24"/>
          <w:lang w:val="it-IT"/>
        </w:rPr>
        <w:footnoteRef/>
      </w:r>
      <w:r w:rsidRPr="00B8226A" w:rsidR="00B8226A">
        <w:rPr>
          <w:sz w:val="24"/>
          <w:lang w:val="it-IT"/>
        </w:rPr>
        <w:t xml:space="preserve"> </w:t>
      </w:r>
      <w:r w:rsidRPr="00B8226A" w:rsidR="00B8226A">
        <w:rPr>
          <w:sz w:val="24"/>
          <w:lang w:val="it-IT"/>
        </w:rPr>
        <w:tab/>
      </w:r>
      <w:r w:rsidRPr="00B8226A">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38" w:tooltip="Accesso al documento tramite l'URI dell'ELI." w:history="1">
        <w:r w:rsidRPr="00B8226A">
          <w:rPr>
            <w:rStyle w:val="Hyperlink"/>
            <w:sz w:val="24"/>
            <w:lang w:val="it-IT"/>
          </w:rPr>
          <w:t>http://data.europa.eu/eli/reg/2002/178/</w:t>
        </w:r>
        <w:r w:rsidRPr="00B8226A">
          <w:rPr>
            <w:rStyle w:val="Hyperlink"/>
            <w:sz w:val="24"/>
            <w:lang w:val="it-IT"/>
          </w:rPr>
          <w:t>oj</w:t>
        </w:r>
      </w:hyperlink>
      <w:r w:rsidRPr="00B8226A">
        <w:rPr>
          <w:sz w:val="24"/>
          <w:lang w:val="it-IT"/>
        </w:rPr>
        <w:t>).</w:t>
      </w:r>
    </w:p>
  </w:footnote>
  <w:footnote w:id="20">
    <w:p w:rsidR="007F3076" w:rsidRPr="00B8226A" w:rsidP="00B8226A" w14:paraId="0941E224" w14:textId="54A64E92">
      <w:pPr>
        <w:pStyle w:val="FootnoteText"/>
        <w:ind w:left="567" w:hanging="567"/>
        <w:rPr>
          <w:sz w:val="24"/>
          <w:szCs w:val="24"/>
          <w:lang w:val="it-IT"/>
        </w:rPr>
      </w:pPr>
      <w:r w:rsidRPr="00B8226A">
        <w:rPr>
          <w:rStyle w:val="FootnoteReference"/>
          <w:sz w:val="24"/>
          <w:szCs w:val="24"/>
          <w:lang w:val="it-IT"/>
        </w:rPr>
        <w:footnoteRef/>
      </w:r>
      <w:r w:rsidRPr="00B8226A" w:rsidR="00B8226A">
        <w:rPr>
          <w:sz w:val="24"/>
          <w:lang w:val="it-IT"/>
        </w:rPr>
        <w:t xml:space="preserve"> </w:t>
      </w:r>
      <w:r w:rsidRPr="00B8226A" w:rsidR="00B8226A">
        <w:rPr>
          <w:sz w:val="24"/>
          <w:lang w:val="it-IT"/>
        </w:rPr>
        <w:tab/>
      </w:r>
      <w:hyperlink r:id="rId39" w:history="1">
        <w:r w:rsidRPr="00B8226A">
          <w:rPr>
            <w:rStyle w:val="Hyperlink"/>
            <w:sz w:val="24"/>
            <w:shd w:val="clear" w:color="auto" w:fill="FFFFFF"/>
            <w:lang w:val="it-IT"/>
          </w:rPr>
          <w:t>https://tillymetz.lu/wp-content/uploads/2020/09/Co-signed-letter-MEP-Metz.pdf</w:t>
        </w:r>
      </w:hyperlink>
      <w:r w:rsidRPr="00B8226A">
        <w:rPr>
          <w:sz w:val="24"/>
          <w:lang w:val="it-IT"/>
        </w:rPr>
        <w:t>.</w:t>
      </w:r>
      <w:r w:rsidRPr="00B8226A">
        <w:rPr>
          <w:sz w:val="24"/>
          <w:shd w:val="clear" w:color="auto" w:fill="FFFFFF"/>
          <w:lang w:val="it-IT"/>
        </w:rPr>
        <w:t xml:space="preserve"> </w:t>
      </w:r>
    </w:p>
  </w:footnote>
  <w:footnote w:id="21">
    <w:p w:rsidR="007F3076" w:rsidRPr="00B8226A" w:rsidP="00B8226A" w14:paraId="3F8D3806" w14:textId="60D7DC7C">
      <w:pPr>
        <w:pStyle w:val="FootnoteText"/>
        <w:ind w:left="567" w:hanging="567"/>
        <w:rPr>
          <w:sz w:val="24"/>
          <w:lang w:val="it-IT"/>
        </w:rPr>
      </w:pPr>
      <w:r w:rsidRPr="00B8226A">
        <w:rPr>
          <w:rStyle w:val="FootnoteReference"/>
          <w:sz w:val="24"/>
          <w:lang w:val="it-IT"/>
        </w:rPr>
        <w:footnoteRef/>
      </w:r>
      <w:r w:rsidRPr="00B8226A" w:rsidR="00B8226A">
        <w:rPr>
          <w:sz w:val="24"/>
          <w:shd w:val="clear" w:color="auto" w:fill="FFFFFF"/>
          <w:lang w:val="it-IT"/>
        </w:rPr>
        <w:t xml:space="preserve"> </w:t>
      </w:r>
      <w:r w:rsidRPr="00B8226A" w:rsidR="00B8226A">
        <w:rPr>
          <w:sz w:val="24"/>
          <w:shd w:val="clear" w:color="auto" w:fill="FFFFFF"/>
          <w:lang w:val="it-IT"/>
        </w:rPr>
        <w:tab/>
      </w:r>
      <w:r w:rsidRPr="00B8226A">
        <w:rPr>
          <w:sz w:val="24"/>
          <w:shd w:val="clear" w:color="auto" w:fill="FFFFFF"/>
          <w:lang w:val="it-IT"/>
        </w:rPr>
        <w:t>Risoluzione del Parlamento europeo del 15 gennaio 2020 sul Green Deal europeo (GU C 270 del 7.7.2021, pag. 2), paragrafo 102.</w:t>
      </w:r>
    </w:p>
  </w:footnote>
  <w:footnote w:id="22">
    <w:p w:rsidR="007F3076" w:rsidRPr="00B8226A" w:rsidP="00B8226A" w14:paraId="27AB19D2" w14:textId="784EC4BE">
      <w:pPr>
        <w:pStyle w:val="FootnoteText"/>
        <w:ind w:left="567" w:hanging="567"/>
        <w:rPr>
          <w:sz w:val="24"/>
          <w:szCs w:val="24"/>
          <w:lang w:val="it-IT"/>
        </w:rPr>
      </w:pPr>
      <w:r w:rsidRPr="00B8226A">
        <w:rPr>
          <w:rStyle w:val="FootnoteReference"/>
          <w:sz w:val="24"/>
          <w:lang w:val="it-IT"/>
        </w:rPr>
        <w:footnoteRef/>
      </w:r>
      <w:r w:rsidRPr="00B8226A" w:rsidR="00B8226A">
        <w:rPr>
          <w:sz w:val="24"/>
          <w:shd w:val="clear" w:color="auto" w:fill="FFFFFF"/>
          <w:lang w:val="it-IT"/>
        </w:rPr>
        <w:t xml:space="preserve"> </w:t>
      </w:r>
      <w:r w:rsidRPr="00B8226A" w:rsidR="00B8226A">
        <w:rPr>
          <w:sz w:val="24"/>
          <w:shd w:val="clear" w:color="auto" w:fill="FFFFFF"/>
          <w:lang w:val="it-IT"/>
        </w:rPr>
        <w:tab/>
      </w:r>
      <w:r w:rsidRPr="00B8226A">
        <w:rPr>
          <w:sz w:val="24"/>
          <w:shd w:val="clear" w:color="auto" w:fill="FFFFFF"/>
          <w:lang w:val="it-IT"/>
        </w:rPr>
        <w:t>GU C 445 del 29.10.2021, pag.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226A" w14:paraId="5B39611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226A" w14:paraId="1AC5F95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8226A" w14:paraId="0E16147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43264119">
    <w:abstractNumId w:val="9"/>
  </w:num>
  <w:num w:numId="2" w16cid:durableId="1335886356">
    <w:abstractNumId w:val="9"/>
  </w:num>
  <w:num w:numId="3" w16cid:durableId="1143085546">
    <w:abstractNumId w:val="7"/>
  </w:num>
  <w:num w:numId="4" w16cid:durableId="124928678">
    <w:abstractNumId w:val="7"/>
  </w:num>
  <w:num w:numId="5" w16cid:durableId="354233235">
    <w:abstractNumId w:val="6"/>
  </w:num>
  <w:num w:numId="6" w16cid:durableId="74862244">
    <w:abstractNumId w:val="6"/>
  </w:num>
  <w:num w:numId="7" w16cid:durableId="1901938094">
    <w:abstractNumId w:val="5"/>
  </w:num>
  <w:num w:numId="8" w16cid:durableId="1201825537">
    <w:abstractNumId w:val="5"/>
  </w:num>
  <w:num w:numId="9" w16cid:durableId="269817763">
    <w:abstractNumId w:val="4"/>
  </w:num>
  <w:num w:numId="10" w16cid:durableId="2141412723">
    <w:abstractNumId w:val="4"/>
  </w:num>
  <w:num w:numId="11" w16cid:durableId="275332880">
    <w:abstractNumId w:val="8"/>
  </w:num>
  <w:num w:numId="12" w16cid:durableId="159080190">
    <w:abstractNumId w:val="8"/>
  </w:num>
  <w:num w:numId="13" w16cid:durableId="385689873">
    <w:abstractNumId w:val="3"/>
  </w:num>
  <w:num w:numId="14" w16cid:durableId="1786147109">
    <w:abstractNumId w:val="3"/>
  </w:num>
  <w:num w:numId="15" w16cid:durableId="254827194">
    <w:abstractNumId w:val="2"/>
  </w:num>
  <w:num w:numId="16" w16cid:durableId="295572860">
    <w:abstractNumId w:val="2"/>
  </w:num>
  <w:num w:numId="17" w16cid:durableId="833376411">
    <w:abstractNumId w:val="1"/>
  </w:num>
  <w:num w:numId="18" w16cid:durableId="148064809">
    <w:abstractNumId w:val="1"/>
  </w:num>
  <w:num w:numId="19" w16cid:durableId="1311406078">
    <w:abstractNumId w:val="0"/>
  </w:num>
  <w:num w:numId="20" w16cid:durableId="1925021638">
    <w:abstractNumId w:val="0"/>
  </w:num>
  <w:num w:numId="21" w16cid:durableId="1994488509">
    <w:abstractNumId w:val="9"/>
  </w:num>
  <w:num w:numId="22" w16cid:durableId="1739134522">
    <w:abstractNumId w:val="7"/>
  </w:num>
  <w:num w:numId="23" w16cid:durableId="123695890">
    <w:abstractNumId w:val="6"/>
  </w:num>
  <w:num w:numId="24" w16cid:durableId="969095635">
    <w:abstractNumId w:val="5"/>
  </w:num>
  <w:num w:numId="25" w16cid:durableId="999965178">
    <w:abstractNumId w:val="4"/>
  </w:num>
  <w:num w:numId="26" w16cid:durableId="1457140623">
    <w:abstractNumId w:val="8"/>
  </w:num>
  <w:num w:numId="27" w16cid:durableId="1854763801">
    <w:abstractNumId w:val="3"/>
  </w:num>
  <w:num w:numId="28" w16cid:durableId="1349138241">
    <w:abstractNumId w:val="2"/>
  </w:num>
  <w:num w:numId="29" w16cid:durableId="1451314183">
    <w:abstractNumId w:val="1"/>
  </w:num>
  <w:num w:numId="30" w16cid:durableId="1998028048">
    <w:abstractNumId w:val="0"/>
  </w:num>
  <w:num w:numId="31" w16cid:durableId="1482186669">
    <w:abstractNumId w:val="9"/>
  </w:num>
  <w:num w:numId="32" w16cid:durableId="1316909580">
    <w:abstractNumId w:val="7"/>
  </w:num>
  <w:num w:numId="33" w16cid:durableId="1137723488">
    <w:abstractNumId w:val="6"/>
  </w:num>
  <w:num w:numId="34" w16cid:durableId="1558055806">
    <w:abstractNumId w:val="5"/>
  </w:num>
  <w:num w:numId="35" w16cid:durableId="462499420">
    <w:abstractNumId w:val="4"/>
  </w:num>
  <w:num w:numId="36" w16cid:durableId="1177883533">
    <w:abstractNumId w:val="8"/>
  </w:num>
  <w:num w:numId="37" w16cid:durableId="1532766097">
    <w:abstractNumId w:val="3"/>
  </w:num>
  <w:num w:numId="38" w16cid:durableId="571744096">
    <w:abstractNumId w:val="2"/>
  </w:num>
  <w:num w:numId="39" w16cid:durableId="629436584">
    <w:abstractNumId w:val="1"/>
  </w:num>
  <w:num w:numId="40" w16cid:durableId="1101800334">
    <w:abstractNumId w:val="0"/>
  </w:num>
  <w:num w:numId="41" w16cid:durableId="1258559352">
    <w:abstractNumId w:val="10"/>
  </w:num>
  <w:num w:numId="42" w16cid:durableId="886995007">
    <w:abstractNumId w:val="10"/>
  </w:num>
  <w:num w:numId="43" w16cid:durableId="253828063">
    <w:abstractNumId w:val="10"/>
  </w:num>
  <w:num w:numId="44" w16cid:durableId="1778788814">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FC"/>
    <w:rsid w:val="00002272"/>
    <w:rsid w:val="000103AE"/>
    <w:rsid w:val="00064002"/>
    <w:rsid w:val="000677B9"/>
    <w:rsid w:val="00080AC2"/>
    <w:rsid w:val="000831BA"/>
    <w:rsid w:val="000A42CC"/>
    <w:rsid w:val="000E7DD9"/>
    <w:rsid w:val="0010095E"/>
    <w:rsid w:val="00125B37"/>
    <w:rsid w:val="00187494"/>
    <w:rsid w:val="001F32AE"/>
    <w:rsid w:val="002767FF"/>
    <w:rsid w:val="002B18FE"/>
    <w:rsid w:val="002B5493"/>
    <w:rsid w:val="00343214"/>
    <w:rsid w:val="00361C00"/>
    <w:rsid w:val="00395FA1"/>
    <w:rsid w:val="003D4009"/>
    <w:rsid w:val="003E15D4"/>
    <w:rsid w:val="00411CCE"/>
    <w:rsid w:val="0041666E"/>
    <w:rsid w:val="00421060"/>
    <w:rsid w:val="00471C19"/>
    <w:rsid w:val="004867E3"/>
    <w:rsid w:val="00494A28"/>
    <w:rsid w:val="004C0004"/>
    <w:rsid w:val="004C5D52"/>
    <w:rsid w:val="0050519A"/>
    <w:rsid w:val="005072A1"/>
    <w:rsid w:val="00514517"/>
    <w:rsid w:val="0052741D"/>
    <w:rsid w:val="00545827"/>
    <w:rsid w:val="00560270"/>
    <w:rsid w:val="005A36A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076"/>
    <w:rsid w:val="00817416"/>
    <w:rsid w:val="00842779"/>
    <w:rsid w:val="00865F67"/>
    <w:rsid w:val="00881A7B"/>
    <w:rsid w:val="008840E5"/>
    <w:rsid w:val="00887B3E"/>
    <w:rsid w:val="008C2AC6"/>
    <w:rsid w:val="00930C23"/>
    <w:rsid w:val="0093193B"/>
    <w:rsid w:val="00940646"/>
    <w:rsid w:val="009509D8"/>
    <w:rsid w:val="00950B64"/>
    <w:rsid w:val="00981893"/>
    <w:rsid w:val="009E48BE"/>
    <w:rsid w:val="00A1687D"/>
    <w:rsid w:val="00A43E52"/>
    <w:rsid w:val="00A4678D"/>
    <w:rsid w:val="00A71383"/>
    <w:rsid w:val="00A778C7"/>
    <w:rsid w:val="00AB441E"/>
    <w:rsid w:val="00AB6293"/>
    <w:rsid w:val="00AE0928"/>
    <w:rsid w:val="00AF3B82"/>
    <w:rsid w:val="00B12E95"/>
    <w:rsid w:val="00B22876"/>
    <w:rsid w:val="00B558F0"/>
    <w:rsid w:val="00B8226A"/>
    <w:rsid w:val="00BD48FE"/>
    <w:rsid w:val="00BD7BD8"/>
    <w:rsid w:val="00BE6ADC"/>
    <w:rsid w:val="00C05BFE"/>
    <w:rsid w:val="00C23CD4"/>
    <w:rsid w:val="00C61C0C"/>
    <w:rsid w:val="00C856FC"/>
    <w:rsid w:val="00C941CB"/>
    <w:rsid w:val="00CC2357"/>
    <w:rsid w:val="00CF071A"/>
    <w:rsid w:val="00D058B8"/>
    <w:rsid w:val="00D56C11"/>
    <w:rsid w:val="00D834A0"/>
    <w:rsid w:val="00D872DF"/>
    <w:rsid w:val="00D91E21"/>
    <w:rsid w:val="00DA7FCD"/>
    <w:rsid w:val="00E365E1"/>
    <w:rsid w:val="00E73FB4"/>
    <w:rsid w:val="00E820A4"/>
    <w:rsid w:val="00EB006A"/>
    <w:rsid w:val="00EB4772"/>
    <w:rsid w:val="00ED169E"/>
    <w:rsid w:val="00ED4235"/>
    <w:rsid w:val="00F04346"/>
    <w:rsid w:val="00F075DC"/>
    <w:rsid w:val="00F149E9"/>
    <w:rsid w:val="00F27DF9"/>
    <w:rsid w:val="00F5134D"/>
    <w:rsid w:val="00F74202"/>
    <w:rsid w:val="00F87713"/>
    <w:rsid w:val="00F97F94"/>
    <w:rsid w:val="00FB4360"/>
    <w:rsid w:val="00FD0C70"/>
  </w:rsids>
  <w:docVars>
    <w:docVar w:name="dvdocse" w:val="B10-0336/2026"/>
    <w:docVar w:name="dvlangue" w:val="IT"/>
    <w:docVar w:name="dvnumam" w:val="0"/>
    <w:docVar w:name="dvpe" w:val="789.025"/>
    <w:docVar w:name="dvtitre" w:val="Risoluzione del Parlamento europeo del ... 2026 sul progetto di decisione di esecuzione della Commissione che autorizza l'immissione in commercio di prodotti contenenti, costituiti o derivanti da granturco geneticamente modificato DP202216 x NK603 x DAS-40278-9 e dalle relative sottocombinazioni DP202216 x NK603, DP202216 x DAS-40278-9, a norma del regolamento (CE) n. 1829/2003 del Parlamento europeo e del Consiglio(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A0EBBA"/>
  <w15:chartTrackingRefBased/>
  <w15:docId w15:val="{269C046B-CB86-4602-A865-6B1650DC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7F3076"/>
    <w:pPr>
      <w:spacing w:after="240"/>
      <w:ind w:left="567" w:hanging="567"/>
    </w:pPr>
  </w:style>
  <w:style w:type="character" w:styleId="Hyperlink">
    <w:name w:val="Hyperlink"/>
    <w:basedOn w:val="DefaultParagraphFont"/>
    <w:uiPriority w:val="99"/>
    <w:rsid w:val="007F3076"/>
    <w:rPr>
      <w:color w:val="0563C1" w:themeColor="hyperlink"/>
      <w:u w:val="single"/>
    </w:rPr>
  </w:style>
  <w:style w:type="paragraph" w:customStyle="1" w:styleId="Considrant">
    <w:name w:val="Considérant"/>
    <w:basedOn w:val="Normal"/>
    <w:uiPriority w:val="99"/>
    <w:semiHidden/>
    <w:rsid w:val="007F3076"/>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7F3076"/>
    <w:rPr>
      <w:rFonts w:ascii="Times New Roman" w:hAnsi="Times New Roman" w:cs="Times New Roman" w:hint="default"/>
      <w:vertAlign w:val="superscript"/>
    </w:rPr>
  </w:style>
  <w:style w:type="paragraph" w:styleId="Revision">
    <w:name w:val="Revision"/>
    <w:hidden/>
    <w:uiPriority w:val="99"/>
    <w:semiHidden/>
    <w:rsid w:val="00F27DF9"/>
    <w:rPr>
      <w:sz w:val="24"/>
      <w:lang w:val="it-IT"/>
    </w:rPr>
  </w:style>
  <w:style w:type="character" w:styleId="UnresolvedMention">
    <w:name w:val="Unresolved Mention"/>
    <w:basedOn w:val="DefaultParagraphFont"/>
    <w:uiPriority w:val="99"/>
    <w:semiHidden/>
    <w:unhideWhenUsed/>
    <w:rsid w:val="00F27DF9"/>
    <w:rPr>
      <w:color w:val="605E5C"/>
      <w:shd w:val="clear" w:color="auto" w:fill="E1DFDD"/>
    </w:rPr>
  </w:style>
  <w:style w:type="character" w:styleId="FollowedHyperlink">
    <w:name w:val="FollowedHyperlink"/>
    <w:basedOn w:val="DefaultParagraphFont"/>
    <w:rsid w:val="00F27D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it/ip_22_7834" TargetMode="External" /><Relationship Id="rId37" Type="http://schemas.openxmlformats.org/officeDocument/2006/relationships/hyperlink" Target="https://commission.europa.eu/strategy-and-policy/priorities-2019-2024/european-green-deal/agriculture-and-green-deal/strategic-dialogue-future-eu-agriculture_it"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2390</Words>
  <Characters>14622</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2026-08-04T14:47:00Z</dcterms:created>
  <dcterms:modified xsi:type="dcterms:W3CDTF">2026-08-04T14:47:00Z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B10-0336/2026</vt:lpwstr>
  </property>
  <property fmtid="{D5CDD505-2E9C-101B-9397-08002B2CF9AE}" pid="4" name="&lt;Type&gt;">
    <vt:lpwstr>RR</vt:lpwstr>
  </property>
</Properties>
</file>