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4A352DE" w14:textId="77777777" w:rsidTr="0010095E">
        <w:tblPrEx>
          <w:tblW w:w="9072" w:type="dxa"/>
          <w:tblLook w:val="01E0"/>
        </w:tblPrEx>
        <w:trPr>
          <w:trHeight w:hRule="exact" w:val="1418"/>
        </w:trPr>
        <w:tc>
          <w:tcPr>
            <w:tcW w:w="6804" w:type="dxa"/>
            <w:shd w:val="clear" w:color="auto" w:fill="auto"/>
            <w:vAlign w:val="center"/>
          </w:tcPr>
          <w:p w:rsidR="00751A4A" w:rsidRPr="001E4FC9" w:rsidP="0010095E" w14:paraId="6F14584B" w14:textId="77777777">
            <w:pPr>
              <w:pStyle w:val="EPName"/>
            </w:pPr>
            <w:r w:rsidRPr="001E4FC9">
              <w:t>Eiropas Parlaments</w:t>
            </w:r>
          </w:p>
          <w:p w:rsidR="00751A4A" w:rsidRPr="001E4FC9" w:rsidP="005F1B17" w14:paraId="7A8C2124" w14:textId="77777777">
            <w:pPr>
              <w:pStyle w:val="EPTerm"/>
              <w:rPr>
                <w:rStyle w:val="HideTWBExt"/>
                <w:noProof w:val="0"/>
                <w:vanish w:val="0"/>
                <w:color w:val="auto"/>
              </w:rPr>
            </w:pPr>
            <w:r w:rsidRPr="001E4FC9">
              <w:t>2024</w:t>
            </w:r>
            <w:r w:rsidRPr="001E4FC9" w:rsidR="00817416">
              <w:t>-202</w:t>
            </w:r>
            <w:r w:rsidRPr="001E4FC9">
              <w:t>9</w:t>
            </w:r>
          </w:p>
        </w:tc>
        <w:tc>
          <w:tcPr>
            <w:tcW w:w="2268" w:type="dxa"/>
            <w:shd w:val="clear" w:color="auto" w:fill="auto"/>
          </w:tcPr>
          <w:p w:rsidR="00751A4A" w:rsidRPr="001E4FC9" w:rsidP="0010095E" w14:paraId="6CE0517E" w14:textId="77777777">
            <w:pPr>
              <w:pStyle w:val="EPLogo"/>
            </w:pPr>
            <w:r w:rsidRPr="001E4FC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E4FC9" w:rsidP="004C5D52" w14:paraId="38AF17D8" w14:textId="77777777">
      <w:pPr>
        <w:pStyle w:val="LineTop"/>
      </w:pPr>
    </w:p>
    <w:p w:rsidR="00680577" w:rsidRPr="001E4FC9" w:rsidP="00680577" w14:paraId="3032836D" w14:textId="77777777">
      <w:pPr>
        <w:pStyle w:val="EPBodyTA1"/>
      </w:pPr>
      <w:r w:rsidRPr="001E4FC9">
        <w:t>PIEŅEMTIE TEKSTI</w:t>
      </w:r>
    </w:p>
    <w:p w:rsidR="00D058B8" w:rsidRPr="001E4FC9" w:rsidP="00D058B8" w14:paraId="1CE8AACA" w14:textId="77777777">
      <w:pPr>
        <w:pStyle w:val="LineBottom"/>
      </w:pPr>
    </w:p>
    <w:p w:rsidR="00074F02" w:rsidRPr="001E4FC9" w:rsidP="00074F02" w14:paraId="24ECD815" w14:textId="2E9D57D9">
      <w:pPr>
        <w:pStyle w:val="ATHeading1"/>
      </w:pPr>
      <w:bookmarkStart w:id="0" w:name="TANumber"/>
      <w:r w:rsidRPr="001E4FC9">
        <w:t>P10_TA(2026)0</w:t>
      </w:r>
      <w:r w:rsidRPr="001E4FC9" w:rsidR="001E4FC9">
        <w:t>265</w:t>
      </w:r>
      <w:bookmarkEnd w:id="0"/>
    </w:p>
    <w:p w:rsidR="00074F02" w:rsidRPr="001E4FC9" w:rsidP="00074F02" w14:paraId="2D2A6928" w14:textId="07E9C3F3">
      <w:pPr>
        <w:pStyle w:val="ATHeading2"/>
      </w:pPr>
      <w:bookmarkStart w:id="1" w:name="title"/>
      <w:bookmarkStart w:id="2" w:name="_Hlk234410503"/>
      <w:r w:rsidRPr="001E4FC9">
        <w:t>Ģenētiski modificēta kukurūza DP202216 x NK603 x DAS-40278-9 un tās apakškombinācijas DP 202216 x NK603, DP202216 x DAS-40278-9</w:t>
      </w:r>
      <w:bookmarkEnd w:id="1"/>
    </w:p>
    <w:bookmarkEnd w:id="2"/>
    <w:p w:rsidR="00074F02" w:rsidRPr="001E4FC9" w:rsidP="00074F02" w14:paraId="4F1100F7" w14:textId="77777777">
      <w:pPr>
        <w:rPr>
          <w:i/>
          <w:vanish/>
        </w:rPr>
      </w:pPr>
      <w:r>
        <w:rPr>
          <w:i/>
        </w:rPr>
        <w:fldChar w:fldCharType="begin"/>
      </w:r>
      <w:r w:rsidRPr="001E4FC9">
        <w:rPr>
          <w:i/>
        </w:rPr>
        <w:instrText xml:space="preserve"> TC"(</w:instrText>
      </w:r>
      <w:bookmarkStart w:id="3" w:name="DocNumber"/>
      <w:r w:rsidRPr="001E4FC9">
        <w:rPr>
          <w:i/>
        </w:rPr>
        <w:instrText>B10-0336/2026</w:instrText>
      </w:r>
      <w:bookmarkEnd w:id="3"/>
      <w:r w:rsidRPr="001E4FC9">
        <w:rPr>
          <w:i/>
        </w:rPr>
        <w:instrText xml:space="preserve">)"\l3 \n&gt; \* MERGEFORMAT </w:instrText>
      </w:r>
      <w:r>
        <w:rPr>
          <w:i/>
        </w:rPr>
        <w:fldChar w:fldCharType="end"/>
      </w:r>
    </w:p>
    <w:p w:rsidR="00074F02" w:rsidRPr="001E4FC9" w:rsidP="00074F02" w14:paraId="5A5EF0FA" w14:textId="77777777">
      <w:pPr>
        <w:rPr>
          <w:vanish/>
        </w:rPr>
      </w:pPr>
      <w:bookmarkStart w:id="4" w:name="PE"/>
      <w:r w:rsidRPr="001E4FC9">
        <w:rPr>
          <w:vanish/>
        </w:rPr>
        <w:t>PE789.025</w:t>
      </w:r>
      <w:bookmarkEnd w:id="4"/>
    </w:p>
    <w:p w:rsidR="00074F02" w:rsidRPr="001E4FC9" w:rsidP="00074F02" w14:paraId="074F7A38" w14:textId="34FEC751">
      <w:pPr>
        <w:pStyle w:val="ATHeading3"/>
      </w:pPr>
      <w:bookmarkStart w:id="5" w:name="Sujet"/>
      <w:bookmarkStart w:id="6" w:name="_Hlk234410522"/>
      <w:r w:rsidRPr="001E4FC9">
        <w:t xml:space="preserve">Eiropas Parlamenta 2026. gada </w:t>
      </w:r>
      <w:r w:rsidRPr="001E4FC9" w:rsidR="00D17778">
        <w:t>8. jūlija</w:t>
      </w:r>
      <w:r w:rsidRPr="001E4FC9">
        <w:t xml:space="preserve"> rezolūcija par Komisijas </w:t>
      </w:r>
      <w:r w:rsidR="00E4112C">
        <w:t>2026. gada 29. jūnija Ī</w:t>
      </w:r>
      <w:r w:rsidRPr="001E4FC9">
        <w:t>stenošanas lēmum</w:t>
      </w:r>
      <w:r w:rsidR="00E4112C">
        <w:t>u (ES) 2026/1443,</w:t>
      </w:r>
      <w:r w:rsidRPr="001E4FC9">
        <w:t xml:space="preserve"> ar ko saskaņā ar Eiropas Parlamenta un Padomes Regulu (EK) Nr. 1829/2003 atļauj laist tirgū produktus, kas satur ģenētiski modificētu kukurūzu DP202216 x NK603 x DAS-40278-9, sastāv vai ir ražoti no tās, kā arī tās apakškombinācijas DP202216 x NK603 un DP202216 x DAS-40278-9</w:t>
      </w:r>
      <w:bookmarkEnd w:id="5"/>
      <w:r w:rsidRPr="001E4FC9">
        <w:t xml:space="preserve"> </w:t>
      </w:r>
      <w:bookmarkStart w:id="7" w:name="References"/>
      <w:r w:rsidRPr="001E4FC9">
        <w:t>(2026/2746(RSP))</w:t>
      </w:r>
      <w:bookmarkEnd w:id="7"/>
    </w:p>
    <w:p w:rsidR="008936A1" w:rsidRPr="001E4FC9" w:rsidP="008936A1" w14:paraId="0E60735D" w14:textId="77777777">
      <w:pPr>
        <w:pStyle w:val="NormalHanging12a"/>
        <w:tabs>
          <w:tab w:val="center" w:pos="4535"/>
        </w:tabs>
        <w:spacing w:before="240"/>
      </w:pPr>
      <w:bookmarkStart w:id="8" w:name="TextBodyBegin"/>
      <w:bookmarkEnd w:id="6"/>
      <w:bookmarkEnd w:id="8"/>
      <w:r w:rsidRPr="001E4FC9">
        <w:rPr>
          <w:i/>
        </w:rPr>
        <w:t>Eiropas Parlaments</w:t>
      </w:r>
      <w:r w:rsidRPr="001E4FC9">
        <w:t>,</w:t>
      </w:r>
    </w:p>
    <w:p w:rsidR="008936A1" w:rsidRPr="001E4FC9" w:rsidP="008936A1" w14:paraId="25366791" w14:textId="2B01FF6D">
      <w:pPr>
        <w:pStyle w:val="NormalHanging12a"/>
      </w:pPr>
      <w:r w:rsidRPr="001E4FC9">
        <w:t>–</w:t>
      </w:r>
      <w:r w:rsidRPr="001E4FC9">
        <w:tab/>
        <w:t xml:space="preserve">ņemot vērā Komisijas </w:t>
      </w:r>
      <w:r w:rsidRPr="001E4FC9" w:rsidR="00D17778">
        <w:t>2026. gada 29. jūnija Ī</w:t>
      </w:r>
      <w:r w:rsidRPr="001E4FC9">
        <w:t>stenošanas lēmum</w:t>
      </w:r>
      <w:r w:rsidRPr="001E4FC9" w:rsidR="00D17778">
        <w:t>u</w:t>
      </w:r>
      <w:r w:rsidR="002B3892">
        <w:t xml:space="preserve"> </w:t>
      </w:r>
      <w:r w:rsidRPr="003A551B" w:rsidR="002B3892">
        <w:t>(E</w:t>
      </w:r>
      <w:r w:rsidR="002B3892">
        <w:t>S</w:t>
      </w:r>
      <w:r w:rsidRPr="003A551B" w:rsidR="002B3892">
        <w:t>) 2026/1443</w:t>
      </w:r>
      <w:r w:rsidRPr="001E4FC9">
        <w:t>, ar ko saskaņā ar Eiropas Parlamenta un Padomes Regulu (EK) Nr. 1829/2003</w:t>
      </w:r>
      <w:r>
        <w:rPr>
          <w:rStyle w:val="FootnoteReference"/>
        </w:rPr>
        <w:footnoteReference w:id="2"/>
      </w:r>
      <w:r w:rsidRPr="001E4FC9">
        <w:t xml:space="preserve"> atļauj laist tirgū produktus, kas satur ģenētiski modificētu kukurūzu DP202216 x NK603 x DAS-40278-9, sastāv vai ir ražoti no tās, kā arī tās apakškombinācijas DP202216 x NK603 un DP202216 x DAS-40278-9,</w:t>
      </w:r>
    </w:p>
    <w:p w:rsidR="008936A1" w:rsidRPr="001E4FC9" w:rsidP="008936A1" w14:paraId="332FE2AB" w14:textId="77777777">
      <w:pPr>
        <w:pStyle w:val="NormalHanging12a"/>
      </w:pPr>
      <w:r w:rsidRPr="001E4FC9">
        <w:t>–</w:t>
      </w:r>
      <w:r w:rsidRPr="001E4FC9">
        <w:tab/>
        <w:t>ņemot vērā Eiropas Parlamenta un Padomes 2003. gada 22. septembra Regulu (EK) Nr. 1829/2003 par ģenētiski modificētu pārtiku un barību</w:t>
      </w:r>
      <w:r>
        <w:rPr>
          <w:rStyle w:val="FootnoteReference"/>
        </w:rPr>
        <w:footnoteReference w:id="3"/>
      </w:r>
      <w:r w:rsidRPr="001E4FC9">
        <w:t xml:space="preserve"> un jo īpaši tās 7. panta 3. punktu un 19. panta 3. punktu,</w:t>
      </w:r>
    </w:p>
    <w:p w:rsidR="008936A1" w:rsidRPr="001E4FC9" w:rsidP="008936A1" w14:paraId="4F178E6A" w14:textId="77777777">
      <w:pPr>
        <w:pStyle w:val="NormalHanging12a"/>
      </w:pPr>
      <w:r w:rsidRPr="001E4FC9">
        <w:t>–</w:t>
      </w:r>
      <w:r w:rsidRPr="001E4FC9">
        <w:tab/>
        <w:t>ņemot vērā Regulas (EK) Nr. 1829/2003 35. pantā minētās Augu, dzīvnieku, pārtikas aprites un dzīvnieku barības pastāvīgās komitejas 2026. gada 27. aprīļa balsojumu, kura dēļ atzinums netika sniegts, un pārsūdzības komitejas 2026. gada 2. jūnija balsojumu, atkal nesniedzot atzinumu,</w:t>
      </w:r>
    </w:p>
    <w:p w:rsidR="008936A1" w:rsidRPr="001E4FC9" w:rsidP="008936A1" w14:paraId="55BF5F9C" w14:textId="77777777">
      <w:pPr>
        <w:pStyle w:val="NormalHanging12a"/>
      </w:pPr>
      <w:r w:rsidRPr="001E4FC9">
        <w:t>–</w:t>
      </w:r>
      <w:r w:rsidRPr="001E4FC9">
        <w:tab/>
        <w:t>ņemot vērā 11. pantu Eiropas Parlamenta un Padomes 2011. gada 16. februāra Regulā (ES) Nr. 182/2011, ar ko nosaka normas un vispārīgus principus par dalībvalstu kontroles mehānismiem, kuri attiecas uz Komisijas īstenošanas pilnvaru izmantošanu</w:t>
      </w:r>
      <w:r>
        <w:rPr>
          <w:rStyle w:val="FootnoteReference"/>
        </w:rPr>
        <w:footnoteReference w:id="4"/>
      </w:r>
      <w:r w:rsidRPr="001E4FC9">
        <w:t>,</w:t>
      </w:r>
    </w:p>
    <w:p w:rsidR="008936A1" w:rsidRPr="001E4FC9" w:rsidP="008936A1" w14:paraId="29C3BB1D" w14:textId="77777777">
      <w:pPr>
        <w:pStyle w:val="NormalHanging12a"/>
      </w:pPr>
      <w:r w:rsidRPr="001E4FC9">
        <w:t>–</w:t>
      </w:r>
      <w:r w:rsidRPr="001E4FC9">
        <w:tab/>
        <w:t>ņemot vērā Eiropas Pārtikas nekaitīguma iestādes (</w:t>
      </w:r>
      <w:r w:rsidRPr="001E4FC9">
        <w:rPr>
          <w:i/>
          <w:iCs/>
        </w:rPr>
        <w:t>EFSA</w:t>
      </w:r>
      <w:r w:rsidRPr="001E4FC9">
        <w:t xml:space="preserve">) 2025. gada 30. oktobrī </w:t>
      </w:r>
      <w:r w:rsidRPr="001E4FC9">
        <w:t>pieņemto atzinumu, kas publicēts 2025. gada 5. decembrī</w:t>
      </w:r>
      <w:r>
        <w:rPr>
          <w:rStyle w:val="FootnoteReference"/>
        </w:rPr>
        <w:footnoteReference w:id="5"/>
      </w:r>
      <w:r w:rsidRPr="001E4FC9">
        <w:t>,</w:t>
      </w:r>
    </w:p>
    <w:p w:rsidR="008936A1" w:rsidRPr="001E4FC9" w:rsidP="008936A1" w14:paraId="54EE2066" w14:textId="77777777">
      <w:pPr>
        <w:pStyle w:val="NormalHanging12a"/>
      </w:pPr>
      <w:r w:rsidRPr="001E4FC9">
        <w:t>–</w:t>
      </w:r>
      <w:r w:rsidRPr="001E4FC9">
        <w:tab/>
        <w:t>ņemot vērā Parlamenta iepriekšējās rezolūcijas, kurās iebilsts pret atļauju izmantot ģenētiski modificētus organismus (ĢMO)</w:t>
      </w:r>
      <w:r>
        <w:rPr>
          <w:rStyle w:val="FootnoteReference"/>
        </w:rPr>
        <w:footnoteReference w:id="6"/>
      </w:r>
      <w:r w:rsidRPr="001E4FC9">
        <w:t>,</w:t>
      </w:r>
    </w:p>
    <w:p w:rsidR="008936A1" w:rsidRPr="001E4FC9" w:rsidP="00BA4E4C" w14:paraId="4E5DD33A" w14:textId="77777777">
      <w:pPr>
        <w:pStyle w:val="NormalHanging12a"/>
      </w:pPr>
      <w:r w:rsidRPr="001E4FC9">
        <w:t>–</w:t>
      </w:r>
      <w:r w:rsidRPr="001E4FC9">
        <w:tab/>
        <w:t>ņemot vērā Reglamenta 115. panta 2. un 3. punktu,</w:t>
      </w:r>
    </w:p>
    <w:p w:rsidR="008936A1" w:rsidRPr="001E4FC9" w:rsidP="00BA4E4C" w14:paraId="007D40AD" w14:textId="77777777">
      <w:pPr>
        <w:pStyle w:val="NormalHanging12a"/>
      </w:pPr>
      <w:r w:rsidRPr="001E4FC9">
        <w:t>–</w:t>
      </w:r>
      <w:r w:rsidRPr="001E4FC9">
        <w:tab/>
        <w:t>ņemot vērā Vides, klimata un pārtikas nekaitīguma komitejas rezolūcijas priekšlikumu,</w:t>
      </w:r>
    </w:p>
    <w:p w:rsidR="008936A1" w:rsidRPr="001E4FC9" w:rsidP="001E4FC9" w14:paraId="6026CFD6" w14:textId="77777777">
      <w:pPr>
        <w:pStyle w:val="Considrant"/>
        <w:numPr>
          <w:ilvl w:val="0"/>
          <w:numId w:val="0"/>
        </w:numPr>
        <w:spacing w:after="240"/>
        <w:ind w:left="567" w:hanging="567"/>
        <w:jc w:val="left"/>
        <w:rPr>
          <w:szCs w:val="24"/>
        </w:rPr>
      </w:pPr>
      <w:r w:rsidRPr="001E4FC9">
        <w:t>A.</w:t>
      </w:r>
      <w:r w:rsidRPr="001E4FC9">
        <w:tab/>
        <w:t xml:space="preserve">tā kā 2023. gada 10. martā uzņēmums </w:t>
      </w:r>
      <w:r w:rsidRPr="001E4FC9">
        <w:rPr>
          <w:i/>
          <w:iCs/>
        </w:rPr>
        <w:t>Corteva Agriscience Belgium B.V.</w:t>
      </w:r>
      <w:r w:rsidRPr="001E4FC9">
        <w:t xml:space="preserve">, kas atrodas Beļģijā, saskaņā ar Regulas (EK) Nr. 1829/2003 5. un 17. pantu uzņēmuma </w:t>
      </w:r>
      <w:r w:rsidRPr="001E4FC9">
        <w:rPr>
          <w:i/>
          <w:iCs/>
        </w:rPr>
        <w:t>Corteva Agriscience LLC</w:t>
      </w:r>
      <w:r w:rsidRPr="001E4FC9">
        <w:t>, kas atrodas Amerikas Savienotajās Valstīs, vārdā iesniedza pieteikumu, lai laistu tirgū pārtiku, pārtikas sastāvdaļas un barību, kas satur ģenētiski modificētu kukurūzu DP202216 × NK603 × DAS-40279-9 (“ĢM kukurūza”), sastāv vai ir ražota no tās; tā kā pieteikumā minēta arī tādu produktu laišana tirgū, kas satur ĢM kukurūzu vai sastāv no tās, izmantošanai veidos, kas nav pārtika un dzīvnieku barība, izņemot audzēšanu;</w:t>
      </w:r>
    </w:p>
    <w:p w:rsidR="008936A1" w:rsidRPr="001E4FC9" w:rsidP="001E4FC9" w14:paraId="4C003E47" w14:textId="77777777">
      <w:pPr>
        <w:widowControl/>
        <w:shd w:val="clear" w:color="auto" w:fill="FFFFFF"/>
        <w:spacing w:after="240"/>
        <w:ind w:left="567" w:hanging="567"/>
        <w:rPr>
          <w:szCs w:val="24"/>
        </w:rPr>
      </w:pPr>
      <w:r w:rsidRPr="001E4FC9">
        <w:t>B.</w:t>
      </w:r>
      <w:r w:rsidRPr="001E4FC9">
        <w:tab/>
        <w:t xml:space="preserve">tā kā 2025. gada 30. oktobrī </w:t>
      </w:r>
      <w:r w:rsidRPr="001E4FC9">
        <w:rPr>
          <w:i/>
          <w:iCs/>
        </w:rPr>
        <w:t>EFSA</w:t>
      </w:r>
      <w:r w:rsidRPr="001E4FC9">
        <w:t xml:space="preserve"> pieņēma labvēlīgu zinātnisko atzinumu par atļauju izmantot ĢM kukurūzu, kas tika publicēts </w:t>
      </w:r>
      <w:r w:rsidRPr="001E4FC9">
        <w:rPr>
          <w:shd w:val="clear" w:color="auto" w:fill="FFFFFF"/>
        </w:rPr>
        <w:t>2025. gada 5. decembrī</w:t>
      </w:r>
      <w:r w:rsidRPr="001E4FC9">
        <w:t>;</w:t>
      </w:r>
    </w:p>
    <w:p w:rsidR="008936A1" w:rsidRPr="001E4FC9" w:rsidP="001E4FC9" w14:paraId="4062008F" w14:textId="77777777">
      <w:pPr>
        <w:widowControl/>
        <w:autoSpaceDE w:val="0"/>
        <w:autoSpaceDN w:val="0"/>
        <w:adjustRightInd w:val="0"/>
        <w:spacing w:after="240"/>
        <w:ind w:left="567" w:hanging="567"/>
        <w:rPr>
          <w:rFonts w:eastAsiaTheme="minorHAnsi"/>
          <w:szCs w:val="24"/>
        </w:rPr>
      </w:pPr>
      <w:r w:rsidRPr="001E4FC9">
        <w:t>C.</w:t>
      </w:r>
      <w:r w:rsidRPr="001E4FC9">
        <w:tab/>
        <w:t xml:space="preserve">tā kā </w:t>
      </w:r>
      <w:r w:rsidRPr="001E4FC9">
        <w:rPr>
          <w:i/>
          <w:iCs/>
        </w:rPr>
        <w:t>EFSA</w:t>
      </w:r>
      <w:r w:rsidRPr="001E4FC9">
        <w:t xml:space="preserve"> secināja, ka attiecībā uz iespējamo ietekmi uz cilvēka un dzīvnieku veselību un vidi pieteikumā aprakstītā ĢM kukurūza un tās apakškombinācijas ir tikpat drošas kā attiecīgais tradicionālais aizstājējs un testētās ģenētiski nemodificētās kukurūzas salīdzināmās šķirnes; tā kā </w:t>
      </w:r>
      <w:r w:rsidRPr="001E4FC9">
        <w:rPr>
          <w:i/>
          <w:iCs/>
        </w:rPr>
        <w:t>EFSA</w:t>
      </w:r>
      <w:r w:rsidRPr="001E4FC9">
        <w:t xml:space="preserve"> secināja, ka no ĢM kukurūzas un tās apakškombinācijas iegūtas pārtikas un barības patērēšana nerada bažas par uzturu cilvēkiem un dzīvniekiem; tā kā minētajos atzinumos nav aplūkotas vairākas plašākas vidiskās, sociālekonomiskās un kumulatīvās ietekmes, kuras </w:t>
      </w:r>
      <w:r w:rsidRPr="001E4FC9">
        <w:rPr>
          <w:i/>
          <w:iCs/>
        </w:rPr>
        <w:t>EFSA</w:t>
      </w:r>
      <w:r w:rsidRPr="001E4FC9">
        <w:t xml:space="preserve"> ieskatā neietilpst tās kompetencē;</w:t>
      </w:r>
    </w:p>
    <w:p w:rsidR="008936A1" w:rsidRPr="001E4FC9" w:rsidP="001E4FC9" w14:paraId="0ABC54D4" w14:textId="77777777">
      <w:pPr>
        <w:widowControl/>
        <w:autoSpaceDE w:val="0"/>
        <w:autoSpaceDN w:val="0"/>
        <w:adjustRightInd w:val="0"/>
        <w:spacing w:after="240"/>
        <w:ind w:left="567" w:hanging="567"/>
        <w:rPr>
          <w:rFonts w:eastAsiaTheme="minorHAnsi"/>
          <w:szCs w:val="24"/>
        </w:rPr>
      </w:pPr>
      <w:r w:rsidRPr="001E4FC9">
        <w:t>D.</w:t>
      </w:r>
      <w:r w:rsidRPr="001E4FC9">
        <w:tab/>
        <w:t>tā kā ĢM kukurūza tika izstrādāta, krustojot augus, lai apvienotu šādus trīs atsevišķus transformācijas notikumus: DP202216, kas ekspresē fosfinotricīna acetiltransferāzes (</w:t>
      </w:r>
      <w:r w:rsidRPr="001E4FC9">
        <w:rPr>
          <w:i/>
          <w:iCs/>
        </w:rPr>
        <w:t>PAT</w:t>
      </w:r>
      <w:r w:rsidRPr="001E4FC9">
        <w:t>) enzīmu, nodrošinot toleranci pret herbicīdiem, kuru sastāvā ir glufosināta amonijs, un kukurūzas endogēno proteīnu ar izmainītu ekspresiju (</w:t>
      </w:r>
      <w:r w:rsidRPr="001E4FC9">
        <w:rPr>
          <w:i/>
          <w:iCs/>
        </w:rPr>
        <w:t>EPAE</w:t>
      </w:r>
      <w:r w:rsidRPr="001E4FC9">
        <w:t>) ZMM28, lai nodrošinātu ražas pieauguma (</w:t>
      </w:r>
      <w:r w:rsidRPr="001E4FC9">
        <w:rPr>
          <w:i/>
          <w:iCs/>
        </w:rPr>
        <w:t>YE</w:t>
      </w:r>
      <w:r w:rsidRPr="001E4FC9">
        <w:t>) potenciālu lauka apstākļos; NK603, kas ekspresē CP4 EPSPS un CP4 EPSPS L214P, nodrošinot toleranci pret herbicīdiem, kuru sastāvā ir glifosāts; un DAS-40278-9, kas ekspresē ariloksialkanoāta dioksigenāzi (</w:t>
      </w:r>
      <w:r w:rsidRPr="001E4FC9">
        <w:rPr>
          <w:i/>
          <w:iCs/>
        </w:rPr>
        <w:t>AAD</w:t>
      </w:r>
      <w:r w:rsidRPr="001E4FC9">
        <w:t>-1), nodrošinot toleranci pret 2,4-D un ariloksifenoksipropionāta (</w:t>
      </w:r>
      <w:r w:rsidRPr="001E4FC9">
        <w:rPr>
          <w:i/>
          <w:iCs/>
        </w:rPr>
        <w:t>AOPP</w:t>
      </w:r>
      <w:r w:rsidRPr="001E4FC9">
        <w:t>) klases herbicīdiem</w:t>
      </w:r>
      <w:r>
        <w:rPr>
          <w:rStyle w:val="FootnoteReference"/>
          <w:rFonts w:eastAsiaTheme="minorHAnsi"/>
          <w:szCs w:val="24"/>
        </w:rPr>
        <w:footnoteReference w:id="7"/>
      </w:r>
      <w:r w:rsidRPr="001E4FC9">
        <w:t>;</w:t>
      </w:r>
    </w:p>
    <w:p w:rsidR="008936A1" w:rsidRPr="001E4FC9" w:rsidP="001E4FC9" w14:paraId="760F0B8D" w14:textId="77777777">
      <w:pPr>
        <w:spacing w:after="240"/>
        <w:ind w:left="567" w:hanging="567"/>
        <w:rPr>
          <w:rFonts w:eastAsiaTheme="minorHAnsi"/>
          <w:szCs w:val="24"/>
        </w:rPr>
      </w:pPr>
      <w:r w:rsidRPr="001E4FC9">
        <w:t>E.</w:t>
      </w:r>
      <w:r w:rsidRPr="001E4FC9">
        <w:tab/>
        <w:t xml:space="preserve">tā kā </w:t>
      </w:r>
      <w:r w:rsidRPr="001E4FC9">
        <w:rPr>
          <w:i/>
          <w:iCs/>
        </w:rPr>
        <w:t>EFSA</w:t>
      </w:r>
      <w:r w:rsidRPr="001E4FC9">
        <w:t xml:space="preserve"> iepriekš ir novērtējusi tikai apakškombināciju NK603 × DAS-40278-9; tā kā pieteikuma iesniedzējs nav iesniedzis eksperimentālus datus par DP202216 x NK603 un DP202216 x DAS-40278-9apakškombināciju, ko </w:t>
      </w:r>
      <w:r w:rsidRPr="001E4FC9">
        <w:rPr>
          <w:i/>
          <w:iCs/>
        </w:rPr>
        <w:t>EFSA</w:t>
      </w:r>
      <w:r w:rsidRPr="001E4FC9">
        <w:t xml:space="preserve"> iepriekš nav novērtējusi; tā kā, neraugoties uz to, </w:t>
      </w:r>
      <w:r w:rsidRPr="001E4FC9">
        <w:rPr>
          <w:i/>
          <w:iCs/>
        </w:rPr>
        <w:t>EFSA</w:t>
      </w:r>
      <w:r w:rsidRPr="001E4FC9">
        <w:t xml:space="preserve"> secināja, ka šī apakškombinācija neradīs bažas par drošību;</w:t>
      </w:r>
    </w:p>
    <w:p w:rsidR="008936A1" w:rsidRPr="001E4FC9" w:rsidP="001E4FC9" w14:paraId="3A3B0574" w14:textId="77777777">
      <w:pPr>
        <w:spacing w:after="240"/>
        <w:ind w:left="567" w:hanging="567"/>
        <w:rPr>
          <w:rFonts w:eastAsiaTheme="minorHAnsi"/>
          <w:szCs w:val="24"/>
        </w:rPr>
      </w:pPr>
      <w:r w:rsidRPr="001E4FC9">
        <w:t>F.</w:t>
      </w:r>
      <w:r w:rsidRPr="001E4FC9">
        <w:tab/>
        <w:t xml:space="preserve">tā kā </w:t>
      </w:r>
      <w:r w:rsidRPr="001E4FC9">
        <w:rPr>
          <w:i/>
          <w:iCs/>
        </w:rPr>
        <w:t>EFSA</w:t>
      </w:r>
      <w:r w:rsidRPr="001E4FC9">
        <w:t xml:space="preserve"> veiktajos riska novērtējumos netika iekļauti ne ilgtermiņa toksikoloģiskie pētījumi, ne detalizēta kumulatīvās un kombinētās ietekmes analīze, tostarp attiecībā uz potenciālo mijiedarbību ar kukurūzas audzēšanā parasti izmantoto pesticīdu atliekām;</w:t>
      </w:r>
    </w:p>
    <w:p w:rsidR="008936A1" w:rsidRPr="001E4FC9" w:rsidP="001E4FC9" w14:paraId="054CF5E8" w14:textId="77777777">
      <w:pPr>
        <w:spacing w:after="240"/>
        <w:ind w:left="567" w:hanging="567"/>
        <w:rPr>
          <w:rFonts w:eastAsiaTheme="minorHAnsi"/>
          <w:szCs w:val="24"/>
        </w:rPr>
      </w:pPr>
      <w:r w:rsidRPr="001E4FC9">
        <w:t>G.</w:t>
      </w:r>
      <w:r w:rsidRPr="001E4FC9">
        <w:tab/>
        <w:t>tā kā lielākā daļa ĢM kultūraugu, arī ĢM kukurūza, ir ģenētiski modificēti, lai tie būtu izturīgi pret vienu vai vairākiem komplementāriem herbicīdiem, kurus var izmantot visā ĢM kultūraugu audzēšanas laikā, attiecīgajam kultūraugam neiznīkstot, kā tas būtu gadījumā, ja izmantotu pret herbicīdiem neizturīgu kultūru; tā kā vairākos pētījumos konstatēts, ka herbicīdizturīgu ĢM kultūraugu audzēšanā vairāk izmanto komplementārus herbicīdus, un tas lielā mērā notiek tādēļ, ka ir parādījušās herbicīdizturīgas nezāles;</w:t>
      </w:r>
    </w:p>
    <w:p w:rsidR="008936A1" w:rsidRPr="001E4FC9" w:rsidP="001E4FC9" w14:paraId="748272AF" w14:textId="77777777">
      <w:pPr>
        <w:spacing w:after="240"/>
        <w:ind w:left="567" w:hanging="567"/>
        <w:rPr>
          <w:rFonts w:eastAsiaTheme="minorHAnsi"/>
          <w:szCs w:val="24"/>
        </w:rPr>
      </w:pPr>
      <w:r w:rsidRPr="001E4FC9">
        <w:t>H.</w:t>
      </w:r>
      <w:r w:rsidRPr="001E4FC9">
        <w:tab/>
        <w:t>tā kā pret herbicīdiem izturīgas ĢM kultūras piesaista lauksaimniekus nezāļu ierobežošanas sistēmai, kas lielā mērā vai pilnībā ir atkarīga no herbicīdu izmantošanas, vienlaikus radot atkarību no papildu herbicīdu lietošanas kā neatņemamas ražošanas sistēmas sastāvdaļas; tā kā lielāka atkarība no komplementāriem herbicīdiem saimniecībās, kurās audzē ĢM kukurūzu, paātrinās pret minētajiem herbicīdiem rezistentu nezāļu rašanos un izplatību un tādējādi radīs vajadzību vēl vairāk izmantot herbicīdus, proti, veidos apburto loku, ko dēvē par “herbicīdu skrejceliņu”; tā kā līdz ar to negatīvā ietekme, ko rada pārmērīga paļaušanās uz herbicīdiem, pasliktina augsnes veselību, ūdens kvalitāti un biodaudzveidību virs un zem zemes virskārtas, kā arī palielina iedarbību uz cilvēkiem un dzīvniekiem, iespējams, arī tādēļ, ka lielāks daudzums herbicīdu atlieku nonāk pārtikā un dzīvnieku barībā;</w:t>
      </w:r>
    </w:p>
    <w:p w:rsidR="008936A1" w:rsidRPr="001E4FC9" w:rsidP="001E4FC9" w14:paraId="4B76A6A0" w14:textId="77777777">
      <w:pPr>
        <w:autoSpaceDE w:val="0"/>
        <w:autoSpaceDN w:val="0"/>
        <w:adjustRightInd w:val="0"/>
        <w:spacing w:after="240"/>
        <w:ind w:left="567" w:hanging="567"/>
        <w:rPr>
          <w:rFonts w:eastAsiaTheme="minorHAnsi"/>
          <w:szCs w:val="24"/>
        </w:rPr>
      </w:pPr>
      <w:r w:rsidRPr="001E4FC9">
        <w:t>I.</w:t>
      </w:r>
      <w:r w:rsidRPr="001E4FC9">
        <w:tab/>
        <w:t xml:space="preserve">tā kā vairākos pētījumos konstatēts, ka herbicīdizturīgu ĢM kultūraugu audzēšanā </w:t>
      </w:r>
      <w:r w:rsidRPr="001E4FC9">
        <w:t>vairāk izmanto komplementārus herbicīdus, un tas lielā mērā notiek tādēļ, ka ir parādījušās herbicīdizturīgas nezāles</w:t>
      </w:r>
      <w:r>
        <w:rPr>
          <w:rFonts w:eastAsiaTheme="minorHAnsi"/>
          <w:vertAlign w:val="superscript"/>
        </w:rPr>
        <w:footnoteReference w:id="8"/>
      </w:r>
      <w:r w:rsidRPr="001E4FC9">
        <w:t xml:space="preserve">; tā kā tādēļ ir sagaidāms, ka ĢM kukurūza tiks pakļauta gan lielākām, gan biežākām glifosāta, glufosināta, </w:t>
      </w:r>
      <w:r w:rsidRPr="001E4FC9">
        <w:rPr>
          <w:i/>
          <w:iCs/>
        </w:rPr>
        <w:t>AOPP</w:t>
      </w:r>
      <w:r w:rsidRPr="001E4FC9">
        <w:t xml:space="preserve"> un 2,4-D herbicīdu devām un tādēļ ražā var būt lielāks atlieku un to noārdīšanās produktu (metabolītu) daudzums;</w:t>
      </w:r>
    </w:p>
    <w:p w:rsidR="008936A1" w:rsidRPr="001E4FC9" w:rsidP="001E4FC9" w14:paraId="21E31621" w14:textId="77777777">
      <w:pPr>
        <w:autoSpaceDE w:val="0"/>
        <w:autoSpaceDN w:val="0"/>
        <w:adjustRightInd w:val="0"/>
        <w:spacing w:after="240"/>
        <w:ind w:left="567" w:hanging="567"/>
        <w:rPr>
          <w:rFonts w:eastAsiaTheme="minorHAnsi"/>
          <w:szCs w:val="24"/>
        </w:rPr>
      </w:pPr>
      <w:r w:rsidRPr="001E4FC9">
        <w:t>J.</w:t>
      </w:r>
      <w:r w:rsidRPr="001E4FC9">
        <w:tab/>
        <w:t>tā kā glufozināts ir klasificēts kā reproduktīvajai sistēmai toksiska viela (1B) un tāpēc tam piemērojami Eiropas Parlamenta un Padomes Regulā (EK) Nr. 1107/2009 noteiktie izslēgšanas kritēriji</w:t>
      </w:r>
      <w:r>
        <w:rPr>
          <w:rFonts w:eastAsiaTheme="minorHAnsi"/>
          <w:vertAlign w:val="superscript"/>
        </w:rPr>
        <w:footnoteReference w:id="9"/>
      </w:r>
      <w:r w:rsidRPr="001E4FC9">
        <w:t>; tā kā termiņš atļaujai lietot glufozinātu Savienībā beidzās 2018. gada 31. jūlijā</w:t>
      </w:r>
      <w:r>
        <w:rPr>
          <w:rFonts w:eastAsiaTheme="minorHAnsi"/>
          <w:vertAlign w:val="superscript"/>
        </w:rPr>
        <w:footnoteReference w:id="10"/>
      </w:r>
      <w:r w:rsidRPr="001E4FC9">
        <w:t>;</w:t>
      </w:r>
    </w:p>
    <w:p w:rsidR="008936A1" w:rsidRPr="001E4FC9" w:rsidP="001E4FC9" w14:paraId="1FD4A6D7" w14:textId="77777777">
      <w:pPr>
        <w:autoSpaceDE w:val="0"/>
        <w:autoSpaceDN w:val="0"/>
        <w:adjustRightInd w:val="0"/>
        <w:spacing w:after="240"/>
        <w:ind w:left="567" w:hanging="567"/>
        <w:rPr>
          <w:rFonts w:eastAsiaTheme="minorHAnsi"/>
          <w:szCs w:val="24"/>
        </w:rPr>
      </w:pPr>
      <w:r w:rsidRPr="001E4FC9">
        <w:t>K.</w:t>
      </w:r>
      <w:r w:rsidRPr="001E4FC9">
        <w:tab/>
        <w:t xml:space="preserve">tā kā joprojām pastāv būtiskas zinātniskas neskaidrības par glifozāta drošumu cilvēka veselībai un videi; tā kā </w:t>
      </w:r>
      <w:r w:rsidRPr="001E4FC9">
        <w:rPr>
          <w:i/>
          <w:iCs/>
        </w:rPr>
        <w:t>EFSA</w:t>
      </w:r>
      <w:r w:rsidRPr="001E4FC9">
        <w:t xml:space="preserve"> 2015. gada novembrī secināja, ka glifozāts, visticamāk, nav kancerogēns, un Eiropas Ķimikāliju aģentūra 2017. gada martā secināja, ka nav pamata to šādi klasificēt; tā kāб pretēji tamб 2015. gadā Starptautiskā Vēža izpētes aģentūra, kas ir specializētā Pasaules Veselības organizācijas vēža pētniecības aģentūra, glifozātu klasificēja kā iespējami kancerogēnu cilvēkam; tā kā vairāki citi neseni zinātniski recenzēti pētījumi apstiprina to, ka glifozāts varētu būt kancerogēns</w:t>
      </w:r>
      <w:r>
        <w:rPr>
          <w:rFonts w:eastAsiaTheme="minorHAnsi"/>
          <w:vertAlign w:val="superscript"/>
        </w:rPr>
        <w:footnoteReference w:id="11"/>
      </w:r>
      <w:r w:rsidRPr="001E4FC9">
        <w:t>; tā kā žurnāls “</w:t>
      </w:r>
      <w:r w:rsidRPr="001E4FC9">
        <w:rPr>
          <w:i/>
          <w:iCs/>
        </w:rPr>
        <w:t>Regulatory Toxicology and Pharmacology</w:t>
      </w:r>
      <w:r w:rsidRPr="001E4FC9">
        <w:t>” ir oficiāli atsaucis 2000. gadā publicēto zinātnisko rakstu “</w:t>
      </w:r>
      <w:r w:rsidRPr="001E4FC9">
        <w:rPr>
          <w:i/>
          <w:iCs/>
        </w:rPr>
        <w:t>Safety Evaluation and Risk Assessment of the Herbicide Roundup and Its Active Ingredient, Glyphosate, for Humans</w:t>
      </w:r>
      <w:r w:rsidRPr="001E4FC9">
        <w:t>”, kas daudzos riska novērtējumos tika izmantots, lai aizstāvētu glifozāta drošumu, jo “radās bažas par tā autorību, pētījuma rezultātu ticamību saistībā ar autoru un pētījuma sponsora ieguldījuma nepatiesu atspoguļošanu, kā arī par iespējamiem autoru interešu konfliktiem”</w:t>
      </w:r>
      <w:r>
        <w:rPr>
          <w:rStyle w:val="FootnoteReference"/>
        </w:rPr>
        <w:footnoteReference w:id="12"/>
      </w:r>
      <w:r w:rsidRPr="001E4FC9">
        <w:t>;</w:t>
      </w:r>
    </w:p>
    <w:p w:rsidR="008936A1" w:rsidRPr="001E4FC9" w:rsidP="001E4FC9" w14:paraId="3C113815" w14:textId="77777777">
      <w:pPr>
        <w:autoSpaceDE w:val="0"/>
        <w:autoSpaceDN w:val="0"/>
        <w:adjustRightInd w:val="0"/>
        <w:spacing w:after="240"/>
        <w:ind w:left="567" w:hanging="567"/>
        <w:rPr>
          <w:rFonts w:eastAsiaTheme="minorHAnsi"/>
          <w:szCs w:val="24"/>
        </w:rPr>
      </w:pPr>
      <w:r w:rsidRPr="001E4FC9">
        <w:t>L.</w:t>
      </w:r>
      <w:r w:rsidRPr="001E4FC9">
        <w:tab/>
        <w:t>tā kā ĢM augu selekcijā iesaistīta eksperta recenzētā zinātniskā rakstā apšaubīts pret 2,4-D tolerantu ĢM kultūraugu nekaitīgums, jo, tiem sadaloties, veidojas citotoksiski noārdīšanās produkti</w:t>
      </w:r>
      <w:r>
        <w:rPr>
          <w:rFonts w:eastAsiaTheme="minorHAnsi"/>
          <w:vertAlign w:val="superscript"/>
        </w:rPr>
        <w:footnoteReference w:id="13"/>
      </w:r>
      <w:r w:rsidRPr="001E4FC9">
        <w:t>;</w:t>
      </w:r>
    </w:p>
    <w:p w:rsidR="008936A1" w:rsidRPr="001E4FC9" w:rsidP="001E4FC9" w14:paraId="7BA15D62" w14:textId="77777777">
      <w:pPr>
        <w:autoSpaceDE w:val="0"/>
        <w:autoSpaceDN w:val="0"/>
        <w:adjustRightInd w:val="0"/>
        <w:spacing w:after="240"/>
        <w:ind w:left="567" w:hanging="567"/>
        <w:rPr>
          <w:rFonts w:eastAsiaTheme="minorHAnsi"/>
          <w:szCs w:val="24"/>
        </w:rPr>
      </w:pPr>
      <w:r w:rsidRPr="001E4FC9">
        <w:t>M.</w:t>
      </w:r>
      <w:r w:rsidRPr="001E4FC9">
        <w:tab/>
        <w:t xml:space="preserve">tā kā ĢM augos atrasto herbicīdu atlieku un metabolītu izvērtēšana neietilpst </w:t>
      </w:r>
      <w:r w:rsidRPr="001E4FC9">
        <w:rPr>
          <w:i/>
          <w:iCs/>
        </w:rPr>
        <w:t>EFSA</w:t>
      </w:r>
      <w:r w:rsidRPr="001E4FC9">
        <w:t xml:space="preserve"> Ģenētiski modificēto organismu komisijas kompetencē, un līdz ar to šāds novērtējums nav daļa no ĢMO apstiprināšanas; tā kā šāda situācija rada problēmu, jo ģenētiska </w:t>
      </w:r>
      <w:r w:rsidRPr="001E4FC9">
        <w:t>modifikācija pati par sevi var ietekmēt veidu, kā attiecīgajā ĢM augā noārdās papildu herbicīdi, kā arī var izmainīt metabolītu sastāvu un attiecīgi izraisīt toksiskumu</w:t>
      </w:r>
      <w:r>
        <w:rPr>
          <w:rFonts w:eastAsiaTheme="minorHAnsi"/>
          <w:vertAlign w:val="superscript"/>
        </w:rPr>
        <w:footnoteReference w:id="14"/>
      </w:r>
      <w:r w:rsidRPr="001E4FC9">
        <w:t>;</w:t>
      </w:r>
    </w:p>
    <w:p w:rsidR="008936A1" w:rsidRPr="001E4FC9" w:rsidP="001E4FC9" w14:paraId="78887E0C" w14:textId="77777777">
      <w:pPr>
        <w:autoSpaceDE w:val="0"/>
        <w:autoSpaceDN w:val="0"/>
        <w:adjustRightInd w:val="0"/>
        <w:spacing w:after="240"/>
        <w:ind w:left="567" w:hanging="567"/>
        <w:rPr>
          <w:rFonts w:eastAsiaTheme="minorHAnsi"/>
          <w:szCs w:val="24"/>
        </w:rPr>
      </w:pPr>
      <w:r w:rsidRPr="001E4FC9">
        <w:t>N.</w:t>
      </w:r>
      <w:r w:rsidRPr="001E4FC9">
        <w:tab/>
        <w:t>tā kā Regulā (EK) Nr. 1829/2003 ir noteikts, ka ĢM pārtika vai dzīvnieku barība nedrīkst nelabvēlīgi ietekmēt cilvēku veselību, dzīvnieku veselību vai vidi un ka Komisijai savu lēmumu izstrādē ir jāņem vērā visi attiecīgie Savienības tiesību aktu noteikumi un citi pamatoti faktori, kas attiecas uz izskatāmo jautājumu; tā kā šādiem pamatotiem faktoriem būtu jāietver Savienības saistības saskaņā ar Apvienoto Nāciju Organizācijas ilgtspējīgas attīstības mērķiem (IAM), Parīzes nolīgumu par klimata pārmaiņām</w:t>
      </w:r>
      <w:r>
        <w:rPr>
          <w:rStyle w:val="FootnoteReference"/>
          <w:rFonts w:eastAsiaTheme="minorHAnsi"/>
          <w:szCs w:val="24"/>
        </w:rPr>
        <w:footnoteReference w:id="15"/>
      </w:r>
      <w:r w:rsidRPr="001E4FC9">
        <w:t xml:space="preserve"> un Apvienoto Nāciju Organizācijas Konvenciju par bioloģisko daudzveidību</w:t>
      </w:r>
      <w:r>
        <w:rPr>
          <w:rStyle w:val="FootnoteReference"/>
          <w:rFonts w:eastAsiaTheme="minorHAnsi"/>
          <w:szCs w:val="24"/>
        </w:rPr>
        <w:footnoteReference w:id="16"/>
      </w:r>
      <w:r w:rsidRPr="001E4FC9">
        <w:t xml:space="preserve"> (ANO KBD);</w:t>
      </w:r>
    </w:p>
    <w:p w:rsidR="008936A1" w:rsidRPr="001E4FC9" w:rsidP="001E4FC9" w14:paraId="27587F88" w14:textId="77777777">
      <w:pPr>
        <w:autoSpaceDE w:val="0"/>
        <w:autoSpaceDN w:val="0"/>
        <w:adjustRightInd w:val="0"/>
        <w:spacing w:after="240"/>
        <w:ind w:left="567" w:hanging="567"/>
        <w:rPr>
          <w:rFonts w:eastAsiaTheme="minorHAnsi"/>
          <w:szCs w:val="24"/>
        </w:rPr>
      </w:pPr>
      <w:r w:rsidRPr="001E4FC9">
        <w:t>O.</w:t>
      </w:r>
      <w:r w:rsidRPr="001E4FC9">
        <w:tab/>
        <w:t>tā kā joprojām nav pietiekami nodrošināts neatkarīgs monitorings un novērošana attiecībā uz iespējamo nelabvēlīgo ietekmi uz biodaudzveidību, augsnes veselību, apputeksnētājiem un nemērķa organismiem;</w:t>
      </w:r>
    </w:p>
    <w:p w:rsidR="008936A1" w:rsidRPr="001E4FC9" w:rsidP="001E4FC9" w14:paraId="092150E9" w14:textId="77777777">
      <w:pPr>
        <w:autoSpaceDE w:val="0"/>
        <w:autoSpaceDN w:val="0"/>
        <w:adjustRightInd w:val="0"/>
        <w:spacing w:after="240"/>
        <w:ind w:left="567" w:hanging="567"/>
        <w:rPr>
          <w:rFonts w:eastAsiaTheme="minorHAnsi"/>
          <w:szCs w:val="24"/>
        </w:rPr>
      </w:pPr>
      <w:r w:rsidRPr="001E4FC9">
        <w:t>P.</w:t>
      </w:r>
      <w:r w:rsidRPr="001E4FC9">
        <w:tab/>
        <w:t>tā kā zinātniskās nenoteiktības gadījumos būtu jāpiemēro piesardzības princips, kas ir noteikts Līguma par Eiropas Savienības darbību 191. pantā;</w:t>
      </w:r>
    </w:p>
    <w:p w:rsidR="008936A1" w:rsidRPr="001E4FC9" w:rsidP="001E4FC9" w14:paraId="5E29BF94" w14:textId="2A56F9A9">
      <w:pPr>
        <w:autoSpaceDE w:val="0"/>
        <w:autoSpaceDN w:val="0"/>
        <w:adjustRightInd w:val="0"/>
        <w:spacing w:after="240"/>
        <w:ind w:left="567" w:hanging="567"/>
        <w:rPr>
          <w:rFonts w:eastAsiaTheme="minorHAnsi"/>
          <w:szCs w:val="24"/>
        </w:rPr>
      </w:pPr>
      <w:r w:rsidRPr="001E4FC9">
        <w:t>Q.</w:t>
      </w:r>
      <w:r w:rsidRPr="001E4FC9">
        <w:tab/>
        <w:t>tā kā Savienībai kā ANO KBD līgumslēdzējai pusei un saskaņā ar tās 3. pantu ir pienākums nodrošināt, ka tās jurisdikcijā vai kontrolē esošās darbības nerada kaitējumu videi citās valstīs;</w:t>
      </w:r>
    </w:p>
    <w:p w:rsidR="008936A1" w:rsidRPr="001E4FC9" w:rsidP="001E4FC9" w14:paraId="02A76ECE" w14:textId="77777777">
      <w:pPr>
        <w:autoSpaceDE w:val="0"/>
        <w:autoSpaceDN w:val="0"/>
        <w:adjustRightInd w:val="0"/>
        <w:spacing w:after="240"/>
        <w:ind w:left="567" w:hanging="567"/>
        <w:rPr>
          <w:rFonts w:eastAsiaTheme="minorHAnsi"/>
          <w:szCs w:val="24"/>
        </w:rPr>
      </w:pPr>
      <w:r w:rsidRPr="001E4FC9">
        <w:t>R.</w:t>
      </w:r>
      <w:r w:rsidRPr="001E4FC9">
        <w:tab/>
        <w:t>tā kā ĢM kukurūzas atļaujas atjaunošana Savienībā būtu pretrunā starptautiskajām saistībām pesticīdu lietošanas samazināšanā</w:t>
      </w:r>
      <w:r>
        <w:rPr>
          <w:rFonts w:eastAsiaTheme="minorHAnsi"/>
          <w:vertAlign w:val="superscript"/>
        </w:rPr>
        <w:footnoteReference w:id="17"/>
      </w:r>
      <w:r w:rsidRPr="001E4FC9">
        <w:t>, jo valstīs, kurās audzē šos herbicīdizturīgos ĢM kultūraugus, palielinātos cilvēku, dzīvnieku un vides eksponētība glifozātam un glufozinātam, kā arī varētu rasties nopietnas ar to saistītas sekas veselībai;</w:t>
      </w:r>
    </w:p>
    <w:p w:rsidR="008936A1" w:rsidRPr="001E4FC9" w:rsidP="001E4FC9" w14:paraId="6C5286BC" w14:textId="77777777">
      <w:pPr>
        <w:autoSpaceDE w:val="0"/>
        <w:autoSpaceDN w:val="0"/>
        <w:adjustRightInd w:val="0"/>
        <w:spacing w:after="240"/>
        <w:ind w:left="567" w:hanging="567"/>
        <w:rPr>
          <w:rFonts w:eastAsiaTheme="minorHAnsi"/>
          <w:szCs w:val="24"/>
        </w:rPr>
      </w:pPr>
      <w:r w:rsidRPr="001E4FC9">
        <w:t>S.</w:t>
      </w:r>
      <w:r w:rsidRPr="001E4FC9">
        <w:tab/>
        <w:t>tā kā Savienībā nav atļauts audzēt ĢM kukurūzu;</w:t>
      </w:r>
    </w:p>
    <w:p w:rsidR="008936A1" w:rsidRPr="001E4FC9" w:rsidP="001E4FC9" w14:paraId="3507D974" w14:textId="503492B5">
      <w:pPr>
        <w:autoSpaceDE w:val="0"/>
        <w:autoSpaceDN w:val="0"/>
        <w:adjustRightInd w:val="0"/>
        <w:spacing w:after="240"/>
        <w:ind w:left="567" w:hanging="567"/>
        <w:rPr>
          <w:rFonts w:eastAsiaTheme="minorHAnsi"/>
          <w:szCs w:val="24"/>
        </w:rPr>
      </w:pPr>
      <w:r w:rsidRPr="001E4FC9">
        <w:t>T.</w:t>
      </w:r>
      <w:r w:rsidRPr="001E4FC9">
        <w:tab/>
        <w:t xml:space="preserve">tā kā ar Komisijas </w:t>
      </w:r>
      <w:r w:rsidRPr="001E4FC9" w:rsidR="00BA4E4C">
        <w:t>Ī</w:t>
      </w:r>
      <w:r w:rsidRPr="001E4FC9">
        <w:t>stenošanas lēmum</w:t>
      </w:r>
      <w:r w:rsidRPr="001E4FC9" w:rsidR="00BA4E4C">
        <w:t>u (ES) 2026/1443</w:t>
      </w:r>
      <w:r w:rsidRPr="001E4FC9">
        <w:t xml:space="preserve"> tiktu atļauts Savienībā importēt produktus, kas neatbilst Savienības lauksaimnieku ievērotajiem standartiem, un tādējādi viņiem tiktu radīti neizdevīgi konkurences apstākļi;</w:t>
      </w:r>
    </w:p>
    <w:p w:rsidR="008936A1" w:rsidRPr="001E4FC9" w:rsidP="001E4FC9" w14:paraId="092E0AFD" w14:textId="77777777">
      <w:pPr>
        <w:autoSpaceDE w:val="0"/>
        <w:autoSpaceDN w:val="0"/>
        <w:adjustRightInd w:val="0"/>
        <w:spacing w:after="240"/>
        <w:ind w:left="567" w:hanging="567"/>
        <w:rPr>
          <w:rFonts w:eastAsiaTheme="minorHAnsi"/>
          <w:szCs w:val="24"/>
        </w:rPr>
      </w:pPr>
      <w:r w:rsidRPr="001E4FC9">
        <w:t>U.</w:t>
      </w:r>
      <w:r w:rsidRPr="001E4FC9">
        <w:tab/>
        <w:t>tā kā stratēģiskā dialoga par lauksaimniecības nākotni Eiropas Savienībā secinājumos</w:t>
      </w:r>
      <w:r>
        <w:rPr>
          <w:rFonts w:eastAsiaTheme="minorHAnsi"/>
          <w:vertAlign w:val="superscript"/>
        </w:rPr>
        <w:footnoteReference w:id="18"/>
      </w:r>
      <w:r w:rsidRPr="001E4FC9">
        <w:t xml:space="preserve"> Komisija tiek aicināta atkārtoti izvērtēt savu pieeju attiecībā uz tirgus pieejamību lauksaimniecības pārtikas importam un eksportam, ņemot vērā grūtības, ko rada Savienības un tās tirdzniecības partneru atšķirīgie standarti; tā kā taisnīgākas globālās </w:t>
      </w:r>
      <w:r w:rsidRPr="001E4FC9">
        <w:t>tirdzniecības attiecības, kas saskanētu ar veselīgas vides mērķiem, bija viena no galvenajām lauksaimnieku prasībām 2023., 2024. un 2025. gada demonstrāciju laikā;</w:t>
      </w:r>
    </w:p>
    <w:p w:rsidR="008936A1" w:rsidRPr="001E4FC9" w:rsidP="001E4FC9" w14:paraId="46684934" w14:textId="77777777">
      <w:pPr>
        <w:autoSpaceDE w:val="0"/>
        <w:autoSpaceDN w:val="0"/>
        <w:adjustRightInd w:val="0"/>
        <w:spacing w:after="360"/>
        <w:ind w:left="567" w:hanging="567"/>
        <w:rPr>
          <w:rFonts w:eastAsiaTheme="minorHAnsi"/>
          <w:szCs w:val="24"/>
        </w:rPr>
      </w:pPr>
      <w:r w:rsidRPr="001E4FC9">
        <w:t>V.</w:t>
      </w:r>
      <w:r w:rsidRPr="001E4FC9">
        <w:tab/>
        <w:t xml:space="preserve">tā kā Parlaments ir vairākkārt uzsvēris – lai novērstu pastāvīgo demokrātijas deficītu, Komisijai nevajadzētu atļaut ĢMO gadījumos, kad dalībvalstis Augu, dzīvnieku, pārtikas aprites un dzīvnieku barības pastāvīgajā komitejā vai pārsūdzības komitejā nav panākušas kvalificētu balsu vairākumu; </w:t>
      </w:r>
    </w:p>
    <w:p w:rsidR="008936A1" w:rsidRPr="001E4FC9" w:rsidP="001E4FC9" w14:paraId="29CD19B2" w14:textId="77777777">
      <w:pPr>
        <w:autoSpaceDE w:val="0"/>
        <w:autoSpaceDN w:val="0"/>
        <w:adjustRightInd w:val="0"/>
        <w:spacing w:after="360"/>
        <w:ind w:left="567" w:hanging="567"/>
        <w:rPr>
          <w:rFonts w:eastAsiaTheme="minorHAnsi"/>
          <w:szCs w:val="24"/>
        </w:rPr>
      </w:pPr>
      <w:r w:rsidRPr="001E4FC9">
        <w:t>W.</w:t>
      </w:r>
      <w:r w:rsidRPr="001E4FC9">
        <w:tab/>
        <w:t>tā kā Komisija turpina piešķirt atļaujas ĢMO, neraugoties uz pašas atzītajām nepilnībām demokrātiskā lēmumu pieņemšanas procesā, dalībvalstu atbalsta trūkumu un Parlamenta iebildumiem;</w:t>
      </w:r>
    </w:p>
    <w:p w:rsidR="008936A1" w:rsidRPr="001E4FC9" w:rsidP="001E4FC9" w14:paraId="3C5F9848" w14:textId="77777777">
      <w:pPr>
        <w:autoSpaceDE w:val="0"/>
        <w:autoSpaceDN w:val="0"/>
        <w:adjustRightInd w:val="0"/>
        <w:spacing w:after="360"/>
        <w:ind w:left="567" w:hanging="567"/>
      </w:pPr>
      <w:r w:rsidRPr="001E4FC9">
        <w:t>X.</w:t>
      </w:r>
      <w:r w:rsidRPr="001E4FC9">
        <w:tab/>
        <w:t>tā kā pieeja “Viena veselība” paredz, ka, novērtējot ĢMO ilgtermiņa ilgtspēju un drošumu, ir jāņem vērā cilvēku, dzīvnieku, augu un vides veselības savstarpējā atkarība,</w:t>
      </w:r>
    </w:p>
    <w:p w:rsidR="008936A1" w:rsidRPr="001E4FC9" w:rsidP="001E4FC9" w14:paraId="3A61DB19" w14:textId="0BED11D5">
      <w:pPr>
        <w:pStyle w:val="NormalHanging12a"/>
      </w:pPr>
      <w:r w:rsidRPr="001E4FC9">
        <w:t>1.</w:t>
      </w:r>
      <w:r w:rsidRPr="001E4FC9">
        <w:tab/>
        <w:t xml:space="preserve">uzskata, ka </w:t>
      </w:r>
      <w:r w:rsidRPr="001E4FC9" w:rsidR="00BA4E4C">
        <w:t xml:space="preserve">Komisijas Īstenošanas lēmums (ES) 2026/1443 </w:t>
      </w:r>
      <w:r w:rsidRPr="001E4FC9">
        <w:t>pārsniedz Regulā (EK) Nr. 1829/2003 paredzētās īstenošanas pilnvaras;</w:t>
      </w:r>
    </w:p>
    <w:p w:rsidR="008936A1" w:rsidRPr="001E4FC9" w:rsidP="001E4FC9" w14:paraId="571F18DC" w14:textId="20D1D752">
      <w:pPr>
        <w:pStyle w:val="NormalHanging12a"/>
      </w:pPr>
      <w:r w:rsidRPr="001E4FC9">
        <w:t>2.</w:t>
      </w:r>
      <w:r w:rsidRPr="001E4FC9">
        <w:tab/>
        <w:t xml:space="preserve">uzskata, ka </w:t>
      </w:r>
      <w:r w:rsidRPr="001E4FC9" w:rsidR="00BA4E4C">
        <w:t xml:space="preserve">Komisijas Īstenošanas lēmums (ES) 2026/1443 </w:t>
      </w:r>
      <w:r w:rsidRPr="001E4FC9">
        <w:t>neatbilst Savienības tiesību aktiem, jo tas nav saderīgs ar Regulas (EK) Nr. 1829/2003 mērķi, proti, saskaņā ar Eiropas Parlamenta un Padomes Regulā (EK) Nr. 178/2002</w:t>
      </w:r>
      <w:r>
        <w:rPr>
          <w:vertAlign w:val="superscript"/>
        </w:rPr>
        <w:footnoteReference w:id="19"/>
      </w:r>
      <w:r w:rsidRPr="001E4FC9">
        <w:t xml:space="preserve"> noteiktajiem vispārējiem principiem nodrošināt pamatu, lai garantētu cilvēku dzīvības un veselības, dzīvnieku veselības un labturības, vides un patērētāju interešu augsta līmeņa aizsardzību saistībā ar ĢM pārtiku un dzīvnieku barību, vienlaikus nodrošinot efektīvu iekšējā tirgus darbību;</w:t>
      </w:r>
    </w:p>
    <w:p w:rsidR="008936A1" w:rsidRPr="001E4FC9" w:rsidP="001E4FC9" w14:paraId="5F099466" w14:textId="2D3E2E72">
      <w:pPr>
        <w:pStyle w:val="NormalHanging12a"/>
      </w:pPr>
      <w:r w:rsidRPr="001E4FC9">
        <w:t>3.</w:t>
      </w:r>
      <w:r w:rsidRPr="001E4FC9">
        <w:tab/>
        <w:t xml:space="preserve">prasa Komisijai atsaukt </w:t>
      </w:r>
      <w:r w:rsidRPr="001E4FC9" w:rsidR="00BA4E4C">
        <w:t>Komisijas Īstenošanas lēmumu (ES) 2026/1443</w:t>
      </w:r>
      <w:r w:rsidRPr="001E4FC9">
        <w:t>;</w:t>
      </w:r>
    </w:p>
    <w:p w:rsidR="008936A1" w:rsidRPr="001E4FC9" w:rsidP="001E4FC9" w14:paraId="0D8EFD27" w14:textId="77777777">
      <w:pPr>
        <w:pStyle w:val="NormalHanging12a"/>
      </w:pPr>
      <w:r w:rsidRPr="001E4FC9">
        <w:t>4.</w:t>
      </w:r>
      <w:r w:rsidRPr="001E4FC9">
        <w:tab/>
        <w:t>aicina Komisiju neatļaut herbicīdizturīgu ĢM kultūraugu importu, ņemot vērā ar to saistīto komplementāro herbicīdu plašāku izmantošanu un tādējādi lielāku risku bioloģiskajai daudzveidībai, pārtikas drošībai un darba ņēmēju veselībai;</w:t>
      </w:r>
    </w:p>
    <w:p w:rsidR="008936A1" w:rsidRPr="001E4FC9" w:rsidP="001E4FC9" w14:paraId="41926A74" w14:textId="77777777">
      <w:pPr>
        <w:pStyle w:val="NormalHanging12a"/>
      </w:pPr>
      <w:r w:rsidRPr="001E4FC9">
        <w:t>5.</w:t>
      </w:r>
      <w:r w:rsidRPr="001E4FC9">
        <w:tab/>
        <w:t>atzinīgi vērtē to, ka Komisija 2020. gada 11. septembra vēstulē deputātiem beidzot atzina, ka ĢMO atļauju piešķiršanas lēmumos ir jāņem vērā ilgtspēja</w:t>
      </w:r>
      <w:r>
        <w:rPr>
          <w:vertAlign w:val="superscript"/>
        </w:rPr>
        <w:footnoteReference w:id="20"/>
      </w:r>
      <w:r w:rsidRPr="001E4FC9">
        <w:t>; tomēr pauž dziļu vilšanos, jo kopš tā laika Komisija ir turpinājusi piešķirt atļaujas ĢMO importam Savienībā, lai gan Parlaments turpina pret to iebilst un vairākums dalībvalstu balso pret šādu atļauju piešķiršanu;</w:t>
      </w:r>
    </w:p>
    <w:p w:rsidR="008936A1" w:rsidRPr="001E4FC9" w:rsidP="001E4FC9" w14:paraId="290AC134" w14:textId="77777777">
      <w:pPr>
        <w:pStyle w:val="NormalHanging12a"/>
      </w:pPr>
      <w:r w:rsidRPr="001E4FC9">
        <w:t>6.</w:t>
      </w:r>
      <w:r w:rsidRPr="001E4FC9">
        <w:tab/>
        <w:t>vēlreiz mudina Komisiju ņemt vērā Savienības saistības saskaņā ar starptautiskiem nolīgumiem, piemēram, Parīzes klimata nolīgumu, ANO KBD un ANO IAM; atkārtoti prasa īstenošanas aktu projektiem pievienot paskaidrojuma rakstu, kurā būtu paskaidrots, kā minētie akti atbalsta principu “nekaitēt”</w:t>
      </w:r>
      <w:r>
        <w:rPr>
          <w:vertAlign w:val="superscript"/>
        </w:rPr>
        <w:footnoteReference w:id="21"/>
      </w:r>
      <w:r w:rsidRPr="001E4FC9">
        <w:t>;</w:t>
      </w:r>
    </w:p>
    <w:p w:rsidR="008936A1" w:rsidRPr="001E4FC9" w:rsidP="001E4FC9" w14:paraId="1CA2B24C" w14:textId="77777777">
      <w:pPr>
        <w:pStyle w:val="NormalHanging12a"/>
      </w:pPr>
      <w:r w:rsidRPr="001E4FC9">
        <w:t>7.</w:t>
      </w:r>
      <w:r w:rsidRPr="001E4FC9">
        <w:tab/>
        <w:t>vērš uzmanību uz to, ka grozījumos, ko attiecībā uz priekšlikumu Eiropas Parlamenta un Padomes regulai, ar kuru groza Regulu (ES) Nr. 182/2011</w:t>
      </w:r>
      <w:r>
        <w:rPr>
          <w:vertAlign w:val="superscript"/>
        </w:rPr>
        <w:footnoteReference w:id="22"/>
      </w:r>
      <w:r w:rsidRPr="001E4FC9">
        <w:t>, Eiropas Parlaments 2020. gada 17. decembrī pieņēma kā pamatu sarunām ar Padomi, ir norādīts, ka bez dalībvalstu kvalificēta balsu vairākuma atbalsta Komisija nedrīkst piešķirt atļaujas attiecībā uz ĢMO; uzstāj, ka Komisijai ir jāievēro šī nostāja, un aicina Padomi turpināt darbu un steidzami pieņemt vispārēju pieeju šajā jautājumā;</w:t>
      </w:r>
    </w:p>
    <w:p w:rsidR="00FC2E0E" w:rsidRPr="001E4FC9" w:rsidP="001E4FC9" w14:paraId="289ECF40" w14:textId="7AF77C74">
      <w:pPr>
        <w:pStyle w:val="NormalHanging12a"/>
      </w:pPr>
      <w:r w:rsidRPr="001E4FC9">
        <w:t>8.</w:t>
      </w:r>
      <w:r w:rsidRPr="001E4FC9">
        <w:tab/>
        <w:t>uzdod priekšsēdētājai šo rezolūciju nosūtīt Padomei un Komisijai, kā arī dalībvalstu valdībām un parlamentiem.</w:t>
      </w:r>
    </w:p>
    <w:p w:rsidR="00E365E1" w:rsidRPr="001E4FC9" w:rsidP="00BA4E4C" w14:paraId="72E6D576" w14:textId="079F8DFD"/>
    <w:sectPr w:rsidSect="00FC2E0E">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C2E0E" w14:paraId="2A50A7D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C2E0E" w14:paraId="0AC549CB"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C2E0E" w14:paraId="4068504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74F02" w:rsidRPr="00FC2E0E" w14:paraId="06B928AD" w14:textId="77777777">
      <w:r w:rsidRPr="00FC2E0E">
        <w:separator/>
      </w:r>
    </w:p>
  </w:footnote>
  <w:footnote w:type="continuationSeparator" w:id="1">
    <w:p w:rsidR="00074F02" w:rsidRPr="00FC2E0E" w14:paraId="0847ED1E" w14:textId="77777777">
      <w:r w:rsidRPr="00FC2E0E">
        <w:continuationSeparator/>
      </w:r>
    </w:p>
  </w:footnote>
  <w:footnote w:id="2">
    <w:p w:rsidR="00D17778" w:rsidRPr="001E4FC9" w:rsidP="001E4FC9" w14:paraId="2694C961" w14:textId="20FBB454">
      <w:pPr>
        <w:pStyle w:val="FootnoteText"/>
        <w:ind w:left="567" w:hanging="567"/>
        <w:rPr>
          <w:sz w:val="24"/>
          <w:szCs w:val="24"/>
          <w:lang w:val="lv-LV"/>
        </w:rPr>
      </w:pPr>
      <w:r w:rsidRPr="001E4FC9">
        <w:rPr>
          <w:rStyle w:val="FootnoteReference"/>
          <w:sz w:val="24"/>
          <w:szCs w:val="24"/>
        </w:rPr>
        <w:footnoteRef/>
      </w:r>
      <w:r w:rsidRPr="001E4FC9">
        <w:rPr>
          <w:sz w:val="24"/>
          <w:szCs w:val="24"/>
          <w:lang w:val="fi-FI"/>
        </w:rPr>
        <w:t xml:space="preserve"> </w:t>
      </w:r>
      <w:r w:rsidRPr="001E4FC9">
        <w:rPr>
          <w:sz w:val="24"/>
          <w:szCs w:val="24"/>
          <w:lang w:val="lv-LV"/>
        </w:rPr>
        <w:tab/>
      </w:r>
      <w:r w:rsidRPr="001E4FC9">
        <w:rPr>
          <w:sz w:val="24"/>
          <w:szCs w:val="24"/>
          <w:lang w:val="fi-FI"/>
        </w:rPr>
        <w:t xml:space="preserve">OV L, 2026/1443, 3.7.2026., ELI: </w:t>
      </w:r>
      <w:hyperlink r:id="rId1" w:history="1">
        <w:r w:rsidRPr="001E4FC9">
          <w:rPr>
            <w:rStyle w:val="Hyperlink"/>
            <w:sz w:val="24"/>
            <w:szCs w:val="24"/>
            <w:lang w:val="fi-FI"/>
          </w:rPr>
          <w:t>http://data.europa.eu/eli/dec_impl/2026/1443/oj</w:t>
        </w:r>
      </w:hyperlink>
      <w:r w:rsidRPr="00D17778">
        <w:rPr>
          <w:sz w:val="24"/>
          <w:szCs w:val="24"/>
          <w:lang w:val="fi-FI"/>
        </w:rPr>
        <w:t>.</w:t>
      </w:r>
    </w:p>
  </w:footnote>
  <w:footnote w:id="3">
    <w:p w:rsidR="008936A1" w:rsidRPr="00FC2E0E" w:rsidP="00FC2E0E" w14:paraId="566D927B" w14:textId="2D99F231">
      <w:pPr>
        <w:pStyle w:val="FootnoteText"/>
        <w:ind w:left="567" w:hanging="567"/>
        <w:rPr>
          <w:sz w:val="24"/>
          <w:lang w:val="lv-LV"/>
        </w:rPr>
      </w:pPr>
      <w:r w:rsidRPr="00FC2E0E">
        <w:rPr>
          <w:rStyle w:val="Funotenzeichen"/>
          <w:sz w:val="24"/>
          <w:lang w:val="lv-LV"/>
        </w:rPr>
        <w:footnoteRef/>
      </w:r>
      <w:r w:rsidRPr="00FC2E0E" w:rsidR="00FC2E0E">
        <w:rPr>
          <w:sz w:val="24"/>
          <w:lang w:val="lv-LV"/>
        </w:rPr>
        <w:t xml:space="preserve"> </w:t>
      </w:r>
      <w:r w:rsidRPr="00FC2E0E" w:rsidR="00FC2E0E">
        <w:rPr>
          <w:sz w:val="24"/>
          <w:lang w:val="lv-LV"/>
        </w:rPr>
        <w:tab/>
      </w:r>
      <w:r w:rsidRPr="00FC2E0E">
        <w:rPr>
          <w:sz w:val="24"/>
          <w:lang w:val="lv-LV"/>
        </w:rPr>
        <w:t>OV L 268, 18.10.2003., 1. lpp., ELI:  </w:t>
      </w:r>
      <w:hyperlink r:id="rId2" w:history="1">
        <w:r w:rsidRPr="008035BD" w:rsidR="00094C06">
          <w:rPr>
            <w:rStyle w:val="Hyperlink"/>
            <w:sz w:val="24"/>
            <w:lang w:val="lv-LV"/>
          </w:rPr>
          <w:t>http://data.e</w:t>
        </w:r>
        <w:r w:rsidRPr="008035BD" w:rsidR="00094C06">
          <w:rPr>
            <w:rStyle w:val="Hyperlink"/>
            <w:sz w:val="24"/>
            <w:lang w:val="lv-LV"/>
          </w:rPr>
          <w:t>u</w:t>
        </w:r>
        <w:r w:rsidRPr="008035BD" w:rsidR="00094C06">
          <w:rPr>
            <w:rStyle w:val="Hyperlink"/>
            <w:sz w:val="24"/>
            <w:lang w:val="lv-LV"/>
          </w:rPr>
          <w:t>ropa.eu/eli/reg/2003/1829/oj</w:t>
        </w:r>
      </w:hyperlink>
      <w:r w:rsidRPr="00FC2E0E">
        <w:rPr>
          <w:sz w:val="24"/>
          <w:lang w:val="lv-LV"/>
        </w:rPr>
        <w:t>.</w:t>
      </w:r>
    </w:p>
  </w:footnote>
  <w:footnote w:id="4">
    <w:p w:rsidR="008936A1" w:rsidRPr="00FC2E0E" w:rsidP="00FC2E0E" w14:paraId="44996781" w14:textId="38F9F3BC">
      <w:pPr>
        <w:pStyle w:val="FootnoteText"/>
        <w:ind w:left="567" w:hanging="567"/>
        <w:rPr>
          <w:sz w:val="24"/>
          <w:lang w:val="lv-LV"/>
        </w:rPr>
      </w:pPr>
      <w:r w:rsidRPr="00FC2E0E">
        <w:rPr>
          <w:rStyle w:val="FootnoteReference"/>
          <w:sz w:val="24"/>
          <w:lang w:val="lv-LV"/>
        </w:rPr>
        <w:footnoteRef/>
      </w:r>
      <w:r w:rsidRPr="00FC2E0E" w:rsidR="00FC2E0E">
        <w:rPr>
          <w:sz w:val="24"/>
          <w:lang w:val="lv-LV"/>
        </w:rPr>
        <w:t xml:space="preserve"> </w:t>
      </w:r>
      <w:r w:rsidRPr="00FC2E0E" w:rsidR="00FC2E0E">
        <w:rPr>
          <w:sz w:val="24"/>
          <w:lang w:val="lv-LV"/>
        </w:rPr>
        <w:tab/>
      </w:r>
      <w:r w:rsidRPr="00FC2E0E">
        <w:rPr>
          <w:sz w:val="24"/>
          <w:lang w:val="lv-LV"/>
        </w:rPr>
        <w:t>OV L 55, 28.2.2011., 13. lpp., ELI: </w:t>
      </w:r>
      <w:hyperlink r:id="rId3" w:history="1">
        <w:r w:rsidR="00094C06">
          <w:rPr>
            <w:rStyle w:val="Hyperlink"/>
            <w:sz w:val="24"/>
            <w:lang w:val="lv-LV"/>
          </w:rPr>
          <w:t>http://data.europa.eu/eli/reg/2011/182/oj</w:t>
        </w:r>
      </w:hyperlink>
      <w:r w:rsidRPr="00FC2E0E">
        <w:rPr>
          <w:sz w:val="24"/>
          <w:lang w:val="lv-LV"/>
        </w:rPr>
        <w:t>.</w:t>
      </w:r>
    </w:p>
  </w:footnote>
  <w:footnote w:id="5">
    <w:p w:rsidR="008936A1" w:rsidRPr="00FC2E0E" w:rsidP="00FC2E0E" w14:paraId="31211779" w14:textId="23A63DE7">
      <w:pPr>
        <w:pStyle w:val="FootnoteText"/>
        <w:ind w:left="567" w:hanging="567"/>
        <w:rPr>
          <w:sz w:val="24"/>
          <w:lang w:val="lv-LV"/>
        </w:rPr>
      </w:pPr>
      <w:r w:rsidRPr="00FC2E0E">
        <w:rPr>
          <w:rStyle w:val="Funotenzeichen"/>
          <w:sz w:val="24"/>
          <w:lang w:val="lv-LV"/>
        </w:rPr>
        <w:footnoteRef/>
      </w:r>
      <w:r w:rsidRPr="00FC2E0E" w:rsidR="00FC2E0E">
        <w:rPr>
          <w:i/>
          <w:iCs/>
          <w:sz w:val="24"/>
          <w:lang w:val="lv-LV"/>
        </w:rPr>
        <w:t xml:space="preserve"> </w:t>
      </w:r>
      <w:r w:rsidRPr="00FC2E0E" w:rsidR="00FC2E0E">
        <w:rPr>
          <w:i/>
          <w:iCs/>
          <w:sz w:val="24"/>
          <w:lang w:val="lv-LV"/>
        </w:rPr>
        <w:tab/>
      </w:r>
      <w:r w:rsidRPr="00FC2E0E">
        <w:rPr>
          <w:i/>
          <w:iCs/>
          <w:sz w:val="24"/>
          <w:lang w:val="lv-LV"/>
        </w:rPr>
        <w:t>EFSA</w:t>
      </w:r>
      <w:r w:rsidRPr="00FC2E0E">
        <w:rPr>
          <w:sz w:val="24"/>
          <w:lang w:val="lv-LV"/>
        </w:rPr>
        <w:t xml:space="preserve"> Ekspertu grupas ģenētiski modificētu organismu jautājumos zinātniskais atzinums “Ģenētiski modificētas kukurūzas DP202216 × NK603 × DAS-40278-9 novērtējums (pieteikums GMFF-2022-6232)”, </w:t>
      </w:r>
      <w:r w:rsidRPr="00FC2E0E">
        <w:rPr>
          <w:i/>
          <w:sz w:val="24"/>
          <w:lang w:val="lv-LV"/>
        </w:rPr>
        <w:t>EFSA Journal</w:t>
      </w:r>
      <w:r w:rsidRPr="00FC2E0E">
        <w:rPr>
          <w:sz w:val="24"/>
          <w:lang w:val="lv-LV"/>
        </w:rPr>
        <w:t xml:space="preserve">, 2025, 23(12):e9746, </w:t>
      </w:r>
      <w:hyperlink r:id="rId4" w:history="1">
        <w:r w:rsidRPr="00FC2E0E">
          <w:rPr>
            <w:rStyle w:val="Hyperlink"/>
            <w:sz w:val="24"/>
            <w:lang w:val="lv-LV"/>
          </w:rPr>
          <w:t>https://doi.org/10.2903/j.efsa.2025.9746</w:t>
        </w:r>
      </w:hyperlink>
      <w:r w:rsidRPr="00FC2E0E">
        <w:rPr>
          <w:rStyle w:val="Hyperlink"/>
          <w:sz w:val="24"/>
          <w:lang w:val="lv-LV"/>
        </w:rPr>
        <w:t>.</w:t>
      </w:r>
    </w:p>
  </w:footnote>
  <w:footnote w:id="6">
    <w:p w:rsidR="008936A1" w:rsidRPr="00FC2E0E" w:rsidP="00FC2E0E" w14:paraId="5D8E40FE" w14:textId="23591076">
      <w:pPr>
        <w:pStyle w:val="FootnoteText"/>
        <w:ind w:left="567" w:hanging="567"/>
        <w:rPr>
          <w:color w:val="000000" w:themeColor="text1"/>
          <w:sz w:val="24"/>
          <w:vertAlign w:val="superscript"/>
          <w:lang w:val="lv-LV"/>
        </w:rPr>
      </w:pPr>
      <w:r w:rsidRPr="00FC2E0E">
        <w:rPr>
          <w:rStyle w:val="Funotenzeichen"/>
          <w:sz w:val="24"/>
          <w:lang w:val="lv-LV"/>
        </w:rPr>
        <w:footnoteRef/>
      </w:r>
      <w:r w:rsidRPr="00FC2E0E" w:rsidR="00FC2E0E">
        <w:rPr>
          <w:color w:val="000000" w:themeColor="text1"/>
          <w:sz w:val="24"/>
          <w:lang w:val="lv-LV"/>
        </w:rPr>
        <w:t xml:space="preserve"> </w:t>
      </w:r>
      <w:r w:rsidRPr="00FC2E0E" w:rsidR="00FC2E0E">
        <w:rPr>
          <w:color w:val="000000" w:themeColor="text1"/>
          <w:sz w:val="24"/>
          <w:lang w:val="lv-LV"/>
        </w:rPr>
        <w:tab/>
      </w:r>
      <w:r w:rsidRPr="00FC2E0E">
        <w:rPr>
          <w:color w:val="000000" w:themeColor="text1"/>
          <w:sz w:val="24"/>
          <w:lang w:val="lv-LV"/>
        </w:rPr>
        <w:t>Parlaments astotajā sasaukumā pieņēma 36 rezolūcijas un devītajā sasaukumā — 38 rezolūcijas</w:t>
      </w:r>
      <w:r w:rsidRPr="00FC2E0E">
        <w:rPr>
          <w:sz w:val="24"/>
          <w:lang w:val="lv-LV"/>
        </w:rPr>
        <w:t>, ar ko iebilda pret atļauju izmantot ĢMO.</w:t>
      </w:r>
      <w:r w:rsidRPr="00FC2E0E">
        <w:rPr>
          <w:color w:val="000000" w:themeColor="text1"/>
          <w:sz w:val="24"/>
          <w:lang w:val="lv-LV"/>
        </w:rPr>
        <w:t xml:space="preserve"> Turklāt desmitajā sasaukumā Parlaments ir pieņēmis šādas rezolūcijas:</w:t>
      </w:r>
    </w:p>
    <w:p w:rsidR="002C6580" w:rsidRPr="002C6580" w:rsidP="002C6580" w14:paraId="2835F7A9" w14:textId="0C0FF658">
      <w:pPr>
        <w:pStyle w:val="FootnoteText"/>
        <w:ind w:left="1134" w:hanging="567"/>
        <w:rPr>
          <w:color w:val="000000" w:themeColor="text1"/>
          <w:sz w:val="24"/>
          <w:vertAlign w:val="superscript"/>
          <w:lang w:val="lv-LV"/>
        </w:rPr>
      </w:pPr>
      <w:r w:rsidRPr="002C6580">
        <w:rPr>
          <w:color w:val="000000" w:themeColor="text1"/>
          <w:sz w:val="24"/>
          <w:lang w:val="lv-LV"/>
        </w:rPr>
        <w:t>–</w:t>
      </w:r>
      <w:r w:rsidRPr="002C6580">
        <w:rPr>
          <w:color w:val="000000" w:themeColor="text1"/>
          <w:sz w:val="24"/>
          <w:lang w:val="lv-LV"/>
        </w:rPr>
        <w:tab/>
        <w:t>Eiropas Parlamenta 2024. gada 26. novembra rezolūcija par Komisijas Īstenošanas Lēmumu (ES) 2024/2628, ar kuru atbilstoši Eiropas Parlamenta un Padomes Regulai (EK) Nr. 1829/2003 atjauno atļauju laist tirgū produktus, kas satur ģenētiski modificētu kukurūzu MON 89034 × 1507 × NK603, sastāv vai ir ražoti no tās</w:t>
      </w:r>
      <w:r w:rsidRPr="002C6580">
        <w:rPr>
          <w:color w:val="000000" w:themeColor="text1"/>
          <w:sz w:val="24"/>
          <w:lang w:val="lv-LV"/>
        </w:rPr>
        <w:t xml:space="preserve"> </w:t>
      </w:r>
      <w:r w:rsidRPr="002C6580">
        <w:rPr>
          <w:color w:val="000000" w:themeColor="text1"/>
          <w:sz w:val="24"/>
          <w:lang w:val="lv-LV"/>
        </w:rPr>
        <w:t>(O</w:t>
      </w:r>
      <w:r>
        <w:rPr>
          <w:color w:val="000000" w:themeColor="text1"/>
          <w:sz w:val="24"/>
          <w:lang w:val="lv-LV"/>
        </w:rPr>
        <w:t>V</w:t>
      </w:r>
      <w:r w:rsidRPr="002C6580">
        <w:rPr>
          <w:color w:val="000000" w:themeColor="text1"/>
          <w:sz w:val="24"/>
          <w:lang w:val="lv-LV"/>
        </w:rPr>
        <w:t xml:space="preserve"> C, C/2025/1797, 4.4.2025</w:t>
      </w:r>
      <w:r>
        <w:rPr>
          <w:color w:val="000000" w:themeColor="text1"/>
          <w:sz w:val="24"/>
          <w:lang w:val="lv-LV"/>
        </w:rPr>
        <w:t>.</w:t>
      </w:r>
      <w:r w:rsidRPr="002C6580">
        <w:rPr>
          <w:color w:val="000000" w:themeColor="text1"/>
          <w:sz w:val="24"/>
          <w:lang w:val="lv-LV"/>
        </w:rPr>
        <w:t>, ELI: </w:t>
      </w:r>
      <w:hyperlink r:id="rId5" w:history="1">
        <w:r w:rsidRPr="002C6580">
          <w:rPr>
            <w:rStyle w:val="Hyperlink"/>
            <w:sz w:val="24"/>
            <w:lang w:val="lv-LV"/>
          </w:rPr>
          <w:t>http://data.</w:t>
        </w:r>
        <w:r w:rsidRPr="002C6580">
          <w:rPr>
            <w:rStyle w:val="Hyperlink"/>
            <w:sz w:val="24"/>
            <w:lang w:val="lv-LV"/>
          </w:rPr>
          <w:t>e</w:t>
        </w:r>
        <w:r w:rsidRPr="002C6580">
          <w:rPr>
            <w:rStyle w:val="Hyperlink"/>
            <w:sz w:val="24"/>
            <w:lang w:val="lv-LV"/>
          </w:rPr>
          <w:t>uropa.eu/eli/C/2025/1797/oj</w:t>
        </w:r>
      </w:hyperlink>
      <w:r w:rsidRPr="002C6580">
        <w:rPr>
          <w:color w:val="000000" w:themeColor="text1"/>
          <w:sz w:val="24"/>
          <w:lang w:val="lv-LV"/>
        </w:rPr>
        <w:t>).</w:t>
      </w:r>
    </w:p>
    <w:p w:rsidR="008936A1" w:rsidRPr="00FC2E0E" w:rsidP="001E4FC9" w14:paraId="44D4F0DD" w14:textId="60789CF6">
      <w:pPr>
        <w:pStyle w:val="FootnoteText"/>
        <w:ind w:left="1134" w:hanging="567"/>
        <w:rPr>
          <w:color w:val="000000" w:themeColor="text1"/>
          <w:sz w:val="24"/>
          <w:vertAlign w:val="superscript"/>
          <w:lang w:val="lv-LV"/>
        </w:rPr>
      </w:pPr>
      <w:r w:rsidRPr="00FC2E0E">
        <w:rPr>
          <w:color w:val="000000" w:themeColor="text1"/>
          <w:sz w:val="24"/>
          <w:lang w:val="lv-LV"/>
        </w:rPr>
        <w:t>–</w:t>
      </w:r>
      <w:r w:rsidRPr="00FC2E0E">
        <w:rPr>
          <w:color w:val="000000" w:themeColor="text1"/>
          <w:sz w:val="24"/>
          <w:lang w:val="lv-LV"/>
        </w:rPr>
        <w:tab/>
        <w:t>Eiropas Parlamenta 2024. gada 26. novembra rezolūcija par Komisijas Īstenošanas lēmumu (ES) 2024/2627, ar ko, ievērojot Eiropas Parlamenta un Padomes Regulu (EK) Nr. 1829/2003, atļauj laist tirgū produktus, kas satur ģenētiski modificētu kokvilnu COT102, no tās sastāv vai ir no tās ražoti (OV C, C/2025/1798, 4.4.2025., ELI: </w:t>
      </w:r>
      <w:hyperlink r:id="rId6" w:history="1">
        <w:r w:rsidR="00094C06">
          <w:rPr>
            <w:rStyle w:val="Hyperlink"/>
            <w:sz w:val="24"/>
            <w:lang w:val="lv-LV"/>
          </w:rPr>
          <w:t>http://data.europa.eu/eli/C/2025/1798/oj</w:t>
        </w:r>
      </w:hyperlink>
      <w:r w:rsidRPr="00FC2E0E">
        <w:rPr>
          <w:color w:val="000000" w:themeColor="text1"/>
          <w:sz w:val="24"/>
          <w:lang w:val="lv-LV"/>
        </w:rPr>
        <w:t>).</w:t>
      </w:r>
    </w:p>
    <w:p w:rsidR="008936A1" w:rsidRPr="00FC2E0E" w:rsidP="001E4FC9" w14:paraId="38292295" w14:textId="546EE667">
      <w:pPr>
        <w:pStyle w:val="FootnoteText"/>
        <w:ind w:left="1134" w:hanging="567"/>
        <w:rPr>
          <w:color w:val="000000" w:themeColor="text1"/>
          <w:sz w:val="24"/>
          <w:vertAlign w:val="superscript"/>
          <w:lang w:val="lv-LV"/>
        </w:rPr>
      </w:pPr>
      <w:r w:rsidRPr="00FC2E0E">
        <w:rPr>
          <w:color w:val="000000" w:themeColor="text1"/>
          <w:sz w:val="24"/>
          <w:lang w:val="lv-LV"/>
        </w:rPr>
        <w:t>–</w:t>
      </w:r>
      <w:r w:rsidRPr="00FC2E0E">
        <w:rPr>
          <w:color w:val="000000" w:themeColor="text1"/>
          <w:sz w:val="24"/>
          <w:lang w:val="lv-LV"/>
        </w:rPr>
        <w:tab/>
        <w:t>Eirops Parlamenta 2024. gada 26. novembra rezolūcija par Komisijas Īstenošanas lēmumu (ES) 2024/2629, ar kuru atbilstoši Eiropas Parlamenta un Padomes Regulai (EK) Nr. 1829/2003 atjauno atļauju laist tirgū produktus, kas satur ģenētiski modificētu kukurūzu MON 89034 × 1507 × MON 88017 x 59122 un astoņas tās apakškombinācijas, sastāv vai ir ražoti no tām (OV C, C/2025/1799, 4.4.2025., ELI: </w:t>
      </w:r>
      <w:hyperlink r:id="rId7" w:history="1">
        <w:r w:rsidR="00094C06">
          <w:rPr>
            <w:rStyle w:val="Hyperlink"/>
            <w:sz w:val="24"/>
            <w:lang w:val="lv-LV"/>
          </w:rPr>
          <w:t>http://data.europa.eu/eli/C/2025/1799/oj</w:t>
        </w:r>
      </w:hyperlink>
      <w:r w:rsidRPr="00FC2E0E">
        <w:rPr>
          <w:color w:val="000000" w:themeColor="text1"/>
          <w:sz w:val="24"/>
          <w:lang w:val="lv-LV"/>
        </w:rPr>
        <w:t>).</w:t>
      </w:r>
    </w:p>
    <w:p w:rsidR="008936A1" w:rsidRPr="00FC2E0E" w:rsidP="001E4FC9" w14:paraId="1D206EDF" w14:textId="1B6F0A26">
      <w:pPr>
        <w:pStyle w:val="FootnoteText"/>
        <w:ind w:left="1134" w:hanging="567"/>
        <w:rPr>
          <w:color w:val="000000" w:themeColor="text1"/>
          <w:sz w:val="24"/>
          <w:vertAlign w:val="superscript"/>
          <w:lang w:val="lv-LV"/>
        </w:rPr>
      </w:pPr>
      <w:r w:rsidRPr="00FC2E0E">
        <w:rPr>
          <w:color w:val="000000" w:themeColor="text1"/>
          <w:sz w:val="24"/>
          <w:lang w:val="lv-LV"/>
        </w:rPr>
        <w:t>–</w:t>
      </w:r>
      <w:r w:rsidRPr="00FC2E0E">
        <w:rPr>
          <w:color w:val="000000" w:themeColor="text1"/>
          <w:sz w:val="24"/>
          <w:lang w:val="lv-LV"/>
        </w:rPr>
        <w:tab/>
        <w:t>Eiropas Parlamenta 2024. gada 26. novembra rezolūcija par Komisijas Īstenošanas lēmumu (ES) 2024/1828, ar ko, ievērojot Eiropas Parlamenta un Padomes Regulu (EK) Nr. 1829/2003, atjauno atļauju laist tirgū barību, kura satur ģenētiski modificētu kukurūzu MON 810 vai sastāv no tās, kā arī no šādas kukurūzas ražotus pārtikas un barības produktus, un atceļ Komisijas Īstenošanas lēmumu (ES) 2017/1207 (OV C, C/2025/1800, 4.4.2025., ELI: </w:t>
      </w:r>
      <w:hyperlink r:id="rId8" w:history="1">
        <w:r w:rsidR="00094C06">
          <w:rPr>
            <w:rStyle w:val="Hyperlink"/>
            <w:sz w:val="24"/>
            <w:lang w:val="lv-LV"/>
          </w:rPr>
          <w:t>http://data.europa.eu/eli/C/2025/1800/oj</w:t>
        </w:r>
      </w:hyperlink>
      <w:r w:rsidRPr="00FC2E0E">
        <w:rPr>
          <w:color w:val="000000" w:themeColor="text1"/>
          <w:sz w:val="24"/>
          <w:lang w:val="lv-LV"/>
        </w:rPr>
        <w:t>).</w:t>
      </w:r>
    </w:p>
    <w:p w:rsidR="008936A1" w:rsidRPr="00FC2E0E" w:rsidP="001E4FC9" w14:paraId="004A1218" w14:textId="03F022B0">
      <w:pPr>
        <w:pStyle w:val="FootnoteText"/>
        <w:ind w:left="1134" w:hanging="567"/>
        <w:rPr>
          <w:color w:val="000000" w:themeColor="text1"/>
          <w:sz w:val="24"/>
          <w:vertAlign w:val="superscript"/>
          <w:lang w:val="lv-LV"/>
        </w:rPr>
      </w:pPr>
      <w:r w:rsidRPr="00FC2E0E">
        <w:rPr>
          <w:color w:val="000000" w:themeColor="text1"/>
          <w:sz w:val="24"/>
          <w:lang w:val="lv-LV"/>
        </w:rPr>
        <w:t>–</w:t>
      </w:r>
      <w:r w:rsidRPr="00FC2E0E">
        <w:rPr>
          <w:color w:val="000000" w:themeColor="text1"/>
          <w:sz w:val="24"/>
          <w:lang w:val="lv-LV"/>
        </w:rPr>
        <w:tab/>
        <w:t>Eiropas Parlamenta 2024. gada 26. novembra rezolūcija par Komisijas Īstenošanas lēmumu (ES) 2024/1822, ar ko, ievērojot Eiropas Parlamenta un Padomes Regulu (EK) Nr. 1829/2003, atļauj laist tirgū produktus, kas satur ģenētiski modificētu kukurūzu DP915635, sastāv vai ir ražoti no tās (OV C, C/2025/1801, 4.4.2025., ELI: </w:t>
      </w:r>
      <w:hyperlink r:id="rId9" w:history="1">
        <w:r w:rsidRPr="008035BD" w:rsidR="00094C06">
          <w:rPr>
            <w:rStyle w:val="Hyperlink"/>
            <w:sz w:val="24"/>
            <w:lang w:val="lv-LV"/>
          </w:rPr>
          <w:t>http://data.europa</w:t>
        </w:r>
        <w:r w:rsidRPr="008035BD" w:rsidR="00094C06">
          <w:rPr>
            <w:rStyle w:val="Hyperlink"/>
            <w:sz w:val="24"/>
            <w:lang w:val="lv-LV"/>
          </w:rPr>
          <w:t>.</w:t>
        </w:r>
        <w:r w:rsidRPr="008035BD" w:rsidR="00094C06">
          <w:rPr>
            <w:rStyle w:val="Hyperlink"/>
            <w:sz w:val="24"/>
            <w:lang w:val="lv-LV"/>
          </w:rPr>
          <w:t>eu/eli/C/2025/1801/oj</w:t>
        </w:r>
      </w:hyperlink>
      <w:r w:rsidRPr="00FC2E0E">
        <w:rPr>
          <w:color w:val="000000" w:themeColor="text1"/>
          <w:sz w:val="24"/>
          <w:lang w:val="lv-LV"/>
        </w:rPr>
        <w:t>).</w:t>
      </w:r>
    </w:p>
    <w:p w:rsidR="008936A1" w:rsidRPr="00FC2E0E" w:rsidP="001E4FC9" w14:paraId="34A4D539" w14:textId="405FD188">
      <w:pPr>
        <w:pStyle w:val="FootnoteText"/>
        <w:ind w:left="1134" w:hanging="567"/>
        <w:rPr>
          <w:color w:val="000000" w:themeColor="text1"/>
          <w:sz w:val="24"/>
          <w:vertAlign w:val="superscript"/>
          <w:lang w:val="lv-LV"/>
        </w:rPr>
      </w:pPr>
      <w:r w:rsidRPr="00FC2E0E">
        <w:rPr>
          <w:color w:val="000000" w:themeColor="text1"/>
          <w:sz w:val="24"/>
          <w:lang w:val="lv-LV"/>
        </w:rPr>
        <w:t>–</w:t>
      </w:r>
      <w:r w:rsidRPr="00FC2E0E">
        <w:rPr>
          <w:color w:val="000000" w:themeColor="text1"/>
          <w:sz w:val="24"/>
          <w:lang w:val="lv-LV"/>
        </w:rPr>
        <w:tab/>
        <w:t>Eiropas Parlamenta 2024. gada 26. novembra rezolūcija par Komisijas Īstenošanas lēmumu (ES) 2024/1826, ar ko, ievērojot Eiropas Parlamenta un Padomes Regulu (EK) Nr. 1829/2003, atļauj laist tirgū produktus, kas satur ģenētiski modificētu kukurūzu DP23211, sastāv vai ir ražoti no tās (OV C, C/2025/1802, 4.4.2025., ELI: </w:t>
      </w:r>
      <w:hyperlink r:id="rId10" w:history="1">
        <w:r w:rsidRPr="008035BD" w:rsidR="00094C06">
          <w:rPr>
            <w:rStyle w:val="Hyperlink"/>
            <w:sz w:val="24"/>
            <w:lang w:val="lv-LV"/>
          </w:rPr>
          <w:t>http://data.europa.</w:t>
        </w:r>
        <w:r w:rsidRPr="008035BD" w:rsidR="00094C06">
          <w:rPr>
            <w:rStyle w:val="Hyperlink"/>
            <w:sz w:val="24"/>
            <w:lang w:val="lv-LV"/>
          </w:rPr>
          <w:t>e</w:t>
        </w:r>
        <w:r w:rsidRPr="008035BD" w:rsidR="00094C06">
          <w:rPr>
            <w:rStyle w:val="Hyperlink"/>
            <w:sz w:val="24"/>
            <w:lang w:val="lv-LV"/>
          </w:rPr>
          <w:t>u/eli/C/2025/1802/oj</w:t>
        </w:r>
      </w:hyperlink>
      <w:r w:rsidRPr="00FC2E0E">
        <w:rPr>
          <w:color w:val="000000" w:themeColor="text1"/>
          <w:sz w:val="24"/>
          <w:lang w:val="lv-LV"/>
        </w:rPr>
        <w:t>).</w:t>
      </w:r>
    </w:p>
    <w:p w:rsidR="008936A1" w:rsidRPr="00FC2E0E" w:rsidP="001E4FC9" w14:paraId="3294AF85" w14:textId="3B045792">
      <w:pPr>
        <w:pStyle w:val="FootnoteText"/>
        <w:ind w:left="1134" w:hanging="567"/>
        <w:rPr>
          <w:color w:val="000000" w:themeColor="text1"/>
          <w:sz w:val="24"/>
          <w:vertAlign w:val="superscript"/>
          <w:lang w:val="lv-LV"/>
        </w:rPr>
      </w:pPr>
      <w:r w:rsidRPr="00FC2E0E">
        <w:rPr>
          <w:color w:val="000000" w:themeColor="text1"/>
          <w:sz w:val="24"/>
          <w:lang w:val="lv-LV"/>
        </w:rPr>
        <w:t>–</w:t>
      </w:r>
      <w:r w:rsidRPr="00FC2E0E">
        <w:rPr>
          <w:color w:val="000000" w:themeColor="text1"/>
          <w:sz w:val="24"/>
          <w:lang w:val="lv-LV"/>
        </w:rPr>
        <w:tab/>
        <w:t>Eiropas Parlamenta 2024. gada 26. novembra rezolūcija par Komisijas Īstenošanas lēmumu (ES) 2024/2618, ar ko, ievērojot Eiropas Parlamenta un Padomes Regulu (EK) Nr. 1829/2003, atļauj laist tirgū produktus, kas satur ģenētiski modificētu kukurūzu DP202216, sastāv vai ir ražoti no tās (OV C, C/2025/1803, 4.4.2025., ELI: </w:t>
      </w:r>
      <w:hyperlink r:id="rId11" w:history="1">
        <w:r w:rsidRPr="008035BD" w:rsidR="00094C06">
          <w:rPr>
            <w:rStyle w:val="Hyperlink"/>
            <w:sz w:val="24"/>
            <w:lang w:val="lv-LV"/>
          </w:rPr>
          <w:t>http://data.eur</w:t>
        </w:r>
        <w:r w:rsidRPr="008035BD" w:rsidR="00094C06">
          <w:rPr>
            <w:rStyle w:val="Hyperlink"/>
            <w:sz w:val="24"/>
            <w:lang w:val="lv-LV"/>
          </w:rPr>
          <w:t>o</w:t>
        </w:r>
        <w:r w:rsidRPr="008035BD" w:rsidR="00094C06">
          <w:rPr>
            <w:rStyle w:val="Hyperlink"/>
            <w:sz w:val="24"/>
            <w:lang w:val="lv-LV"/>
          </w:rPr>
          <w:t>pa.eu/eli/C/2025/1803/oj</w:t>
        </w:r>
      </w:hyperlink>
      <w:r w:rsidRPr="00FC2E0E">
        <w:rPr>
          <w:color w:val="000000" w:themeColor="text1"/>
          <w:sz w:val="24"/>
          <w:lang w:val="lv-LV"/>
        </w:rPr>
        <w:t>).</w:t>
      </w:r>
    </w:p>
    <w:p w:rsidR="008936A1" w:rsidRPr="00FC2E0E" w:rsidP="001E4FC9" w14:paraId="0D1E51F1" w14:textId="42D573A8">
      <w:pPr>
        <w:pStyle w:val="FootnoteText"/>
        <w:ind w:left="1134" w:hanging="567"/>
        <w:rPr>
          <w:color w:val="000000" w:themeColor="text1"/>
          <w:sz w:val="24"/>
          <w:vertAlign w:val="superscript"/>
          <w:lang w:val="lv-LV"/>
        </w:rPr>
      </w:pPr>
      <w:r w:rsidRPr="00FC2E0E">
        <w:rPr>
          <w:color w:val="000000" w:themeColor="text1"/>
          <w:sz w:val="24"/>
          <w:lang w:val="lv-LV"/>
        </w:rPr>
        <w:t>–</w:t>
      </w:r>
      <w:r w:rsidRPr="00FC2E0E">
        <w:rPr>
          <w:color w:val="000000" w:themeColor="text1"/>
          <w:sz w:val="24"/>
          <w:lang w:val="lv-LV"/>
        </w:rPr>
        <w:tab/>
        <w:t>Eiropas Parlamenta 2024. gada 26. novembra rezolūcija par projektu Komisijas īstenošanas lēmumam, ar ko, ievērojot Eiropas Parlamenta un Padomes Regulu (EK) Nr. 1829/2003, atļauj laist tirgū produktus, kas satur ģenētiski modificētu kukurūzu MON 94804, sastāv vai ir ražoti no tās (OV C, C/2025/1804, 4.4.2025., ELI: </w:t>
      </w:r>
      <w:hyperlink r:id="rId12" w:history="1">
        <w:r w:rsidRPr="008035BD" w:rsidR="00094C06">
          <w:rPr>
            <w:rStyle w:val="Hyperlink"/>
            <w:sz w:val="24"/>
            <w:lang w:val="lv-LV"/>
          </w:rPr>
          <w:t>http://data.europa.eu/eli/C/202</w:t>
        </w:r>
        <w:r w:rsidRPr="008035BD" w:rsidR="00094C06">
          <w:rPr>
            <w:rStyle w:val="Hyperlink"/>
            <w:sz w:val="24"/>
            <w:lang w:val="lv-LV"/>
          </w:rPr>
          <w:t>5</w:t>
        </w:r>
        <w:r w:rsidRPr="008035BD" w:rsidR="00094C06">
          <w:rPr>
            <w:rStyle w:val="Hyperlink"/>
            <w:sz w:val="24"/>
            <w:lang w:val="lv-LV"/>
          </w:rPr>
          <w:t>/1804/oj</w:t>
        </w:r>
      </w:hyperlink>
      <w:r w:rsidRPr="00FC2E0E">
        <w:rPr>
          <w:color w:val="000000" w:themeColor="text1"/>
          <w:sz w:val="24"/>
          <w:lang w:val="lv-LV"/>
        </w:rPr>
        <w:t>).</w:t>
      </w:r>
    </w:p>
    <w:p w:rsidR="008936A1" w:rsidRPr="00FC2E0E" w:rsidP="001E4FC9" w14:paraId="5F3A4F1C" w14:textId="05E815A9">
      <w:pPr>
        <w:pStyle w:val="FootnoteText"/>
        <w:ind w:left="1134" w:hanging="567"/>
        <w:rPr>
          <w:sz w:val="24"/>
          <w:vertAlign w:val="superscript"/>
          <w:lang w:val="lv-LV"/>
        </w:rPr>
      </w:pPr>
      <w:r w:rsidRPr="00FC2E0E">
        <w:rPr>
          <w:color w:val="000000" w:themeColor="text1"/>
          <w:sz w:val="24"/>
          <w:lang w:val="lv-LV"/>
        </w:rPr>
        <w:t>–</w:t>
      </w:r>
      <w:r w:rsidRPr="00FC2E0E">
        <w:rPr>
          <w:color w:val="000000" w:themeColor="text1"/>
          <w:sz w:val="24"/>
          <w:lang w:val="lv-LV"/>
        </w:rPr>
        <w:tab/>
      </w:r>
      <w:r w:rsidRPr="00FC2E0E">
        <w:rPr>
          <w:sz w:val="24"/>
          <w:lang w:val="lv-LV"/>
        </w:rPr>
        <w:t>Eiropas Parlamenta 2025. gada 12. februāra rezolūcija par projektu Komisijas īstenošanas lēmumam, ar ko, ievērojot Eiropas Parlamenta un Padomes Regulu (EK) Nr. 1829/2003, atļauj laist tirgū produktus, kas satur ģenētiski modificētu kukurūzu DP910521, no tās sastāv vai ir no tās ražoti (OV C, C/2025/2246, 29.4.2025., ELI: </w:t>
      </w:r>
      <w:hyperlink r:id="rId13" w:history="1">
        <w:r w:rsidRPr="008035BD" w:rsidR="00094C06">
          <w:rPr>
            <w:rStyle w:val="Hyperlink"/>
            <w:sz w:val="24"/>
            <w:lang w:val="lv-LV"/>
          </w:rPr>
          <w:t>http://data.europa.</w:t>
        </w:r>
        <w:r w:rsidRPr="008035BD" w:rsidR="00094C06">
          <w:rPr>
            <w:rStyle w:val="Hyperlink"/>
            <w:sz w:val="24"/>
            <w:lang w:val="lv-LV"/>
          </w:rPr>
          <w:t>e</w:t>
        </w:r>
        <w:r w:rsidRPr="008035BD" w:rsidR="00094C06">
          <w:rPr>
            <w:rStyle w:val="Hyperlink"/>
            <w:sz w:val="24"/>
            <w:lang w:val="lv-LV"/>
          </w:rPr>
          <w:t>u/eli/C/2025/2246/oj</w:t>
        </w:r>
      </w:hyperlink>
      <w:r w:rsidRPr="00FC2E0E">
        <w:rPr>
          <w:sz w:val="24"/>
          <w:lang w:val="lv-LV"/>
        </w:rPr>
        <w:t>).</w:t>
      </w:r>
    </w:p>
    <w:p w:rsidR="008936A1" w:rsidRPr="00FC2E0E" w:rsidP="001E4FC9" w14:paraId="5AF9C6BA" w14:textId="2452E684">
      <w:pPr>
        <w:pStyle w:val="FootnoteText"/>
        <w:ind w:left="1134" w:hanging="567"/>
        <w:rPr>
          <w:sz w:val="24"/>
          <w:vertAlign w:val="superscript"/>
          <w:lang w:val="lv-LV"/>
        </w:rPr>
      </w:pPr>
      <w:r w:rsidRPr="00FC2E0E">
        <w:rPr>
          <w:sz w:val="24"/>
          <w:lang w:val="lv-LV"/>
        </w:rPr>
        <w:t>–</w:t>
      </w:r>
      <w:r w:rsidRPr="00FC2E0E">
        <w:rPr>
          <w:sz w:val="24"/>
          <w:lang w:val="lv-LV"/>
        </w:rPr>
        <w:tab/>
        <w:t>Eiropas Parlamenta 2025. gada 12. februāra rezolūcija par projektu Komisijas īstenošanas lēmumam, ar ko atbilstoši Eiropas Parlamenta un Padomes Regulai (EK) Nr. 1829/2003 atļauj laist tirgū produktus, kas satur ģenētiski modificētu kukurūzu MON 95275, no tās sastāv vai ir no tās ražoti (OV C, C/2025/2247, 29.4.2025., ELI: </w:t>
      </w:r>
      <w:hyperlink r:id="rId14" w:history="1">
        <w:r w:rsidRPr="008035BD" w:rsidR="00094C06">
          <w:rPr>
            <w:rStyle w:val="Hyperlink"/>
            <w:sz w:val="24"/>
            <w:lang w:val="lv-LV"/>
          </w:rPr>
          <w:t>http://data.europa.eu/e</w:t>
        </w:r>
        <w:r w:rsidRPr="008035BD" w:rsidR="00094C06">
          <w:rPr>
            <w:rStyle w:val="Hyperlink"/>
            <w:sz w:val="24"/>
            <w:lang w:val="lv-LV"/>
          </w:rPr>
          <w:t>l</w:t>
        </w:r>
        <w:r w:rsidRPr="008035BD" w:rsidR="00094C06">
          <w:rPr>
            <w:rStyle w:val="Hyperlink"/>
            <w:sz w:val="24"/>
            <w:lang w:val="lv-LV"/>
          </w:rPr>
          <w:t>i/C/2025/2247/oj</w:t>
        </w:r>
      </w:hyperlink>
      <w:r w:rsidRPr="00FC2E0E">
        <w:rPr>
          <w:sz w:val="24"/>
          <w:lang w:val="lv-LV"/>
        </w:rPr>
        <w:t>).</w:t>
      </w:r>
    </w:p>
    <w:p w:rsidR="008936A1" w:rsidRPr="00FC2E0E" w:rsidP="001E4FC9" w14:paraId="3B49BA71" w14:textId="3FD60B63">
      <w:pPr>
        <w:pStyle w:val="FootnoteText"/>
        <w:ind w:left="1134" w:hanging="567"/>
        <w:rPr>
          <w:sz w:val="24"/>
          <w:vertAlign w:val="superscript"/>
          <w:lang w:val="lv-LV"/>
        </w:rPr>
      </w:pPr>
      <w:r w:rsidRPr="00FC2E0E">
        <w:rPr>
          <w:sz w:val="24"/>
          <w:lang w:val="lv-LV"/>
        </w:rPr>
        <w:t>–</w:t>
      </w:r>
      <w:r w:rsidRPr="00FC2E0E">
        <w:rPr>
          <w:sz w:val="24"/>
          <w:lang w:val="lv-LV"/>
        </w:rPr>
        <w:tab/>
        <w:t xml:space="preserve">Eiropas Parlamenta 2025. gada 8. maija rezolūcija par projektu Komisijas īstenošanas lēmumam, ar ko, ievērojot Eiropas Parlamenta un Padomes Regulu (EK) Nr. 1829/2003, atļauj laist tirgū produktus, kas satur ģenētiski modificētu kukurūzu MON 87705 × MON 87708 × MON 89788, sastāv vai ir ražoti no tās (OV C, C/2026/586, </w:t>
      </w:r>
      <w:r w:rsidR="002C6580">
        <w:rPr>
          <w:sz w:val="24"/>
          <w:lang w:val="lv-LV"/>
        </w:rPr>
        <w:t>2</w:t>
      </w:r>
      <w:r w:rsidRPr="00FC2E0E">
        <w:rPr>
          <w:sz w:val="24"/>
          <w:lang w:val="lv-LV"/>
        </w:rPr>
        <w:t>4.</w:t>
      </w:r>
      <w:r w:rsidR="002C6580">
        <w:rPr>
          <w:sz w:val="24"/>
          <w:lang w:val="lv-LV"/>
        </w:rPr>
        <w:t>2</w:t>
      </w:r>
      <w:r w:rsidRPr="00FC2E0E">
        <w:rPr>
          <w:sz w:val="24"/>
          <w:lang w:val="lv-LV"/>
        </w:rPr>
        <w:t>.2026., ELI: </w:t>
      </w:r>
      <w:hyperlink r:id="rId15" w:history="1">
        <w:r w:rsidRPr="008035BD" w:rsidR="00094C06">
          <w:rPr>
            <w:rStyle w:val="Hyperlink"/>
            <w:sz w:val="24"/>
            <w:lang w:val="lv-LV"/>
          </w:rPr>
          <w:t>http://data.eur</w:t>
        </w:r>
        <w:r w:rsidRPr="008035BD" w:rsidR="00094C06">
          <w:rPr>
            <w:rStyle w:val="Hyperlink"/>
            <w:sz w:val="24"/>
            <w:lang w:val="lv-LV"/>
          </w:rPr>
          <w:t>o</w:t>
        </w:r>
        <w:r w:rsidRPr="008035BD" w:rsidR="00094C06">
          <w:rPr>
            <w:rStyle w:val="Hyperlink"/>
            <w:sz w:val="24"/>
            <w:lang w:val="lv-LV"/>
          </w:rPr>
          <w:t>pa.eu/eli/C/2026/586/oj</w:t>
        </w:r>
      </w:hyperlink>
      <w:r w:rsidRPr="00FC2E0E">
        <w:rPr>
          <w:sz w:val="24"/>
          <w:lang w:val="lv-LV"/>
        </w:rPr>
        <w:t>).</w:t>
      </w:r>
    </w:p>
    <w:p w:rsidR="008936A1" w:rsidRPr="00FC2E0E" w:rsidP="001E4FC9" w14:paraId="168257F8" w14:textId="49E671AC">
      <w:pPr>
        <w:pStyle w:val="FootnoteText"/>
        <w:ind w:left="1134" w:hanging="567"/>
        <w:rPr>
          <w:sz w:val="24"/>
          <w:vertAlign w:val="superscript"/>
          <w:lang w:val="lv-LV"/>
        </w:rPr>
      </w:pPr>
      <w:r w:rsidRPr="00FC2E0E">
        <w:rPr>
          <w:sz w:val="24"/>
          <w:lang w:val="lv-LV"/>
        </w:rPr>
        <w:t>–</w:t>
      </w:r>
      <w:r w:rsidRPr="00FC2E0E">
        <w:rPr>
          <w:sz w:val="24"/>
          <w:lang w:val="lv-LV"/>
        </w:rPr>
        <w:tab/>
      </w:r>
      <w:r w:rsidRPr="00FC2E0E">
        <w:rPr>
          <w:sz w:val="24"/>
          <w:lang w:val="lv-LV"/>
        </w:rPr>
        <w:t>Eiropas Parlamenta 2025. gada 8. oktobra rezolūcija par Komisijas Īstenošanas lēmumu (ES) 2025/1898 (2025. gada 22. septembris), ar ko, ievērojot Eiropas Parlamenta un Padomes Regulu (EK) Nr. 1829/2003, atļauj laist tirgū produktus, kas satur ģenētiski modificētu kukurūzu DP51291, sastāv vai ir ražoti no tās (OV C, C/2026/1523, 15.4.2026., ELI: </w:t>
      </w:r>
      <w:hyperlink r:id="rId16" w:history="1">
        <w:r w:rsidRPr="008035BD" w:rsidR="00094C06">
          <w:rPr>
            <w:rStyle w:val="Hyperlink"/>
            <w:sz w:val="24"/>
            <w:lang w:val="lv-LV"/>
          </w:rPr>
          <w:t>http://data.e</w:t>
        </w:r>
        <w:r w:rsidRPr="008035BD" w:rsidR="00094C06">
          <w:rPr>
            <w:rStyle w:val="Hyperlink"/>
            <w:sz w:val="24"/>
            <w:lang w:val="lv-LV"/>
          </w:rPr>
          <w:t>u</w:t>
        </w:r>
        <w:r w:rsidRPr="008035BD" w:rsidR="00094C06">
          <w:rPr>
            <w:rStyle w:val="Hyperlink"/>
            <w:sz w:val="24"/>
            <w:lang w:val="lv-LV"/>
          </w:rPr>
          <w:t>ropa.eu/eli/C/2026/1523/oj</w:t>
        </w:r>
      </w:hyperlink>
      <w:r w:rsidRPr="00FC2E0E">
        <w:rPr>
          <w:sz w:val="24"/>
          <w:lang w:val="lv-LV"/>
        </w:rPr>
        <w:t>).</w:t>
      </w:r>
    </w:p>
    <w:p w:rsidR="008936A1" w:rsidRPr="00FC2E0E" w:rsidP="001E4FC9" w14:paraId="2175938C" w14:textId="6762546B">
      <w:pPr>
        <w:pStyle w:val="FootnoteText"/>
        <w:ind w:left="1134" w:hanging="567"/>
        <w:rPr>
          <w:sz w:val="24"/>
          <w:vertAlign w:val="superscript"/>
          <w:lang w:val="lv-LV"/>
        </w:rPr>
      </w:pPr>
      <w:r w:rsidRPr="00FC2E0E">
        <w:rPr>
          <w:sz w:val="24"/>
          <w:lang w:val="lv-LV"/>
        </w:rPr>
        <w:t>–</w:t>
      </w:r>
      <w:r w:rsidRPr="00FC2E0E">
        <w:rPr>
          <w:sz w:val="24"/>
          <w:lang w:val="lv-LV"/>
        </w:rPr>
        <w:tab/>
        <w:t>Eiropas Parlamenta 2025. gada 25. novembra rezolūcija par projektu Komisijas īstenošanas lēmumam, ar ko, ievērojot Eiropas Parlamenta un Padomes Regulu (EK) Nr. 1829/2003, atļauj laist tirgū produktus, kas satur ģenētiski modificētu kukurūzu DAS1131, no tās sastāv vai ir no tās ražoti (OV C, C/2026/1703, 24.4.2026., ELI: </w:t>
      </w:r>
      <w:hyperlink r:id="rId17" w:history="1">
        <w:r w:rsidRPr="00FC2E0E">
          <w:rPr>
            <w:rStyle w:val="Hyperlink"/>
            <w:sz w:val="24"/>
            <w:lang w:val="lv-LV"/>
          </w:rPr>
          <w:t>http://data.europa.eu/eli/C/202</w:t>
        </w:r>
        <w:r w:rsidRPr="00FC2E0E">
          <w:rPr>
            <w:rStyle w:val="Hyperlink"/>
            <w:sz w:val="24"/>
            <w:lang w:val="lv-LV"/>
          </w:rPr>
          <w:t>6</w:t>
        </w:r>
        <w:r w:rsidRPr="00FC2E0E">
          <w:rPr>
            <w:rStyle w:val="Hyperlink"/>
            <w:sz w:val="24"/>
            <w:lang w:val="lv-LV"/>
          </w:rPr>
          <w:t>/1703/oj</w:t>
        </w:r>
      </w:hyperlink>
      <w:r w:rsidRPr="00FC2E0E">
        <w:rPr>
          <w:sz w:val="24"/>
          <w:lang w:val="lv-LV"/>
        </w:rPr>
        <w:t>).</w:t>
      </w:r>
    </w:p>
    <w:p w:rsidR="008936A1" w:rsidRPr="00FC2E0E" w:rsidP="001E4FC9" w14:paraId="36AA1C28" w14:textId="7996C976">
      <w:pPr>
        <w:pStyle w:val="FootnoteText"/>
        <w:ind w:left="1134" w:hanging="567"/>
        <w:rPr>
          <w:sz w:val="24"/>
          <w:vertAlign w:val="superscript"/>
          <w:lang w:val="lv-LV"/>
        </w:rPr>
      </w:pPr>
      <w:r w:rsidRPr="00FC2E0E">
        <w:rPr>
          <w:sz w:val="24"/>
          <w:lang w:val="lv-LV"/>
        </w:rPr>
        <w:t>–</w:t>
      </w:r>
      <w:r w:rsidRPr="00FC2E0E">
        <w:rPr>
          <w:sz w:val="24"/>
          <w:lang w:val="lv-LV"/>
        </w:rPr>
        <w:tab/>
        <w:t>Eiropas Parlamenta 2025. gada 25. novembra rezolūcija par projektu Komisijas īstenošanas lēmumam, ar kuru atbilstoši Eiropas Parlamenta un Padomes Regulai (EK) Nr. 1829/2003 atjauno atļauju laist tirgū produktus, kas satur ģenētiski modificētu kokvilnu MON 88913 (MON-88913-8), sastāv vai ir ražoti no tās (OV C, C/2026/1704, 24.4.2026., ELI: </w:t>
      </w:r>
      <w:hyperlink r:id="rId18" w:history="1">
        <w:r w:rsidRPr="008035BD" w:rsidR="00094C06">
          <w:rPr>
            <w:rStyle w:val="Hyperlink"/>
            <w:sz w:val="24"/>
            <w:lang w:val="lv-LV"/>
          </w:rPr>
          <w:t>http://data.europa.eu/eli/</w:t>
        </w:r>
        <w:r w:rsidRPr="008035BD" w:rsidR="00094C06">
          <w:rPr>
            <w:rStyle w:val="Hyperlink"/>
            <w:sz w:val="24"/>
            <w:lang w:val="lv-LV"/>
          </w:rPr>
          <w:t>C</w:t>
        </w:r>
        <w:r w:rsidRPr="008035BD" w:rsidR="00094C06">
          <w:rPr>
            <w:rStyle w:val="Hyperlink"/>
            <w:sz w:val="24"/>
            <w:lang w:val="lv-LV"/>
          </w:rPr>
          <w:t>/</w:t>
        </w:r>
        <w:r w:rsidRPr="008035BD" w:rsidR="00094C06">
          <w:rPr>
            <w:rStyle w:val="Hyperlink"/>
            <w:sz w:val="24"/>
            <w:lang w:val="lv-LV"/>
          </w:rPr>
          <w:t>2026/1704/oj</w:t>
        </w:r>
      </w:hyperlink>
      <w:r w:rsidRPr="00FC2E0E">
        <w:rPr>
          <w:sz w:val="24"/>
          <w:lang w:val="lv-LV"/>
        </w:rPr>
        <w:t>).</w:t>
      </w:r>
    </w:p>
    <w:p w:rsidR="008936A1" w:rsidRPr="00FC2E0E" w:rsidP="001E4FC9" w14:paraId="3706EA25" w14:textId="35230E6F">
      <w:pPr>
        <w:pStyle w:val="FootnoteText"/>
        <w:ind w:left="1134" w:hanging="567"/>
        <w:rPr>
          <w:sz w:val="24"/>
          <w:vertAlign w:val="superscript"/>
          <w:lang w:val="lv-LV"/>
        </w:rPr>
      </w:pPr>
      <w:r w:rsidRPr="00FC2E0E">
        <w:rPr>
          <w:sz w:val="24"/>
          <w:lang w:val="lv-LV"/>
        </w:rPr>
        <w:t>–</w:t>
      </w:r>
      <w:r w:rsidRPr="00FC2E0E">
        <w:rPr>
          <w:sz w:val="24"/>
          <w:lang w:val="lv-LV"/>
        </w:rPr>
        <w:tab/>
        <w:t>Eiropas Parlamenta 2025. gada 25. novembra rezolūcija par projektu Komisijas īstenošanas lēmumam, ar kuru atbilstoši Eiropas Parlamenta un Padomes Regulai (EK) Nr. 1829/2003 atjauno atļauju laist tirgū produktus, kas satur ģenētiski modificētu eļļas rapsi MON 88302, sastāv vai ir ražoti no tā (OV C, C/2026/1705, 24.4.2026., ELI: </w:t>
      </w:r>
      <w:hyperlink r:id="rId19" w:history="1">
        <w:r w:rsidRPr="008035BD" w:rsidR="00094C06">
          <w:rPr>
            <w:rStyle w:val="Hyperlink"/>
            <w:sz w:val="24"/>
            <w:lang w:val="lv-LV"/>
          </w:rPr>
          <w:t>http://data.europa.eu/</w:t>
        </w:r>
        <w:r w:rsidRPr="008035BD" w:rsidR="00094C06">
          <w:rPr>
            <w:rStyle w:val="Hyperlink"/>
            <w:sz w:val="24"/>
            <w:lang w:val="lv-LV"/>
          </w:rPr>
          <w:t>e</w:t>
        </w:r>
        <w:r w:rsidRPr="008035BD" w:rsidR="00094C06">
          <w:rPr>
            <w:rStyle w:val="Hyperlink"/>
            <w:sz w:val="24"/>
            <w:lang w:val="lv-LV"/>
          </w:rPr>
          <w:t>li/C/2026/1705/oj</w:t>
        </w:r>
      </w:hyperlink>
      <w:r w:rsidRPr="00FC2E0E">
        <w:rPr>
          <w:sz w:val="24"/>
          <w:lang w:val="lv-LV"/>
        </w:rPr>
        <w:t>).</w:t>
      </w:r>
    </w:p>
    <w:p w:rsidR="008936A1" w:rsidRPr="00FC2E0E" w:rsidP="001E4FC9" w14:paraId="1F516F73" w14:textId="75647221">
      <w:pPr>
        <w:pStyle w:val="FootnoteText"/>
        <w:ind w:left="1134" w:hanging="567"/>
        <w:rPr>
          <w:sz w:val="24"/>
          <w:vertAlign w:val="superscript"/>
          <w:lang w:val="lv-LV"/>
        </w:rPr>
      </w:pPr>
      <w:r w:rsidRPr="00FC2E0E">
        <w:rPr>
          <w:sz w:val="24"/>
          <w:lang w:val="lv-LV"/>
        </w:rPr>
        <w:t>–</w:t>
      </w:r>
      <w:r w:rsidRPr="00FC2E0E">
        <w:rPr>
          <w:sz w:val="24"/>
          <w:lang w:val="lv-LV"/>
        </w:rPr>
        <w:tab/>
        <w:t>Eiropas Parlamenta 2025. gada 25. novembra rezolūcija par Komisijas Īstenošanas lēmumu, ar kuru atbilstoši Eiropas Parlamenta un Padomes Regulai (EK) Nr. 1829/2003 atjauno atļauju laist tirgū produktus, kas satur ģenētiski modificētas sojas pupas MON 87708, sastāv vai ir ražoti no tās (OV C, C/2026/1706, 24.4.2026., ELI: </w:t>
      </w:r>
      <w:hyperlink r:id="rId20" w:history="1">
        <w:r w:rsidRPr="008035BD" w:rsidR="00094C06">
          <w:rPr>
            <w:rStyle w:val="Hyperlink"/>
            <w:sz w:val="24"/>
            <w:lang w:val="lv-LV"/>
          </w:rPr>
          <w:t>http://data.europ</w:t>
        </w:r>
        <w:r w:rsidRPr="008035BD" w:rsidR="00094C06">
          <w:rPr>
            <w:rStyle w:val="Hyperlink"/>
            <w:sz w:val="24"/>
            <w:lang w:val="lv-LV"/>
          </w:rPr>
          <w:t>a</w:t>
        </w:r>
        <w:r w:rsidRPr="008035BD" w:rsidR="00094C06">
          <w:rPr>
            <w:rStyle w:val="Hyperlink"/>
            <w:sz w:val="24"/>
            <w:lang w:val="lv-LV"/>
          </w:rPr>
          <w:t>.eu/eli/C/2026/1706/oj</w:t>
        </w:r>
      </w:hyperlink>
      <w:r w:rsidRPr="00FC2E0E">
        <w:rPr>
          <w:sz w:val="24"/>
          <w:lang w:val="lv-LV"/>
        </w:rPr>
        <w:t>).</w:t>
      </w:r>
    </w:p>
    <w:p w:rsidR="008936A1" w:rsidRPr="00FC2E0E" w:rsidP="001E4FC9" w14:paraId="122D58BC" w14:textId="3AAD3714">
      <w:pPr>
        <w:pStyle w:val="FootnoteText"/>
        <w:ind w:left="1134" w:hanging="567"/>
        <w:rPr>
          <w:sz w:val="24"/>
          <w:vertAlign w:val="superscript"/>
          <w:lang w:val="lv-LV"/>
        </w:rPr>
      </w:pPr>
      <w:r w:rsidRPr="00FC2E0E">
        <w:rPr>
          <w:sz w:val="24"/>
          <w:lang w:val="lv-LV"/>
        </w:rPr>
        <w:t>–</w:t>
      </w:r>
      <w:r w:rsidRPr="00FC2E0E">
        <w:rPr>
          <w:sz w:val="24"/>
          <w:lang w:val="lv-LV"/>
        </w:rPr>
        <w:tab/>
        <w:t>Eiropas Parlamenta 2025. gada 25. novembra rezolūcija par projektu Komisijas īstenošanas lēmumam, ar kuru saskaņā ar Eiropas Parlamenta un Padomes Regulu (EK) Nr. 1829/2003 atjauno atļauju laist tirgū produktus, kas satur ģenētiski modificētu kukurūzu MON 87427, sastāv vai ir ražoti no tās (OV C, C/2026/1707, 24.4.2026., ELI: </w:t>
      </w:r>
      <w:hyperlink r:id="rId21" w:history="1">
        <w:r w:rsidRPr="008035BD" w:rsidR="00094C06">
          <w:rPr>
            <w:rStyle w:val="Hyperlink"/>
            <w:sz w:val="24"/>
            <w:lang w:val="lv-LV"/>
          </w:rPr>
          <w:t>http://data.europ</w:t>
        </w:r>
        <w:r w:rsidRPr="008035BD" w:rsidR="00094C06">
          <w:rPr>
            <w:rStyle w:val="Hyperlink"/>
            <w:sz w:val="24"/>
            <w:lang w:val="lv-LV"/>
          </w:rPr>
          <w:t>a</w:t>
        </w:r>
        <w:r w:rsidRPr="008035BD" w:rsidR="00094C06">
          <w:rPr>
            <w:rStyle w:val="Hyperlink"/>
            <w:sz w:val="24"/>
            <w:lang w:val="lv-LV"/>
          </w:rPr>
          <w:t>.eu/</w:t>
        </w:r>
        <w:r w:rsidRPr="008035BD" w:rsidR="00094C06">
          <w:rPr>
            <w:rStyle w:val="Hyperlink"/>
            <w:sz w:val="24"/>
            <w:lang w:val="lv-LV"/>
          </w:rPr>
          <w:t>e</w:t>
        </w:r>
        <w:r w:rsidRPr="008035BD" w:rsidR="00094C06">
          <w:rPr>
            <w:rStyle w:val="Hyperlink"/>
            <w:sz w:val="24"/>
            <w:lang w:val="lv-LV"/>
          </w:rPr>
          <w:t>li/C/2026/1707/oj</w:t>
        </w:r>
      </w:hyperlink>
      <w:r w:rsidRPr="00FC2E0E">
        <w:rPr>
          <w:sz w:val="24"/>
          <w:lang w:val="lv-LV"/>
        </w:rPr>
        <w:t>).</w:t>
      </w:r>
    </w:p>
    <w:p w:rsidR="008936A1" w:rsidRPr="00FC2E0E" w:rsidP="001E4FC9" w14:paraId="70B1E27C" w14:textId="72546DBE">
      <w:pPr>
        <w:pStyle w:val="FootnoteText"/>
        <w:ind w:left="1134" w:hanging="567"/>
        <w:rPr>
          <w:sz w:val="24"/>
          <w:vertAlign w:val="superscript"/>
          <w:lang w:val="lv-LV"/>
        </w:rPr>
      </w:pPr>
      <w:r w:rsidRPr="00FC2E0E">
        <w:rPr>
          <w:sz w:val="24"/>
          <w:lang w:val="lv-LV"/>
        </w:rPr>
        <w:t>–</w:t>
      </w:r>
      <w:r w:rsidRPr="00FC2E0E">
        <w:rPr>
          <w:sz w:val="24"/>
          <w:lang w:val="lv-LV"/>
        </w:rPr>
        <w:tab/>
        <w:t>Eiropas Parlamenta 2025. gada 16. decembra rezolūcija par projektu Komisijas īstenošanas lēmumam, ar kuru saskaņā ar Eiropas Parlamenta un Padomes Regulu (EK) Nr. 1829/2003 atjauno atļauju laist tirgū produktus, kas satur ģenētiski modificētu kukurūzu NK603, sastāv vai ir ražoti no tās (</w:t>
      </w:r>
      <w:r w:rsidRPr="00094C06">
        <w:rPr>
          <w:sz w:val="24"/>
          <w:lang w:val="lv-LV"/>
        </w:rPr>
        <w:t>O</w:t>
      </w:r>
      <w:r w:rsidRPr="00094C06" w:rsidR="00094C06">
        <w:rPr>
          <w:sz w:val="24"/>
          <w:lang w:val="lv-LV"/>
        </w:rPr>
        <w:t>V</w:t>
      </w:r>
      <w:r w:rsidRPr="00FC2E0E">
        <w:rPr>
          <w:sz w:val="24"/>
          <w:lang w:val="lv-LV"/>
        </w:rPr>
        <w:t xml:space="preserve"> C, C/2026/2150, 6.5.2026., ELI: </w:t>
      </w:r>
      <w:hyperlink r:id="rId22" w:history="1">
        <w:r w:rsidRPr="008035BD" w:rsidR="00094C06">
          <w:rPr>
            <w:rStyle w:val="Hyperlink"/>
            <w:sz w:val="24"/>
            <w:lang w:val="lv-LV"/>
          </w:rPr>
          <w:t>http://data.europ</w:t>
        </w:r>
        <w:r w:rsidRPr="008035BD" w:rsidR="00094C06">
          <w:rPr>
            <w:rStyle w:val="Hyperlink"/>
            <w:sz w:val="24"/>
            <w:lang w:val="lv-LV"/>
          </w:rPr>
          <w:t>a</w:t>
        </w:r>
        <w:r w:rsidRPr="008035BD" w:rsidR="00094C06">
          <w:rPr>
            <w:rStyle w:val="Hyperlink"/>
            <w:sz w:val="24"/>
            <w:lang w:val="lv-LV"/>
          </w:rPr>
          <w:t>.</w:t>
        </w:r>
        <w:r w:rsidRPr="008035BD" w:rsidR="00094C06">
          <w:rPr>
            <w:rStyle w:val="Hyperlink"/>
            <w:sz w:val="24"/>
            <w:lang w:val="lv-LV"/>
          </w:rPr>
          <w:t>e</w:t>
        </w:r>
        <w:r w:rsidRPr="008035BD" w:rsidR="00094C06">
          <w:rPr>
            <w:rStyle w:val="Hyperlink"/>
            <w:sz w:val="24"/>
            <w:lang w:val="lv-LV"/>
          </w:rPr>
          <w:t>u/eli/C/2</w:t>
        </w:r>
        <w:r w:rsidRPr="008035BD" w:rsidR="00094C06">
          <w:rPr>
            <w:rStyle w:val="Hyperlink"/>
            <w:sz w:val="24"/>
            <w:lang w:val="lv-LV"/>
          </w:rPr>
          <w:t>0</w:t>
        </w:r>
        <w:r w:rsidRPr="008035BD" w:rsidR="00094C06">
          <w:rPr>
            <w:rStyle w:val="Hyperlink"/>
            <w:sz w:val="24"/>
            <w:lang w:val="lv-LV"/>
          </w:rPr>
          <w:t>26/2150/oj</w:t>
        </w:r>
      </w:hyperlink>
      <w:r w:rsidRPr="00FC2E0E">
        <w:rPr>
          <w:sz w:val="24"/>
          <w:lang w:val="lv-LV"/>
        </w:rPr>
        <w:t>).</w:t>
      </w:r>
    </w:p>
    <w:p w:rsidR="008936A1" w:rsidRPr="00FC2E0E" w:rsidP="001E4FC9" w14:paraId="734AA61B" w14:textId="0E16C8AF">
      <w:pPr>
        <w:pStyle w:val="FootnoteText"/>
        <w:ind w:left="1134" w:hanging="567"/>
        <w:rPr>
          <w:sz w:val="24"/>
          <w:vertAlign w:val="superscript"/>
          <w:lang w:val="lv-LV"/>
        </w:rPr>
      </w:pPr>
      <w:r w:rsidRPr="00FC2E0E">
        <w:rPr>
          <w:sz w:val="24"/>
          <w:lang w:val="lv-LV"/>
        </w:rPr>
        <w:t>–</w:t>
      </w:r>
      <w:r w:rsidRPr="00FC2E0E">
        <w:rPr>
          <w:sz w:val="24"/>
          <w:lang w:val="lv-LV"/>
        </w:rPr>
        <w:tab/>
        <w:t>Eiropas Parlamenta 2025. gada 16. decembra rezolūcija par projektu Komisijas īstenošanas lēmumam, ar kuru saskaņā ar Eiropas Parlamenta un Padomes Regulu (EK) Nr. </w:t>
      </w:r>
      <w:r w:rsidR="00094C06">
        <w:rPr>
          <w:sz w:val="24"/>
          <w:lang w:val="lv-LV"/>
        </w:rPr>
        <w:t>1</w:t>
      </w:r>
      <w:r w:rsidRPr="00FC2E0E">
        <w:rPr>
          <w:sz w:val="24"/>
          <w:lang w:val="lv-LV"/>
        </w:rPr>
        <w:t>829/2003 atļauj laist tirgū pārtiku, pārtikas sastāvdaļas un barību, kas ražota no ģenētiski modificētām cukurbietēm KWS20–1 (OV C, C/2026/2151, 6.5.2026., ELI: </w:t>
      </w:r>
      <w:hyperlink r:id="rId23" w:history="1">
        <w:r w:rsidR="00094C06">
          <w:rPr>
            <w:rStyle w:val="Hyperlink"/>
            <w:sz w:val="24"/>
            <w:lang w:val="lv-LV"/>
          </w:rPr>
          <w:t>http://data.e</w:t>
        </w:r>
        <w:r w:rsidR="00094C06">
          <w:rPr>
            <w:rStyle w:val="Hyperlink"/>
            <w:sz w:val="24"/>
            <w:lang w:val="lv-LV"/>
          </w:rPr>
          <w:t>u</w:t>
        </w:r>
        <w:r w:rsidR="00094C06">
          <w:rPr>
            <w:rStyle w:val="Hyperlink"/>
            <w:sz w:val="24"/>
            <w:lang w:val="lv-LV"/>
          </w:rPr>
          <w:t>rop</w:t>
        </w:r>
        <w:r w:rsidR="00094C06">
          <w:rPr>
            <w:rStyle w:val="Hyperlink"/>
            <w:sz w:val="24"/>
            <w:lang w:val="lv-LV"/>
          </w:rPr>
          <w:t>a</w:t>
        </w:r>
        <w:r w:rsidR="00094C06">
          <w:rPr>
            <w:rStyle w:val="Hyperlink"/>
            <w:sz w:val="24"/>
            <w:lang w:val="lv-LV"/>
          </w:rPr>
          <w:t>.eu/eli/C/2026/2151/oj</w:t>
        </w:r>
      </w:hyperlink>
      <w:r w:rsidRPr="00FC2E0E">
        <w:rPr>
          <w:sz w:val="24"/>
          <w:lang w:val="lv-LV"/>
        </w:rPr>
        <w:t>).</w:t>
      </w:r>
    </w:p>
    <w:p w:rsidR="008936A1" w:rsidRPr="00FC2E0E" w:rsidP="001E4FC9" w14:paraId="11D34BC7" w14:textId="11A67349">
      <w:pPr>
        <w:pStyle w:val="FootnoteText"/>
        <w:ind w:left="1134" w:hanging="567"/>
        <w:rPr>
          <w:sz w:val="24"/>
          <w:vertAlign w:val="superscript"/>
          <w:lang w:val="lv-LV"/>
        </w:rPr>
      </w:pPr>
      <w:r w:rsidRPr="00FC2E0E">
        <w:rPr>
          <w:sz w:val="24"/>
          <w:lang w:val="lv-LV"/>
        </w:rPr>
        <w:t>–</w:t>
      </w:r>
      <w:r w:rsidRPr="00FC2E0E">
        <w:rPr>
          <w:sz w:val="24"/>
          <w:lang w:val="lv-LV"/>
        </w:rPr>
        <w:tab/>
        <w:t>Eiropas Parlamenta 2026. gada 11. februāra rezolūcija par projektu Komisijas īstenošanas lēmumam, ar ko atbilstoši Eiropas Parlamenta un Padomes Regulai (EK) Nr. 1829/2003 atļauj laist tirgū produktus, kas satur ģenētiski modificētas sojas pupas DBN-09004-6, sastāv vai ir ražoti no tām (Pieņemtie teksti, P10_TA(2026)0041);</w:t>
      </w:r>
    </w:p>
    <w:p w:rsidR="008936A1" w:rsidRPr="00FC2E0E" w:rsidP="001E4FC9" w14:paraId="720ECF68" w14:textId="39A179C2">
      <w:pPr>
        <w:pStyle w:val="FootnoteText"/>
        <w:ind w:left="1134" w:hanging="567"/>
        <w:rPr>
          <w:sz w:val="24"/>
          <w:vertAlign w:val="superscript"/>
          <w:lang w:val="lv-LV"/>
        </w:rPr>
      </w:pPr>
      <w:r w:rsidRPr="00FC2E0E">
        <w:rPr>
          <w:sz w:val="24"/>
          <w:lang w:val="lv-LV"/>
        </w:rPr>
        <w:t>–</w:t>
      </w:r>
      <w:r w:rsidRPr="00FC2E0E">
        <w:rPr>
          <w:sz w:val="24"/>
          <w:lang w:val="lv-LV"/>
        </w:rPr>
        <w:tab/>
        <w:t>Eiropas Parlamenta 2026. gada 11. februāra rezolūcija par projektu Komisijas īstenošanas lēmumam, ar ko atbilstoši Eiropas Parlamenta un Padomes Regulai (EK) Nr. 1829/2003 tiek atjaunota atļauja laist tirgū produktus, kas satur ģenētiski modificētu kukurūzu T25 (ACS-ZMØØ3-2), sastāv vai ir ražoti no tās (Pieņemtie teksti, P10_TA(2026)0042);</w:t>
      </w:r>
    </w:p>
    <w:p w:rsidR="008936A1" w:rsidRPr="00FC2E0E" w:rsidP="001E4FC9" w14:paraId="3D37B8E0" w14:textId="02C8D0D6">
      <w:pPr>
        <w:pStyle w:val="FootnoteText"/>
        <w:ind w:left="1134" w:hanging="567"/>
        <w:rPr>
          <w:sz w:val="24"/>
          <w:vertAlign w:val="superscript"/>
          <w:lang w:val="lv-LV"/>
        </w:rPr>
      </w:pPr>
      <w:r w:rsidRPr="00FC2E0E">
        <w:rPr>
          <w:sz w:val="24"/>
          <w:lang w:val="lv-LV"/>
        </w:rPr>
        <w:t>–</w:t>
      </w:r>
      <w:r w:rsidRPr="00FC2E0E">
        <w:rPr>
          <w:sz w:val="24"/>
          <w:lang w:val="lv-LV"/>
        </w:rPr>
        <w:tab/>
        <w:t>Eiropas Parlamenta 2026. gada 11. februāra rezolūcija par projektu Komisijas īstenošanas lēmumam, ar ko atbilstoši Eiropas Parlamenta un Padomes Regulai (EK) Nr. 1829/2003 atjauno atļauju laist tirgū produktus, kas satur ģenētiski modificētu kokvilnu GHB614 × LLCotton25, sastāv vai ir ražoti no tās (Pieņemtie teksti, P10_TA(2026)0043);</w:t>
      </w:r>
    </w:p>
    <w:p w:rsidR="008936A1" w:rsidRPr="00FC2E0E" w:rsidP="001E4FC9" w14:paraId="39BCB78D" w14:textId="5C755CA8">
      <w:pPr>
        <w:pStyle w:val="FootnoteText"/>
        <w:ind w:left="1134" w:hanging="567"/>
        <w:rPr>
          <w:sz w:val="24"/>
          <w:vertAlign w:val="superscript"/>
          <w:lang w:val="lv-LV"/>
        </w:rPr>
      </w:pPr>
      <w:r w:rsidRPr="00FC2E0E">
        <w:rPr>
          <w:sz w:val="24"/>
          <w:lang w:val="lv-LV"/>
        </w:rPr>
        <w:t>–</w:t>
      </w:r>
      <w:r w:rsidRPr="00FC2E0E">
        <w:rPr>
          <w:sz w:val="24"/>
          <w:lang w:val="lv-LV"/>
        </w:rPr>
        <w:tab/>
        <w:t>Eiropas Parlamenta 2026. gada 11. februāra rezolūcija par projektu Komisijas īstenošanas lēmumam, ar ko atbilstoši Eiropas Parlamenta un Padomes Regulai (EK) Nr. 1829/2003 tiek atjaunota atļauja laist tirgū produktus, kas satur ģenētiski modificētu kokvilnu T304-40, sastāv vai ir ražoti no tās (Pieņemtie teksti, P10_TA(2026)0044</w:t>
      </w:r>
      <w:r w:rsidR="00094C06">
        <w:rPr>
          <w:sz w:val="24"/>
          <w:lang w:val="lv-LV"/>
        </w:rPr>
        <w:t>)</w:t>
      </w:r>
      <w:r w:rsidRPr="00FC2E0E">
        <w:rPr>
          <w:sz w:val="24"/>
          <w:lang w:val="lv-LV"/>
        </w:rPr>
        <w:t>;</w:t>
      </w:r>
    </w:p>
    <w:p w:rsidR="008936A1" w:rsidRPr="00FC2E0E" w:rsidP="001E4FC9" w14:paraId="17DA5CBD" w14:textId="3FD24287">
      <w:pPr>
        <w:pStyle w:val="FootnoteText"/>
        <w:ind w:left="1134" w:hanging="567"/>
        <w:rPr>
          <w:sz w:val="24"/>
          <w:lang w:val="lv-LV"/>
        </w:rPr>
      </w:pPr>
      <w:r w:rsidRPr="00FC2E0E">
        <w:rPr>
          <w:sz w:val="24"/>
          <w:lang w:val="lv-LV"/>
        </w:rPr>
        <w:t>–</w:t>
      </w:r>
      <w:r w:rsidRPr="00FC2E0E">
        <w:rPr>
          <w:sz w:val="24"/>
          <w:lang w:val="lv-LV"/>
        </w:rPr>
        <w:tab/>
        <w:t>Eiropas Parlamenta 2026. gada 29. aprīļa rezolūcija par projektu Komisijas īstenošanas lēmumam, ar ko atbilstoši Eiropas Parlamenta un Padomes Regulai (EK) Nr. 1829/2003 atļauj laist tirgū produktus, kas satur ģenētiski modificētas sojas pupas MON 94637, sastāv vai ir ražoti no tām (Pieņemtie teksti, P10_TA(2026)0150);</w:t>
      </w:r>
    </w:p>
  </w:footnote>
  <w:footnote w:id="7">
    <w:p w:rsidR="008936A1" w:rsidRPr="00FC2E0E" w:rsidP="001E4FC9" w14:paraId="2481BDFB" w14:textId="6257A047">
      <w:pPr>
        <w:pStyle w:val="FootnoteText"/>
        <w:ind w:left="1134" w:hanging="567"/>
        <w:rPr>
          <w:sz w:val="24"/>
          <w:lang w:val="lv-LV"/>
        </w:rPr>
      </w:pPr>
      <w:r w:rsidRPr="00FC2E0E">
        <w:rPr>
          <w:rStyle w:val="FootnoteReference"/>
          <w:sz w:val="24"/>
          <w:lang w:val="lv-LV"/>
        </w:rPr>
        <w:footnoteRef/>
      </w:r>
      <w:r w:rsidRPr="00FC2E0E" w:rsidR="00FC2E0E">
        <w:rPr>
          <w:i/>
          <w:iCs/>
          <w:sz w:val="24"/>
          <w:lang w:val="lv-LV"/>
        </w:rPr>
        <w:t xml:space="preserve"> </w:t>
      </w:r>
      <w:r w:rsidRPr="00FC2E0E" w:rsidR="00FC2E0E">
        <w:rPr>
          <w:i/>
          <w:iCs/>
          <w:sz w:val="24"/>
          <w:lang w:val="lv-LV"/>
        </w:rPr>
        <w:tab/>
      </w:r>
      <w:r w:rsidRPr="00FC2E0E">
        <w:rPr>
          <w:i/>
          <w:iCs/>
          <w:sz w:val="24"/>
          <w:lang w:val="lv-LV"/>
        </w:rPr>
        <w:t>EFSA</w:t>
      </w:r>
      <w:r w:rsidRPr="00FC2E0E">
        <w:rPr>
          <w:sz w:val="24"/>
          <w:lang w:val="lv-LV"/>
        </w:rPr>
        <w:t xml:space="preserve"> </w:t>
      </w:r>
      <w:r w:rsidRPr="00BA4E4C" w:rsidR="00BA4E4C">
        <w:rPr>
          <w:sz w:val="24"/>
          <w:lang w:val="lv-LV"/>
        </w:rPr>
        <w:t>zinātniskais</w:t>
      </w:r>
      <w:r w:rsidR="00BA4E4C">
        <w:rPr>
          <w:sz w:val="24"/>
          <w:lang w:val="lv-LV"/>
        </w:rPr>
        <w:t xml:space="preserve"> </w:t>
      </w:r>
      <w:r w:rsidRPr="00FC2E0E">
        <w:rPr>
          <w:sz w:val="24"/>
          <w:lang w:val="lv-LV"/>
        </w:rPr>
        <w:t xml:space="preserve">atzinums, </w:t>
      </w:r>
      <w:hyperlink r:id="rId4" w:history="1">
        <w:r w:rsidRPr="00FC2E0E">
          <w:rPr>
            <w:rStyle w:val="Hyperlink"/>
            <w:sz w:val="24"/>
            <w:lang w:val="lv-LV"/>
          </w:rPr>
          <w:t>https://doi.org/10.2903/j.efsa.2025.9746</w:t>
        </w:r>
      </w:hyperlink>
      <w:r w:rsidRPr="00FC2E0E">
        <w:rPr>
          <w:sz w:val="24"/>
          <w:lang w:val="lv-LV"/>
        </w:rPr>
        <w:t>, 7. lpp.</w:t>
      </w:r>
    </w:p>
  </w:footnote>
  <w:footnote w:id="8">
    <w:p w:rsidR="008936A1" w:rsidRPr="00FC2E0E" w:rsidP="00FC2E0E" w14:paraId="3927E819" w14:textId="759F90D9">
      <w:pPr>
        <w:pStyle w:val="FootnoteText"/>
        <w:ind w:left="567" w:hanging="567"/>
        <w:rPr>
          <w:sz w:val="24"/>
          <w:lang w:val="lv-LV"/>
        </w:rPr>
      </w:pPr>
      <w:r w:rsidRPr="00FC2E0E">
        <w:rPr>
          <w:rStyle w:val="FootnoteReference"/>
          <w:sz w:val="24"/>
          <w:szCs w:val="24"/>
          <w:lang w:val="lv-LV"/>
        </w:rPr>
        <w:footnoteRef/>
      </w:r>
      <w:r w:rsidRPr="00FC2E0E" w:rsidR="00FC2E0E">
        <w:rPr>
          <w:sz w:val="24"/>
          <w:shd w:val="clear" w:color="auto" w:fill="FFFFFF"/>
          <w:lang w:val="lv-LV"/>
        </w:rPr>
        <w:t xml:space="preserve"> </w:t>
      </w:r>
      <w:r w:rsidRPr="00FC2E0E" w:rsidR="00FC2E0E">
        <w:rPr>
          <w:sz w:val="24"/>
          <w:shd w:val="clear" w:color="auto" w:fill="FFFFFF"/>
          <w:lang w:val="lv-LV"/>
        </w:rPr>
        <w:tab/>
      </w:r>
      <w:r w:rsidRPr="00FC2E0E">
        <w:rPr>
          <w:sz w:val="24"/>
          <w:shd w:val="clear" w:color="auto" w:fill="FFFFFF"/>
          <w:lang w:val="lv-LV"/>
        </w:rPr>
        <w:t xml:space="preserve">Sk., piemēram, </w:t>
      </w:r>
      <w:r w:rsidRPr="00FC2E0E">
        <w:rPr>
          <w:i/>
          <w:iCs/>
          <w:sz w:val="24"/>
          <w:shd w:val="clear" w:color="auto" w:fill="FFFFFF"/>
          <w:lang w:val="lv-LV"/>
        </w:rPr>
        <w:t>Bonny, S.,</w:t>
      </w:r>
      <w:r w:rsidRPr="00FC2E0E">
        <w:rPr>
          <w:sz w:val="24"/>
          <w:shd w:val="clear" w:color="auto" w:fill="FFFFFF"/>
          <w:lang w:val="lv-LV"/>
        </w:rPr>
        <w:t xml:space="preserve"> “</w:t>
      </w:r>
      <w:r w:rsidRPr="00FC2E0E">
        <w:rPr>
          <w:i/>
          <w:iCs/>
          <w:sz w:val="24"/>
          <w:shd w:val="clear" w:color="auto" w:fill="FFFFFF"/>
          <w:lang w:val="lv-LV"/>
        </w:rPr>
        <w:t>Genetically Modified Herbicide-Tolerant Crops, Weeds, and Herbicide</w:t>
      </w:r>
      <w:r w:rsidRPr="00FC2E0E">
        <w:rPr>
          <w:sz w:val="24"/>
          <w:shd w:val="clear" w:color="auto" w:fill="FFFFFF"/>
          <w:lang w:val="lv-LV"/>
        </w:rPr>
        <w:t xml:space="preserve">s: </w:t>
      </w:r>
      <w:r w:rsidRPr="00FC2E0E">
        <w:rPr>
          <w:i/>
          <w:iCs/>
          <w:sz w:val="24"/>
          <w:shd w:val="clear" w:color="auto" w:fill="FFFFFF"/>
          <w:lang w:val="lv-LV"/>
        </w:rPr>
        <w:t>Overview and Impact</w:t>
      </w:r>
      <w:r w:rsidRPr="00FC2E0E">
        <w:rPr>
          <w:sz w:val="24"/>
          <w:shd w:val="clear" w:color="auto" w:fill="FFFFFF"/>
          <w:lang w:val="lv-LV"/>
        </w:rPr>
        <w:t xml:space="preserve">”, </w:t>
      </w:r>
      <w:r w:rsidRPr="00FC2E0E">
        <w:rPr>
          <w:i/>
          <w:sz w:val="24"/>
          <w:shd w:val="clear" w:color="auto" w:fill="FFFFFF"/>
          <w:lang w:val="lv-LV"/>
        </w:rPr>
        <w:t>Environmental Management</w:t>
      </w:r>
      <w:r w:rsidRPr="00FC2E0E">
        <w:rPr>
          <w:sz w:val="24"/>
          <w:shd w:val="clear" w:color="auto" w:fill="FFFFFF"/>
          <w:lang w:val="lv-LV"/>
        </w:rPr>
        <w:t xml:space="preserve">, 2016. gada janvāris, 57. sēj. (1.), 31.-48. lpp., </w:t>
      </w:r>
      <w:hyperlink r:id="rId24" w:history="1">
        <w:r w:rsidRPr="00FC2E0E">
          <w:rPr>
            <w:rStyle w:val="Hyperlink"/>
            <w:sz w:val="24"/>
            <w:shd w:val="clear" w:color="auto" w:fill="FFFFFF"/>
            <w:lang w:val="lv-LV"/>
          </w:rPr>
          <w:t>https://doi.org/10.1007/s00267-015-0589-7</w:t>
        </w:r>
      </w:hyperlink>
      <w:r w:rsidRPr="00FC2E0E">
        <w:rPr>
          <w:sz w:val="24"/>
          <w:shd w:val="clear" w:color="auto" w:fill="FFFFFF"/>
          <w:lang w:val="lv-LV"/>
        </w:rPr>
        <w:t xml:space="preserve"> un </w:t>
      </w:r>
      <w:r w:rsidRPr="00FC2E0E">
        <w:rPr>
          <w:i/>
          <w:iCs/>
          <w:sz w:val="24"/>
          <w:shd w:val="clear" w:color="auto" w:fill="FFFFFF"/>
          <w:lang w:val="lv-LV"/>
        </w:rPr>
        <w:t>Benbrook, C.M., “Impacts of genetically engineered crops on pesticide use in the U.S. - the first sixteen years”</w:t>
      </w:r>
      <w:r w:rsidRPr="00FC2E0E">
        <w:rPr>
          <w:sz w:val="24"/>
          <w:shd w:val="clear" w:color="auto" w:fill="FFFFFF"/>
          <w:lang w:val="lv-LV"/>
        </w:rPr>
        <w:t xml:space="preserve">, </w:t>
      </w:r>
      <w:r w:rsidRPr="00FC2E0E">
        <w:rPr>
          <w:i/>
          <w:sz w:val="24"/>
          <w:shd w:val="clear" w:color="auto" w:fill="FFFFFF"/>
          <w:lang w:val="lv-LV"/>
        </w:rPr>
        <w:t>Environmental Sciences Europe,</w:t>
      </w:r>
      <w:r w:rsidRPr="00FC2E0E">
        <w:rPr>
          <w:sz w:val="24"/>
          <w:shd w:val="clear" w:color="auto" w:fill="FFFFFF"/>
          <w:lang w:val="lv-LV"/>
        </w:rPr>
        <w:t xml:space="preserve"> 2012. gada 28. septembris, 24. sēj. (1.), </w:t>
      </w:r>
      <w:hyperlink r:id="rId25" w:history="1">
        <w:r w:rsidRPr="00FC2E0E">
          <w:rPr>
            <w:rStyle w:val="Hyperlink"/>
            <w:sz w:val="24"/>
            <w:lang w:val="lv-LV"/>
          </w:rPr>
          <w:t>https://doi.org/10.1186/2190-4715-24-24</w:t>
        </w:r>
      </w:hyperlink>
      <w:r w:rsidRPr="00FC2E0E">
        <w:rPr>
          <w:sz w:val="24"/>
          <w:lang w:val="lv-LV"/>
        </w:rPr>
        <w:t>.</w:t>
      </w:r>
    </w:p>
  </w:footnote>
  <w:footnote w:id="9">
    <w:p w:rsidR="008936A1" w:rsidRPr="00FC2E0E" w:rsidP="00FC2E0E" w14:paraId="4AFFE56B" w14:textId="435D58C2">
      <w:pPr>
        <w:pStyle w:val="FootnoteText"/>
        <w:ind w:left="567" w:hanging="567"/>
        <w:rPr>
          <w:sz w:val="24"/>
          <w:lang w:val="lv-LV"/>
        </w:rPr>
      </w:pPr>
      <w:r w:rsidRPr="00FC2E0E">
        <w:rPr>
          <w:rStyle w:val="FootnoteReference"/>
          <w:sz w:val="24"/>
          <w:lang w:val="lv-LV"/>
        </w:rPr>
        <w:footnoteRef/>
      </w:r>
      <w:r w:rsidRPr="00FC2E0E" w:rsidR="00FC2E0E">
        <w:rPr>
          <w:sz w:val="24"/>
          <w:lang w:val="lv-LV"/>
        </w:rPr>
        <w:t xml:space="preserve"> </w:t>
      </w:r>
      <w:r w:rsidRPr="00FC2E0E" w:rsidR="00FC2E0E">
        <w:rPr>
          <w:sz w:val="24"/>
          <w:lang w:val="lv-LV"/>
        </w:rPr>
        <w:tab/>
      </w:r>
      <w:r w:rsidRPr="00FC2E0E">
        <w:rPr>
          <w:sz w:val="24"/>
          <w:lang w:val="lv-LV"/>
        </w:rPr>
        <w:t>Eiropas Parlamenta un Padomes Regula (EK) Nr. 1107/2009 (2009. gada 21. oktobris ) par augu aizsardzības līdzekļu laišanu tirgū, ar ko atceļ Padomes Direktīvas 79/117/EEK un 91/414/EEK (OV L 309, 24.11.2009., 1. lpp., ELI: </w:t>
      </w:r>
      <w:hyperlink r:id="rId26" w:tooltip="Nodrošina piekļuvi šim dokumentam pēc tā ELI URI." w:history="1">
        <w:r w:rsidRPr="00FC2E0E">
          <w:rPr>
            <w:rStyle w:val="Hyperlink"/>
            <w:sz w:val="24"/>
            <w:lang w:val="lv-LV"/>
          </w:rPr>
          <w:t>http://data.europa.eu/eli/reg/2009/1107/lav</w:t>
        </w:r>
      </w:hyperlink>
      <w:r w:rsidRPr="00FC2E0E">
        <w:rPr>
          <w:sz w:val="24"/>
          <w:lang w:val="lv-LV"/>
        </w:rPr>
        <w:t>).</w:t>
      </w:r>
    </w:p>
  </w:footnote>
  <w:footnote w:id="10">
    <w:p w:rsidR="008936A1" w:rsidRPr="00FC2E0E" w:rsidP="00FC2E0E" w14:paraId="561107A5" w14:textId="56886605">
      <w:pPr>
        <w:pStyle w:val="FootnoteText"/>
        <w:ind w:left="567" w:hanging="567"/>
        <w:rPr>
          <w:sz w:val="24"/>
          <w:lang w:val="lv-LV"/>
        </w:rPr>
      </w:pPr>
      <w:r w:rsidRPr="00FC2E0E">
        <w:rPr>
          <w:rStyle w:val="FootnoteReference"/>
          <w:sz w:val="24"/>
          <w:lang w:val="lv-LV"/>
        </w:rPr>
        <w:footnoteRef/>
      </w:r>
      <w:r w:rsidRPr="00FC2E0E" w:rsidR="00FC2E0E">
        <w:rPr>
          <w:sz w:val="24"/>
          <w:lang w:val="lv-LV"/>
        </w:rPr>
        <w:t xml:space="preserve"> </w:t>
      </w:r>
      <w:r w:rsidRPr="00FC2E0E" w:rsidR="00FC2E0E">
        <w:rPr>
          <w:sz w:val="24"/>
          <w:lang w:val="lv-LV"/>
        </w:rPr>
        <w:tab/>
      </w:r>
      <w:hyperlink r:id="rId27" w:history="1">
        <w:r w:rsidRPr="001E4FC9" w:rsidR="00BA4E4C">
          <w:rPr>
            <w:rStyle w:val="Hyperlink"/>
            <w:sz w:val="24"/>
            <w:szCs w:val="24"/>
            <w:lang w:val="lv-LV"/>
          </w:rPr>
          <w:t>https://ec.europa.eu/food/plant/pesticides/eu-pesticides-database/start/screen/active-substances/details/79</w:t>
        </w:r>
      </w:hyperlink>
      <w:r w:rsidRPr="001E4FC9" w:rsidR="00BA4E4C">
        <w:rPr>
          <w:sz w:val="24"/>
          <w:szCs w:val="24"/>
          <w:lang w:val="lv-LV"/>
        </w:rPr>
        <w:t>.</w:t>
      </w:r>
      <w:r w:rsidRPr="00FC2E0E">
        <w:rPr>
          <w:sz w:val="24"/>
          <w:lang w:val="lv-LV"/>
        </w:rPr>
        <w:t xml:space="preserve"> </w:t>
      </w:r>
    </w:p>
  </w:footnote>
  <w:footnote w:id="11">
    <w:p w:rsidR="008936A1" w:rsidRPr="00FC2E0E" w:rsidP="00FC2E0E" w14:paraId="665F339C" w14:textId="3883D8CC">
      <w:pPr>
        <w:pStyle w:val="FootnoteText"/>
        <w:ind w:left="567" w:hanging="567"/>
        <w:rPr>
          <w:sz w:val="24"/>
          <w:lang w:val="lv-LV"/>
        </w:rPr>
      </w:pPr>
      <w:r w:rsidRPr="00FC2E0E">
        <w:rPr>
          <w:rStyle w:val="FootnoteReference"/>
          <w:sz w:val="24"/>
          <w:lang w:val="lv-LV"/>
        </w:rPr>
        <w:footnoteRef/>
      </w:r>
      <w:r w:rsidRPr="00FC2E0E" w:rsidR="00FC2E0E">
        <w:rPr>
          <w:sz w:val="24"/>
          <w:shd w:val="clear" w:color="auto" w:fill="FFFFFF"/>
          <w:lang w:val="lv-LV"/>
        </w:rPr>
        <w:t xml:space="preserve"> </w:t>
      </w:r>
      <w:r w:rsidRPr="00FC2E0E" w:rsidR="00FC2E0E">
        <w:rPr>
          <w:sz w:val="24"/>
          <w:shd w:val="clear" w:color="auto" w:fill="FFFFFF"/>
          <w:lang w:val="lv-LV"/>
        </w:rPr>
        <w:tab/>
      </w:r>
      <w:r w:rsidRPr="00FC2E0E">
        <w:rPr>
          <w:sz w:val="24"/>
          <w:shd w:val="clear" w:color="auto" w:fill="FFFFFF"/>
          <w:lang w:val="lv-LV"/>
        </w:rPr>
        <w:t xml:space="preserve">Skatīt, piemēram, </w:t>
      </w:r>
      <w:hyperlink r:id="rId28" w:history="1">
        <w:r w:rsidRPr="00FC2E0E">
          <w:rPr>
            <w:rStyle w:val="Hyperlink"/>
            <w:sz w:val="24"/>
            <w:lang w:val="lv-LV"/>
          </w:rPr>
          <w:t>https://doi.org/10.1016/j.mrrev.2019.02.001</w:t>
        </w:r>
      </w:hyperlink>
      <w:r w:rsidRPr="00FC2E0E">
        <w:rPr>
          <w:sz w:val="24"/>
          <w:lang w:val="lv-LV"/>
        </w:rPr>
        <w:t xml:space="preserve">, </w:t>
      </w:r>
      <w:hyperlink r:id="rId29" w:history="1">
        <w:r w:rsidRPr="00FC2E0E">
          <w:rPr>
            <w:rStyle w:val="Hyperlink"/>
            <w:sz w:val="24"/>
            <w:lang w:val="lv-LV"/>
          </w:rPr>
          <w:t>https://doi.org/10.1093/ije/dyz017</w:t>
        </w:r>
      </w:hyperlink>
      <w:r w:rsidRPr="00FC2E0E">
        <w:rPr>
          <w:sz w:val="24"/>
          <w:lang w:val="lv-LV"/>
        </w:rPr>
        <w:t xml:space="preserve">, </w:t>
      </w:r>
      <w:hyperlink r:id="rId30" w:history="1">
        <w:r w:rsidRPr="00FC2E0E">
          <w:rPr>
            <w:rStyle w:val="Hyperlink"/>
            <w:sz w:val="24"/>
            <w:lang w:val="lv-LV"/>
          </w:rPr>
          <w:t>https://doi.org/10.1371/journal.pone.0219610</w:t>
        </w:r>
      </w:hyperlink>
      <w:r w:rsidRPr="00FC2E0E">
        <w:rPr>
          <w:sz w:val="24"/>
          <w:lang w:val="lv-LV"/>
        </w:rPr>
        <w:t xml:space="preserve"> un </w:t>
      </w:r>
      <w:hyperlink r:id="rId31" w:history="1">
        <w:r w:rsidRPr="00FC2E0E">
          <w:rPr>
            <w:rStyle w:val="Hyperlink"/>
            <w:sz w:val="24"/>
            <w:lang w:val="lv-LV"/>
          </w:rPr>
          <w:t>https://doi.org/10.1186/s13045-019-0767-9</w:t>
        </w:r>
      </w:hyperlink>
      <w:r w:rsidRPr="00FC2E0E">
        <w:rPr>
          <w:sz w:val="24"/>
          <w:lang w:val="lv-LV"/>
        </w:rPr>
        <w:t>.</w:t>
      </w:r>
    </w:p>
  </w:footnote>
  <w:footnote w:id="12">
    <w:p w:rsidR="008936A1" w:rsidRPr="00FC2E0E" w:rsidP="00FC2E0E" w14:paraId="6D4BCC60" w14:textId="35F2829B">
      <w:pPr>
        <w:pStyle w:val="FootnoteText"/>
        <w:ind w:left="567" w:hanging="567"/>
        <w:rPr>
          <w:sz w:val="24"/>
          <w:lang w:val="lv-LV"/>
        </w:rPr>
      </w:pPr>
      <w:r w:rsidRPr="00FC2E0E">
        <w:rPr>
          <w:rStyle w:val="FootnoteReference"/>
          <w:sz w:val="24"/>
          <w:lang w:val="lv-LV"/>
        </w:rPr>
        <w:footnoteRef/>
      </w:r>
      <w:r w:rsidRPr="00FC2E0E" w:rsidR="00FC2E0E">
        <w:rPr>
          <w:sz w:val="24"/>
          <w:lang w:val="lv-LV"/>
        </w:rPr>
        <w:t xml:space="preserve"> </w:t>
      </w:r>
      <w:r w:rsidRPr="00FC2E0E" w:rsidR="00FC2E0E">
        <w:rPr>
          <w:sz w:val="24"/>
          <w:lang w:val="lv-LV"/>
        </w:rPr>
        <w:tab/>
      </w:r>
      <w:hyperlink r:id="rId32" w:tgtFrame="_blank" w:tooltip="Pastāvīga saite, izmantojot digitālo objekta identifikatoru" w:history="1">
        <w:r w:rsidRPr="00FC2E0E">
          <w:rPr>
            <w:rStyle w:val="Hyperlink"/>
            <w:sz w:val="24"/>
            <w:lang w:val="lv-LV"/>
          </w:rPr>
          <w:t>https://doi.org/10.1006/rtph.1999.1371</w:t>
        </w:r>
      </w:hyperlink>
      <w:r w:rsidRPr="00FC2E0E">
        <w:rPr>
          <w:sz w:val="24"/>
          <w:lang w:val="lv-LV"/>
        </w:rPr>
        <w:t>.</w:t>
      </w:r>
    </w:p>
  </w:footnote>
  <w:footnote w:id="13">
    <w:p w:rsidR="008936A1" w:rsidRPr="00FC2E0E" w:rsidP="00FC2E0E" w14:paraId="0FEC5D83" w14:textId="418EC25A">
      <w:pPr>
        <w:pStyle w:val="FootnoteText"/>
        <w:ind w:left="567" w:hanging="567"/>
        <w:rPr>
          <w:sz w:val="24"/>
          <w:lang w:val="lv-LV"/>
        </w:rPr>
      </w:pPr>
      <w:r w:rsidRPr="00FC2E0E">
        <w:rPr>
          <w:rStyle w:val="FootnoteReference"/>
          <w:sz w:val="24"/>
          <w:lang w:val="lv-LV"/>
        </w:rPr>
        <w:footnoteRef/>
      </w:r>
      <w:r w:rsidRPr="00FC2E0E" w:rsidR="00FC2E0E">
        <w:rPr>
          <w:i/>
          <w:iCs/>
          <w:sz w:val="24"/>
          <w:shd w:val="clear" w:color="auto" w:fill="FFFFFF"/>
          <w:lang w:val="lv-LV"/>
        </w:rPr>
        <w:t xml:space="preserve"> </w:t>
      </w:r>
      <w:r w:rsidRPr="00FC2E0E" w:rsidR="00FC2E0E">
        <w:rPr>
          <w:i/>
          <w:iCs/>
          <w:sz w:val="24"/>
          <w:shd w:val="clear" w:color="auto" w:fill="FFFFFF"/>
          <w:lang w:val="lv-LV"/>
        </w:rPr>
        <w:tab/>
      </w:r>
      <w:r w:rsidRPr="00FC2E0E">
        <w:rPr>
          <w:i/>
          <w:iCs/>
          <w:sz w:val="24"/>
          <w:shd w:val="clear" w:color="auto" w:fill="FFFFFF"/>
          <w:lang w:val="lv-LV"/>
        </w:rPr>
        <w:t>Lurquin, P.F., “Production of a toxic metabolite in 2, 4-D-resistant GM crop plants</w:t>
      </w:r>
      <w:r w:rsidRPr="00FC2E0E">
        <w:rPr>
          <w:sz w:val="24"/>
          <w:shd w:val="clear" w:color="auto" w:fill="FFFFFF"/>
          <w:lang w:val="lv-LV"/>
        </w:rPr>
        <w:t xml:space="preserve">”, </w:t>
      </w:r>
      <w:r w:rsidRPr="00FC2E0E">
        <w:rPr>
          <w:i/>
          <w:sz w:val="24"/>
          <w:shd w:val="clear" w:color="auto" w:fill="FFFFFF"/>
          <w:lang w:val="lv-LV"/>
        </w:rPr>
        <w:t>3 Biotech</w:t>
      </w:r>
      <w:r w:rsidRPr="00FC2E0E">
        <w:rPr>
          <w:sz w:val="24"/>
          <w:shd w:val="clear" w:color="auto" w:fill="FFFFFF"/>
          <w:lang w:val="lv-LV"/>
        </w:rPr>
        <w:t xml:space="preserve"> 6, 82 (2016), </w:t>
      </w:r>
      <w:hyperlink r:id="rId33" w:history="1">
        <w:r w:rsidRPr="00FC2E0E">
          <w:rPr>
            <w:rStyle w:val="Hyperlink"/>
            <w:sz w:val="24"/>
            <w:shd w:val="clear" w:color="auto" w:fill="FCFCFC"/>
            <w:lang w:val="lv-LV"/>
          </w:rPr>
          <w:t>https://doi.org/10.1007/s13205-016-0387-9</w:t>
        </w:r>
      </w:hyperlink>
      <w:r w:rsidRPr="00FC2E0E">
        <w:rPr>
          <w:sz w:val="24"/>
          <w:lang w:val="lv-LV"/>
        </w:rPr>
        <w:t>.</w:t>
      </w:r>
    </w:p>
  </w:footnote>
  <w:footnote w:id="14">
    <w:p w:rsidR="008936A1" w:rsidRPr="00FC2E0E" w:rsidP="00FC2E0E" w14:paraId="79CC2DF2" w14:textId="6EB34A96">
      <w:pPr>
        <w:pStyle w:val="FootnoteText"/>
        <w:ind w:left="567" w:hanging="567"/>
        <w:rPr>
          <w:sz w:val="24"/>
          <w:szCs w:val="24"/>
          <w:lang w:val="lv-LV"/>
        </w:rPr>
      </w:pPr>
      <w:r w:rsidRPr="00FC2E0E">
        <w:rPr>
          <w:rStyle w:val="FootnoteReference"/>
          <w:sz w:val="24"/>
          <w:lang w:val="lv-LV"/>
        </w:rPr>
        <w:footnoteRef/>
      </w:r>
      <w:r w:rsidRPr="00FC2E0E" w:rsidR="00FC2E0E">
        <w:rPr>
          <w:sz w:val="24"/>
          <w:shd w:val="clear" w:color="auto" w:fill="FFFFFF"/>
          <w:lang w:val="lv-LV"/>
        </w:rPr>
        <w:t xml:space="preserve"> </w:t>
      </w:r>
      <w:r w:rsidRPr="00FC2E0E" w:rsidR="00FC2E0E">
        <w:rPr>
          <w:sz w:val="24"/>
          <w:shd w:val="clear" w:color="auto" w:fill="FFFFFF"/>
          <w:lang w:val="lv-LV"/>
        </w:rPr>
        <w:tab/>
      </w:r>
      <w:r w:rsidRPr="00FC2E0E">
        <w:rPr>
          <w:sz w:val="24"/>
          <w:shd w:val="clear" w:color="auto" w:fill="FFFFFF"/>
          <w:lang w:val="lv-LV"/>
        </w:rPr>
        <w:t xml:space="preserve">Tas patiešām attiecas uz glifozātu, kā norādīts </w:t>
      </w:r>
      <w:r w:rsidRPr="00FC2E0E">
        <w:rPr>
          <w:i/>
          <w:iCs/>
          <w:sz w:val="24"/>
          <w:shd w:val="clear" w:color="auto" w:fill="FFFFFF"/>
          <w:lang w:val="lv-LV"/>
        </w:rPr>
        <w:t>EFSA</w:t>
      </w:r>
      <w:r w:rsidRPr="00FC2E0E">
        <w:rPr>
          <w:sz w:val="24"/>
          <w:shd w:val="clear" w:color="auto" w:fill="FFFFFF"/>
          <w:lang w:val="lv-LV"/>
        </w:rPr>
        <w:t xml:space="preserve"> pamatotajā atzinumā “</w:t>
      </w:r>
      <w:r w:rsidRPr="00FC2E0E">
        <w:rPr>
          <w:i/>
          <w:iCs/>
          <w:sz w:val="24"/>
          <w:shd w:val="clear" w:color="auto" w:fill="FFFFFF"/>
          <w:lang w:val="lv-LV"/>
        </w:rPr>
        <w:t>Review of the existing maximum residue levels for glyphosate according to Article 12 of Regulation (EC) No 396/2005</w:t>
      </w:r>
      <w:r w:rsidRPr="00FC2E0E">
        <w:rPr>
          <w:sz w:val="24"/>
          <w:shd w:val="clear" w:color="auto" w:fill="FFFFFF"/>
          <w:lang w:val="lv-LV"/>
        </w:rPr>
        <w:t xml:space="preserve">” (Pārskats par pašreizējo glifosāta maksimālo atlieku līmeni saskaņā ar Regulas (EK) Nr. 396/2005 12. pantu), </w:t>
      </w:r>
      <w:r w:rsidRPr="00FC2E0E">
        <w:rPr>
          <w:i/>
          <w:iCs/>
          <w:sz w:val="24"/>
          <w:shd w:val="clear" w:color="auto" w:fill="FFFFFF"/>
          <w:lang w:val="lv-LV"/>
        </w:rPr>
        <w:t>EFSA Journal</w:t>
      </w:r>
      <w:r w:rsidRPr="00FC2E0E">
        <w:rPr>
          <w:sz w:val="24"/>
          <w:shd w:val="clear" w:color="auto" w:fill="FFFFFF"/>
          <w:lang w:val="lv-LV"/>
        </w:rPr>
        <w:t>, 2018. gads, 16(5):e5263, 12. lpp.</w:t>
      </w:r>
      <w:r w:rsidRPr="00FC2E0E">
        <w:rPr>
          <w:sz w:val="24"/>
          <w:lang w:val="lv-LV"/>
        </w:rPr>
        <w:t xml:space="preserve">, </w:t>
      </w:r>
      <w:hyperlink r:id="rId34" w:history="1">
        <w:r w:rsidRPr="00FC2E0E">
          <w:rPr>
            <w:rStyle w:val="Hyperlink"/>
            <w:sz w:val="24"/>
            <w:lang w:val="lv-LV"/>
          </w:rPr>
          <w:t>https://doi.org/10.2903/j.efsa.2018.5263</w:t>
        </w:r>
      </w:hyperlink>
      <w:r w:rsidRPr="00FC2E0E">
        <w:rPr>
          <w:sz w:val="24"/>
          <w:lang w:val="lv-LV"/>
        </w:rPr>
        <w:t>.</w:t>
      </w:r>
    </w:p>
  </w:footnote>
  <w:footnote w:id="15">
    <w:p w:rsidR="008936A1" w:rsidRPr="00FC2E0E" w:rsidP="00FC2E0E" w14:paraId="290BA86F" w14:textId="36690E9F">
      <w:pPr>
        <w:pStyle w:val="FootnoteText"/>
        <w:ind w:left="567" w:hanging="567"/>
        <w:rPr>
          <w:sz w:val="24"/>
          <w:lang w:val="lv-LV"/>
        </w:rPr>
      </w:pPr>
      <w:r w:rsidRPr="00FC2E0E">
        <w:rPr>
          <w:rStyle w:val="FootnoteReference"/>
          <w:sz w:val="24"/>
          <w:lang w:val="lv-LV"/>
        </w:rPr>
        <w:footnoteRef/>
      </w:r>
      <w:r w:rsidRPr="00FC2E0E" w:rsidR="00FC2E0E">
        <w:rPr>
          <w:sz w:val="24"/>
          <w:lang w:val="lv-LV"/>
        </w:rPr>
        <w:t xml:space="preserve"> </w:t>
      </w:r>
      <w:r w:rsidRPr="00FC2E0E" w:rsidR="00FC2E0E">
        <w:rPr>
          <w:sz w:val="24"/>
          <w:lang w:val="lv-LV"/>
        </w:rPr>
        <w:tab/>
      </w:r>
      <w:r w:rsidRPr="00FC2E0E">
        <w:rPr>
          <w:sz w:val="24"/>
          <w:lang w:val="lv-LV"/>
        </w:rPr>
        <w:t xml:space="preserve">OV L 282, 19.10.2016., 4. lpp. </w:t>
      </w:r>
    </w:p>
  </w:footnote>
  <w:footnote w:id="16">
    <w:p w:rsidR="008936A1" w:rsidRPr="00FC2E0E" w:rsidP="00FC2E0E" w14:paraId="3F496631" w14:textId="11E3C4F2">
      <w:pPr>
        <w:pStyle w:val="FootnoteText"/>
        <w:ind w:left="567" w:hanging="567"/>
        <w:rPr>
          <w:sz w:val="24"/>
          <w:lang w:val="lv-LV"/>
        </w:rPr>
      </w:pPr>
      <w:r w:rsidRPr="00FC2E0E">
        <w:rPr>
          <w:rStyle w:val="FootnoteReference"/>
          <w:sz w:val="24"/>
          <w:lang w:val="lv-LV"/>
        </w:rPr>
        <w:footnoteRef/>
      </w:r>
      <w:r w:rsidRPr="00FC2E0E" w:rsidR="00FC2E0E">
        <w:rPr>
          <w:sz w:val="24"/>
          <w:lang w:val="lv-LV"/>
        </w:rPr>
        <w:t xml:space="preserve"> </w:t>
      </w:r>
      <w:r w:rsidRPr="00FC2E0E" w:rsidR="00FC2E0E">
        <w:rPr>
          <w:sz w:val="24"/>
          <w:lang w:val="lv-LV"/>
        </w:rPr>
        <w:tab/>
      </w:r>
      <w:r w:rsidRPr="00FC2E0E">
        <w:rPr>
          <w:sz w:val="24"/>
          <w:lang w:val="lv-LV"/>
        </w:rPr>
        <w:t>OV L 309, 13.12.1993., 3. lpp., ELI: </w:t>
      </w:r>
      <w:hyperlink r:id="rId35" w:tooltip="Nodrošina piekļuvi šim dokumentam pēc tā ELI URI." w:history="1">
        <w:r w:rsidRPr="00FC2E0E">
          <w:rPr>
            <w:rStyle w:val="Hyperlink"/>
            <w:sz w:val="24"/>
            <w:lang w:val="lv-LV"/>
          </w:rPr>
          <w:t>http://data.europa.eu/eli/convention/1993/626/lav</w:t>
        </w:r>
      </w:hyperlink>
      <w:r w:rsidRPr="00FC2E0E">
        <w:rPr>
          <w:sz w:val="24"/>
          <w:lang w:val="lv-LV"/>
        </w:rPr>
        <w:t>.</w:t>
      </w:r>
    </w:p>
  </w:footnote>
  <w:footnote w:id="17">
    <w:p w:rsidR="008936A1" w:rsidRPr="00FC2E0E" w:rsidP="00FC2E0E" w14:paraId="7DE244A8" w14:textId="31D63702">
      <w:pPr>
        <w:pStyle w:val="FootnoteText"/>
        <w:ind w:left="567" w:hanging="567"/>
        <w:rPr>
          <w:sz w:val="24"/>
          <w:lang w:val="lv-LV"/>
        </w:rPr>
      </w:pPr>
      <w:r w:rsidRPr="00FC2E0E">
        <w:rPr>
          <w:rStyle w:val="FootnoteReference"/>
          <w:sz w:val="24"/>
          <w:lang w:val="lv-LV"/>
        </w:rPr>
        <w:footnoteRef/>
      </w:r>
      <w:r w:rsidRPr="00FC2E0E" w:rsidR="00FC2E0E">
        <w:rPr>
          <w:sz w:val="24"/>
          <w:lang w:val="lv-LV"/>
        </w:rPr>
        <w:t xml:space="preserve"> </w:t>
      </w:r>
      <w:r w:rsidRPr="00FC2E0E" w:rsidR="00FC2E0E">
        <w:rPr>
          <w:sz w:val="24"/>
          <w:lang w:val="lv-LV"/>
        </w:rPr>
        <w:tab/>
      </w:r>
      <w:r w:rsidRPr="00FC2E0E">
        <w:rPr>
          <w:sz w:val="24"/>
          <w:lang w:val="lv-LV"/>
        </w:rPr>
        <w:t>ANO Konvencijas par bioloģisko daudzveidību Pušu konferences 15. sesijā 2022. gada decembrī tika panākta vienošanās par globālu biodaudzveidības satvaru, kas ietver vispārēju mērķi līdz 2030. gadam vismaz par 50 % samazināt pesticīdu radīto apdraudējumu (sk.</w:t>
      </w:r>
      <w:r w:rsidRPr="00FC2E0E">
        <w:rPr>
          <w:color w:val="000000" w:themeColor="text1"/>
          <w:sz w:val="24"/>
          <w:lang w:val="lv-LV"/>
        </w:rPr>
        <w:t xml:space="preserve"> </w:t>
      </w:r>
      <w:hyperlink r:id="rId36" w:history="1">
        <w:r w:rsidRPr="00FC2E0E">
          <w:rPr>
            <w:rStyle w:val="Hyperlink"/>
            <w:sz w:val="24"/>
            <w:lang w:val="lv-LV"/>
          </w:rPr>
          <w:t>https://ec.europa.eu/commission/presscorner/detail/lv/ip_22_7834</w:t>
        </w:r>
      </w:hyperlink>
      <w:r w:rsidRPr="00FC2E0E">
        <w:rPr>
          <w:sz w:val="24"/>
          <w:lang w:val="lv-LV"/>
        </w:rPr>
        <w:t xml:space="preserve">). </w:t>
      </w:r>
    </w:p>
  </w:footnote>
  <w:footnote w:id="18">
    <w:p w:rsidR="008936A1" w:rsidRPr="00FC2E0E" w:rsidP="00FC2E0E" w14:paraId="6C70DF95" w14:textId="23581EB6">
      <w:pPr>
        <w:pStyle w:val="FootnoteText"/>
        <w:ind w:left="567" w:hanging="567"/>
        <w:rPr>
          <w:sz w:val="24"/>
          <w:lang w:val="lv-LV"/>
        </w:rPr>
      </w:pPr>
      <w:r w:rsidRPr="00FC2E0E">
        <w:rPr>
          <w:rStyle w:val="FootnoteReference"/>
          <w:sz w:val="24"/>
          <w:lang w:val="lv-LV"/>
        </w:rPr>
        <w:footnoteRef/>
      </w:r>
      <w:r w:rsidRPr="00FC2E0E" w:rsidR="00FC2E0E">
        <w:rPr>
          <w:sz w:val="24"/>
          <w:lang w:val="lv-LV"/>
        </w:rPr>
        <w:t xml:space="preserve"> </w:t>
      </w:r>
      <w:r w:rsidRPr="00FC2E0E" w:rsidR="00FC2E0E">
        <w:rPr>
          <w:sz w:val="24"/>
          <w:lang w:val="lv-LV"/>
        </w:rPr>
        <w:tab/>
      </w:r>
      <w:hyperlink r:id="rId37" w:history="1">
        <w:r w:rsidRPr="00FC2E0E">
          <w:rPr>
            <w:rStyle w:val="Hyperlink"/>
            <w:sz w:val="24"/>
            <w:lang w:val="lv-LV"/>
          </w:rPr>
          <w:t>https://commission.europa.eu/topics/agriculture-and-rural-development/strategic-dialogue-future-eu-agriculture_lv</w:t>
        </w:r>
      </w:hyperlink>
      <w:r w:rsidRPr="00FC2E0E">
        <w:rPr>
          <w:rStyle w:val="Hyperlink"/>
          <w:sz w:val="24"/>
          <w:lang w:val="lv-LV"/>
        </w:rPr>
        <w:t>.</w:t>
      </w:r>
      <w:r w:rsidRPr="00FC2E0E">
        <w:rPr>
          <w:sz w:val="24"/>
          <w:lang w:val="lv-LV"/>
        </w:rPr>
        <w:t xml:space="preserve"> </w:t>
      </w:r>
    </w:p>
  </w:footnote>
  <w:footnote w:id="19">
    <w:p w:rsidR="008936A1" w:rsidRPr="00FC2E0E" w:rsidP="00FC2E0E" w14:paraId="413E4F64" w14:textId="3B11249B">
      <w:pPr>
        <w:pStyle w:val="FootnoteText"/>
        <w:ind w:left="567" w:hanging="567"/>
        <w:rPr>
          <w:sz w:val="24"/>
          <w:szCs w:val="24"/>
          <w:lang w:val="lv-LV"/>
        </w:rPr>
      </w:pPr>
      <w:r w:rsidRPr="00FC2E0E">
        <w:rPr>
          <w:rStyle w:val="FootnoteReference"/>
          <w:sz w:val="24"/>
          <w:lang w:val="lv-LV"/>
        </w:rPr>
        <w:footnoteRef/>
      </w:r>
      <w:r w:rsidRPr="00FC2E0E" w:rsidR="00FC2E0E">
        <w:rPr>
          <w:sz w:val="24"/>
          <w:lang w:val="lv-LV"/>
        </w:rPr>
        <w:t xml:space="preserve"> </w:t>
      </w:r>
      <w:r w:rsidRPr="00FC2E0E" w:rsidR="00FC2E0E">
        <w:rPr>
          <w:sz w:val="24"/>
          <w:lang w:val="lv-LV"/>
        </w:rPr>
        <w:tab/>
      </w:r>
      <w:r w:rsidRPr="00FC2E0E">
        <w:rPr>
          <w:sz w:val="24"/>
          <w:lang w:val="lv-LV"/>
        </w:rPr>
        <w:t>Eiropas Parlamenta un Padomes Regula (EK) Nr. 178/2002 (2002. gada 28. janvāris), ar ko paredz pārtikas aprites tiesību aktu vispārīgus principus un prasības, izveido Eiropas Pārtikas nekaitīguma iestādi un paredz procedūras saistībā ar pārtikas nekaitīgumu (OV L 31, 1.2.2002., 1. lpp., ELI: </w:t>
      </w:r>
      <w:hyperlink r:id="rId38" w:tooltip="Nodrošina piekļuvi šim dokumentam pēc tā ELI URI." w:history="1">
        <w:r w:rsidRPr="00FC2E0E">
          <w:rPr>
            <w:rStyle w:val="Hyperlink"/>
            <w:sz w:val="24"/>
            <w:lang w:val="lv-LV"/>
          </w:rPr>
          <w:t>http://data.europa.eu/eli/reg/2002/178/lav</w:t>
        </w:r>
      </w:hyperlink>
      <w:r w:rsidRPr="00FC2E0E">
        <w:rPr>
          <w:sz w:val="24"/>
          <w:lang w:val="lv-LV"/>
        </w:rPr>
        <w:t>).</w:t>
      </w:r>
    </w:p>
  </w:footnote>
  <w:footnote w:id="20">
    <w:p w:rsidR="008936A1" w:rsidRPr="00FC2E0E" w:rsidP="00FC2E0E" w14:paraId="0E787756" w14:textId="6BCDC286">
      <w:pPr>
        <w:pStyle w:val="FootnoteText"/>
        <w:ind w:left="567" w:hanging="567"/>
        <w:rPr>
          <w:sz w:val="24"/>
          <w:szCs w:val="24"/>
          <w:lang w:val="lv-LV"/>
        </w:rPr>
      </w:pPr>
      <w:r w:rsidRPr="00FC2E0E">
        <w:rPr>
          <w:rStyle w:val="FootnoteReference"/>
          <w:sz w:val="24"/>
          <w:szCs w:val="24"/>
          <w:lang w:val="lv-LV"/>
        </w:rPr>
        <w:footnoteRef/>
      </w:r>
      <w:r w:rsidRPr="00FC2E0E" w:rsidR="00FC2E0E">
        <w:rPr>
          <w:sz w:val="24"/>
          <w:lang w:val="lv-LV"/>
        </w:rPr>
        <w:t xml:space="preserve"> </w:t>
      </w:r>
      <w:r w:rsidRPr="00FC2E0E" w:rsidR="00FC2E0E">
        <w:rPr>
          <w:sz w:val="24"/>
          <w:lang w:val="lv-LV"/>
        </w:rPr>
        <w:tab/>
      </w:r>
      <w:hyperlink r:id="rId39" w:history="1">
        <w:r w:rsidRPr="00FC2E0E">
          <w:rPr>
            <w:rStyle w:val="Hyperlink"/>
            <w:sz w:val="24"/>
            <w:shd w:val="clear" w:color="auto" w:fill="FFFFFF"/>
            <w:lang w:val="lv-LV"/>
          </w:rPr>
          <w:t>https://tillymetz.lu/wp-content/uploads/2020/09/Co-signed-letter-MEP-Metz.pdf</w:t>
        </w:r>
      </w:hyperlink>
      <w:r w:rsidRPr="00FC2E0E">
        <w:rPr>
          <w:sz w:val="24"/>
          <w:lang w:val="lv-LV"/>
        </w:rPr>
        <w:t>.</w:t>
      </w:r>
      <w:r w:rsidRPr="00FC2E0E">
        <w:rPr>
          <w:sz w:val="24"/>
          <w:shd w:val="clear" w:color="auto" w:fill="FFFFFF"/>
          <w:lang w:val="lv-LV"/>
        </w:rPr>
        <w:t xml:space="preserve"> </w:t>
      </w:r>
    </w:p>
  </w:footnote>
  <w:footnote w:id="21">
    <w:p w:rsidR="008936A1" w:rsidRPr="00FC2E0E" w:rsidP="00FC2E0E" w14:paraId="3E86E713" w14:textId="6E13DA47">
      <w:pPr>
        <w:pStyle w:val="FootnoteText"/>
        <w:ind w:left="567" w:hanging="567"/>
        <w:rPr>
          <w:sz w:val="24"/>
          <w:lang w:val="lv-LV"/>
        </w:rPr>
      </w:pPr>
      <w:r w:rsidRPr="00FC2E0E">
        <w:rPr>
          <w:rStyle w:val="FootnoteReference"/>
          <w:sz w:val="24"/>
          <w:lang w:val="lv-LV"/>
        </w:rPr>
        <w:footnoteRef/>
      </w:r>
      <w:r w:rsidRPr="00FC2E0E" w:rsidR="00FC2E0E">
        <w:rPr>
          <w:sz w:val="24"/>
          <w:shd w:val="clear" w:color="auto" w:fill="FFFFFF"/>
          <w:lang w:val="lv-LV"/>
        </w:rPr>
        <w:t xml:space="preserve"> </w:t>
      </w:r>
      <w:r w:rsidRPr="00FC2E0E" w:rsidR="00FC2E0E">
        <w:rPr>
          <w:sz w:val="24"/>
          <w:shd w:val="clear" w:color="auto" w:fill="FFFFFF"/>
          <w:lang w:val="lv-LV"/>
        </w:rPr>
        <w:tab/>
      </w:r>
      <w:r w:rsidRPr="00FC2E0E">
        <w:rPr>
          <w:sz w:val="24"/>
          <w:shd w:val="clear" w:color="auto" w:fill="FFFFFF"/>
          <w:lang w:val="lv-LV"/>
        </w:rPr>
        <w:t>Eiropas Parlamenta 2020. gada 15. janvāra rezolūcija par Eiropas zaļo kursu (OV C 270, 7.7.2021., 2. lpp.), 102. punkts.</w:t>
      </w:r>
    </w:p>
  </w:footnote>
  <w:footnote w:id="22">
    <w:p w:rsidR="008936A1" w:rsidRPr="00FC2E0E" w:rsidP="00FC2E0E" w14:paraId="585B8CA8" w14:textId="71BA9464">
      <w:pPr>
        <w:pStyle w:val="FootnoteText"/>
        <w:ind w:left="567" w:hanging="567"/>
        <w:rPr>
          <w:sz w:val="24"/>
          <w:szCs w:val="24"/>
          <w:lang w:val="lv-LV"/>
        </w:rPr>
      </w:pPr>
      <w:r w:rsidRPr="00FC2E0E">
        <w:rPr>
          <w:rStyle w:val="FootnoteReference"/>
          <w:sz w:val="24"/>
          <w:lang w:val="lv-LV"/>
        </w:rPr>
        <w:footnoteRef/>
      </w:r>
      <w:r w:rsidRPr="00FC2E0E" w:rsidR="00FC2E0E">
        <w:rPr>
          <w:sz w:val="24"/>
          <w:shd w:val="clear" w:color="auto" w:fill="FFFFFF"/>
          <w:lang w:val="lv-LV"/>
        </w:rPr>
        <w:t xml:space="preserve"> </w:t>
      </w:r>
      <w:r w:rsidRPr="00FC2E0E" w:rsidR="00FC2E0E">
        <w:rPr>
          <w:sz w:val="24"/>
          <w:shd w:val="clear" w:color="auto" w:fill="FFFFFF"/>
          <w:lang w:val="lv-LV"/>
        </w:rPr>
        <w:tab/>
      </w:r>
      <w:r w:rsidRPr="00FC2E0E">
        <w:rPr>
          <w:sz w:val="24"/>
          <w:shd w:val="clear" w:color="auto" w:fill="FFFFFF"/>
          <w:lang w:val="lv-LV"/>
        </w:rPr>
        <w:t>OV C 445, 29.10.2021., 257. lpp.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C2E0E" w14:paraId="562857E7"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C2E0E" w14:paraId="616EC65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C2E0E" w14:paraId="7472616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1091856466">
    <w:abstractNumId w:val="9"/>
  </w:num>
  <w:num w:numId="2" w16cid:durableId="142040964">
    <w:abstractNumId w:val="9"/>
  </w:num>
  <w:num w:numId="3" w16cid:durableId="1824656407">
    <w:abstractNumId w:val="7"/>
  </w:num>
  <w:num w:numId="4" w16cid:durableId="1542326013">
    <w:abstractNumId w:val="7"/>
  </w:num>
  <w:num w:numId="5" w16cid:durableId="1798647149">
    <w:abstractNumId w:val="6"/>
  </w:num>
  <w:num w:numId="6" w16cid:durableId="1588542499">
    <w:abstractNumId w:val="6"/>
  </w:num>
  <w:num w:numId="7" w16cid:durableId="651718720">
    <w:abstractNumId w:val="5"/>
  </w:num>
  <w:num w:numId="8" w16cid:durableId="311524529">
    <w:abstractNumId w:val="5"/>
  </w:num>
  <w:num w:numId="9" w16cid:durableId="63184251">
    <w:abstractNumId w:val="4"/>
  </w:num>
  <w:num w:numId="10" w16cid:durableId="492532326">
    <w:abstractNumId w:val="4"/>
  </w:num>
  <w:num w:numId="11" w16cid:durableId="613949782">
    <w:abstractNumId w:val="8"/>
  </w:num>
  <w:num w:numId="12" w16cid:durableId="1341657135">
    <w:abstractNumId w:val="8"/>
  </w:num>
  <w:num w:numId="13" w16cid:durableId="725760901">
    <w:abstractNumId w:val="3"/>
  </w:num>
  <w:num w:numId="14" w16cid:durableId="1721199478">
    <w:abstractNumId w:val="3"/>
  </w:num>
  <w:num w:numId="15" w16cid:durableId="331613234">
    <w:abstractNumId w:val="2"/>
  </w:num>
  <w:num w:numId="16" w16cid:durableId="213086919">
    <w:abstractNumId w:val="2"/>
  </w:num>
  <w:num w:numId="17" w16cid:durableId="283578688">
    <w:abstractNumId w:val="1"/>
  </w:num>
  <w:num w:numId="18" w16cid:durableId="519851904">
    <w:abstractNumId w:val="1"/>
  </w:num>
  <w:num w:numId="19" w16cid:durableId="978806028">
    <w:abstractNumId w:val="0"/>
  </w:num>
  <w:num w:numId="20" w16cid:durableId="1130249284">
    <w:abstractNumId w:val="0"/>
  </w:num>
  <w:num w:numId="21" w16cid:durableId="426777348">
    <w:abstractNumId w:val="9"/>
  </w:num>
  <w:num w:numId="22" w16cid:durableId="1187914570">
    <w:abstractNumId w:val="7"/>
  </w:num>
  <w:num w:numId="23" w16cid:durableId="1333291101">
    <w:abstractNumId w:val="6"/>
  </w:num>
  <w:num w:numId="24" w16cid:durableId="2068331791">
    <w:abstractNumId w:val="5"/>
  </w:num>
  <w:num w:numId="25" w16cid:durableId="1068261398">
    <w:abstractNumId w:val="4"/>
  </w:num>
  <w:num w:numId="26" w16cid:durableId="1090588780">
    <w:abstractNumId w:val="8"/>
  </w:num>
  <w:num w:numId="27" w16cid:durableId="495919662">
    <w:abstractNumId w:val="3"/>
  </w:num>
  <w:num w:numId="28" w16cid:durableId="1419667170">
    <w:abstractNumId w:val="2"/>
  </w:num>
  <w:num w:numId="29" w16cid:durableId="1143230589">
    <w:abstractNumId w:val="1"/>
  </w:num>
  <w:num w:numId="30" w16cid:durableId="1347052712">
    <w:abstractNumId w:val="0"/>
  </w:num>
  <w:num w:numId="31" w16cid:durableId="1331057204">
    <w:abstractNumId w:val="9"/>
  </w:num>
  <w:num w:numId="32" w16cid:durableId="1267350667">
    <w:abstractNumId w:val="7"/>
  </w:num>
  <w:num w:numId="33" w16cid:durableId="2041783099">
    <w:abstractNumId w:val="6"/>
  </w:num>
  <w:num w:numId="34" w16cid:durableId="729307446">
    <w:abstractNumId w:val="5"/>
  </w:num>
  <w:num w:numId="35" w16cid:durableId="906375706">
    <w:abstractNumId w:val="4"/>
  </w:num>
  <w:num w:numId="36" w16cid:durableId="781846735">
    <w:abstractNumId w:val="8"/>
  </w:num>
  <w:num w:numId="37" w16cid:durableId="821232793">
    <w:abstractNumId w:val="3"/>
  </w:num>
  <w:num w:numId="38" w16cid:durableId="1153595436">
    <w:abstractNumId w:val="2"/>
  </w:num>
  <w:num w:numId="39" w16cid:durableId="1494641681">
    <w:abstractNumId w:val="1"/>
  </w:num>
  <w:num w:numId="40" w16cid:durableId="1395591404">
    <w:abstractNumId w:val="0"/>
  </w:num>
  <w:num w:numId="41" w16cid:durableId="1257012149">
    <w:abstractNumId w:val="10"/>
  </w:num>
  <w:num w:numId="42" w16cid:durableId="65153027">
    <w:abstractNumId w:val="10"/>
  </w:num>
  <w:num w:numId="43" w16cid:durableId="1269973203">
    <w:abstractNumId w:val="10"/>
  </w:num>
  <w:num w:numId="44" w16cid:durableId="672880822">
    <w:abstractNumId w:val="11"/>
  </w:num>
  <w:num w:numId="45" w16cid:durableId="1944142484">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F02"/>
    <w:rsid w:val="00002272"/>
    <w:rsid w:val="00064002"/>
    <w:rsid w:val="000677B9"/>
    <w:rsid w:val="00074F02"/>
    <w:rsid w:val="000831BA"/>
    <w:rsid w:val="00094C06"/>
    <w:rsid w:val="000A42CC"/>
    <w:rsid w:val="000C0228"/>
    <w:rsid w:val="000E7DD9"/>
    <w:rsid w:val="0010095E"/>
    <w:rsid w:val="00125B37"/>
    <w:rsid w:val="00187494"/>
    <w:rsid w:val="001E4FC9"/>
    <w:rsid w:val="001F32AE"/>
    <w:rsid w:val="002767FF"/>
    <w:rsid w:val="002B18FE"/>
    <w:rsid w:val="002B3892"/>
    <w:rsid w:val="002B5493"/>
    <w:rsid w:val="002C6580"/>
    <w:rsid w:val="00343214"/>
    <w:rsid w:val="00361C00"/>
    <w:rsid w:val="00395FA1"/>
    <w:rsid w:val="003A551B"/>
    <w:rsid w:val="003E15D4"/>
    <w:rsid w:val="003E32C8"/>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35BD"/>
    <w:rsid w:val="00817416"/>
    <w:rsid w:val="00842779"/>
    <w:rsid w:val="00853DEE"/>
    <w:rsid w:val="00865F67"/>
    <w:rsid w:val="00881A7B"/>
    <w:rsid w:val="008840E5"/>
    <w:rsid w:val="00887B3E"/>
    <w:rsid w:val="008936A1"/>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4E4C"/>
    <w:rsid w:val="00BD48FE"/>
    <w:rsid w:val="00BD7BD8"/>
    <w:rsid w:val="00BE6ADC"/>
    <w:rsid w:val="00C05BFE"/>
    <w:rsid w:val="00C23CD4"/>
    <w:rsid w:val="00C61C0C"/>
    <w:rsid w:val="00C941CB"/>
    <w:rsid w:val="00CC2357"/>
    <w:rsid w:val="00CD2E75"/>
    <w:rsid w:val="00CF071A"/>
    <w:rsid w:val="00D058B8"/>
    <w:rsid w:val="00D17778"/>
    <w:rsid w:val="00D304B5"/>
    <w:rsid w:val="00D56C11"/>
    <w:rsid w:val="00D834A0"/>
    <w:rsid w:val="00D872DF"/>
    <w:rsid w:val="00D91E21"/>
    <w:rsid w:val="00DA7FCD"/>
    <w:rsid w:val="00E365E1"/>
    <w:rsid w:val="00E4112C"/>
    <w:rsid w:val="00E820A4"/>
    <w:rsid w:val="00EB006A"/>
    <w:rsid w:val="00EB4772"/>
    <w:rsid w:val="00ED169E"/>
    <w:rsid w:val="00ED4235"/>
    <w:rsid w:val="00F04346"/>
    <w:rsid w:val="00F075DC"/>
    <w:rsid w:val="00F149E9"/>
    <w:rsid w:val="00F5134D"/>
    <w:rsid w:val="00F74202"/>
    <w:rsid w:val="00F87713"/>
    <w:rsid w:val="00FB4360"/>
    <w:rsid w:val="00FC2E0E"/>
    <w:rsid w:val="00FD0C70"/>
  </w:rsids>
  <w:docVars>
    <w:docVar w:name="dvdocse" w:val="B10-0336/2026"/>
    <w:docVar w:name="dvlangue" w:val="LV"/>
    <w:docVar w:name="dvnumam" w:val="0"/>
    <w:docVar w:name="dvpe" w:val="789.025"/>
    <w:docVar w:name="dvtitre" w:val="Eiropas Parlamenta 2026. gada XX. XXX  rezolūcija par projektu Komisijas īstenošanas lēmumam, ar ko saskaņā ar Eiropas Parlamenta un Padomes Regulu (EK) Nr. 1829/2003 atļauj laist tirgū produktus, kas satur ģenētiski modificētu kukurūzu DP202216 x NK603 x DAS-40278-9, sastāv vai ir ražoti no tās, kā arī tās apakškombinācijas DP202216 x NK603 un DP202216 x DAS-40278-9(D114997/04 – 2026/2746(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1C3F19E"/>
  <w15:chartTrackingRefBased/>
  <w15:docId w15:val="{1E44C7B5-5F1E-4E41-91E7-BDAEC570F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qFormat/>
    <w:rsid w:val="008936A1"/>
    <w:pPr>
      <w:spacing w:after="240"/>
      <w:ind w:left="567" w:hanging="567"/>
    </w:pPr>
  </w:style>
  <w:style w:type="paragraph" w:customStyle="1" w:styleId="NormalBold">
    <w:name w:val="NormalBold"/>
    <w:basedOn w:val="Normal"/>
    <w:rsid w:val="008936A1"/>
    <w:rPr>
      <w:b/>
    </w:rPr>
  </w:style>
  <w:style w:type="character" w:styleId="Hyperlink">
    <w:name w:val="Hyperlink"/>
    <w:basedOn w:val="DefaultParagraphFont"/>
    <w:uiPriority w:val="99"/>
    <w:rsid w:val="008936A1"/>
    <w:rPr>
      <w:color w:val="0563C1" w:themeColor="hyperlink"/>
      <w:u w:val="single"/>
    </w:rPr>
  </w:style>
  <w:style w:type="paragraph" w:customStyle="1" w:styleId="Considrant">
    <w:name w:val="Considérant"/>
    <w:basedOn w:val="Normal"/>
    <w:uiPriority w:val="99"/>
    <w:semiHidden/>
    <w:rsid w:val="008936A1"/>
    <w:pPr>
      <w:widowControl/>
      <w:numPr>
        <w:numId w:val="45"/>
      </w:numPr>
      <w:spacing w:before="120" w:after="120"/>
      <w:jc w:val="both"/>
    </w:pPr>
    <w:rPr>
      <w:rFonts w:eastAsiaTheme="minorHAnsi"/>
      <w:szCs w:val="22"/>
      <w:lang w:eastAsia="en-US"/>
    </w:rPr>
  </w:style>
  <w:style w:type="character" w:customStyle="1" w:styleId="Funotenzeichen">
    <w:name w:val="Fußnotenzeichen"/>
    <w:basedOn w:val="DefaultParagraphFont"/>
    <w:uiPriority w:val="99"/>
    <w:qFormat/>
    <w:rsid w:val="008936A1"/>
    <w:rPr>
      <w:rFonts w:ascii="Times New Roman" w:hAnsi="Times New Roman" w:cs="Times New Roman" w:hint="default"/>
      <w:vertAlign w:val="superscript"/>
    </w:rPr>
  </w:style>
  <w:style w:type="paragraph" w:styleId="Revision">
    <w:name w:val="Revision"/>
    <w:hidden/>
    <w:uiPriority w:val="99"/>
    <w:semiHidden/>
    <w:rsid w:val="00D17778"/>
    <w:rPr>
      <w:sz w:val="24"/>
      <w:lang w:val="lv-LV"/>
    </w:rPr>
  </w:style>
  <w:style w:type="character" w:styleId="FollowedHyperlink">
    <w:name w:val="FollowedHyperlink"/>
    <w:basedOn w:val="DefaultParagraphFont"/>
    <w:rsid w:val="00094C06"/>
    <w:rPr>
      <w:color w:val="954F72" w:themeColor="followedHyperlink"/>
      <w:u w:val="single"/>
    </w:rPr>
  </w:style>
  <w:style w:type="character" w:styleId="UnresolvedMention">
    <w:name w:val="Unresolved Mention"/>
    <w:basedOn w:val="DefaultParagraphFont"/>
    <w:uiPriority w:val="99"/>
    <w:semiHidden/>
    <w:unhideWhenUsed/>
    <w:rsid w:val="00094C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_impl/2026/1443/oj" TargetMode="External" /><Relationship Id="rId10" Type="http://schemas.openxmlformats.org/officeDocument/2006/relationships/hyperlink" Target="http://data.europa.eu/eli/C/2025/1802/oj" TargetMode="External" /><Relationship Id="rId11" Type="http://schemas.openxmlformats.org/officeDocument/2006/relationships/hyperlink" Target="http://data.europa.eu/eli/C/2025/1803/oj" TargetMode="External" /><Relationship Id="rId12" Type="http://schemas.openxmlformats.org/officeDocument/2006/relationships/hyperlink" Target="http://data.europa.eu/eli/C/2025/1804/oj" TargetMode="External" /><Relationship Id="rId13" Type="http://schemas.openxmlformats.org/officeDocument/2006/relationships/hyperlink" Target="http://data.europa.eu/eli/C/2025/2246/oj" TargetMode="External" /><Relationship Id="rId14" Type="http://schemas.openxmlformats.org/officeDocument/2006/relationships/hyperlink" Target="http://data.europa.eu/eli/C/2025/2247/oj" TargetMode="External" /><Relationship Id="rId15" Type="http://schemas.openxmlformats.org/officeDocument/2006/relationships/hyperlink" Target="http://data.europa.eu/eli/C/2026/586/oj" TargetMode="External" /><Relationship Id="rId16" Type="http://schemas.openxmlformats.org/officeDocument/2006/relationships/hyperlink" Target="http://data.europa.eu/eli/C/2026/1523/oj" TargetMode="External" /><Relationship Id="rId17" Type="http://schemas.openxmlformats.org/officeDocument/2006/relationships/hyperlink" Target="http://data.europa.eu/eli/C/2026/1703/oj" TargetMode="External" /><Relationship Id="rId18" Type="http://schemas.openxmlformats.org/officeDocument/2006/relationships/hyperlink" Target="http://data.europa.eu/eli/C/2026/1704/oj" TargetMode="External" /><Relationship Id="rId19" Type="http://schemas.openxmlformats.org/officeDocument/2006/relationships/hyperlink" Target="http://data.europa.eu/eli/C/2026/1705/oj" TargetMode="External" /><Relationship Id="rId2" Type="http://schemas.openxmlformats.org/officeDocument/2006/relationships/hyperlink" Target="http://data.europa.eu/eli/reg/2003/1829/oj" TargetMode="External" /><Relationship Id="rId20" Type="http://schemas.openxmlformats.org/officeDocument/2006/relationships/hyperlink" Target="http://data.europa.eu/eli/C/2026/1706/oj" TargetMode="External" /><Relationship Id="rId21" Type="http://schemas.openxmlformats.org/officeDocument/2006/relationships/hyperlink" Target="http://data.europa.eu/eli/C/2026/1707/oj" TargetMode="External" /><Relationship Id="rId22" Type="http://schemas.openxmlformats.org/officeDocument/2006/relationships/hyperlink" Target="http://data.europa.eu/eli/C/2026/2150/oj" TargetMode="External" /><Relationship Id="rId23" Type="http://schemas.openxmlformats.org/officeDocument/2006/relationships/hyperlink" Target="http://data.europa.eu/eli/C/2026/2151/oj" TargetMode="External" /><Relationship Id="rId24" Type="http://schemas.openxmlformats.org/officeDocument/2006/relationships/hyperlink" Target="https://doi.org/10.1007/s00267-015-0589-7" TargetMode="External" /><Relationship Id="rId25" Type="http://schemas.openxmlformats.org/officeDocument/2006/relationships/hyperlink" Target="https://doi.org/10.1186/2190-4715-24-24" TargetMode="External" /><Relationship Id="rId26" Type="http://schemas.openxmlformats.org/officeDocument/2006/relationships/hyperlink" Target="http://data.europa.eu/eli/reg/2009/1107/lav" TargetMode="External" /><Relationship Id="rId27" Type="http://schemas.openxmlformats.org/officeDocument/2006/relationships/hyperlink" Target="https://ec.europa.eu/food/plant/pesticides/eu-pesticides-database/start/screen/active-substances/details/79" TargetMode="External" /><Relationship Id="rId28" Type="http://schemas.openxmlformats.org/officeDocument/2006/relationships/hyperlink" Target="https://doi.org/10.1016/j.mrrev.2019.02.001" TargetMode="External" /><Relationship Id="rId29" Type="http://schemas.openxmlformats.org/officeDocument/2006/relationships/hyperlink" Target="https://doi.org/10.1093/ije/dyz017" TargetMode="External" /><Relationship Id="rId3" Type="http://schemas.openxmlformats.org/officeDocument/2006/relationships/hyperlink" Target="http://data.europa.eu/eli/reg/2011/182/oj" TargetMode="External" /><Relationship Id="rId30" Type="http://schemas.openxmlformats.org/officeDocument/2006/relationships/hyperlink" Target="https://doi.org/10.1371/journal.pone.0219610" TargetMode="External" /><Relationship Id="rId31" Type="http://schemas.openxmlformats.org/officeDocument/2006/relationships/hyperlink" Target="https://doi.org/10.1186/s13045-019-0767-9" TargetMode="External" /><Relationship Id="rId32" Type="http://schemas.openxmlformats.org/officeDocument/2006/relationships/hyperlink" Target="https://doi.org/10.1006/rtph.1999.1371." TargetMode="External" /><Relationship Id="rId33" Type="http://schemas.openxmlformats.org/officeDocument/2006/relationships/hyperlink" Target="https://doi.org/10.1007/s13205-016-0387-9" TargetMode="External" /><Relationship Id="rId34" Type="http://schemas.openxmlformats.org/officeDocument/2006/relationships/hyperlink" Target="https://doi.org/10.2903/j.efsa.2018.5263" TargetMode="External" /><Relationship Id="rId35" Type="http://schemas.openxmlformats.org/officeDocument/2006/relationships/hyperlink" Target="http://data.europa.eu/eli/convention/1993/626/lav" TargetMode="External" /><Relationship Id="rId36" Type="http://schemas.openxmlformats.org/officeDocument/2006/relationships/hyperlink" Target="https://ec.europa.eu/commission/presscorner/detail/lv/ip_22_7834" TargetMode="External" /><Relationship Id="rId37" Type="http://schemas.openxmlformats.org/officeDocument/2006/relationships/hyperlink" Target="https://commission.europa.eu/topics/agriculture-and-rural-development/strategic-dialogue-future-eu-agriculture_lv" TargetMode="External" /><Relationship Id="rId38" Type="http://schemas.openxmlformats.org/officeDocument/2006/relationships/hyperlink" Target="http://data.europa.eu/eli/reg/2002/178/lav" TargetMode="External" /><Relationship Id="rId39" Type="http://schemas.openxmlformats.org/officeDocument/2006/relationships/hyperlink" Target="https://tillymetz.lu/wp-content/uploads/2020/09/Co-signed-letter-MEP-Metz.pdf" TargetMode="External" /><Relationship Id="rId4" Type="http://schemas.openxmlformats.org/officeDocument/2006/relationships/hyperlink" Target="https://doi.org/10.2903/j.efsa.2025.9746" TargetMode="External" /><Relationship Id="rId5" Type="http://schemas.openxmlformats.org/officeDocument/2006/relationships/hyperlink" Target="http://data.europa.eu/eli/C/2025/1797/oj" TargetMode="External" /><Relationship Id="rId6" Type="http://schemas.openxmlformats.org/officeDocument/2006/relationships/hyperlink" Target="http://data.europa.eu/eli/C/2025/1798/oj" TargetMode="External" /><Relationship Id="rId7" Type="http://schemas.openxmlformats.org/officeDocument/2006/relationships/hyperlink" Target="http://data.europa.eu/eli/C/2025/1799/oj" TargetMode="External" /><Relationship Id="rId8" Type="http://schemas.openxmlformats.org/officeDocument/2006/relationships/hyperlink" Target="http://data.europa.eu/eli/C/2025/1800/oj" TargetMode="External" /><Relationship Id="rId9" Type="http://schemas.openxmlformats.org/officeDocument/2006/relationships/hyperlink" Target="http://data.europa.eu/eli/C/2025/180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1870</Words>
  <Characters>11934</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2026-09-03T16:29:00Z</dcterms:created>
  <dcterms:modified xsi:type="dcterms:W3CDTF">2026-09-03T16:29:00Z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P10_TA(2026)0265_</vt:lpwstr>
  </property>
  <property fmtid="{D5CDD505-2E9C-101B-9397-08002B2CF9AE}" pid="4" name="&lt;Type&gt;">
    <vt:lpwstr>RR</vt:lpwstr>
  </property>
</Properties>
</file>