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9CA000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6E3F" w:rsidP="0010095E" w14:paraId="308E84EF" w14:textId="74B19413">
            <w:pPr>
              <w:pStyle w:val="EPName"/>
            </w:pPr>
            <w:r w:rsidRPr="003D6E3F">
              <w:t>Parlament Europejski</w:t>
            </w:r>
          </w:p>
          <w:p w:rsidR="00751A4A" w:rsidRPr="003D6E3F" w:rsidP="005F1B17" w14:paraId="668E949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6E3F">
              <w:t>2024</w:t>
            </w:r>
            <w:r w:rsidRPr="003D6E3F" w:rsidR="00817416">
              <w:t>-202</w:t>
            </w:r>
            <w:r w:rsidRPr="003D6E3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D6E3F" w:rsidP="0010095E" w14:paraId="06E712D4" w14:textId="77777777">
            <w:pPr>
              <w:pStyle w:val="EPLogo"/>
            </w:pPr>
            <w:r w:rsidRPr="003D6E3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6E3F" w:rsidP="004C5D52" w14:paraId="056F91B8" w14:textId="77777777">
      <w:pPr>
        <w:pStyle w:val="LineTop"/>
      </w:pPr>
    </w:p>
    <w:p w:rsidR="00680577" w:rsidRPr="003D6E3F" w:rsidP="00680577" w14:paraId="2435E16A" w14:textId="70AB5BB0">
      <w:pPr>
        <w:pStyle w:val="EPBodyTA1"/>
      </w:pPr>
      <w:r w:rsidRPr="003D6E3F">
        <w:t>TEKSTY PRZYJĘTE</w:t>
      </w:r>
    </w:p>
    <w:p w:rsidR="00D058B8" w:rsidRPr="003D6E3F" w:rsidP="00D058B8" w14:paraId="4215615F" w14:textId="77777777">
      <w:pPr>
        <w:pStyle w:val="LineBottom"/>
      </w:pPr>
    </w:p>
    <w:p w:rsidR="004C559C" w:rsidRPr="003D6E3F" w:rsidP="004C559C" w14:paraId="0AAD29C2" w14:textId="3CC15585">
      <w:pPr>
        <w:pStyle w:val="ATHeading1"/>
      </w:pPr>
      <w:bookmarkStart w:id="0" w:name="TANumber"/>
      <w:r w:rsidRPr="003D6E3F">
        <w:t>P10_TA(2026)0</w:t>
      </w:r>
      <w:bookmarkEnd w:id="0"/>
      <w:r w:rsidR="007C4EB6">
        <w:t>265</w:t>
      </w:r>
    </w:p>
    <w:p w:rsidR="004C559C" w:rsidRPr="003D6E3F" w:rsidP="004C559C" w14:paraId="74D1596D" w14:textId="278D823D">
      <w:pPr>
        <w:pStyle w:val="ATHeading2"/>
      </w:pPr>
      <w:bookmarkStart w:id="1" w:name="title"/>
      <w:r>
        <w:t>G</w:t>
      </w:r>
      <w:r w:rsidRPr="003D6E3F">
        <w:t>enetycznie zmodyfikowana kukurydza</w:t>
      </w:r>
      <w:r>
        <w:t xml:space="preserve"> </w:t>
      </w:r>
      <w:r w:rsidRPr="003D6E3F">
        <w:t xml:space="preserve">DP202216 x NK603 x DAS-40278-9 i jej </w:t>
      </w:r>
      <w:r w:rsidRPr="003D6E3F">
        <w:t>subkombinacje</w:t>
      </w:r>
      <w:r w:rsidRPr="003D6E3F">
        <w:t xml:space="preserve"> DP202216 x NK603, DP202216 x DAS-40278-9</w:t>
      </w:r>
      <w:bookmarkEnd w:id="1"/>
    </w:p>
    <w:p w:rsidR="004C559C" w:rsidRPr="003D6E3F" w:rsidP="004C559C" w14:paraId="41E27AE9" w14:textId="77777777">
      <w:pPr>
        <w:rPr>
          <w:i/>
          <w:vanish/>
        </w:rPr>
      </w:pPr>
      <w:r>
        <w:rPr>
          <w:i/>
        </w:rPr>
        <w:fldChar w:fldCharType="begin"/>
      </w:r>
      <w:r w:rsidRPr="003D6E3F">
        <w:rPr>
          <w:i/>
        </w:rPr>
        <w:instrText xml:space="preserve"> TC"(</w:instrText>
      </w:r>
      <w:bookmarkStart w:id="2" w:name="DocNumber"/>
      <w:r w:rsidRPr="003D6E3F">
        <w:rPr>
          <w:i/>
        </w:rPr>
        <w:instrText>B10-0336/2026</w:instrText>
      </w:r>
      <w:bookmarkEnd w:id="2"/>
      <w:r w:rsidRPr="003D6E3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C559C" w:rsidRPr="003D6E3F" w:rsidP="004C559C" w14:paraId="6F04BA6E" w14:textId="77777777">
      <w:pPr>
        <w:rPr>
          <w:vanish/>
        </w:rPr>
      </w:pPr>
      <w:bookmarkStart w:id="3" w:name="PE"/>
      <w:r w:rsidRPr="003D6E3F">
        <w:rPr>
          <w:vanish/>
        </w:rPr>
        <w:t>PE789.025</w:t>
      </w:r>
      <w:bookmarkEnd w:id="3"/>
    </w:p>
    <w:p w:rsidR="004C559C" w:rsidRPr="003D6E3F" w:rsidP="004C559C" w14:paraId="6D690CF0" w14:textId="1A32E639">
      <w:pPr>
        <w:pStyle w:val="ATHeading3"/>
      </w:pPr>
      <w:bookmarkStart w:id="4" w:name="Sujet"/>
      <w:r w:rsidRPr="003D6E3F">
        <w:t xml:space="preserve">Rezolucja Parlamentu Europejskiego z dnia </w:t>
      </w:r>
      <w:r w:rsidR="00700514">
        <w:t>8 lipca</w:t>
      </w:r>
      <w:r w:rsidRPr="003D6E3F">
        <w:t xml:space="preserve"> 2026 r. w sprawie decyzji </w:t>
      </w:r>
      <w:r w:rsidRPr="00700514">
        <w:t xml:space="preserve">wykonawczej Komisji </w:t>
      </w:r>
      <w:r w:rsidRPr="00700514" w:rsidR="00700514">
        <w:t>(</w:t>
      </w:r>
      <w:r w:rsidR="00700514">
        <w:t>UE</w:t>
      </w:r>
      <w:r w:rsidRPr="00700514" w:rsidR="00700514">
        <w:t xml:space="preserve">) 2026/1443 z dnia 29 czerwca 2026 r. </w:t>
      </w:r>
      <w:r w:rsidRPr="00700514">
        <w:t>zezwalającej na</w:t>
      </w:r>
      <w:r w:rsidRPr="003D6E3F">
        <w:t xml:space="preserve"> wprowadzenie do obrotu, na podstawie rozporządzenia (WE) nr 1829/2003 Parlamentu Europejskiego i Rady, produktów zawierających genetycznie zmodyfikowaną kukurydzę DP202216 x NK603 x DAS-40278-9 i jej </w:t>
      </w:r>
      <w:r w:rsidRPr="003D6E3F">
        <w:t>subkombinacje</w:t>
      </w:r>
      <w:r w:rsidRPr="003D6E3F">
        <w:t xml:space="preserve"> DP202216 x NK603, DP202216 x DAS-40278-9 oraz produktów składających się z wymienionych rodzajów zmodyfikowanej genetycznie kukurydzy lub z niej wyprodukowanych</w:t>
      </w:r>
      <w:bookmarkEnd w:id="4"/>
      <w:r w:rsidRPr="003D6E3F">
        <w:t xml:space="preserve"> </w:t>
      </w:r>
      <w:bookmarkStart w:id="5" w:name="References"/>
      <w:r w:rsidRPr="003D6E3F">
        <w:t>(2026/2746(RSP))</w:t>
      </w:r>
      <w:bookmarkEnd w:id="5"/>
    </w:p>
    <w:p w:rsidR="009320BD" w:rsidRPr="003D6E3F" w:rsidP="009320BD" w14:paraId="34E49AB4" w14:textId="77777777">
      <w:pPr>
        <w:pStyle w:val="NormalHanging12a"/>
        <w:tabs>
          <w:tab w:val="center" w:pos="4535"/>
        </w:tabs>
        <w:spacing w:before="240"/>
      </w:pPr>
      <w:bookmarkStart w:id="6" w:name="TextBodyBegin"/>
      <w:bookmarkEnd w:id="6"/>
      <w:r w:rsidRPr="003D6E3F">
        <w:rPr>
          <w:i/>
        </w:rPr>
        <w:t>Parlament Europejski</w:t>
      </w:r>
      <w:r w:rsidRPr="003D6E3F">
        <w:t>,</w:t>
      </w:r>
    </w:p>
    <w:p w:rsidR="009320BD" w:rsidRPr="003D6E3F" w:rsidP="007C4EB6" w14:paraId="410FB0ED" w14:textId="796EF346">
      <w:pPr>
        <w:pStyle w:val="NormalHanging12a"/>
      </w:pPr>
      <w:r w:rsidRPr="003D6E3F">
        <w:t>–</w:t>
      </w:r>
      <w:r w:rsidRPr="003D6E3F">
        <w:tab/>
        <w:t>uwzględniają</w:t>
      </w:r>
      <w:r w:rsidR="00700514">
        <w:t>c</w:t>
      </w:r>
      <w:r w:rsidRPr="003D6E3F">
        <w:t xml:space="preserve"> decyzj</w:t>
      </w:r>
      <w:r w:rsidR="00700514">
        <w:t>ę</w:t>
      </w:r>
      <w:r w:rsidRPr="003D6E3F">
        <w:t xml:space="preserve"> wykonawcz</w:t>
      </w:r>
      <w:r w:rsidR="00700514">
        <w:t>ą</w:t>
      </w:r>
      <w:r w:rsidRPr="003D6E3F">
        <w:t xml:space="preserve"> Komisji </w:t>
      </w:r>
      <w:r w:rsidRPr="00700514" w:rsidR="00700514">
        <w:t>(</w:t>
      </w:r>
      <w:r w:rsidR="00700514">
        <w:t>UE</w:t>
      </w:r>
      <w:r w:rsidRPr="00700514" w:rsidR="00700514">
        <w:t>) 2026/1443 z dnia 29 czerwca 2026 r.</w:t>
      </w:r>
      <w:r w:rsidR="00700514">
        <w:t xml:space="preserve"> </w:t>
      </w:r>
      <w:r w:rsidRPr="003D6E3F">
        <w:t>zezwalając</w:t>
      </w:r>
      <w:r w:rsidR="00700514">
        <w:t>ą</w:t>
      </w:r>
      <w:r w:rsidRPr="003D6E3F">
        <w:t xml:space="preserve"> na wprowadzenie do obrotu, na podstawie rozporządzenia (WE) nr </w:t>
      </w:r>
      <w:r w:rsidRPr="00700514">
        <w:t>1829/2003 Parlamentu Europejskiego i Rady</w:t>
      </w:r>
      <w:r>
        <w:rPr>
          <w:rStyle w:val="FootnoteReference"/>
        </w:rPr>
        <w:footnoteReference w:id="2"/>
      </w:r>
      <w:r w:rsidRPr="00700514">
        <w:t>, produktów zawierających genetycznie</w:t>
      </w:r>
      <w:r w:rsidRPr="003D6E3F">
        <w:t xml:space="preserve"> zmodyfikowaną kukurydzę DP202216 x NK603 x DAS-40278-9 i jej </w:t>
      </w:r>
      <w:r w:rsidRPr="003D6E3F">
        <w:t>subkombinacje</w:t>
      </w:r>
      <w:r w:rsidRPr="003D6E3F">
        <w:t xml:space="preserve"> DP202216 x NK603, DP202216 x DAS-40278-9 oraz produktów składających się z wymienionych rodzajów zmodyfikowanej genetycznie kukurydzy lub z niej wyprodukowanych,</w:t>
      </w:r>
    </w:p>
    <w:p w:rsidR="009320BD" w:rsidRPr="003D6E3F" w:rsidP="007C4EB6" w14:paraId="12033D28" w14:textId="77777777">
      <w:pPr>
        <w:pStyle w:val="NormalHanging12a"/>
      </w:pPr>
      <w:r w:rsidRPr="003D6E3F">
        <w:t>–</w:t>
      </w:r>
      <w:r w:rsidRPr="003D6E3F">
        <w:tab/>
        <w:t>uwzględniając rozporządzenie (WE) nr 1829/2003 Parlamentu Europejskiego i Rady z dnia 22 września 2003 r. w sprawie genetycznie zmodyfikowanej żywności i paszy</w:t>
      </w:r>
      <w:r>
        <w:rPr>
          <w:rStyle w:val="FootnoteReference"/>
        </w:rPr>
        <w:footnoteReference w:id="3"/>
      </w:r>
      <w:r w:rsidRPr="003D6E3F">
        <w:t>, w szczególności jego art. 7 ust. 3 i art. 19 ust. 3,</w:t>
      </w:r>
    </w:p>
    <w:p w:rsidR="009320BD" w:rsidRPr="003D6E3F" w:rsidP="007C4EB6" w14:paraId="214DDED5" w14:textId="77777777">
      <w:pPr>
        <w:pStyle w:val="NormalHanging12a"/>
      </w:pPr>
      <w:r w:rsidRPr="003D6E3F">
        <w:t>–</w:t>
      </w:r>
      <w:r w:rsidRPr="003D6E3F">
        <w:tab/>
        <w:t>uwzględniając głosowanie – bez wydania opinii – przeprowadzone 27 kwietnia 2026 r. przez Stały Komitet ds. Roślin, Zwierząt, Żywności i Pasz, o którym mowa w art. 35 rozporządzenia (WE) nr 1829/2003, oraz głosowanie komitetu odwoławczego z 2 czerwca 2026 r., w wyniku którego również nie wydano opinii,</w:t>
      </w:r>
    </w:p>
    <w:p w:rsidR="009320BD" w:rsidRPr="003D6E3F" w:rsidP="007C4EB6" w14:paraId="436A46CE" w14:textId="77777777">
      <w:pPr>
        <w:pStyle w:val="NormalHanging12a"/>
      </w:pPr>
      <w:r w:rsidRPr="003D6E3F">
        <w:t>–</w:t>
      </w:r>
      <w:r w:rsidRPr="003D6E3F">
        <w:tab/>
        <w:t>uwzględniając art. 11 rozporządzenia Parlamentu Europejskiego i Rady (UE) nr 182/2011 z 16 lutego 2011 r. ustanawiającego przepisy i zasady ogólne dotyczące trybu kontroli przez państwa członkowskie wykonywania uprawnień wykonawczych przez Komisję</w:t>
      </w:r>
      <w:r>
        <w:rPr>
          <w:rStyle w:val="FootnoteReference"/>
        </w:rPr>
        <w:footnoteReference w:id="4"/>
      </w:r>
      <w:r w:rsidRPr="003D6E3F">
        <w:t>,</w:t>
      </w:r>
    </w:p>
    <w:p w:rsidR="009320BD" w:rsidRPr="003D6E3F" w:rsidP="007C4EB6" w14:paraId="5F2B13DE" w14:textId="77777777">
      <w:pPr>
        <w:pStyle w:val="NormalHanging12a"/>
      </w:pPr>
      <w:r w:rsidRPr="003D6E3F">
        <w:t>–</w:t>
      </w:r>
      <w:r w:rsidRPr="003D6E3F">
        <w:tab/>
        <w:t xml:space="preserve">uwzględniając opinię Europejskiego Urzędu ds. Bezpieczeństwa Żywności (EFSA) z 30 </w:t>
      </w:r>
      <w:r w:rsidRPr="003D6E3F">
        <w:t>października 2025 r., opublikowaną 5 grudnia 2025 r.</w:t>
      </w:r>
      <w:r>
        <w:rPr>
          <w:rStyle w:val="FootnoteReference"/>
        </w:rPr>
        <w:footnoteReference w:id="5"/>
      </w:r>
      <w:r w:rsidRPr="003D6E3F">
        <w:t>,</w:t>
      </w:r>
    </w:p>
    <w:p w:rsidR="009320BD" w:rsidRPr="003D6E3F" w:rsidP="007C4EB6" w14:paraId="12A60CFC" w14:textId="77777777">
      <w:pPr>
        <w:pStyle w:val="NormalHanging12a"/>
      </w:pPr>
      <w:r w:rsidRPr="003D6E3F">
        <w:t>–</w:t>
      </w:r>
      <w:r w:rsidRPr="003D6E3F">
        <w:tab/>
        <w:t>uwzględniając swoje wcześniejsze rezolucje zawierające sprzeciw wobec zatwierdzania organizmów zmodyfikowanych genetycznie (GMO)</w:t>
      </w:r>
      <w:r>
        <w:rPr>
          <w:rStyle w:val="FootnoteReference"/>
        </w:rPr>
        <w:footnoteReference w:id="6"/>
      </w:r>
      <w:r w:rsidRPr="003D6E3F">
        <w:t>,</w:t>
      </w:r>
    </w:p>
    <w:p w:rsidR="009320BD" w:rsidRPr="003D6E3F" w:rsidP="007C4EB6" w14:paraId="074CD127" w14:textId="77777777">
      <w:pPr>
        <w:pStyle w:val="NormalHanging12a"/>
      </w:pPr>
      <w:r w:rsidRPr="003D6E3F">
        <w:t>–</w:t>
      </w:r>
      <w:r w:rsidRPr="003D6E3F">
        <w:tab/>
        <w:t>uwzględniając art. 115 ust. 2 i 3 Regulaminu,</w:t>
      </w:r>
    </w:p>
    <w:p w:rsidR="009320BD" w:rsidRPr="003D6E3F" w:rsidP="007C4EB6" w14:paraId="29008216" w14:textId="77777777">
      <w:pPr>
        <w:pStyle w:val="NormalHanging12a"/>
      </w:pPr>
      <w:r w:rsidRPr="003D6E3F">
        <w:t>–</w:t>
      </w:r>
      <w:r w:rsidRPr="003D6E3F">
        <w:tab/>
        <w:t>uwzględniając projekt rezolucji Komisji Ochrony Środowiska Naturalnego, Klimatu i Bezpieczeństwa Żywności,</w:t>
      </w:r>
    </w:p>
    <w:p w:rsidR="009320BD" w:rsidRPr="003D6E3F" w:rsidP="007C4EB6" w14:paraId="138B5352" w14:textId="77777777">
      <w:pPr>
        <w:pStyle w:val="Considrant"/>
        <w:numPr>
          <w:ilvl w:val="0"/>
          <w:numId w:val="0"/>
        </w:numPr>
        <w:spacing w:after="240"/>
        <w:ind w:left="567" w:hanging="567"/>
        <w:jc w:val="left"/>
        <w:rPr>
          <w:szCs w:val="24"/>
        </w:rPr>
      </w:pPr>
      <w:r w:rsidRPr="003D6E3F">
        <w:t>A.</w:t>
      </w:r>
      <w:r w:rsidRPr="003D6E3F">
        <w:tab/>
        <w:t xml:space="preserve">mając na uwadze, że 10 marca 2023 r., zgodnie z art. 5 i 17 rozporządzenia (WE) nr 1829/2003, </w:t>
      </w:r>
      <w:r w:rsidRPr="003D6E3F">
        <w:rPr>
          <w:snapToGrid w:val="0"/>
        </w:rPr>
        <w:t xml:space="preserve">przedsiębiorstwo </w:t>
      </w:r>
      <w:r w:rsidRPr="003D6E3F">
        <w:rPr>
          <w:snapToGrid w:val="0"/>
        </w:rPr>
        <w:t>Corteva</w:t>
      </w:r>
      <w:r w:rsidRPr="003D6E3F">
        <w:rPr>
          <w:snapToGrid w:val="0"/>
        </w:rPr>
        <w:t xml:space="preserve"> </w:t>
      </w:r>
      <w:r w:rsidRPr="003D6E3F">
        <w:rPr>
          <w:snapToGrid w:val="0"/>
        </w:rPr>
        <w:t>Agriscience</w:t>
      </w:r>
      <w:r w:rsidRPr="003D6E3F">
        <w:rPr>
          <w:snapToGrid w:val="0"/>
        </w:rPr>
        <w:t xml:space="preserve"> </w:t>
      </w:r>
      <w:r w:rsidRPr="003D6E3F">
        <w:rPr>
          <w:snapToGrid w:val="0"/>
        </w:rPr>
        <w:t>Belgium</w:t>
      </w:r>
      <w:r w:rsidRPr="003D6E3F">
        <w:rPr>
          <w:snapToGrid w:val="0"/>
        </w:rPr>
        <w:t xml:space="preserve"> B.V. z siedzibą w Belgii, zwróciło się w imieniu przedsiębiorstwa </w:t>
      </w:r>
      <w:r w:rsidRPr="003D6E3F">
        <w:rPr>
          <w:snapToGrid w:val="0"/>
        </w:rPr>
        <w:t>Corteva</w:t>
      </w:r>
      <w:r w:rsidRPr="003D6E3F">
        <w:rPr>
          <w:snapToGrid w:val="0"/>
        </w:rPr>
        <w:t xml:space="preserve"> </w:t>
      </w:r>
      <w:r w:rsidRPr="003D6E3F">
        <w:rPr>
          <w:snapToGrid w:val="0"/>
        </w:rPr>
        <w:t>Agriscience</w:t>
      </w:r>
      <w:r w:rsidRPr="003D6E3F">
        <w:rPr>
          <w:snapToGrid w:val="0"/>
        </w:rPr>
        <w:t xml:space="preserve"> LLC z siedzibą w Stanach Zjednoczonych z wnioskiem dotyczącym</w:t>
      </w:r>
      <w:r w:rsidRPr="003D6E3F">
        <w:t xml:space="preserve"> wprowadzenia do obrotu żywności, składników żywności i paszy zawierających kukurydzę zmodyfikowaną genetycznie DP202216 × NK603 × DAS-40279-9 („kukurydza zmodyfikowana genetycznie”), składających się z niej lub z niej wyprodukowanych; mając na uwadze, że wniosek dotyczył również wprowadzenia do obrotu produktów zawierających kukurydzę zmodyfikowaną genetycznie lub składających się z niej, do zastosowań innych niż żywność i pasza, z wyjątkiem uprawy;</w:t>
      </w:r>
    </w:p>
    <w:p w:rsidR="009320BD" w:rsidRPr="003D6E3F" w:rsidP="007C4EB6" w14:paraId="630835A5" w14:textId="77777777">
      <w:pPr>
        <w:widowControl/>
        <w:shd w:val="clear" w:color="auto" w:fill="FFFFFF"/>
        <w:spacing w:after="240"/>
        <w:ind w:left="567" w:hanging="567"/>
        <w:rPr>
          <w:szCs w:val="24"/>
        </w:rPr>
      </w:pPr>
      <w:r w:rsidRPr="003D6E3F">
        <w:t>B.</w:t>
      </w:r>
      <w:r w:rsidRPr="003D6E3F">
        <w:tab/>
        <w:t xml:space="preserve">mając na uwadze, że EFSA wydał 30 października 2025 r. pozytywną opinię naukową w sprawie zezwolenia na kukurydzę zmodyfikowaną genetycznie i opublikował ją </w:t>
      </w:r>
      <w:r w:rsidRPr="003D6E3F">
        <w:rPr>
          <w:shd w:val="clear" w:color="auto" w:fill="FFFFFF"/>
        </w:rPr>
        <w:t>5 grudnia 2025 r.</w:t>
      </w:r>
      <w:r w:rsidRPr="003D6E3F">
        <w:t>;</w:t>
      </w:r>
    </w:p>
    <w:p w:rsidR="009320BD" w:rsidRPr="003D6E3F" w:rsidP="007C4EB6" w14:paraId="4CFEF85F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C.</w:t>
      </w:r>
      <w:r w:rsidRPr="003D6E3F">
        <w:tab/>
        <w:t xml:space="preserve">mając na uwadze, że EFSA uznał, że kukurydza zmodyfikowana genetycznie i jej </w:t>
      </w:r>
      <w:r w:rsidRPr="003D6E3F">
        <w:t>subkombinacje</w:t>
      </w:r>
      <w:r w:rsidRPr="003D6E3F">
        <w:t xml:space="preserve">, zgodne z opisem we wniosku, są równie bezpieczne jak ich konwencjonalny odpowiednik i przebadane niezmodyfikowane genetycznie odmiany referencyjne kukurydzy pod względem potencjalnego wpływu na zdrowie ludzi i zwierząt oraz na środowisko; mając na uwadze, że EFSA stwierdził również, że spożywanie żywności i paszy z kukurydzy zmodyfikowanej genetycznie i jej </w:t>
      </w:r>
      <w:r w:rsidRPr="003D6E3F">
        <w:t>subkombinacji</w:t>
      </w:r>
      <w:r w:rsidRPr="003D6E3F">
        <w:t xml:space="preserve"> nie budzi obaw, jeśli chodzi o odżywianie ludzi i zwierząt; mając na uwadze, że w opinii tej nie odniesiono się do szerzej pojętych skutków środowiskowych, społeczno-gospodarczych i skumulowanych, które zdaniem EFSA nie wchodzą w zakres jego kompetencji;</w:t>
      </w:r>
    </w:p>
    <w:p w:rsidR="009320BD" w:rsidRPr="003D6E3F" w:rsidP="007C4EB6" w14:paraId="6C8B30E5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D.</w:t>
      </w:r>
      <w:r w:rsidRPr="003D6E3F">
        <w:tab/>
        <w:t xml:space="preserve">mając na uwadze, że kukurydza zmodyfikowana genetycznie została opracowana w drodze krzyżowania w celu połączenia następujących trzech modyfikacji: DP202216 wyrażające ekspresję enzymu acetylotransferazy </w:t>
      </w:r>
      <w:r w:rsidRPr="003D6E3F">
        <w:t>fosfinotrycyny</w:t>
      </w:r>
      <w:r w:rsidRPr="003D6E3F">
        <w:t xml:space="preserve"> (PAT) w celu nadania tolerancji na herbicydy zawierające </w:t>
      </w:r>
      <w:r w:rsidRPr="003D6E3F">
        <w:t>glufosynat</w:t>
      </w:r>
      <w:r w:rsidRPr="003D6E3F">
        <w:t xml:space="preserve"> amonowy oraz endogenne białko kukurydzy o zmienionej ekspresji (EPAE) ZMM28 w celu zapewnienia możliwości zwiększenia plonów (YE) w warunkach upraw polowych; NK603 wyrażające CP4 EPSPS i CP4 EPSPS L214P w celu nadania tolerancji na herbicydy na bazie </w:t>
      </w:r>
      <w:r w:rsidRPr="003D6E3F">
        <w:t>glifosatu</w:t>
      </w:r>
      <w:r w:rsidRPr="003D6E3F">
        <w:t xml:space="preserve">; </w:t>
      </w:r>
      <w:r w:rsidRPr="003D6E3F">
        <w:t xml:space="preserve">oraz DAS-40278-9 wyrażające </w:t>
      </w:r>
      <w:r w:rsidRPr="003D6E3F">
        <w:t>dioksygenazę</w:t>
      </w:r>
      <w:r w:rsidRPr="003D6E3F">
        <w:t xml:space="preserve"> </w:t>
      </w:r>
      <w:r w:rsidRPr="003D6E3F">
        <w:t>aryloksyalkanianu</w:t>
      </w:r>
      <w:r w:rsidRPr="003D6E3F">
        <w:t xml:space="preserve"> (AAD-1) w celu nadania tolerancji na klasę herbicydów 2,4-D i </w:t>
      </w:r>
      <w:r w:rsidRPr="003D6E3F">
        <w:t>aryloksyfenoksypropionianu</w:t>
      </w:r>
      <w:r w:rsidRPr="003D6E3F">
        <w:t xml:space="preserve"> (AOPP)</w:t>
      </w:r>
      <w:r>
        <w:rPr>
          <w:rStyle w:val="FootnoteReference"/>
          <w:rFonts w:eastAsiaTheme="minorHAnsi"/>
          <w:szCs w:val="24"/>
        </w:rPr>
        <w:footnoteReference w:id="7"/>
      </w:r>
      <w:r w:rsidRPr="003D6E3F">
        <w:t>;</w:t>
      </w:r>
    </w:p>
    <w:p w:rsidR="009320BD" w:rsidRPr="003D6E3F" w:rsidP="007C4EB6" w14:paraId="32DFBFF9" w14:textId="77777777">
      <w:pPr>
        <w:spacing w:after="240"/>
        <w:ind w:left="567" w:hanging="567"/>
        <w:rPr>
          <w:rFonts w:eastAsiaTheme="minorHAnsi"/>
          <w:szCs w:val="24"/>
        </w:rPr>
      </w:pPr>
      <w:r w:rsidRPr="003D6E3F">
        <w:t>E.</w:t>
      </w:r>
      <w:r w:rsidRPr="003D6E3F">
        <w:tab/>
        <w:t xml:space="preserve">mając na uwadze, że tylko </w:t>
      </w:r>
      <w:r w:rsidRPr="003D6E3F">
        <w:t>subkombinacja</w:t>
      </w:r>
      <w:r w:rsidRPr="003D6E3F">
        <w:t xml:space="preserve"> NK603 × DAS- 40278-9 została wcześniej oceniona przez EFSA; mając na uwadze, że wnioskodawca nie przedstawił żadnych danych doświadczalnych dotyczących </w:t>
      </w:r>
      <w:r w:rsidRPr="003D6E3F">
        <w:t>subkombinacji</w:t>
      </w:r>
      <w:r w:rsidRPr="003D6E3F">
        <w:t xml:space="preserve"> DP202216 x NK603 i DP202216 x DAS-40278-9, które nie zostały wcześniej ocenione przez EFSA; mając na uwadze, że mimo to EFSA stwierdził, iż </w:t>
      </w:r>
      <w:r w:rsidRPr="003D6E3F">
        <w:t>subkombinacja</w:t>
      </w:r>
      <w:r w:rsidRPr="003D6E3F">
        <w:t xml:space="preserve"> ta nie budzi obaw co do bezpieczeństwa;</w:t>
      </w:r>
    </w:p>
    <w:p w:rsidR="009320BD" w:rsidRPr="003D6E3F" w:rsidP="007C4EB6" w14:paraId="4CD473D2" w14:textId="77777777">
      <w:pPr>
        <w:spacing w:after="240"/>
        <w:ind w:left="567" w:hanging="567"/>
        <w:rPr>
          <w:rFonts w:eastAsiaTheme="minorHAnsi"/>
          <w:szCs w:val="24"/>
        </w:rPr>
      </w:pPr>
      <w:r w:rsidRPr="003D6E3F">
        <w:t>F.</w:t>
      </w:r>
      <w:r w:rsidRPr="003D6E3F">
        <w:tab/>
        <w:t>mając na uwadze, że oceny ryzyka przeprowadzone przez EFSA nie obejmowały długoterminowych badań toksykologicznych ani szczegółowej analizy skutków skumulowanych i skojarzonych, w tym potencjalnych interakcji z pozostałościami pestycydów powszechnie stosowanych w uprawie kukurydzy;</w:t>
      </w:r>
    </w:p>
    <w:p w:rsidR="009320BD" w:rsidRPr="003D6E3F" w:rsidP="007C4EB6" w14:paraId="0D6C1A41" w14:textId="77777777">
      <w:pPr>
        <w:spacing w:after="240"/>
        <w:ind w:left="567" w:hanging="567"/>
        <w:rPr>
          <w:rFonts w:eastAsiaTheme="minorHAnsi"/>
          <w:szCs w:val="24"/>
        </w:rPr>
      </w:pPr>
      <w:r w:rsidRPr="003D6E3F">
        <w:t>G.</w:t>
      </w:r>
      <w:r w:rsidRPr="003D6E3F">
        <w:tab/>
        <w:t>mając na uwadze, że zdecydowana większość roślin uprawnych zmodyfikowanych genetycznie, w tym kukurydza zmodyfikowana genetycznie, została zmodyfikowana genetycznie, aby uzyskać tolerancję na co najmniej jeden herbicyd uzupełniający spośród herbicydów, które mogą być stosowane w trakcie całego cyklu uprawy roślin zmodyfikowanych genetycznie bez powodowania zamierania upraw, jak miałoby to miejsce w przypadku upraw nietolerujących herbicydów; mając na uwadze, że wiele badań wskazuje, że uprawa genetycznie zmodyfikowanych roślin tolerujących herbicydy prowadzi do większego zużycia herbicydów uzupełniających, co w dużej mierze spowodowane jest pojawieniem się chwastów tolerujących herbicydy;</w:t>
      </w:r>
    </w:p>
    <w:p w:rsidR="009320BD" w:rsidRPr="003D6E3F" w:rsidP="007C4EB6" w14:paraId="0737F6B9" w14:textId="77777777">
      <w:pPr>
        <w:spacing w:after="240"/>
        <w:ind w:left="567" w:hanging="567"/>
        <w:rPr>
          <w:rFonts w:eastAsiaTheme="minorHAnsi"/>
          <w:szCs w:val="24"/>
        </w:rPr>
      </w:pPr>
      <w:r w:rsidRPr="003D6E3F">
        <w:t>H.</w:t>
      </w:r>
      <w:r w:rsidRPr="003D6E3F">
        <w:tab/>
        <w:t>mając na uwadze, że genetycznie zmodyfikowane uprawy odporne na herbicydy uzależniają rolników od systemu zarządzania chwastami, który jest w dużej mierze lub całkowicie uzależniony od herbicydów, a jednocześnie tworzą zależność od stosowania herbicydów uzupełniających jako integralnej części systemu produkcji; mając na uwadze, że zwiększone uzależnienie od herbicydów uzupełniających w gospodarstwach, w których prowadzi się uprawy genetycznie zmodyfikowanej kukurydzy, przyspiesza pojawianie się i rozprzestrzenianie chwastów odpornych na te herbicydy, co sprawia, że konieczne staje się coraz szersze stosowanie herbicydów, czyli prowadzi do powstania błędnego koła; mając na uwadze, że nadmierne uzależnienie od herbicydów będzie mieć negatywne skutki, takie jak pogorszenie zdrowia gleby, jakości wody oraz różnorodności biologicznej na powierzchni ziemi i pod ziemią, a także zwiększy ekspozycję ludzi i zwierząt na herbicydy, potencjalnie również w związku z większymi pozostałościami herbicydów w żywności i paszy;</w:t>
      </w:r>
    </w:p>
    <w:p w:rsidR="009320BD" w:rsidRPr="003D6E3F" w:rsidP="007C4EB6" w14:paraId="0900D926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I.</w:t>
      </w:r>
      <w:r w:rsidRPr="003D6E3F">
        <w:tab/>
        <w:t xml:space="preserve">mając na uwadze, że wiele badań wskazuje, że uprawa genetycznie zmodyfikowanych roślin tolerujących herbicydy prowadzi do większego zużycia herbicydów uzupełniających, co w dużej mierze spowodowane jest pojawieniem się chwastów </w:t>
      </w:r>
      <w:r w:rsidRPr="003D6E3F">
        <w:t>odpornych na herbicydy</w:t>
      </w:r>
      <w:r>
        <w:rPr>
          <w:rFonts w:eastAsiaTheme="minorHAnsi"/>
          <w:vertAlign w:val="superscript"/>
        </w:rPr>
        <w:footnoteReference w:id="8"/>
      </w:r>
      <w:r w:rsidRPr="003D6E3F">
        <w:t xml:space="preserve">; mając na uwadze, że należy się w związku z tym spodziewać stosowania w uprawie genetycznie zmodyfikowanej kukurydzy większych i częstych dawek herbicydów na bazie </w:t>
      </w:r>
      <w:r w:rsidRPr="003D6E3F">
        <w:t>glifosatu</w:t>
      </w:r>
      <w:r w:rsidRPr="003D6E3F">
        <w:t xml:space="preserve">, </w:t>
      </w:r>
      <w:r w:rsidRPr="003D6E3F">
        <w:t>glufosynatu</w:t>
      </w:r>
      <w:r w:rsidRPr="003D6E3F">
        <w:t xml:space="preserve">, </w:t>
      </w:r>
      <w:r w:rsidRPr="003D6E3F">
        <w:t>aryloksyfenoksypropionianu</w:t>
      </w:r>
      <w:r w:rsidRPr="003D6E3F">
        <w:t xml:space="preserve"> i 2,4-D, a tym samym obecności w zbiorach większej ilości jego pozostałości i produktów rozpadu („metabolity”);</w:t>
      </w:r>
    </w:p>
    <w:p w:rsidR="009320BD" w:rsidRPr="003D6E3F" w:rsidP="007C4EB6" w14:paraId="0097344A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J.</w:t>
      </w:r>
      <w:r w:rsidRPr="003D6E3F">
        <w:tab/>
        <w:t xml:space="preserve">mając na uwadze, że </w:t>
      </w:r>
      <w:r w:rsidRPr="003D6E3F">
        <w:t>glufosynat</w:t>
      </w:r>
      <w:r w:rsidRPr="003D6E3F">
        <w:t xml:space="preserve"> zaliczono do substancji działających szkodliwie na rozrodczość (1B), w związku z czym spełnia on kryteria graniczne określone w rozporządzeniu Parlamentu Europejskiego i Rady (WE) nr 1107/2009</w:t>
      </w:r>
      <w:r>
        <w:rPr>
          <w:rFonts w:eastAsiaTheme="minorHAnsi"/>
          <w:vertAlign w:val="superscript"/>
        </w:rPr>
        <w:footnoteReference w:id="9"/>
      </w:r>
      <w:r w:rsidRPr="003D6E3F">
        <w:t xml:space="preserve">; mając na uwadze, że zezwolenie na stosowanie </w:t>
      </w:r>
      <w:r w:rsidRPr="003D6E3F">
        <w:t>glufosynatu</w:t>
      </w:r>
      <w:r w:rsidRPr="003D6E3F">
        <w:t xml:space="preserve"> w Unii wygasło 31 lipca 2018 r.</w:t>
      </w:r>
      <w:r>
        <w:rPr>
          <w:rFonts w:eastAsiaTheme="minorHAnsi"/>
          <w:vertAlign w:val="superscript"/>
        </w:rPr>
        <w:footnoteReference w:id="10"/>
      </w:r>
      <w:r w:rsidRPr="003D6E3F">
        <w:t>;</w:t>
      </w:r>
    </w:p>
    <w:p w:rsidR="009320BD" w:rsidRPr="003D6E3F" w:rsidP="007C4EB6" w14:paraId="43BDB82D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K.</w:t>
      </w:r>
      <w:r w:rsidRPr="003D6E3F">
        <w:tab/>
        <w:t xml:space="preserve">mając na uwadze, że nadal istnieją poważne wątpliwości naukowe dotyczące bezpieczeństwa </w:t>
      </w:r>
      <w:r w:rsidRPr="003D6E3F">
        <w:t>glifosatu</w:t>
      </w:r>
      <w:r w:rsidRPr="003D6E3F">
        <w:t xml:space="preserve"> dla zdrowia ludzkiego i środowiska; mając na uwadze, że EFSA w listopadzie 2015 r. stwierdził, iż jest mało prawdopodobne, aby </w:t>
      </w:r>
      <w:r w:rsidRPr="003D6E3F">
        <w:t>glifosat</w:t>
      </w:r>
      <w:r w:rsidRPr="003D6E3F">
        <w:t xml:space="preserve"> był rakotwórczy, a Europejska Agencja Chemikaliów uznała w marcu 2017 r., że nie ma podstaw, by zaliczyć go do substancji rakotwórczych; mając na uwadze, że z kolei Międzynarodowa Agencja Badań nad Rakiem – wyspecjalizowana agencja Światowej Organizacji Zdrowia ds. badań nad rakiem – w 2015 r. zaliczyła </w:t>
      </w:r>
      <w:r w:rsidRPr="003D6E3F">
        <w:t>glifosat</w:t>
      </w:r>
      <w:r w:rsidRPr="003D6E3F">
        <w:t xml:space="preserve"> do substancji prawdopodobnie rakotwórczych dla ludzi; mając na uwadze, że inne najnowsze recenzowane badania naukowe potwierdzają możliwe działanie rakotwórcze </w:t>
      </w:r>
      <w:r w:rsidRPr="003D6E3F">
        <w:t>glifosatu</w:t>
      </w:r>
      <w:r>
        <w:rPr>
          <w:rFonts w:eastAsiaTheme="minorHAnsi"/>
          <w:vertAlign w:val="superscript"/>
        </w:rPr>
        <w:footnoteReference w:id="11"/>
      </w:r>
      <w:r w:rsidRPr="003D6E3F">
        <w:t xml:space="preserve">; mając na uwadze, że czasopismo „Regulatory </w:t>
      </w:r>
      <w:r w:rsidRPr="003D6E3F">
        <w:t>Toxicology</w:t>
      </w:r>
      <w:r w:rsidRPr="003D6E3F">
        <w:t xml:space="preserve"> and </w:t>
      </w:r>
      <w:r w:rsidRPr="003D6E3F">
        <w:t>Pharmacology</w:t>
      </w:r>
      <w:r w:rsidRPr="003D6E3F">
        <w:t xml:space="preserve">” oficjalnie wycofało opublikowany w 2000 r. artykuł naukowy pt. </w:t>
      </w:r>
      <w:r w:rsidRPr="003D6E3F">
        <w:rPr>
          <w:shd w:val="clear" w:color="auto" w:fill="FFFFFF"/>
        </w:rPr>
        <w:t>„</w:t>
      </w:r>
      <w:r w:rsidRPr="003D6E3F">
        <w:t>Safety</w:t>
      </w:r>
      <w:r w:rsidRPr="003D6E3F">
        <w:t xml:space="preserve"> Evaluation and </w:t>
      </w:r>
      <w:r w:rsidRPr="003D6E3F">
        <w:t>Risk</w:t>
      </w:r>
      <w:r w:rsidRPr="003D6E3F">
        <w:t xml:space="preserve"> </w:t>
      </w:r>
      <w:r w:rsidRPr="003D6E3F">
        <w:t>Assessment</w:t>
      </w:r>
      <w:r w:rsidRPr="003D6E3F">
        <w:t xml:space="preserve"> of the </w:t>
      </w:r>
      <w:r w:rsidRPr="003D6E3F">
        <w:t>Herbicide</w:t>
      </w:r>
      <w:r w:rsidRPr="003D6E3F">
        <w:t xml:space="preserve"> Roundup and </w:t>
      </w:r>
      <w:r w:rsidRPr="003D6E3F">
        <w:t>Its</w:t>
      </w:r>
      <w:r w:rsidRPr="003D6E3F">
        <w:t xml:space="preserve"> Active Ingredient, </w:t>
      </w:r>
      <w:r w:rsidRPr="003D6E3F">
        <w:t>Glyphosate</w:t>
      </w:r>
      <w:r w:rsidRPr="003D6E3F">
        <w:t xml:space="preserve">, for </w:t>
      </w:r>
      <w:r w:rsidRPr="003D6E3F">
        <w:t>Humans</w:t>
      </w:r>
      <w:r w:rsidRPr="003D6E3F">
        <w:rPr>
          <w:shd w:val="clear" w:color="auto" w:fill="FFFFFF"/>
        </w:rPr>
        <w:t>”</w:t>
      </w:r>
      <w:r w:rsidRPr="003D6E3F">
        <w:t xml:space="preserve"> [Ocena bezpieczeństwa i ocena ryzyka herbicydu Roundup i jego aktywnego składnika </w:t>
      </w:r>
      <w:r w:rsidRPr="003D6E3F">
        <w:t>glifosatu</w:t>
      </w:r>
      <w:r w:rsidRPr="003D6E3F">
        <w:t xml:space="preserve"> dla ludzi], który wykorzystywano w obronie bezpieczeństwa </w:t>
      </w:r>
      <w:r w:rsidRPr="003D6E3F">
        <w:t>glifosatu</w:t>
      </w:r>
      <w:r w:rsidRPr="003D6E3F">
        <w:t xml:space="preserve"> w wielu ocenach ryzyka, ponieważ </w:t>
      </w:r>
      <w:r w:rsidRPr="003D6E3F">
        <w:rPr>
          <w:shd w:val="clear" w:color="auto" w:fill="FFFFFF"/>
        </w:rPr>
        <w:t>„</w:t>
      </w:r>
      <w:r w:rsidRPr="003D6E3F">
        <w:t>wyrażono wątpliwości co do jego autorstwa, zasadności wyników badań w kontekście mylącego przedstawienia wkładu autorów i sponsora badania oraz potencjalnych konfliktów interesów autorów”</w:t>
      </w:r>
      <w:r>
        <w:rPr>
          <w:rStyle w:val="FootnoteReference"/>
        </w:rPr>
        <w:footnoteReference w:id="12"/>
      </w:r>
      <w:r w:rsidRPr="003D6E3F">
        <w:t>;</w:t>
      </w:r>
    </w:p>
    <w:p w:rsidR="009320BD" w:rsidRPr="003D6E3F" w:rsidP="007C4EB6" w14:paraId="604F6027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L.</w:t>
      </w:r>
      <w:r w:rsidRPr="003D6E3F">
        <w:tab/>
        <w:t xml:space="preserve">mając na uwadze, że zrecenzowany artykuł jednego z ekspertów, który zajmuje się rozwojem zmodyfikowanych genetycznie roślin, stawia pod znakiem zapytania bezpieczeństwo upraw zmodyfikowanych genetycznie tolerujących 2,4-D ze względu </w:t>
      </w:r>
      <w:r w:rsidRPr="003D6E3F">
        <w:t>na cytotoksyczne produkty jego rozpadu</w:t>
      </w:r>
      <w:r>
        <w:rPr>
          <w:rFonts w:eastAsiaTheme="minorHAnsi"/>
          <w:vertAlign w:val="superscript"/>
        </w:rPr>
        <w:footnoteReference w:id="13"/>
      </w:r>
      <w:r w:rsidRPr="003D6E3F">
        <w:t>;</w:t>
      </w:r>
    </w:p>
    <w:p w:rsidR="009320BD" w:rsidRPr="003D6E3F" w:rsidP="007C4EB6" w14:paraId="60289A3F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M.</w:t>
      </w:r>
      <w:r w:rsidRPr="003D6E3F">
        <w:tab/>
        <w:t>mając na uwadze, że ocenę pozostałości herbicydów i metabolitów znalezionych na roślinach zmodyfikowanych genetycznie uznaje się za niewchodzącą w zakres kompetencji panelu EFSA ds. organizmów modyfikowanych genetycznie, w związku z czym nie dokonuje się jej w ramach procedury zatwierdzania GMO; mając na uwadze, że to podejście jest problematyczne, gdyż sama modyfikacja genetyczna może wpływać na sposób, w jaki dana roślina genetycznie zmodyfikowana rozkłada herbicydy uzupełniające, oraz na skład, a tym samym toksyczność metabolitów</w:t>
      </w:r>
      <w:r>
        <w:rPr>
          <w:rFonts w:eastAsiaTheme="minorHAnsi"/>
          <w:vertAlign w:val="superscript"/>
        </w:rPr>
        <w:footnoteReference w:id="14"/>
      </w:r>
      <w:r w:rsidRPr="003D6E3F">
        <w:t>;</w:t>
      </w:r>
    </w:p>
    <w:p w:rsidR="009320BD" w:rsidRPr="003D6E3F" w:rsidP="007C4EB6" w14:paraId="10B25A2D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N.</w:t>
      </w:r>
      <w:r w:rsidRPr="003D6E3F">
        <w:tab/>
        <w:t>mając na uwadze, że zgodnie z rozporządzeniem (WE) nr 1829/2003 genetycznie zmodyfikowana żywność lub pasza nie mogą wywierać szkodliwego wpływu na zdrowie ludzi i zwierząt ani na środowisko naturalne, a przy sporządzaniu decyzji Komisja musi brać pod uwagę wszelkie istotne przepisy prawa Unii oraz inne uzasadnione czynniki istotne dla sprawy; mając na uwadze, że te uzasadnione czynniki powinny obejmować zobowiązania Unii wynikające z celów zrównoważonego rozwoju ONZ, paryskiego porozumienia klimatycznego</w:t>
      </w:r>
      <w:r>
        <w:rPr>
          <w:rStyle w:val="FootnoteReference"/>
          <w:rFonts w:eastAsiaTheme="minorHAnsi"/>
          <w:szCs w:val="24"/>
        </w:rPr>
        <w:footnoteReference w:id="15"/>
      </w:r>
      <w:r w:rsidRPr="003D6E3F">
        <w:t xml:space="preserve"> oraz Konwencji ONZ o różnorodności biologicznej</w:t>
      </w:r>
      <w:r>
        <w:rPr>
          <w:rStyle w:val="FootnoteReference"/>
          <w:rFonts w:eastAsiaTheme="minorHAnsi"/>
          <w:szCs w:val="24"/>
        </w:rPr>
        <w:footnoteReference w:id="16"/>
      </w:r>
      <w:r w:rsidRPr="003D6E3F">
        <w:t>;</w:t>
      </w:r>
    </w:p>
    <w:p w:rsidR="009320BD" w:rsidRPr="003D6E3F" w:rsidP="007C4EB6" w14:paraId="253A2A6B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O.</w:t>
      </w:r>
      <w:r w:rsidRPr="003D6E3F">
        <w:tab/>
        <w:t>mając na uwadze, że nadal w niewystarczającym stopniu gwarantuje się niezależne monitorowanie i niezależny nadzór nad potencjalnym niekorzystnym wpływem na różnorodność biologiczną, zdrowie gleb, owady zapylające i organizmy niebędące przedmiotem zwalczania;</w:t>
      </w:r>
    </w:p>
    <w:p w:rsidR="009320BD" w:rsidRPr="003D6E3F" w:rsidP="007C4EB6" w14:paraId="437A1BF2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P.</w:t>
      </w:r>
      <w:r w:rsidRPr="003D6E3F">
        <w:tab/>
        <w:t>mając na uwadze, że w przypadku braku pewności naukowej należy postępować zgodnie z zasadą ostrożności zapisaną w art. 191 Traktatu o funkcjonowaniu Unii Europejskiej;</w:t>
      </w:r>
    </w:p>
    <w:p w:rsidR="009320BD" w:rsidRPr="003D6E3F" w:rsidP="007C4EB6" w14:paraId="3E8EDAEC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Q.</w:t>
      </w:r>
      <w:r w:rsidRPr="003D6E3F">
        <w:tab/>
        <w:t>mając na uwadze, że jako umawiająca się strona Konwencji ONZ o różnorodności biologicznej oraz zgodnie z art. 3 tej konwencji Unia ponosi odpowiedzialność za zapewnienie, aby działalność na obszarach jej jurysdykcji lub pod jej kontrolą nie powodowała szkody w środowisku innych państw;</w:t>
      </w:r>
    </w:p>
    <w:p w:rsidR="009320BD" w:rsidRPr="003D6E3F" w:rsidP="007C4EB6" w14:paraId="09715891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R.</w:t>
      </w:r>
      <w:r w:rsidRPr="003D6E3F">
        <w:tab/>
        <w:t>mając na uwadze, że odnowienie w Unii zezwolenia na genetycznie zmodyfikowaną kukurydzę nie byłoby spójne z międzynarodowymi zobowiązaniami w zakresie ograniczenia stosowania pestycydów</w:t>
      </w:r>
      <w:r>
        <w:rPr>
          <w:rFonts w:eastAsiaTheme="minorHAnsi"/>
          <w:vertAlign w:val="superscript"/>
        </w:rPr>
        <w:footnoteReference w:id="17"/>
      </w:r>
      <w:r w:rsidRPr="003D6E3F">
        <w:t xml:space="preserve">, zważywszy na zwiększone narażenie ludzi, </w:t>
      </w:r>
      <w:r w:rsidRPr="003D6E3F">
        <w:t xml:space="preserve">zwierząt i środowiska na </w:t>
      </w:r>
      <w:r w:rsidRPr="003D6E3F">
        <w:t>glifosat</w:t>
      </w:r>
      <w:r w:rsidRPr="003D6E3F">
        <w:t xml:space="preserve"> i </w:t>
      </w:r>
      <w:r w:rsidRPr="003D6E3F">
        <w:t>glufosynat</w:t>
      </w:r>
      <w:r w:rsidRPr="003D6E3F">
        <w:t xml:space="preserve"> w krajach, w których uprawia się genetycznie zmodyfikowane rośliny odporne na tego rodzaju herbicydy, a także związane z tym potencjalnie poważne efekty zdrowotne;</w:t>
      </w:r>
    </w:p>
    <w:p w:rsidR="009320BD" w:rsidRPr="003D6E3F" w:rsidP="007C4EB6" w14:paraId="5C5F7B6E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S.</w:t>
      </w:r>
      <w:r w:rsidRPr="003D6E3F">
        <w:tab/>
        <w:t>mając na uwadze, że uprawa kukurydzy genetycznie zmodyfikowanej nie jest dozwolona w Unii;</w:t>
      </w:r>
    </w:p>
    <w:p w:rsidR="009320BD" w:rsidRPr="003D6E3F" w:rsidP="007C4EB6" w14:paraId="560F131C" w14:textId="166F8560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700514">
        <w:t>T.</w:t>
      </w:r>
      <w:r w:rsidRPr="00700514">
        <w:tab/>
        <w:t>mając na uwadze, że decyzj</w:t>
      </w:r>
      <w:r w:rsidRPr="00700514" w:rsidR="00700514">
        <w:t>a</w:t>
      </w:r>
      <w:r w:rsidRPr="00700514">
        <w:t xml:space="preserve"> wykonawcz</w:t>
      </w:r>
      <w:r w:rsidRPr="00700514" w:rsidR="00700514">
        <w:t>a</w:t>
      </w:r>
      <w:r w:rsidRPr="00700514">
        <w:t xml:space="preserve"> Komisji </w:t>
      </w:r>
      <w:r w:rsidRPr="00700514" w:rsidR="00700514">
        <w:t>(</w:t>
      </w:r>
      <w:r w:rsidR="00700514">
        <w:t>UE</w:t>
      </w:r>
      <w:r w:rsidRPr="00700514" w:rsidR="00700514">
        <w:t xml:space="preserve">) 2026/1443 </w:t>
      </w:r>
      <w:r w:rsidRPr="00700514">
        <w:t>umożliwiłby</w:t>
      </w:r>
      <w:r w:rsidRPr="003D6E3F">
        <w:t xml:space="preserve"> przywóz do Unii produktów, które nie spełniają norm przestrzeganych przez unijnych rolników, stawiając ich w niekorzystnej sytuacji konkurencyjnej;</w:t>
      </w:r>
    </w:p>
    <w:p w:rsidR="009320BD" w:rsidRPr="003D6E3F" w:rsidP="007C4EB6" w14:paraId="1B5D0572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3D6E3F">
        <w:t>U.</w:t>
      </w:r>
      <w:r w:rsidRPr="003D6E3F">
        <w:tab/>
        <w:t>mając na uwadze, że we wnioskach ze strategicznego dialogu na temat przyszłości rolnictwa w UE</w:t>
      </w:r>
      <w:r>
        <w:rPr>
          <w:rFonts w:eastAsiaTheme="minorHAnsi"/>
          <w:vertAlign w:val="superscript"/>
        </w:rPr>
        <w:footnoteReference w:id="18"/>
      </w:r>
      <w:r w:rsidRPr="003D6E3F">
        <w:t xml:space="preserve"> wzywa się Komisję do ponownej oceny podejścia do kwestii wprowadzenia do obrotu produktów rolno-spożywczych w imporcie i eksporcie, z uwzględnieniem wyzwania, jakie stanowią rozbieżne standardy Unii i jej partnerów handlowych; mając na uwadze, że sprawiedliwsze stosunki handlowe na poziomie globalnym spójne z celami na rzecz zdrowego środowiska były jednym z głównych postulatów rolników podczas demonstracji w latach 2023, 2024 i 2025;</w:t>
      </w:r>
    </w:p>
    <w:p w:rsidR="009320BD" w:rsidRPr="003D6E3F" w:rsidP="007C4EB6" w14:paraId="5AA6ABF2" w14:textId="77777777">
      <w:pPr>
        <w:autoSpaceDE w:val="0"/>
        <w:autoSpaceDN w:val="0"/>
        <w:adjustRightInd w:val="0"/>
        <w:spacing w:after="360"/>
        <w:ind w:left="567" w:hanging="567"/>
        <w:rPr>
          <w:rFonts w:eastAsiaTheme="minorHAnsi"/>
          <w:szCs w:val="24"/>
        </w:rPr>
      </w:pPr>
      <w:r w:rsidRPr="003D6E3F">
        <w:t>V.</w:t>
      </w:r>
      <w:r w:rsidRPr="003D6E3F">
        <w:tab/>
        <w:t xml:space="preserve">mając na uwadze, że Parlament wielokrotnie podkreślał, iż aby zaradzić utrzymującemu się deficytowi demokratycznemu, Komisja nie powinna zatwierdzać GMO w przypadkach, gdy państwa członkowskie nie osiągnęły większości kwalifikowanej w Stałym Komitecie ds. Roślin, Zwierząt, Żywności i Pasz lub w komitecie odwoławczym; </w:t>
      </w:r>
    </w:p>
    <w:p w:rsidR="009320BD" w:rsidRPr="003D6E3F" w:rsidP="007C4EB6" w14:paraId="471F5255" w14:textId="77777777">
      <w:pPr>
        <w:autoSpaceDE w:val="0"/>
        <w:autoSpaceDN w:val="0"/>
        <w:adjustRightInd w:val="0"/>
        <w:spacing w:after="360"/>
        <w:ind w:left="567" w:hanging="567"/>
        <w:rPr>
          <w:rFonts w:eastAsiaTheme="minorHAnsi"/>
          <w:szCs w:val="24"/>
        </w:rPr>
      </w:pPr>
      <w:r w:rsidRPr="003D6E3F">
        <w:t>W.</w:t>
      </w:r>
      <w:r w:rsidRPr="003D6E3F"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:rsidR="009320BD" w:rsidRPr="003D6E3F" w:rsidP="007C4EB6" w14:paraId="17A6648B" w14:textId="77777777">
      <w:pPr>
        <w:autoSpaceDE w:val="0"/>
        <w:autoSpaceDN w:val="0"/>
        <w:adjustRightInd w:val="0"/>
        <w:spacing w:after="360"/>
        <w:ind w:left="567" w:hanging="567"/>
      </w:pPr>
      <w:r w:rsidRPr="003D6E3F">
        <w:t>X.</w:t>
      </w:r>
      <w:r w:rsidRPr="003D6E3F">
        <w:tab/>
        <w:t>mając na uwadze, że podejście „Jedno zdrowie” wymaga uwzględnienia współzależności między zdrowiem ludzi, zwierząt i roślin oraz stanem środowiska podczas oceny długoterminowego zrównoważonego charakteru i bezpieczeństwa organizmów zmodyfikowanych genetycznie;</w:t>
      </w:r>
    </w:p>
    <w:p w:rsidR="009320BD" w:rsidRPr="003D6E3F" w:rsidP="007C4EB6" w14:paraId="656BDDEB" w14:textId="2CD542A5">
      <w:pPr>
        <w:pStyle w:val="NormalHanging12a"/>
      </w:pPr>
      <w:r w:rsidRPr="003D6E3F">
        <w:t>1.</w:t>
      </w:r>
      <w:r w:rsidRPr="003D6E3F">
        <w:tab/>
        <w:t xml:space="preserve">uważa, że </w:t>
      </w:r>
      <w:r w:rsidRPr="00700514" w:rsidR="00700514">
        <w:t>decyzja wykonawcza Komisji (</w:t>
      </w:r>
      <w:r w:rsidR="00700514">
        <w:t>UE</w:t>
      </w:r>
      <w:r w:rsidRPr="00700514" w:rsidR="00700514">
        <w:t xml:space="preserve">) 2026/1443 </w:t>
      </w:r>
      <w:r w:rsidRPr="003D6E3F">
        <w:t>przekracza uprawnienia wykonawcze przewidziane w rozporządzeniu (WE) nr 1829/2003;</w:t>
      </w:r>
    </w:p>
    <w:p w:rsidR="009320BD" w:rsidRPr="003D6E3F" w:rsidP="007C4EB6" w14:paraId="762D6DC3" w14:textId="2E98F2CB">
      <w:pPr>
        <w:pStyle w:val="NormalHanging12a"/>
      </w:pPr>
      <w:r w:rsidRPr="003D6E3F">
        <w:t>2.</w:t>
      </w:r>
      <w:r w:rsidRPr="003D6E3F">
        <w:tab/>
        <w:t xml:space="preserve">uważa, że </w:t>
      </w:r>
      <w:r w:rsidRPr="00700514" w:rsidR="00700514">
        <w:t>decyzja wykonawcza Komisji (</w:t>
      </w:r>
      <w:r w:rsidR="00700514">
        <w:t>UE</w:t>
      </w:r>
      <w:r w:rsidRPr="00700514" w:rsidR="00700514">
        <w:t xml:space="preserve">) 2026/1443 </w:t>
      </w:r>
      <w:r w:rsidRPr="003D6E3F">
        <w:t>jest niespójn</w:t>
      </w:r>
      <w:r w:rsidR="00700514">
        <w:t>a</w:t>
      </w:r>
      <w:r w:rsidRPr="003D6E3F">
        <w:t xml:space="preserve"> z prawem Unii, ponieważ nie odpowiada celowi rozporządzenia (WE) nr 1829/2003 zakładającemu – zgodnie z zasadami ogólnymi określonymi w rozporządzeniu Parlamentu Europejskiego i Rady (WE) nr 178/2002</w:t>
      </w:r>
      <w:r>
        <w:rPr>
          <w:vertAlign w:val="superscript"/>
        </w:rPr>
        <w:footnoteReference w:id="19"/>
      </w:r>
      <w:r w:rsidRPr="003D6E3F">
        <w:t xml:space="preserve"> – stworzenie podstawy do zapewnienia wysokiego poziomu ochrony życia i zdrowia ludzkiego, zdrowia i dobrostanu zwierząt, środowiska </w:t>
      </w:r>
      <w:r w:rsidRPr="003D6E3F">
        <w:t>naturalnego oraz interesów konsumentów w związku z genetycznie zmodyfikowaną żywnością i paszą, przy jednoczesnym zagwarantowaniu skutecznego funkcjonowania rynku wewnętrznego;</w:t>
      </w:r>
    </w:p>
    <w:p w:rsidR="009320BD" w:rsidRPr="003D6E3F" w:rsidP="007C4EB6" w14:paraId="47D8D989" w14:textId="17D86187">
      <w:pPr>
        <w:pStyle w:val="NormalHanging12a"/>
      </w:pPr>
      <w:r w:rsidRPr="003D6E3F">
        <w:t>3.</w:t>
      </w:r>
      <w:r w:rsidRPr="003D6E3F">
        <w:tab/>
        <w:t xml:space="preserve">wzywa Komisję do </w:t>
      </w:r>
      <w:r w:rsidR="00700514">
        <w:t>uchylenia</w:t>
      </w:r>
      <w:r w:rsidRPr="003D6E3F">
        <w:t xml:space="preserve"> </w:t>
      </w:r>
      <w:r w:rsidRPr="00700514" w:rsidR="00700514">
        <w:t>decyzj</w:t>
      </w:r>
      <w:r w:rsidR="00700514">
        <w:t>i</w:t>
      </w:r>
      <w:r w:rsidRPr="00700514" w:rsidR="00700514">
        <w:t xml:space="preserve"> wykonawcz</w:t>
      </w:r>
      <w:r w:rsidR="00700514">
        <w:t>ej</w:t>
      </w:r>
      <w:r w:rsidRPr="00700514" w:rsidR="00700514">
        <w:t xml:space="preserve"> Komisji (</w:t>
      </w:r>
      <w:r w:rsidR="00700514">
        <w:t>UE</w:t>
      </w:r>
      <w:r w:rsidRPr="00700514" w:rsidR="00700514">
        <w:t>) 2026/1443</w:t>
      </w:r>
      <w:r w:rsidRPr="003D6E3F">
        <w:t>;</w:t>
      </w:r>
    </w:p>
    <w:p w:rsidR="009320BD" w:rsidRPr="003D6E3F" w:rsidP="007C4EB6" w14:paraId="651E34CF" w14:textId="77777777">
      <w:pPr>
        <w:pStyle w:val="NormalHanging12a"/>
      </w:pPr>
      <w:r w:rsidRPr="003D6E3F">
        <w:t>4.</w:t>
      </w:r>
      <w:r w:rsidRPr="003D6E3F">
        <w:tab/>
        <w:t>wzywa Komisję, aby nie zezwalała na przywóz upraw zmodyfikowanych genetycznie tolerujących herbicydy ze względu na związane z tym zwiększone stosowanie herbicydów uzupełniających, a tym samym zwiększone ryzyko dla różnorodności biologicznej, bezpieczeństwa żywności i zdrowia pracowników;</w:t>
      </w:r>
    </w:p>
    <w:p w:rsidR="009320BD" w:rsidRPr="003D6E3F" w:rsidP="007C4EB6" w14:paraId="52DCD372" w14:textId="77777777">
      <w:pPr>
        <w:pStyle w:val="NormalHanging12a"/>
      </w:pPr>
      <w:r w:rsidRPr="003D6E3F">
        <w:t>5.</w:t>
      </w:r>
      <w:r w:rsidRPr="003D6E3F">
        <w:tab/>
        <w:t>wyraża zadowolenie, że w skierowanym do posłów i posłanek piśmie z 11 września 2020 r. Komisja przyznała, iż przy podejmowaniu decyzji o zezwoleniu na wprowadzenie GMO należy uwzględniać zasady zrównoważonego rozwoju</w:t>
      </w:r>
      <w:r>
        <w:rPr>
          <w:vertAlign w:val="superscript"/>
        </w:rPr>
        <w:footnoteReference w:id="20"/>
      </w:r>
      <w:r w:rsidRPr="003D6E3F">
        <w:t>; jest jednak głęboko rozczarowany, że od tego czasu Komisja wciąż zezwala na przywóz GMO do Unii mimo sprzeciwu Parlamentu i większości państw członkowskich;</w:t>
      </w:r>
    </w:p>
    <w:p w:rsidR="009320BD" w:rsidRPr="003D6E3F" w:rsidP="007C4EB6" w14:paraId="7CA8ABFB" w14:textId="77777777">
      <w:pPr>
        <w:pStyle w:val="NormalHanging12a"/>
      </w:pPr>
      <w:r w:rsidRPr="003D6E3F">
        <w:t>6.</w:t>
      </w:r>
      <w:r w:rsidRPr="003D6E3F">
        <w:tab/>
        <w:t>ponownie apeluje do Komisji o uwzględnianie zobowiązań Unii wynikających z umów międzynarodowych, takich jak paryskie porozumienie klimatyczne, Konwencja ONZ o różnorodności biologicznej i cele zrównoważonego rozwoju ONZ; ponawia apel o to, by projektom aktów wykonawczych towarzyszyło uzasadnienie wyjaśniające, w jaki sposób zapewnia się w nich przestrzeganie zasady „nie szkodzić”</w:t>
      </w:r>
      <w:r>
        <w:rPr>
          <w:vertAlign w:val="superscript"/>
        </w:rPr>
        <w:footnoteReference w:id="21"/>
      </w:r>
      <w:r w:rsidRPr="003D6E3F">
        <w:t>;</w:t>
      </w:r>
    </w:p>
    <w:p w:rsidR="009320BD" w:rsidRPr="003D6E3F" w:rsidP="007C4EB6" w14:paraId="6DDAA7C7" w14:textId="77777777">
      <w:pPr>
        <w:pStyle w:val="NormalHanging12a"/>
      </w:pPr>
      <w:r w:rsidRPr="003D6E3F">
        <w:t>7.</w:t>
      </w:r>
      <w:r w:rsidRPr="003D6E3F">
        <w:tab/>
        <w:t>podkreśla, że poprawki przyjęte przez Parlament Europejski 17 grudnia 2020 r. do wniosku dotyczącego rozporządzenia Parlamentu Europejskiego i Rady zmieniającego rozporządzenie (UE) nr 182/2011</w:t>
      </w:r>
      <w:r>
        <w:rPr>
          <w:vertAlign w:val="superscript"/>
        </w:rPr>
        <w:footnoteReference w:id="22"/>
      </w:r>
      <w:r w:rsidRPr="003D6E3F">
        <w:t>, które stanowią podstawę negocjacji z Radą, przewidują, że Komisja nie może zezwalać na GMO, jeżeli nie popiera tego większość kwalifikowana państw członkowskich; nalega, aby Komisja uszanowała to stanowisko, i wzywa Radę do dalszych prac i przyjęcia w trybie pilnym ogólnego podejścia w odniesieniu do tego dossier;</w:t>
      </w:r>
    </w:p>
    <w:p w:rsidR="003D6E3F" w:rsidRPr="003D6E3F" w:rsidP="007C4EB6" w14:paraId="78637733" w14:textId="6A661461">
      <w:pPr>
        <w:pStyle w:val="NormalHanging12a"/>
      </w:pPr>
      <w:r w:rsidRPr="003D6E3F">
        <w:t>8.</w:t>
      </w:r>
      <w:r w:rsidRPr="003D6E3F">
        <w:tab/>
        <w:t>zobowiązuje swoją przewodniczącą do przekazania niniejszej rezolucji Radzie i Komisji oraz rządom i parlamentom państw członkowskich.</w:t>
      </w:r>
    </w:p>
    <w:p w:rsidR="00E365E1" w:rsidRPr="003D6E3F" w:rsidP="007C4EB6" w14:paraId="44F4944B" w14:textId="61862447"/>
    <w:sectPr w:rsidSect="003D6E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E3F" w14:paraId="3880BDF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E3F" w14:paraId="6B4A770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E3F" w14:paraId="6260C67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C559C" w:rsidRPr="003D6E3F" w14:paraId="059A7666" w14:textId="77777777">
      <w:r w:rsidRPr="003D6E3F">
        <w:separator/>
      </w:r>
    </w:p>
  </w:footnote>
  <w:footnote w:type="continuationSeparator" w:id="1">
    <w:p w:rsidR="004C559C" w:rsidRPr="003D6E3F" w14:paraId="14EA6726" w14:textId="77777777">
      <w:r w:rsidRPr="003D6E3F">
        <w:continuationSeparator/>
      </w:r>
    </w:p>
  </w:footnote>
  <w:footnote w:id="2">
    <w:p w:rsidR="00700514" w:rsidRPr="00F451BA" w:rsidP="00700514" w14:paraId="3077D052" w14:textId="5DD04431">
      <w:pPr>
        <w:pStyle w:val="FootnoteText"/>
        <w:ind w:left="567" w:hanging="567"/>
        <w:rPr>
          <w:sz w:val="24"/>
          <w:szCs w:val="24"/>
          <w:lang w:val="fi-FI"/>
        </w:rPr>
      </w:pPr>
      <w:r w:rsidRPr="00700514">
        <w:rPr>
          <w:rStyle w:val="FootnoteReference"/>
          <w:sz w:val="24"/>
          <w:szCs w:val="24"/>
        </w:rPr>
        <w:footnoteRef/>
      </w:r>
      <w:r w:rsidRPr="00700514">
        <w:rPr>
          <w:sz w:val="24"/>
          <w:szCs w:val="24"/>
          <w:lang w:val="fi-FI"/>
        </w:rPr>
        <w:t xml:space="preserve"> </w:t>
      </w:r>
      <w:r w:rsidRPr="00700514">
        <w:rPr>
          <w:sz w:val="24"/>
          <w:szCs w:val="24"/>
          <w:lang w:val="fi-FI"/>
        </w:rPr>
        <w:tab/>
      </w:r>
      <w:r w:rsidRPr="00700514">
        <w:rPr>
          <w:sz w:val="24"/>
          <w:lang w:val="fi-FI"/>
        </w:rPr>
        <w:t>Dz.U</w:t>
      </w:r>
      <w:r w:rsidRPr="00700514">
        <w:rPr>
          <w:sz w:val="24"/>
          <w:lang w:val="fi-FI"/>
        </w:rPr>
        <w:t>. L</w:t>
      </w:r>
      <w:r w:rsidRPr="00700514">
        <w:rPr>
          <w:sz w:val="24"/>
          <w:szCs w:val="24"/>
          <w:lang w:val="fi-FI"/>
        </w:rPr>
        <w:t xml:space="preserve">, 2026/1443, 3.7.2026, ELI: </w:t>
      </w:r>
      <w:hyperlink r:id="rId1" w:history="1">
        <w:r w:rsidRPr="00700514">
          <w:rPr>
            <w:rStyle w:val="Hyperlink"/>
            <w:sz w:val="24"/>
            <w:szCs w:val="24"/>
            <w:lang w:val="fi-FI"/>
          </w:rPr>
          <w:t>http://data.europa.eu/eli/dec_impl/2026/1443/oj</w:t>
        </w:r>
      </w:hyperlink>
      <w:r w:rsidRPr="00700514">
        <w:rPr>
          <w:sz w:val="24"/>
          <w:szCs w:val="24"/>
          <w:lang w:val="fi-FI"/>
        </w:rPr>
        <w:t>.</w:t>
      </w:r>
    </w:p>
  </w:footnote>
  <w:footnote w:id="3">
    <w:p w:rsidR="009320BD" w:rsidRPr="003D6E3F" w:rsidP="003D6E3F" w14:paraId="3D41F9B8" w14:textId="36499CA1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unotenzeichen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>Dz.U. L 268 z 18.10.2003, s. 1, ELI:  </w:t>
      </w:r>
      <w:hyperlink r:id="rId2" w:tooltip="Dostęp do dokumentu poprzez identyfikator URI w systemie ELI." w:history="1">
        <w:r w:rsidRPr="003D6E3F">
          <w:rPr>
            <w:rStyle w:val="Hyperlink"/>
            <w:sz w:val="24"/>
            <w:lang w:val="pl-PL"/>
          </w:rPr>
          <w:t>http://data.europa.eu/eli/reg/2003/1829/oj</w:t>
        </w:r>
      </w:hyperlink>
      <w:r w:rsidRPr="003D6E3F">
        <w:rPr>
          <w:sz w:val="24"/>
          <w:lang w:val="pl-PL"/>
        </w:rPr>
        <w:t>.</w:t>
      </w:r>
    </w:p>
  </w:footnote>
  <w:footnote w:id="4">
    <w:p w:rsidR="009320BD" w:rsidRPr="003D6E3F" w:rsidP="003D6E3F" w14:paraId="2715DFD0" w14:textId="2A4D75AB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 xml:space="preserve">Dz.U. L 55 z </w:t>
      </w:r>
      <w:r w:rsidRPr="003D6E3F">
        <w:rPr>
          <w:sz w:val="24"/>
          <w:lang w:val="pl-PL"/>
        </w:rPr>
        <w:t>28.2.2011</w:t>
      </w:r>
      <w:r w:rsidRPr="003D6E3F">
        <w:rPr>
          <w:sz w:val="24"/>
          <w:lang w:val="pl-PL"/>
        </w:rPr>
        <w:t>, s. 13, ELI: </w:t>
      </w:r>
      <w:hyperlink r:id="rId3" w:history="1">
        <w:r w:rsidRPr="003D6E3F">
          <w:rPr>
            <w:rStyle w:val="Hyperlink"/>
            <w:sz w:val="24"/>
            <w:lang w:val="pl-PL"/>
          </w:rPr>
          <w:t>http://data.europa.eu/eli/reg/2011/182/oj</w:t>
        </w:r>
      </w:hyperlink>
      <w:r w:rsidRPr="003D6E3F">
        <w:rPr>
          <w:sz w:val="24"/>
          <w:lang w:val="pl-PL"/>
        </w:rPr>
        <w:t>.</w:t>
      </w:r>
    </w:p>
  </w:footnote>
  <w:footnote w:id="5">
    <w:p w:rsidR="009320BD" w:rsidRPr="00700514" w:rsidP="003D6E3F" w14:paraId="35519B03" w14:textId="09D176C2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rStyle w:val="Funotenzeichen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 xml:space="preserve">Opinia naukowa panelu EFSA ds. organizmów modyfikowanych genetycznie dotycząca „Oceny genetycznie zmodyfikowanej kukurydzy DP202216 × NK603 × DAS-40278-9 (wniosek GMFF-2022-6232)”, </w:t>
      </w:r>
      <w:r w:rsidRPr="003D6E3F">
        <w:rPr>
          <w:i/>
          <w:sz w:val="24"/>
          <w:lang w:val="pl-PL"/>
        </w:rPr>
        <w:t>Dziennik EFSA</w:t>
      </w:r>
      <w:r w:rsidRPr="003D6E3F">
        <w:rPr>
          <w:sz w:val="24"/>
          <w:lang w:val="pl-PL"/>
        </w:rPr>
        <w:t>, 2025, 23(12</w:t>
      </w:r>
      <w:r w:rsidRPr="003D6E3F">
        <w:rPr>
          <w:sz w:val="24"/>
          <w:lang w:val="pl-PL"/>
        </w:rPr>
        <w:t>):e</w:t>
      </w:r>
      <w:r w:rsidRPr="003D6E3F">
        <w:rPr>
          <w:sz w:val="24"/>
          <w:lang w:val="pl-PL"/>
        </w:rPr>
        <w:t xml:space="preserve">9746, </w:t>
      </w:r>
      <w:hyperlink r:id="rId4" w:history="1">
        <w:r w:rsidRPr="003D6E3F">
          <w:rPr>
            <w:rStyle w:val="Hyperlink"/>
            <w:sz w:val="24"/>
            <w:lang w:val="pl-PL"/>
          </w:rPr>
          <w:t>https://doi.org/10.2903/j.efsa.2025.9746</w:t>
        </w:r>
      </w:hyperlink>
      <w:r w:rsidRPr="003D6E3F">
        <w:rPr>
          <w:rStyle w:val="Hyperlink"/>
          <w:sz w:val="24"/>
          <w:lang w:val="pl-PL"/>
        </w:rPr>
        <w:t>.</w:t>
      </w:r>
    </w:p>
  </w:footnote>
  <w:footnote w:id="6">
    <w:p w:rsidR="009320BD" w:rsidRPr="003D6E3F" w:rsidP="003D6E3F" w14:paraId="16B486F4" w14:textId="501A21B8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rStyle w:val="Funotenzeichen"/>
          <w:sz w:val="24"/>
          <w:lang w:val="pl-PL"/>
        </w:rPr>
        <w:footnoteRef/>
      </w:r>
      <w:r w:rsidRPr="003D6E3F" w:rsidR="003D6E3F">
        <w:rPr>
          <w:color w:val="000000" w:themeColor="text1"/>
          <w:sz w:val="24"/>
          <w:lang w:val="pl-PL"/>
        </w:rPr>
        <w:t xml:space="preserve"> </w:t>
      </w:r>
      <w:r w:rsidRPr="003D6E3F" w:rsidR="003D6E3F">
        <w:rPr>
          <w:color w:val="000000" w:themeColor="text1"/>
          <w:sz w:val="24"/>
          <w:lang w:val="pl-PL"/>
        </w:rPr>
        <w:tab/>
      </w:r>
      <w:r w:rsidRPr="003D6E3F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GMO. Ponadto w dziesiątej kadencji Parlament przyjął następujące rezolucje:</w:t>
      </w:r>
    </w:p>
    <w:p w:rsidR="009320BD" w:rsidRPr="003D6E3F" w:rsidP="003D6E3F" w14:paraId="26A9EF59" w14:textId="0FD39D74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  <w:t>rezolucja Parlamentu Europejskiego z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 </w:t>
      </w:r>
      <w:hyperlink r:id="rId5" w:history="1">
        <w:r w:rsidRPr="003D6E3F">
          <w:rPr>
            <w:rStyle w:val="Hyperlink"/>
            <w:sz w:val="24"/>
            <w:lang w:val="pl-PL"/>
          </w:rPr>
          <w:t>http://data.europa.eu/eli/C/2025/1797/oj</w:t>
        </w:r>
      </w:hyperlink>
      <w:r w:rsidRPr="003D6E3F">
        <w:rPr>
          <w:color w:val="000000" w:themeColor="text1"/>
          <w:sz w:val="24"/>
          <w:lang w:val="pl-PL"/>
        </w:rPr>
        <w:t>).</w:t>
      </w:r>
    </w:p>
    <w:p w:rsidR="009320BD" w:rsidRPr="003D6E3F" w:rsidP="003D6E3F" w14:paraId="604FDF5B" w14:textId="39B208E1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</w:t>
      </w:r>
      <w:r w:rsidRPr="003D6E3F">
        <w:rPr>
          <w:color w:val="000000" w:themeColor="text1"/>
          <w:sz w:val="24"/>
          <w:lang w:val="pl-PL"/>
        </w:rPr>
        <w:t>4.4.2025</w:t>
      </w:r>
      <w:r w:rsidRPr="003D6E3F">
        <w:rPr>
          <w:color w:val="000000" w:themeColor="text1"/>
          <w:sz w:val="24"/>
          <w:lang w:val="pl-PL"/>
        </w:rPr>
        <w:t>, ELI: </w:t>
      </w:r>
      <w:hyperlink r:id="rId6" w:history="1">
        <w:r w:rsidRPr="003D6E3F">
          <w:rPr>
            <w:rStyle w:val="Hyperlink"/>
            <w:sz w:val="24"/>
            <w:lang w:val="pl-PL"/>
          </w:rPr>
          <w:t>http://data.europa.eu/eli/C/2025/1798/oj</w:t>
        </w:r>
      </w:hyperlink>
      <w:r w:rsidRPr="003D6E3F">
        <w:rPr>
          <w:color w:val="000000" w:themeColor="text1"/>
          <w:sz w:val="24"/>
          <w:lang w:val="pl-PL"/>
        </w:rPr>
        <w:t>).</w:t>
      </w:r>
    </w:p>
    <w:p w:rsidR="009320BD" w:rsidRPr="003D6E3F" w:rsidP="003D6E3F" w14:paraId="73387E79" w14:textId="16CB90E4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 × 1507 × MON 88017 × 59122 i osiem jej </w:t>
      </w:r>
      <w:r w:rsidRPr="003D6E3F">
        <w:rPr>
          <w:color w:val="000000" w:themeColor="text1"/>
          <w:sz w:val="24"/>
          <w:lang w:val="pl-PL"/>
        </w:rPr>
        <w:t>subkombinacji</w:t>
      </w:r>
      <w:r w:rsidRPr="003D6E3F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 </w:t>
      </w:r>
      <w:hyperlink r:id="rId7" w:history="1">
        <w:r w:rsidRPr="003D6E3F">
          <w:rPr>
            <w:rStyle w:val="Hyperlink"/>
            <w:sz w:val="24"/>
            <w:lang w:val="pl-PL"/>
          </w:rPr>
          <w:t>http://data.europa.eu/eli/C/2025/1799/oj</w:t>
        </w:r>
      </w:hyperlink>
      <w:r w:rsidRPr="003D6E3F">
        <w:rPr>
          <w:color w:val="000000" w:themeColor="text1"/>
          <w:sz w:val="24"/>
          <w:lang w:val="pl-PL"/>
        </w:rPr>
        <w:t>).</w:t>
      </w:r>
    </w:p>
    <w:p w:rsidR="009320BD" w:rsidRPr="003D6E3F" w:rsidP="003D6E3F" w14:paraId="5958CEAF" w14:textId="12CF0EA0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  <w:t>rezolucja Parlamentu Europejskiego z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 </w:t>
      </w:r>
      <w:hyperlink r:id="rId8" w:history="1">
        <w:r w:rsidRPr="003D6E3F">
          <w:rPr>
            <w:rStyle w:val="Hyperlink"/>
            <w:sz w:val="24"/>
            <w:lang w:val="pl-PL"/>
          </w:rPr>
          <w:t>http://data.europa.eu/eli/C/2025/1800/oj</w:t>
        </w:r>
      </w:hyperlink>
      <w:r w:rsidRPr="003D6E3F">
        <w:rPr>
          <w:color w:val="000000" w:themeColor="text1"/>
          <w:sz w:val="24"/>
          <w:lang w:val="pl-PL"/>
        </w:rPr>
        <w:t>).</w:t>
      </w:r>
    </w:p>
    <w:p w:rsidR="009320BD" w:rsidRPr="003D6E3F" w:rsidP="003D6E3F" w14:paraId="3EFDEA9D" w14:textId="0093540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</w:t>
      </w:r>
      <w:r w:rsidRPr="003D6E3F">
        <w:rPr>
          <w:color w:val="000000" w:themeColor="text1"/>
          <w:sz w:val="24"/>
          <w:lang w:val="pl-PL"/>
        </w:rPr>
        <w:t>4.4.2025</w:t>
      </w:r>
      <w:r w:rsidRPr="003D6E3F">
        <w:rPr>
          <w:color w:val="000000" w:themeColor="text1"/>
          <w:sz w:val="24"/>
          <w:lang w:val="pl-PL"/>
        </w:rPr>
        <w:t>, ELI: </w:t>
      </w:r>
      <w:hyperlink r:id="rId9" w:history="1">
        <w:r w:rsidRPr="003D6E3F">
          <w:rPr>
            <w:rStyle w:val="Hyperlink"/>
            <w:sz w:val="24"/>
            <w:lang w:val="pl-PL"/>
          </w:rPr>
          <w:t>http://data.europa.eu/eli/C/2025/1801/oj</w:t>
        </w:r>
      </w:hyperlink>
      <w:r w:rsidRPr="003D6E3F">
        <w:rPr>
          <w:color w:val="000000" w:themeColor="text1"/>
          <w:sz w:val="24"/>
          <w:lang w:val="pl-PL"/>
        </w:rPr>
        <w:t>).</w:t>
      </w:r>
    </w:p>
    <w:p w:rsidR="009320BD" w:rsidRPr="003D6E3F" w:rsidP="003D6E3F" w14:paraId="2E1E571D" w14:textId="48B9BD4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</w:t>
      </w:r>
      <w:r w:rsidRPr="003D6E3F">
        <w:rPr>
          <w:color w:val="000000" w:themeColor="text1"/>
          <w:sz w:val="24"/>
          <w:lang w:val="pl-PL"/>
        </w:rPr>
        <w:t>4.4.2025</w:t>
      </w:r>
      <w:r w:rsidRPr="003D6E3F">
        <w:rPr>
          <w:color w:val="000000" w:themeColor="text1"/>
          <w:sz w:val="24"/>
          <w:lang w:val="pl-PL"/>
        </w:rPr>
        <w:t>, ELI: </w:t>
      </w:r>
      <w:hyperlink r:id="rId10" w:history="1">
        <w:r w:rsidRPr="003D6E3F">
          <w:rPr>
            <w:rStyle w:val="Hyperlink"/>
            <w:sz w:val="24"/>
            <w:lang w:val="pl-PL"/>
          </w:rPr>
          <w:t>http://data.europa.eu/eli/C/2025/1802/oj</w:t>
        </w:r>
      </w:hyperlink>
      <w:r w:rsidRPr="003D6E3F">
        <w:rPr>
          <w:color w:val="000000" w:themeColor="text1"/>
          <w:sz w:val="24"/>
          <w:lang w:val="pl-PL"/>
        </w:rPr>
        <w:t>).</w:t>
      </w:r>
    </w:p>
    <w:p w:rsidR="009320BD" w:rsidRPr="003D6E3F" w:rsidP="003D6E3F" w14:paraId="5D00B159" w14:textId="2D396F62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</w:t>
      </w:r>
      <w:r w:rsidRPr="003D6E3F">
        <w:rPr>
          <w:color w:val="000000" w:themeColor="text1"/>
          <w:sz w:val="24"/>
          <w:lang w:val="pl-PL"/>
        </w:rPr>
        <w:t>4.4.2025</w:t>
      </w:r>
      <w:r w:rsidRPr="003D6E3F">
        <w:rPr>
          <w:color w:val="000000" w:themeColor="text1"/>
          <w:sz w:val="24"/>
          <w:lang w:val="pl-PL"/>
        </w:rPr>
        <w:t>, ELI: </w:t>
      </w:r>
      <w:hyperlink r:id="rId11" w:history="1">
        <w:r w:rsidRPr="003D6E3F">
          <w:rPr>
            <w:rStyle w:val="Hyperlink"/>
            <w:sz w:val="24"/>
            <w:lang w:val="pl-PL"/>
          </w:rPr>
          <w:t>http://data.europa.eu/eli/C/2025/1803/oj</w:t>
        </w:r>
      </w:hyperlink>
      <w:r w:rsidRPr="003D6E3F">
        <w:rPr>
          <w:color w:val="000000" w:themeColor="text1"/>
          <w:sz w:val="24"/>
          <w:lang w:val="pl-PL"/>
        </w:rPr>
        <w:t>).</w:t>
      </w:r>
    </w:p>
    <w:p w:rsidR="009320BD" w:rsidRPr="003D6E3F" w:rsidP="003D6E3F" w14:paraId="7EA09DE9" w14:textId="452C24F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  <w:t xml:space="preserve">rezolucja Parlamentu Europejskiego z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</w:t>
      </w:r>
      <w:r w:rsidRPr="003D6E3F">
        <w:rPr>
          <w:color w:val="000000" w:themeColor="text1"/>
          <w:sz w:val="24"/>
          <w:lang w:val="pl-PL"/>
        </w:rPr>
        <w:t>4.4.2025</w:t>
      </w:r>
      <w:r w:rsidRPr="003D6E3F">
        <w:rPr>
          <w:color w:val="000000" w:themeColor="text1"/>
          <w:sz w:val="24"/>
          <w:lang w:val="pl-PL"/>
        </w:rPr>
        <w:t>, ELI: </w:t>
      </w:r>
      <w:hyperlink r:id="rId12" w:history="1">
        <w:r w:rsidRPr="003D6E3F">
          <w:rPr>
            <w:rStyle w:val="Hyperlink"/>
            <w:sz w:val="24"/>
            <w:lang w:val="pl-PL"/>
          </w:rPr>
          <w:t>http://data.europa.eu/eli/C/2025/1804/oj</w:t>
        </w:r>
      </w:hyperlink>
      <w:r w:rsidRPr="003D6E3F">
        <w:rPr>
          <w:color w:val="000000" w:themeColor="text1"/>
          <w:sz w:val="24"/>
          <w:lang w:val="pl-PL"/>
        </w:rPr>
        <w:t>).</w:t>
      </w:r>
    </w:p>
    <w:p w:rsidR="009320BD" w:rsidRPr="003D6E3F" w:rsidP="003D6E3F" w14:paraId="72D6FA23" w14:textId="22A99DF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color w:val="000000" w:themeColor="text1"/>
          <w:sz w:val="24"/>
          <w:lang w:val="pl-PL"/>
        </w:rPr>
        <w:t>–</w:t>
      </w:r>
      <w:r w:rsidRPr="003D6E3F">
        <w:rPr>
          <w:color w:val="000000" w:themeColor="text1"/>
          <w:sz w:val="24"/>
          <w:lang w:val="pl-PL"/>
        </w:rPr>
        <w:tab/>
      </w:r>
      <w:r w:rsidRPr="003D6E3F">
        <w:rPr>
          <w:sz w:val="24"/>
          <w:lang w:val="pl-PL"/>
        </w:rPr>
        <w:t xml:space="preserve">rezolucja Parlamentu Europejskiego z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</w:t>
      </w:r>
      <w:r w:rsidRPr="003D6E3F">
        <w:rPr>
          <w:sz w:val="24"/>
          <w:lang w:val="pl-PL"/>
        </w:rPr>
        <w:t>29.4.2025</w:t>
      </w:r>
      <w:r w:rsidRPr="003D6E3F">
        <w:rPr>
          <w:sz w:val="24"/>
          <w:lang w:val="pl-PL"/>
        </w:rPr>
        <w:t>, ELI: </w:t>
      </w:r>
      <w:hyperlink r:id="rId13" w:history="1">
        <w:r w:rsidRPr="003D6E3F">
          <w:rPr>
            <w:rStyle w:val="Hyperlink"/>
            <w:sz w:val="24"/>
            <w:lang w:val="pl-PL"/>
          </w:rPr>
          <w:t>http://data.europa.eu/eli/C/2025/2246/oj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3C4712B7" w14:textId="025AB402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 xml:space="preserve">rezolucja Parlamentu Europejskiego z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(Dz.U. C, C/2025/2247, </w:t>
      </w:r>
      <w:r w:rsidRPr="003D6E3F">
        <w:rPr>
          <w:sz w:val="24"/>
          <w:lang w:val="pl-PL"/>
        </w:rPr>
        <w:t>29.4.2025</w:t>
      </w:r>
      <w:r w:rsidRPr="003D6E3F">
        <w:rPr>
          <w:sz w:val="24"/>
          <w:lang w:val="pl-PL"/>
        </w:rPr>
        <w:t>, ELI: </w:t>
      </w:r>
      <w:hyperlink r:id="rId14" w:history="1">
        <w:r w:rsidRPr="003D6E3F">
          <w:rPr>
            <w:rStyle w:val="Hyperlink"/>
            <w:sz w:val="24"/>
            <w:lang w:val="pl-PL"/>
          </w:rPr>
          <w:t>http://data.europa.eu/eli/C/2025/2247/oj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0DA5D604" w14:textId="798FA910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>rezolucja Parlamentu Europejskiego z dnia 8 maja 2025 r. w sprawie projektu decyzji wykonawczej Komisji zezwalającej na wprowadzenie do obrotu, na mocy rozporządzenia Parlamentu Europejskiego i Rady (WE) nr 1829/2003, produktów zawierających genetycznie zmodyfikowaną soję MON 87705 × MON 87708 × MON 89788, składających się z niej lub z niej wyprodukowanych (Dz.U. C, C/2026/586, 24.2.2026, ELI: </w:t>
      </w:r>
      <w:hyperlink r:id="rId15" w:tooltip="Dostęp do dokumentu poprzez identyfikator URI w systemie ELI." w:history="1">
        <w:r w:rsidRPr="003D6E3F">
          <w:rPr>
            <w:rStyle w:val="Hyperlink"/>
            <w:sz w:val="24"/>
            <w:lang w:val="pl-PL"/>
          </w:rPr>
          <w:t>http://data.europa.eu/eli/C/2026/586/oj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2E1021A2" w14:textId="4DAB549E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>rezolucja Parlamentu Europejskiego z dnia 08 października 2025 r. w sprawie decyzji wykonawczej Komisji (UE) 2025/1898 z dnia 22 września 2025 r. zezwalającej na wprowadzenie do obrotu, na podstawie rozporządzenia Parlamentu Europejskiego i Rady (WE) nr 1829/2003, produktów zawierających genetycznie zmodyfikowaną kukurydzę DP51291, składających się z niej lub z niej wyprodukowanych (Dz.U. C, C/2026/1523, 15.4.2026, ELI: </w:t>
      </w:r>
      <w:hyperlink r:id="rId16" w:history="1">
        <w:r w:rsidRPr="003D6E3F">
          <w:rPr>
            <w:rStyle w:val="Hyperlink"/>
            <w:sz w:val="24"/>
            <w:lang w:val="pl-PL"/>
          </w:rPr>
          <w:t>http://data.europa.eu/eli/C/2026/1523/oj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3BE716F3" w14:textId="0A40FA11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 xml:space="preserve">rezolucja Parlamentu Europejskiego z 25 listopada 2025 r. w sprawie projektu decyzji wykonawczej Komisji zezwalającej na wprowadzenie do obrotu, na mocy rozporządzenia (WE) nr 1829/2003 Parlamentu Europejskiego i Rady, produktów zawierających genetycznie zmodyfikowaną kukurydzę DAS1131, składających się z niej lub z niej wyprodukowanych (Dz.U. C, C/2026/1703, </w:t>
      </w:r>
      <w:r w:rsidRPr="003D6E3F">
        <w:rPr>
          <w:sz w:val="24"/>
          <w:lang w:val="pl-PL"/>
        </w:rPr>
        <w:t>24.4.2026</w:t>
      </w:r>
      <w:r w:rsidRPr="003D6E3F">
        <w:rPr>
          <w:sz w:val="24"/>
          <w:lang w:val="pl-PL"/>
        </w:rPr>
        <w:t>, ELI: </w:t>
      </w:r>
      <w:hyperlink r:id="rId17" w:history="1">
        <w:r w:rsidRPr="003D6E3F">
          <w:rPr>
            <w:rStyle w:val="Hyperlink"/>
            <w:sz w:val="24"/>
            <w:lang w:val="pl-PL"/>
          </w:rPr>
          <w:t>http://data.europa.eu/eli/C/2026/1703/oj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2B682C9D" w14:textId="3D32F5C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>rezolucja Parlamentu Europejskiego z 25 listopada 2025 r. w sprawie projektu decyzji wykonawczej Komisji dotyczącej odnowienia zezwolenia na wprowadzenie do obrotu, na mocy rozporządzenia Parlamentu Europejskiego i Rady (WE) nr 1829/2003, produktów zawierających genetycznie zmodyfikowaną bawełnę MON 88913 (MON-88913-8), składających się z niej lub z niej wyprodukowanych (Dz.U. C, C/2026/1704, 24.4.2026, ELI: </w:t>
      </w:r>
      <w:hyperlink r:id="rId18" w:history="1">
        <w:r w:rsidRPr="003D6E3F">
          <w:rPr>
            <w:rStyle w:val="Hyperlink"/>
            <w:sz w:val="24"/>
            <w:lang w:val="pl-PL"/>
          </w:rPr>
          <w:t>http://data.europa.eu/eli/C/2026/1704/oj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56844FB0" w14:textId="32A221FB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 xml:space="preserve">rezolucja Parlamentu Europejskiego z 25 listopada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 Dz.U. C, C/2026/1705, </w:t>
      </w:r>
      <w:r w:rsidRPr="003D6E3F">
        <w:rPr>
          <w:sz w:val="24"/>
          <w:lang w:val="pl-PL"/>
        </w:rPr>
        <w:t>24.4.2026</w:t>
      </w:r>
      <w:r w:rsidRPr="003D6E3F">
        <w:rPr>
          <w:sz w:val="24"/>
          <w:lang w:val="pl-PL"/>
        </w:rPr>
        <w:t>, ELI: </w:t>
      </w:r>
      <w:hyperlink r:id="rId19" w:history="1">
        <w:r w:rsidRPr="003D6E3F">
          <w:rPr>
            <w:rStyle w:val="Hyperlink"/>
            <w:sz w:val="24"/>
            <w:lang w:val="pl-PL"/>
          </w:rPr>
          <w:t>http://data.europa.eu/eli/C/2026/1705/oj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2CF1E5CF" w14:textId="0DC40FB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 xml:space="preserve">rezolucja Parlamentu Europejskiego z 25 listopada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 (Dz.U. C, C/2026/1706, </w:t>
      </w:r>
      <w:r w:rsidRPr="003D6E3F">
        <w:rPr>
          <w:sz w:val="24"/>
          <w:lang w:val="pl-PL"/>
        </w:rPr>
        <w:t>24.4.2026</w:t>
      </w:r>
      <w:r w:rsidRPr="003D6E3F">
        <w:rPr>
          <w:sz w:val="24"/>
          <w:lang w:val="pl-PL"/>
        </w:rPr>
        <w:t>, ELI: </w:t>
      </w:r>
      <w:hyperlink r:id="rId20" w:history="1">
        <w:r w:rsidRPr="003D6E3F">
          <w:rPr>
            <w:rStyle w:val="Hyperlink"/>
            <w:sz w:val="24"/>
            <w:lang w:val="pl-PL"/>
          </w:rPr>
          <w:t>http://data.europa.eu/eli/C/2026/1706/oj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570A0BFE" w14:textId="705A95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 xml:space="preserve">rezolucja Parlamentu Europejskiego z 25 listopada 2025 r. w sprawie projektu decyzji wykonawczej Komisji dotyczącej odnowienia zezwolenia na wprowadzenie do obrotu, na mocy rozporządzenia Parlamentu Europejskiego i Rady </w:t>
      </w:r>
      <w:r w:rsidR="00B97A12">
        <w:rPr>
          <w:sz w:val="24"/>
          <w:lang w:val="pl-PL"/>
        </w:rPr>
        <w:t xml:space="preserve">(WE) </w:t>
      </w:r>
      <w:r w:rsidRPr="003D6E3F">
        <w:rPr>
          <w:sz w:val="24"/>
          <w:lang w:val="pl-PL"/>
        </w:rPr>
        <w:t>nr 1829/2003, produktów zawierających genetycznie zmodyfikowaną kukurydzę MON 87427, składających się z niej lub z niej wyprodukowanych (Dz.U. C, C/2026/1707, 24.4.2026, ELI: </w:t>
      </w:r>
      <w:hyperlink r:id="rId21" w:history="1">
        <w:r w:rsidRPr="003D6E3F">
          <w:rPr>
            <w:rStyle w:val="Hyperlink"/>
            <w:sz w:val="24"/>
            <w:lang w:val="pl-PL"/>
          </w:rPr>
          <w:t>http://data.europa.eu/eli/C/2026/1707/oj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377AE84A" w14:textId="6DC257C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 xml:space="preserve">rezolucja Parlamentu Europejskiego z 16 grudnia 2025 r. w sprawie projektu decyzji wykonawczej Komisji dotyczącej odnowienia zezwolenia na wprowadzenie do obrotu, na mocy rozporządzenia Parlamentu Europejskiego i Rady (WE) nr 1829/2003, produktów zawierających genetycznie zmodyfikowaną kukurydzę NK603, składających się z niej lub z niej wyprodukowanych Dz.U. C, C/2026/2150, </w:t>
      </w:r>
      <w:r w:rsidRPr="003D6E3F">
        <w:rPr>
          <w:sz w:val="24"/>
          <w:lang w:val="pl-PL"/>
        </w:rPr>
        <w:t>6.5.2026</w:t>
      </w:r>
      <w:r w:rsidRPr="003D6E3F">
        <w:rPr>
          <w:sz w:val="24"/>
          <w:lang w:val="pl-PL"/>
        </w:rPr>
        <w:t>, ELI: </w:t>
      </w:r>
      <w:hyperlink r:id="rId22" w:history="1">
        <w:r w:rsidRPr="003D6E3F">
          <w:rPr>
            <w:rStyle w:val="Hyperlink"/>
            <w:sz w:val="24"/>
            <w:lang w:val="pl-PL"/>
          </w:rPr>
          <w:t>http://data.europa.eu/eli/C/2026/2150/oj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012E30A2" w14:textId="5E383950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 xml:space="preserve">rezolucja Parlamentu Europejskiego z 16 grudnia 2025 r. w sprawie projektu decyzji wykonawczej Komisji zezwalającej na wprowadzenie do obrotu, na podstawie rozporządzenia Parlamentu Europejskiego i Rady (WE) nr </w:t>
      </w:r>
      <w:r w:rsidR="00B97A12">
        <w:rPr>
          <w:sz w:val="24"/>
          <w:lang w:val="pl-PL"/>
        </w:rPr>
        <w:t>1</w:t>
      </w:r>
      <w:r w:rsidRPr="003D6E3F">
        <w:rPr>
          <w:sz w:val="24"/>
          <w:lang w:val="pl-PL"/>
        </w:rPr>
        <w:t xml:space="preserve">829/2003, żywności oraz składników żywności i pasz wyprodukowanych z genetyczne zmodyfikowanego buraka cukrowego KWS20-1 (Dz.U. C, C/2026/2151, </w:t>
      </w:r>
      <w:r w:rsidRPr="003D6E3F">
        <w:rPr>
          <w:sz w:val="24"/>
          <w:lang w:val="pl-PL"/>
        </w:rPr>
        <w:t>6.5.2026</w:t>
      </w:r>
      <w:r w:rsidRPr="003D6E3F">
        <w:rPr>
          <w:sz w:val="24"/>
          <w:lang w:val="pl-PL"/>
        </w:rPr>
        <w:t>, ELI: </w:t>
      </w:r>
      <w:hyperlink r:id="rId23" w:history="1">
        <w:r w:rsidRPr="003D6E3F">
          <w:rPr>
            <w:rStyle w:val="Hyperlink"/>
            <w:sz w:val="24"/>
            <w:lang w:val="pl-PL"/>
          </w:rPr>
          <w:t>http://data.europa.eu/eli/C/2026/2151/oj</w:t>
        </w:r>
      </w:hyperlink>
      <w:r w:rsidRPr="003D6E3F">
        <w:rPr>
          <w:sz w:val="24"/>
          <w:lang w:val="pl-PL"/>
        </w:rPr>
        <w:t>).</w:t>
      </w:r>
    </w:p>
    <w:p w:rsidR="009320BD" w:rsidRPr="003D6E3F" w:rsidP="003D6E3F" w14:paraId="640C70D8" w14:textId="7EFE0A2E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>rezolucja Parlamentu Europejskiego z dnia 11 lutego 2026 r. w sprawie projektu decyzji wykonawczej Komisji zezwalającej na wprowadzenie do obrotu, na mocy rozporządzenia Parlamentu Europejskiego i Rady (WE) nr 1829/2003, produktów zawierających genetycznie zmodyfikowaną soję DBN-09004-6, składających się z niej lub z niej wyprodukowanych (Teksty przyjęte, P10_TA(2026)0041).</w:t>
      </w:r>
    </w:p>
    <w:p w:rsidR="009320BD" w:rsidRPr="003D6E3F" w:rsidP="003D6E3F" w14:paraId="4C51FEF0" w14:textId="1FC5DD6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mocy rozporządzenia Parlamentu Europejskiego i Rady (WE) nr 1829/2003, produktów zawierających genetycznie zmodyfikowaną kukurydzę T25 (ACS-ZMØØ3-2), składających się z niej lub z niej wyprodukowanych (Teksty przyjęte, P10_TA(2026)0042).</w:t>
      </w:r>
    </w:p>
    <w:p w:rsidR="009320BD" w:rsidRPr="003D6E3F" w:rsidP="003D6E3F" w14:paraId="00AE14C8" w14:textId="1C1F3C41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podstawie rozporządzenia (WE) nr 1829/2003 Parlamentu Europejskiego i Rady, produktów zawierających genetycznie zmodyfikowaną bawełnę GHB614 × LLCotton25, składających się z niej lub z niej wyprodukowanych (Teksty przyjęte, P10_TA(2026)0043).</w:t>
      </w:r>
    </w:p>
    <w:p w:rsidR="009320BD" w:rsidRPr="003D6E3F" w:rsidP="003D6E3F" w14:paraId="315FFD19" w14:textId="4A5F327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3D6E3F">
        <w:rPr>
          <w:sz w:val="24"/>
          <w:lang w:val="pl-PL"/>
        </w:rPr>
        <w:t xml:space="preserve"> </w:t>
      </w:r>
      <w:r w:rsidRP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podstawie rozporządzenia (WE) nr 1829/2003 Parlamentu Europejskiego i Rady, produktów zawierających genetycznie zmodyfikowaną bawełnę T304-40, składających się z niej lub z niej wyprodukowanych (Teksty przyjęte, P10_TA(2026)0044).</w:t>
      </w:r>
    </w:p>
    <w:p w:rsidR="009320BD" w:rsidRPr="003D6E3F" w:rsidP="003D6E3F" w14:paraId="4A7D63A7" w14:textId="41205E24">
      <w:pPr>
        <w:pStyle w:val="FootnoteText"/>
        <w:ind w:left="567" w:hanging="567"/>
        <w:rPr>
          <w:sz w:val="24"/>
          <w:lang w:val="pl-PL"/>
        </w:rPr>
      </w:pPr>
      <w:r w:rsidRPr="003D6E3F">
        <w:rPr>
          <w:sz w:val="24"/>
          <w:lang w:val="pl-PL"/>
        </w:rPr>
        <w:t xml:space="preserve"> </w:t>
      </w:r>
      <w:r w:rsidRP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>–</w:t>
      </w:r>
      <w:r w:rsidRPr="003D6E3F">
        <w:rPr>
          <w:sz w:val="24"/>
          <w:lang w:val="pl-PL"/>
        </w:rPr>
        <w:tab/>
        <w:t>rezolucja Parlamentu Europejskiego z dnia 29 kwietnia 2026 r. w sprawie projektu decyzji wykonawczej Komisji zezwalającej na wprowadzenie do obrotu, na mocy rozporządzenia Parlamentu Europejskiego i Rady (WE) nr 1829/2003, produktów zawierających genetycznie zmodyfikowaną soję MON 94637, składających się z niej lub z niej wyprodukowanych (Teksty przyjęte, P10_TA(2026)0150).</w:t>
      </w:r>
    </w:p>
  </w:footnote>
  <w:footnote w:id="7">
    <w:p w:rsidR="009320BD" w:rsidRPr="003D6E3F" w:rsidP="003D6E3F" w14:paraId="4764CC28" w14:textId="5204E3D3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 xml:space="preserve">Opinia EFSA, </w:t>
      </w:r>
      <w:hyperlink r:id="rId4" w:history="1">
        <w:r w:rsidRPr="003D6E3F">
          <w:rPr>
            <w:rStyle w:val="Hyperlink"/>
            <w:sz w:val="24"/>
            <w:lang w:val="pl-PL"/>
          </w:rPr>
          <w:t>https://doi.org/10.2903/j.efsa.2025.9746</w:t>
        </w:r>
      </w:hyperlink>
      <w:r w:rsidRPr="003D6E3F">
        <w:rPr>
          <w:sz w:val="24"/>
          <w:lang w:val="pl-PL"/>
        </w:rPr>
        <w:t>, s. 7.</w:t>
      </w:r>
    </w:p>
  </w:footnote>
  <w:footnote w:id="8">
    <w:p w:rsidR="009320BD" w:rsidRPr="003D6E3F" w:rsidP="003D6E3F" w14:paraId="00F8EB75" w14:textId="6CED4C81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szCs w:val="24"/>
          <w:lang w:val="pl-PL"/>
        </w:rPr>
        <w:footnoteRef/>
      </w:r>
      <w:r w:rsidRPr="003D6E3F" w:rsidR="003D6E3F">
        <w:rPr>
          <w:sz w:val="24"/>
          <w:shd w:val="clear" w:color="auto" w:fill="FFFFFF"/>
          <w:lang w:val="pl-PL"/>
        </w:rPr>
        <w:t xml:space="preserve"> </w:t>
      </w:r>
      <w:r w:rsidRPr="003D6E3F" w:rsidR="003D6E3F">
        <w:rPr>
          <w:sz w:val="24"/>
          <w:shd w:val="clear" w:color="auto" w:fill="FFFFFF"/>
          <w:lang w:val="pl-PL"/>
        </w:rPr>
        <w:tab/>
      </w:r>
      <w:r w:rsidRPr="003D6E3F">
        <w:rPr>
          <w:sz w:val="24"/>
          <w:shd w:val="clear" w:color="auto" w:fill="FFFFFF"/>
          <w:lang w:val="pl-PL"/>
        </w:rPr>
        <w:t>Zob. na przykład S. Bonny „</w:t>
      </w:r>
      <w:r w:rsidRPr="003D6E3F">
        <w:rPr>
          <w:sz w:val="24"/>
          <w:shd w:val="clear" w:color="auto" w:fill="FFFFFF"/>
          <w:lang w:val="pl-PL"/>
        </w:rPr>
        <w:t>Genetically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Modified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Herbicide</w:t>
      </w:r>
      <w:r w:rsidRPr="003D6E3F">
        <w:rPr>
          <w:sz w:val="24"/>
          <w:shd w:val="clear" w:color="auto" w:fill="FFFFFF"/>
          <w:lang w:val="pl-PL"/>
        </w:rPr>
        <w:t xml:space="preserve">-Tolerant </w:t>
      </w:r>
      <w:r w:rsidRPr="003D6E3F">
        <w:rPr>
          <w:sz w:val="24"/>
          <w:shd w:val="clear" w:color="auto" w:fill="FFFFFF"/>
          <w:lang w:val="pl-PL"/>
        </w:rPr>
        <w:t>Crops</w:t>
      </w:r>
      <w:r w:rsidRPr="003D6E3F">
        <w:rPr>
          <w:sz w:val="24"/>
          <w:shd w:val="clear" w:color="auto" w:fill="FFFFFF"/>
          <w:lang w:val="pl-PL"/>
        </w:rPr>
        <w:t xml:space="preserve">, </w:t>
      </w:r>
      <w:r w:rsidRPr="003D6E3F">
        <w:rPr>
          <w:sz w:val="24"/>
          <w:shd w:val="clear" w:color="auto" w:fill="FFFFFF"/>
          <w:lang w:val="pl-PL"/>
        </w:rPr>
        <w:t>Weeds</w:t>
      </w:r>
      <w:r w:rsidRPr="003D6E3F">
        <w:rPr>
          <w:sz w:val="24"/>
          <w:shd w:val="clear" w:color="auto" w:fill="FFFFFF"/>
          <w:lang w:val="pl-PL"/>
        </w:rPr>
        <w:t xml:space="preserve">, and </w:t>
      </w:r>
      <w:r w:rsidRPr="003D6E3F">
        <w:rPr>
          <w:sz w:val="24"/>
          <w:shd w:val="clear" w:color="auto" w:fill="FFFFFF"/>
          <w:lang w:val="pl-PL"/>
        </w:rPr>
        <w:t>Herbicides</w:t>
      </w:r>
      <w:r w:rsidRPr="003D6E3F">
        <w:rPr>
          <w:sz w:val="24"/>
          <w:shd w:val="clear" w:color="auto" w:fill="FFFFFF"/>
          <w:lang w:val="pl-PL"/>
        </w:rPr>
        <w:t xml:space="preserve">: </w:t>
      </w:r>
      <w:r w:rsidRPr="003D6E3F">
        <w:rPr>
          <w:sz w:val="24"/>
          <w:shd w:val="clear" w:color="auto" w:fill="FFFFFF"/>
          <w:lang w:val="pl-PL"/>
        </w:rPr>
        <w:t>Overview</w:t>
      </w:r>
      <w:r w:rsidRPr="003D6E3F">
        <w:rPr>
          <w:sz w:val="24"/>
          <w:shd w:val="clear" w:color="auto" w:fill="FFFFFF"/>
          <w:lang w:val="pl-PL"/>
        </w:rPr>
        <w:t xml:space="preserve"> and </w:t>
      </w:r>
      <w:r w:rsidRPr="003D6E3F">
        <w:rPr>
          <w:sz w:val="24"/>
          <w:shd w:val="clear" w:color="auto" w:fill="FFFFFF"/>
          <w:lang w:val="pl-PL"/>
        </w:rPr>
        <w:t>Impact</w:t>
      </w:r>
      <w:r w:rsidRPr="003D6E3F">
        <w:rPr>
          <w:sz w:val="24"/>
          <w:shd w:val="clear" w:color="auto" w:fill="FFFFFF"/>
          <w:lang w:val="pl-PL"/>
        </w:rPr>
        <w:t xml:space="preserve">” [Genetycznie zmodyfikowane uprawy odporne na chwasty i herbicydy. Przegląd i oddziaływanie], </w:t>
      </w:r>
      <w:r w:rsidRPr="003D6E3F">
        <w:rPr>
          <w:i/>
          <w:iCs/>
          <w:sz w:val="24"/>
          <w:shd w:val="clear" w:color="auto" w:fill="FFFFFF"/>
          <w:lang w:val="pl-PL"/>
        </w:rPr>
        <w:t>Environmental</w:t>
      </w:r>
      <w:r w:rsidRPr="003D6E3F">
        <w:rPr>
          <w:i/>
          <w:iCs/>
          <w:sz w:val="24"/>
          <w:shd w:val="clear" w:color="auto" w:fill="FFFFFF"/>
          <w:lang w:val="pl-PL"/>
        </w:rPr>
        <w:t xml:space="preserve"> Management</w:t>
      </w:r>
      <w:r w:rsidRPr="003D6E3F">
        <w:rPr>
          <w:sz w:val="24"/>
          <w:shd w:val="clear" w:color="auto" w:fill="FFFFFF"/>
          <w:lang w:val="pl-PL"/>
        </w:rPr>
        <w:t xml:space="preserve">, styczeń 2016 r., 57(1), s. 31–48, </w:t>
      </w:r>
      <w:hyperlink r:id="rId24" w:history="1">
        <w:r w:rsidRPr="003D6E3F">
          <w:rPr>
            <w:rStyle w:val="Hyperlink"/>
            <w:sz w:val="24"/>
            <w:shd w:val="clear" w:color="auto" w:fill="FFFFFF"/>
            <w:lang w:val="pl-PL"/>
          </w:rPr>
          <w:t>https://doi.org/10.1007/s00267-015-0589-7</w:t>
        </w:r>
      </w:hyperlink>
      <w:r w:rsidRPr="003D6E3F">
        <w:rPr>
          <w:sz w:val="24"/>
          <w:shd w:val="clear" w:color="auto" w:fill="FFFFFF"/>
          <w:lang w:val="pl-PL"/>
        </w:rPr>
        <w:t xml:space="preserve"> oraz C.M. </w:t>
      </w:r>
      <w:r w:rsidRPr="003D6E3F">
        <w:rPr>
          <w:sz w:val="24"/>
          <w:shd w:val="clear" w:color="auto" w:fill="FFFFFF"/>
          <w:lang w:val="pl-PL"/>
        </w:rPr>
        <w:t>Benbrook</w:t>
      </w:r>
      <w:r w:rsidRPr="003D6E3F">
        <w:rPr>
          <w:sz w:val="24"/>
          <w:shd w:val="clear" w:color="auto" w:fill="FFFFFF"/>
          <w:lang w:val="pl-PL"/>
        </w:rPr>
        <w:t xml:space="preserve"> „</w:t>
      </w:r>
      <w:r w:rsidRPr="003D6E3F">
        <w:rPr>
          <w:sz w:val="24"/>
          <w:shd w:val="clear" w:color="auto" w:fill="FFFFFF"/>
          <w:lang w:val="pl-PL"/>
        </w:rPr>
        <w:t>Impacts</w:t>
      </w:r>
      <w:r w:rsidRPr="003D6E3F">
        <w:rPr>
          <w:sz w:val="24"/>
          <w:shd w:val="clear" w:color="auto" w:fill="FFFFFF"/>
          <w:lang w:val="pl-PL"/>
        </w:rPr>
        <w:t xml:space="preserve"> of </w:t>
      </w:r>
      <w:r w:rsidRPr="003D6E3F">
        <w:rPr>
          <w:sz w:val="24"/>
          <w:shd w:val="clear" w:color="auto" w:fill="FFFFFF"/>
          <w:lang w:val="pl-PL"/>
        </w:rPr>
        <w:t>genetically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engineered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crops</w:t>
      </w:r>
      <w:r w:rsidRPr="003D6E3F">
        <w:rPr>
          <w:sz w:val="24"/>
          <w:shd w:val="clear" w:color="auto" w:fill="FFFFFF"/>
          <w:lang w:val="pl-PL"/>
        </w:rPr>
        <w:t xml:space="preserve"> on the </w:t>
      </w:r>
      <w:r w:rsidRPr="003D6E3F">
        <w:rPr>
          <w:sz w:val="24"/>
          <w:shd w:val="clear" w:color="auto" w:fill="FFFFFF"/>
          <w:lang w:val="pl-PL"/>
        </w:rPr>
        <w:t>pesticide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use</w:t>
      </w:r>
      <w:r w:rsidRPr="003D6E3F">
        <w:rPr>
          <w:sz w:val="24"/>
          <w:shd w:val="clear" w:color="auto" w:fill="FFFFFF"/>
          <w:lang w:val="pl-PL"/>
        </w:rPr>
        <w:t xml:space="preserve"> in the U.S. - the </w:t>
      </w:r>
      <w:r w:rsidRPr="003D6E3F">
        <w:rPr>
          <w:sz w:val="24"/>
          <w:shd w:val="clear" w:color="auto" w:fill="FFFFFF"/>
          <w:lang w:val="pl-PL"/>
        </w:rPr>
        <w:t>first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sixteen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years</w:t>
      </w:r>
      <w:r w:rsidRPr="003D6E3F">
        <w:rPr>
          <w:sz w:val="24"/>
          <w:shd w:val="clear" w:color="auto" w:fill="FFFFFF"/>
          <w:lang w:val="pl-PL"/>
        </w:rPr>
        <w:t xml:space="preserve">” [Wpływ upraw genetycznie modyfikowanych na zużycie pestycydów w USA – pierwsze szesnaście lat], </w:t>
      </w:r>
      <w:r w:rsidRPr="003D6E3F">
        <w:rPr>
          <w:sz w:val="24"/>
          <w:shd w:val="clear" w:color="auto" w:fill="FFFFFF"/>
          <w:lang w:val="pl-PL"/>
        </w:rPr>
        <w:t>Environmental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Sciences</w:t>
      </w:r>
      <w:r w:rsidRPr="003D6E3F">
        <w:rPr>
          <w:sz w:val="24"/>
          <w:shd w:val="clear" w:color="auto" w:fill="FFFFFF"/>
          <w:lang w:val="pl-PL"/>
        </w:rPr>
        <w:t xml:space="preserve"> Europe, 28 września 2012 r., t. 24(1), </w:t>
      </w:r>
      <w:hyperlink r:id="rId25" w:history="1">
        <w:r w:rsidRPr="003D6E3F">
          <w:rPr>
            <w:rStyle w:val="Hyperlink"/>
            <w:sz w:val="24"/>
            <w:lang w:val="pl-PL"/>
          </w:rPr>
          <w:t>https://doi.org/10.1186/2190-4715-24-24</w:t>
        </w:r>
      </w:hyperlink>
      <w:r w:rsidRPr="003D6E3F">
        <w:rPr>
          <w:sz w:val="24"/>
          <w:lang w:val="pl-PL"/>
        </w:rPr>
        <w:t>.</w:t>
      </w:r>
    </w:p>
  </w:footnote>
  <w:footnote w:id="9">
    <w:p w:rsidR="009320BD" w:rsidRPr="003D6E3F" w:rsidP="003D6E3F" w14:paraId="686DA192" w14:textId="2D4EF122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>Rozporządzenie Parlamentu Europejskiego i Rady (WE) nr 1107/2009 z dnia 21 października 2009 r. dotyczące wprowadzania do obrotu środków ochrony roślin i uchylające dyrektywy Rady 79/117/EWG i 91/414/EWG (Dz.U. L 309 z 24.11.2009, s. 1, ELI: </w:t>
      </w:r>
      <w:hyperlink r:id="rId26" w:tooltip="Dostęp do dokumentu poprzez identyfikator URI w systemie ELI." w:history="1">
        <w:r w:rsidRPr="003D6E3F">
          <w:rPr>
            <w:rStyle w:val="Hyperlink"/>
            <w:sz w:val="24"/>
            <w:lang w:val="pl-PL"/>
          </w:rPr>
          <w:t>http://data.europa.eu/eli/reg/2009/1107/oj</w:t>
        </w:r>
      </w:hyperlink>
      <w:r w:rsidRPr="003D6E3F">
        <w:rPr>
          <w:sz w:val="24"/>
          <w:lang w:val="pl-PL"/>
        </w:rPr>
        <w:t>).</w:t>
      </w:r>
    </w:p>
  </w:footnote>
  <w:footnote w:id="10">
    <w:p w:rsidR="009320BD" w:rsidRPr="003D6E3F" w:rsidP="003D6E3F" w14:paraId="50DC557A" w14:textId="610571EB">
      <w:pPr>
        <w:pStyle w:val="FootnoteText"/>
        <w:ind w:left="567" w:hanging="567"/>
        <w:rPr>
          <w:sz w:val="24"/>
          <w:lang w:val="pl-PL"/>
        </w:rPr>
      </w:pPr>
      <w:r w:rsidRPr="00700514">
        <w:rPr>
          <w:rStyle w:val="FootnoteReference"/>
          <w:sz w:val="24"/>
          <w:lang w:val="pl-PL"/>
        </w:rPr>
        <w:footnoteRef/>
      </w:r>
      <w:r w:rsidRPr="00700514" w:rsidR="003D6E3F">
        <w:rPr>
          <w:sz w:val="24"/>
          <w:lang w:val="pl-PL"/>
        </w:rPr>
        <w:t xml:space="preserve"> </w:t>
      </w:r>
      <w:r w:rsidRPr="00700514" w:rsidR="003D6E3F">
        <w:rPr>
          <w:sz w:val="24"/>
          <w:lang w:val="pl-PL"/>
        </w:rPr>
        <w:tab/>
      </w:r>
      <w:hyperlink r:id="rId27" w:history="1">
        <w:r w:rsidRPr="007C4EB6" w:rsidR="00700514">
          <w:rPr>
            <w:rStyle w:val="Hyperlink"/>
            <w:sz w:val="24"/>
            <w:szCs w:val="24"/>
            <w:lang w:val="pl-PL"/>
          </w:rPr>
          <w:t>https://ec.europa.eu/food/plant/pesticides/eu-pesticides-database/start/screen/active-substances/details/79</w:t>
        </w:r>
      </w:hyperlink>
      <w:r w:rsidRPr="007C4EB6" w:rsidR="00700514">
        <w:rPr>
          <w:sz w:val="24"/>
          <w:szCs w:val="24"/>
          <w:lang w:val="pl-PL"/>
        </w:rPr>
        <w:t>.</w:t>
      </w:r>
      <w:r w:rsidRPr="003D6E3F">
        <w:rPr>
          <w:sz w:val="24"/>
          <w:lang w:val="pl-PL"/>
        </w:rPr>
        <w:t xml:space="preserve"> </w:t>
      </w:r>
    </w:p>
  </w:footnote>
  <w:footnote w:id="11">
    <w:p w:rsidR="009320BD" w:rsidRPr="003D6E3F" w:rsidP="003D6E3F" w14:paraId="2FC7FCCB" w14:textId="5CD886A5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shd w:val="clear" w:color="auto" w:fill="FFFFFF"/>
          <w:lang w:val="pl-PL"/>
        </w:rPr>
        <w:t xml:space="preserve"> </w:t>
      </w:r>
      <w:r w:rsidRPr="003D6E3F" w:rsidR="003D6E3F">
        <w:rPr>
          <w:sz w:val="24"/>
          <w:shd w:val="clear" w:color="auto" w:fill="FFFFFF"/>
          <w:lang w:val="pl-PL"/>
        </w:rPr>
        <w:tab/>
      </w:r>
      <w:r w:rsidRPr="003D6E3F">
        <w:rPr>
          <w:sz w:val="24"/>
          <w:shd w:val="clear" w:color="auto" w:fill="FFFFFF"/>
          <w:lang w:val="pl-PL"/>
        </w:rPr>
        <w:t>Zob. na przykład</w:t>
      </w:r>
      <w:r w:rsidRPr="003D6E3F">
        <w:rPr>
          <w:sz w:val="24"/>
          <w:lang w:val="pl-PL"/>
        </w:rPr>
        <w:t xml:space="preserve"> </w:t>
      </w:r>
      <w:hyperlink r:id="rId28" w:history="1">
        <w:r w:rsidRPr="003D6E3F">
          <w:rPr>
            <w:rStyle w:val="Hyperlink"/>
            <w:sz w:val="24"/>
            <w:lang w:val="pl-PL"/>
          </w:rPr>
          <w:t>https://doi.org/10.1016/j.mrrev.2019.02.001</w:t>
        </w:r>
      </w:hyperlink>
      <w:r w:rsidRPr="003D6E3F">
        <w:rPr>
          <w:sz w:val="24"/>
          <w:lang w:val="pl-PL"/>
        </w:rPr>
        <w:t xml:space="preserve">, </w:t>
      </w:r>
      <w:hyperlink r:id="rId29" w:history="1">
        <w:r w:rsidRPr="003D6E3F">
          <w:rPr>
            <w:rStyle w:val="Hyperlink"/>
            <w:sz w:val="24"/>
            <w:lang w:val="pl-PL"/>
          </w:rPr>
          <w:t>https://doi.org/10.1093/ije/dyz017</w:t>
        </w:r>
      </w:hyperlink>
      <w:r w:rsidRPr="003D6E3F">
        <w:rPr>
          <w:sz w:val="24"/>
          <w:lang w:val="pl-PL"/>
        </w:rPr>
        <w:t xml:space="preserve">, </w:t>
      </w:r>
      <w:hyperlink r:id="rId30" w:history="1">
        <w:r w:rsidRPr="003D6E3F">
          <w:rPr>
            <w:rStyle w:val="Hyperlink"/>
            <w:sz w:val="24"/>
            <w:lang w:val="pl-PL"/>
          </w:rPr>
          <w:t>https://doi.org/10.1371/journal.pone.0219610</w:t>
        </w:r>
      </w:hyperlink>
      <w:r w:rsidRPr="003D6E3F">
        <w:rPr>
          <w:sz w:val="24"/>
          <w:lang w:val="pl-PL"/>
        </w:rPr>
        <w:t xml:space="preserve"> and </w:t>
      </w:r>
      <w:hyperlink r:id="rId31" w:history="1">
        <w:r w:rsidRPr="003D6E3F">
          <w:rPr>
            <w:rStyle w:val="Hyperlink"/>
            <w:sz w:val="24"/>
            <w:lang w:val="pl-PL"/>
          </w:rPr>
          <w:t>https://doi.org/10.1186/s13045-019-0767-9</w:t>
        </w:r>
      </w:hyperlink>
      <w:r w:rsidRPr="003D6E3F">
        <w:rPr>
          <w:sz w:val="24"/>
          <w:lang w:val="pl-PL"/>
        </w:rPr>
        <w:t>.</w:t>
      </w:r>
    </w:p>
  </w:footnote>
  <w:footnote w:id="12">
    <w:p w:rsidR="009320BD" w:rsidRPr="003D6E3F" w:rsidP="003D6E3F" w14:paraId="2639B890" w14:textId="7F286A10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hyperlink r:id="rId32" w:tgtFrame="_blank" w:tooltip="Trwały link wykorzystujący cyfrowy identyfikator dokumentu elektronicznego" w:history="1">
        <w:r w:rsidRPr="003D6E3F">
          <w:rPr>
            <w:rStyle w:val="Hyperlink"/>
            <w:sz w:val="24"/>
            <w:lang w:val="pl-PL"/>
          </w:rPr>
          <w:t>https://doi.org/10.1006/rtph.1999.1371</w:t>
        </w:r>
      </w:hyperlink>
      <w:r w:rsidRPr="003D6E3F">
        <w:rPr>
          <w:sz w:val="24"/>
          <w:lang w:val="pl-PL"/>
        </w:rPr>
        <w:t>.</w:t>
      </w:r>
    </w:p>
  </w:footnote>
  <w:footnote w:id="13">
    <w:p w:rsidR="009320BD" w:rsidRPr="003D6E3F" w:rsidP="003D6E3F" w14:paraId="0F6A245D" w14:textId="5E0F01EB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shd w:val="clear" w:color="auto" w:fill="FFFFFF"/>
          <w:lang w:val="pl-PL"/>
        </w:rPr>
        <w:t xml:space="preserve"> </w:t>
      </w:r>
      <w:r w:rsidRPr="003D6E3F" w:rsidR="003D6E3F">
        <w:rPr>
          <w:sz w:val="24"/>
          <w:shd w:val="clear" w:color="auto" w:fill="FFFFFF"/>
          <w:lang w:val="pl-PL"/>
        </w:rPr>
        <w:tab/>
      </w:r>
      <w:r w:rsidRPr="003D6E3F">
        <w:rPr>
          <w:sz w:val="24"/>
          <w:shd w:val="clear" w:color="auto" w:fill="FFFFFF"/>
          <w:lang w:val="pl-PL"/>
        </w:rPr>
        <w:t>Lurquin</w:t>
      </w:r>
      <w:r w:rsidRPr="003D6E3F">
        <w:rPr>
          <w:sz w:val="24"/>
          <w:shd w:val="clear" w:color="auto" w:fill="FFFFFF"/>
          <w:lang w:val="pl-PL"/>
        </w:rPr>
        <w:t>, P.F., ‘</w:t>
      </w:r>
      <w:r w:rsidRPr="003D6E3F">
        <w:rPr>
          <w:sz w:val="24"/>
          <w:shd w:val="clear" w:color="auto" w:fill="FFFFFF"/>
          <w:lang w:val="pl-PL"/>
        </w:rPr>
        <w:t>Production</w:t>
      </w:r>
      <w:r w:rsidRPr="003D6E3F">
        <w:rPr>
          <w:sz w:val="24"/>
          <w:shd w:val="clear" w:color="auto" w:fill="FFFFFF"/>
          <w:lang w:val="pl-PL"/>
        </w:rPr>
        <w:t xml:space="preserve"> of a </w:t>
      </w:r>
      <w:r w:rsidRPr="003D6E3F">
        <w:rPr>
          <w:sz w:val="24"/>
          <w:shd w:val="clear" w:color="auto" w:fill="FFFFFF"/>
          <w:lang w:val="pl-PL"/>
        </w:rPr>
        <w:t>toxic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metabolite</w:t>
      </w:r>
      <w:r w:rsidRPr="003D6E3F">
        <w:rPr>
          <w:sz w:val="24"/>
          <w:shd w:val="clear" w:color="auto" w:fill="FFFFFF"/>
          <w:lang w:val="pl-PL"/>
        </w:rPr>
        <w:t xml:space="preserve"> in 2, 4-D-resistant GM </w:t>
      </w:r>
      <w:r w:rsidRPr="003D6E3F">
        <w:rPr>
          <w:sz w:val="24"/>
          <w:shd w:val="clear" w:color="auto" w:fill="FFFFFF"/>
          <w:lang w:val="pl-PL"/>
        </w:rPr>
        <w:t>crop</w:t>
      </w:r>
      <w:r w:rsidRPr="003D6E3F">
        <w:rPr>
          <w:sz w:val="24"/>
          <w:shd w:val="clear" w:color="auto" w:fill="FFFFFF"/>
          <w:lang w:val="pl-PL"/>
        </w:rPr>
        <w:t xml:space="preserve"> </w:t>
      </w:r>
      <w:r w:rsidRPr="003D6E3F">
        <w:rPr>
          <w:sz w:val="24"/>
          <w:shd w:val="clear" w:color="auto" w:fill="FFFFFF"/>
          <w:lang w:val="pl-PL"/>
        </w:rPr>
        <w:t>plants</w:t>
      </w:r>
      <w:r w:rsidRPr="003D6E3F">
        <w:rPr>
          <w:sz w:val="24"/>
          <w:shd w:val="clear" w:color="auto" w:fill="FFFFFF"/>
          <w:lang w:val="pl-PL"/>
        </w:rPr>
        <w:t xml:space="preserve">’ [Powstawanie toksycznego metabolitu w zmodyfikowanych genetycznie roślinach uprawnych odpornych na 2,4-D], 3 </w:t>
      </w:r>
      <w:r w:rsidRPr="003D6E3F">
        <w:rPr>
          <w:sz w:val="24"/>
          <w:shd w:val="clear" w:color="auto" w:fill="FFFFFF"/>
          <w:lang w:val="pl-PL"/>
        </w:rPr>
        <w:t>Biotech</w:t>
      </w:r>
      <w:r w:rsidRPr="003D6E3F">
        <w:rPr>
          <w:sz w:val="24"/>
          <w:shd w:val="clear" w:color="auto" w:fill="FFFFFF"/>
          <w:lang w:val="pl-PL"/>
        </w:rPr>
        <w:t xml:space="preserve"> 6, 82 (2016)</w:t>
      </w:r>
      <w:r w:rsidRPr="003D6E3F">
        <w:rPr>
          <w:sz w:val="24"/>
          <w:lang w:val="pl-PL"/>
        </w:rPr>
        <w:t xml:space="preserve">, </w:t>
      </w:r>
      <w:hyperlink r:id="rId33" w:history="1">
        <w:r w:rsidRPr="003D6E3F">
          <w:rPr>
            <w:rStyle w:val="Hyperlink"/>
            <w:sz w:val="24"/>
            <w:shd w:val="clear" w:color="auto" w:fill="FCFCFC"/>
            <w:lang w:val="pl-PL"/>
          </w:rPr>
          <w:t>https://doi.org/10.1007/s13205-016-0387-9</w:t>
        </w:r>
      </w:hyperlink>
      <w:r w:rsidRPr="003D6E3F">
        <w:rPr>
          <w:sz w:val="24"/>
          <w:lang w:val="pl-PL"/>
        </w:rPr>
        <w:t>.</w:t>
      </w:r>
    </w:p>
  </w:footnote>
  <w:footnote w:id="14">
    <w:p w:rsidR="009320BD" w:rsidRPr="003D6E3F" w:rsidP="003D6E3F" w14:paraId="7601B22A" w14:textId="50D970E7">
      <w:pPr>
        <w:pStyle w:val="FootnoteText"/>
        <w:ind w:left="567" w:hanging="567"/>
        <w:rPr>
          <w:sz w:val="24"/>
          <w:szCs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shd w:val="clear" w:color="auto" w:fill="FFFFFF"/>
          <w:lang w:val="pl-PL"/>
        </w:rPr>
        <w:t xml:space="preserve"> </w:t>
      </w:r>
      <w:r w:rsidRPr="003D6E3F" w:rsidR="003D6E3F">
        <w:rPr>
          <w:sz w:val="24"/>
          <w:shd w:val="clear" w:color="auto" w:fill="FFFFFF"/>
          <w:lang w:val="pl-PL"/>
        </w:rPr>
        <w:tab/>
      </w:r>
      <w:r w:rsidRPr="003D6E3F">
        <w:rPr>
          <w:sz w:val="24"/>
          <w:shd w:val="clear" w:color="auto" w:fill="FFFFFF"/>
          <w:lang w:val="pl-PL"/>
        </w:rPr>
        <w:t xml:space="preserve">Ma to istotnie miejsce w przypadku </w:t>
      </w:r>
      <w:r w:rsidRPr="003D6E3F">
        <w:rPr>
          <w:sz w:val="24"/>
          <w:shd w:val="clear" w:color="auto" w:fill="FFFFFF"/>
          <w:lang w:val="pl-PL"/>
        </w:rPr>
        <w:t>glifosatu</w:t>
      </w:r>
      <w:r w:rsidRPr="003D6E3F">
        <w:rPr>
          <w:sz w:val="24"/>
          <w:shd w:val="clear" w:color="auto" w:fill="FFFFFF"/>
          <w:lang w:val="pl-PL"/>
        </w:rPr>
        <w:t xml:space="preserve">, jak stwierdzono w opublikowanej przez EFSA uzasadnionej opinii „Przegląd obowiązujących najwyższych poziomów pozostałości </w:t>
      </w:r>
      <w:r w:rsidRPr="003D6E3F">
        <w:rPr>
          <w:sz w:val="24"/>
          <w:shd w:val="clear" w:color="auto" w:fill="FFFFFF"/>
          <w:lang w:val="pl-PL"/>
        </w:rPr>
        <w:t>glifosatu</w:t>
      </w:r>
      <w:r w:rsidRPr="003D6E3F">
        <w:rPr>
          <w:sz w:val="24"/>
          <w:shd w:val="clear" w:color="auto" w:fill="FFFFFF"/>
          <w:lang w:val="pl-PL"/>
        </w:rPr>
        <w:t xml:space="preserve"> zgodnie z art. 12 rozporządzenia (WE) nr 396/2005”, Dziennik EFSA 2018;16(5):5263, s. 12</w:t>
      </w:r>
      <w:r w:rsidRPr="003D6E3F">
        <w:rPr>
          <w:sz w:val="24"/>
          <w:lang w:val="pl-PL"/>
        </w:rPr>
        <w:t xml:space="preserve">, </w:t>
      </w:r>
      <w:hyperlink r:id="rId34" w:history="1">
        <w:r w:rsidRPr="003D6E3F">
          <w:rPr>
            <w:rStyle w:val="Hyperlink"/>
            <w:sz w:val="24"/>
            <w:lang w:val="pl-PL"/>
          </w:rPr>
          <w:t>https://doi.org/10.2903/j.efsa.2018.5263</w:t>
        </w:r>
      </w:hyperlink>
      <w:r w:rsidRPr="003D6E3F">
        <w:rPr>
          <w:sz w:val="24"/>
          <w:lang w:val="pl-PL"/>
        </w:rPr>
        <w:t>.</w:t>
      </w:r>
    </w:p>
  </w:footnote>
  <w:footnote w:id="15">
    <w:p w:rsidR="009320BD" w:rsidRPr="003D6E3F" w:rsidP="003D6E3F" w14:paraId="3A1CDFCE" w14:textId="1D2424FE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 xml:space="preserve">Dz.U. L 282 z 19.10.2016, s. 4. </w:t>
      </w:r>
    </w:p>
  </w:footnote>
  <w:footnote w:id="16">
    <w:p w:rsidR="009320BD" w:rsidRPr="003D6E3F" w:rsidP="003D6E3F" w14:paraId="00C2C711" w14:textId="0CE31460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>Dz.U. L 309 z 13.12.1993, s. 3, ELI: </w:t>
      </w:r>
      <w:hyperlink r:id="rId35" w:tooltip="Dostęp do dokumentu poprzez identyfikator URI w systemie ELI." w:history="1">
        <w:r w:rsidRPr="003D6E3F">
          <w:rPr>
            <w:rStyle w:val="Hyperlink"/>
            <w:sz w:val="24"/>
            <w:lang w:val="pl-PL"/>
          </w:rPr>
          <w:t>http://data.europa.eu/eli/convention/1993/626/oj</w:t>
        </w:r>
      </w:hyperlink>
      <w:r w:rsidRPr="003D6E3F">
        <w:rPr>
          <w:sz w:val="24"/>
          <w:lang w:val="pl-PL"/>
        </w:rPr>
        <w:t>.</w:t>
      </w:r>
    </w:p>
  </w:footnote>
  <w:footnote w:id="17">
    <w:p w:rsidR="009320BD" w:rsidRPr="007C4EB6" w:rsidP="003D6E3F" w14:paraId="4B5B99DD" w14:textId="7145ED24">
      <w:pPr>
        <w:pStyle w:val="FootnoteText"/>
        <w:ind w:left="567" w:hanging="567"/>
        <w:rPr>
          <w:sz w:val="24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>W grudniu 2022 r. podczas 15. Konferencji stron Konwencji Narodów Zjednoczonych o różnorodności biologicznej (COP15) uzgodniono globalne ramy różnorodności biologicznej, które obejmują globalny cel zmniejszenia ryzyka związanego z pestycydami o co najmniej 50 % do 2030 r. (zob.</w:t>
      </w:r>
      <w:r w:rsidRPr="003D6E3F">
        <w:rPr>
          <w:color w:val="000000" w:themeColor="text1"/>
          <w:sz w:val="24"/>
          <w:lang w:val="pl-PL"/>
        </w:rPr>
        <w:t xml:space="preserve"> </w:t>
      </w:r>
      <w:hyperlink r:id="rId36" w:history="1">
        <w:r w:rsidRPr="007C4EB6">
          <w:rPr>
            <w:rStyle w:val="Hyperlink"/>
            <w:sz w:val="24"/>
          </w:rPr>
          <w:t>https://ec.europa.eu/commission/presscorner/detail/pl/ip_22_7834</w:t>
        </w:r>
      </w:hyperlink>
      <w:r w:rsidRPr="007C4EB6">
        <w:rPr>
          <w:sz w:val="24"/>
        </w:rPr>
        <w:t xml:space="preserve">). </w:t>
      </w:r>
    </w:p>
  </w:footnote>
  <w:footnote w:id="18">
    <w:p w:rsidR="009320BD" w:rsidRPr="007C4EB6" w:rsidP="003D6E3F" w14:paraId="142A8017" w14:textId="2A851A0F">
      <w:pPr>
        <w:pStyle w:val="FootnoteText"/>
        <w:ind w:left="567" w:hanging="567"/>
        <w:rPr>
          <w:sz w:val="24"/>
        </w:rPr>
      </w:pPr>
      <w:r w:rsidRPr="003D6E3F">
        <w:rPr>
          <w:rStyle w:val="FootnoteReference"/>
          <w:sz w:val="24"/>
          <w:lang w:val="pl-PL"/>
        </w:rPr>
        <w:footnoteRef/>
      </w:r>
      <w:r w:rsidRPr="007C4EB6" w:rsidR="003D6E3F">
        <w:rPr>
          <w:sz w:val="24"/>
        </w:rPr>
        <w:t xml:space="preserve"> </w:t>
      </w:r>
      <w:r w:rsidRPr="007C4EB6" w:rsidR="003D6E3F">
        <w:rPr>
          <w:sz w:val="24"/>
        </w:rPr>
        <w:tab/>
      </w:r>
      <w:hyperlink r:id="rId37" w:history="1">
        <w:r w:rsidRPr="007C4EB6">
          <w:rPr>
            <w:rStyle w:val="Hyperlink"/>
            <w:sz w:val="24"/>
          </w:rPr>
          <w:t>https://commission.europa.eu/topics/agriculture-and-rural-development/strategic-dialogue-future-eu-agriculture_pl</w:t>
        </w:r>
      </w:hyperlink>
      <w:r w:rsidRPr="007C4EB6">
        <w:rPr>
          <w:rStyle w:val="Hyperlink"/>
          <w:sz w:val="24"/>
        </w:rPr>
        <w:t>.</w:t>
      </w:r>
      <w:r w:rsidRPr="007C4EB6">
        <w:rPr>
          <w:sz w:val="24"/>
        </w:rPr>
        <w:t xml:space="preserve"> </w:t>
      </w:r>
    </w:p>
  </w:footnote>
  <w:footnote w:id="19">
    <w:p w:rsidR="009320BD" w:rsidRPr="003D6E3F" w:rsidP="003D6E3F" w14:paraId="3D80B844" w14:textId="7D1DC18F">
      <w:pPr>
        <w:pStyle w:val="FootnoteText"/>
        <w:ind w:left="567" w:hanging="567"/>
        <w:rPr>
          <w:sz w:val="24"/>
          <w:szCs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r w:rsidRPr="003D6E3F">
        <w:rPr>
          <w:sz w:val="24"/>
          <w:lang w:val="pl-PL"/>
        </w:rPr>
        <w:t>Rozporządzenie (WE) nr 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1.2.2002, s. 1, ELI: </w:t>
      </w:r>
      <w:hyperlink r:id="rId38" w:tooltip="Dostęp do dokumentu poprzez identyfikator URI w systemie ELI." w:history="1">
        <w:r w:rsidRPr="003D6E3F">
          <w:rPr>
            <w:rStyle w:val="Hyperlink"/>
            <w:sz w:val="24"/>
            <w:lang w:val="pl-PL"/>
          </w:rPr>
          <w:t>http://data.europa.eu/eli/reg/2002/178/oj</w:t>
        </w:r>
      </w:hyperlink>
      <w:r w:rsidRPr="003D6E3F">
        <w:rPr>
          <w:sz w:val="24"/>
          <w:lang w:val="pl-PL"/>
        </w:rPr>
        <w:t>).</w:t>
      </w:r>
    </w:p>
  </w:footnote>
  <w:footnote w:id="20">
    <w:p w:rsidR="009320BD" w:rsidRPr="003D6E3F" w:rsidP="003D6E3F" w14:paraId="0E29CE3D" w14:textId="1BE0D839">
      <w:pPr>
        <w:pStyle w:val="FootnoteText"/>
        <w:ind w:left="567" w:hanging="567"/>
        <w:rPr>
          <w:sz w:val="24"/>
          <w:szCs w:val="24"/>
          <w:lang w:val="pl-PL"/>
        </w:rPr>
      </w:pPr>
      <w:r w:rsidRPr="003D6E3F">
        <w:rPr>
          <w:rStyle w:val="FootnoteReference"/>
          <w:sz w:val="24"/>
          <w:szCs w:val="24"/>
          <w:lang w:val="pl-PL"/>
        </w:rPr>
        <w:footnoteRef/>
      </w:r>
      <w:r w:rsidRPr="003D6E3F" w:rsidR="003D6E3F">
        <w:rPr>
          <w:sz w:val="24"/>
          <w:lang w:val="pl-PL"/>
        </w:rPr>
        <w:t xml:space="preserve"> </w:t>
      </w:r>
      <w:r w:rsidRPr="003D6E3F" w:rsidR="003D6E3F">
        <w:rPr>
          <w:sz w:val="24"/>
          <w:lang w:val="pl-PL"/>
        </w:rPr>
        <w:tab/>
      </w:r>
      <w:hyperlink r:id="rId39" w:history="1">
        <w:r w:rsidRPr="003D6E3F">
          <w:rPr>
            <w:rStyle w:val="Hyperlink"/>
            <w:sz w:val="24"/>
            <w:shd w:val="clear" w:color="auto" w:fill="FFFFFF"/>
            <w:lang w:val="pl-PL"/>
          </w:rPr>
          <w:t>https://tillymetz.lu/wp-content/uploads/2020/09/Co-signed-letter-MEP-Metz.pdf</w:t>
        </w:r>
      </w:hyperlink>
      <w:r w:rsidRPr="003D6E3F">
        <w:rPr>
          <w:sz w:val="24"/>
          <w:lang w:val="pl-PL"/>
        </w:rPr>
        <w:t>.</w:t>
      </w:r>
      <w:r w:rsidRPr="003D6E3F">
        <w:rPr>
          <w:sz w:val="24"/>
          <w:shd w:val="clear" w:color="auto" w:fill="FFFFFF"/>
          <w:lang w:val="pl-PL"/>
        </w:rPr>
        <w:t xml:space="preserve"> </w:t>
      </w:r>
    </w:p>
  </w:footnote>
  <w:footnote w:id="21">
    <w:p w:rsidR="009320BD" w:rsidRPr="003D6E3F" w:rsidP="003D6E3F" w14:paraId="74D9C336" w14:textId="24ABC037">
      <w:pPr>
        <w:pStyle w:val="FootnoteText"/>
        <w:ind w:left="567" w:hanging="567"/>
        <w:rPr>
          <w:sz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shd w:val="clear" w:color="auto" w:fill="FFFFFF"/>
          <w:lang w:val="pl-PL"/>
        </w:rPr>
        <w:t xml:space="preserve"> </w:t>
      </w:r>
      <w:r w:rsidRPr="003D6E3F" w:rsidR="003D6E3F">
        <w:rPr>
          <w:sz w:val="24"/>
          <w:shd w:val="clear" w:color="auto" w:fill="FFFFFF"/>
          <w:lang w:val="pl-PL"/>
        </w:rPr>
        <w:tab/>
      </w:r>
      <w:r w:rsidRPr="003D6E3F">
        <w:rPr>
          <w:sz w:val="24"/>
          <w:shd w:val="clear" w:color="auto" w:fill="FFFFFF"/>
          <w:lang w:val="pl-PL"/>
        </w:rPr>
        <w:t>Rezolucja Parlamentu Europejskiego z dnia 15 stycznia 2020 r. w sprawie Europejskiego Zielonego Ładu (Dz.U. C 270 z 7.7.2021, s. 2), ust. 102.</w:t>
      </w:r>
    </w:p>
  </w:footnote>
  <w:footnote w:id="22">
    <w:p w:rsidR="009320BD" w:rsidRPr="003D6E3F" w:rsidP="003D6E3F" w14:paraId="6122F2A4" w14:textId="494B18F5">
      <w:pPr>
        <w:pStyle w:val="FootnoteText"/>
        <w:ind w:left="567" w:hanging="567"/>
        <w:rPr>
          <w:sz w:val="24"/>
          <w:szCs w:val="24"/>
          <w:lang w:val="pl-PL"/>
        </w:rPr>
      </w:pPr>
      <w:r w:rsidRPr="003D6E3F">
        <w:rPr>
          <w:rStyle w:val="FootnoteReference"/>
          <w:sz w:val="24"/>
          <w:lang w:val="pl-PL"/>
        </w:rPr>
        <w:footnoteRef/>
      </w:r>
      <w:r w:rsidRPr="003D6E3F" w:rsidR="003D6E3F">
        <w:rPr>
          <w:sz w:val="24"/>
          <w:shd w:val="clear" w:color="auto" w:fill="FFFFFF"/>
          <w:lang w:val="pl-PL"/>
        </w:rPr>
        <w:t xml:space="preserve"> </w:t>
      </w:r>
      <w:r w:rsidRPr="003D6E3F" w:rsidR="003D6E3F">
        <w:rPr>
          <w:sz w:val="24"/>
          <w:shd w:val="clear" w:color="auto" w:fill="FFFFFF"/>
          <w:lang w:val="pl-PL"/>
        </w:rPr>
        <w:tab/>
      </w:r>
      <w:r w:rsidRPr="003D6E3F">
        <w:rPr>
          <w:sz w:val="24"/>
          <w:shd w:val="clear" w:color="auto" w:fill="FFFFFF"/>
          <w:lang w:val="pl-PL"/>
        </w:rPr>
        <w:t>Dz.U. C 445 z 29.10.2021, s. 257.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E3F" w14:paraId="74558E1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E3F" w14:paraId="598098B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E3F" w14:paraId="2E96817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482692627">
    <w:abstractNumId w:val="9"/>
  </w:num>
  <w:num w:numId="2" w16cid:durableId="1425227038">
    <w:abstractNumId w:val="9"/>
  </w:num>
  <w:num w:numId="3" w16cid:durableId="1898205366">
    <w:abstractNumId w:val="7"/>
  </w:num>
  <w:num w:numId="4" w16cid:durableId="1695500111">
    <w:abstractNumId w:val="7"/>
  </w:num>
  <w:num w:numId="5" w16cid:durableId="1097481611">
    <w:abstractNumId w:val="6"/>
  </w:num>
  <w:num w:numId="6" w16cid:durableId="1187871937">
    <w:abstractNumId w:val="6"/>
  </w:num>
  <w:num w:numId="7" w16cid:durableId="358361274">
    <w:abstractNumId w:val="5"/>
  </w:num>
  <w:num w:numId="8" w16cid:durableId="895354620">
    <w:abstractNumId w:val="5"/>
  </w:num>
  <w:num w:numId="9" w16cid:durableId="1272125871">
    <w:abstractNumId w:val="4"/>
  </w:num>
  <w:num w:numId="10" w16cid:durableId="372731806">
    <w:abstractNumId w:val="4"/>
  </w:num>
  <w:num w:numId="11" w16cid:durableId="1242763138">
    <w:abstractNumId w:val="8"/>
  </w:num>
  <w:num w:numId="12" w16cid:durableId="2017071408">
    <w:abstractNumId w:val="8"/>
  </w:num>
  <w:num w:numId="13" w16cid:durableId="1541891986">
    <w:abstractNumId w:val="3"/>
  </w:num>
  <w:num w:numId="14" w16cid:durableId="288364978">
    <w:abstractNumId w:val="3"/>
  </w:num>
  <w:num w:numId="15" w16cid:durableId="361201570">
    <w:abstractNumId w:val="2"/>
  </w:num>
  <w:num w:numId="16" w16cid:durableId="191772636">
    <w:abstractNumId w:val="2"/>
  </w:num>
  <w:num w:numId="17" w16cid:durableId="1687251866">
    <w:abstractNumId w:val="1"/>
  </w:num>
  <w:num w:numId="18" w16cid:durableId="581528086">
    <w:abstractNumId w:val="1"/>
  </w:num>
  <w:num w:numId="19" w16cid:durableId="998312067">
    <w:abstractNumId w:val="0"/>
  </w:num>
  <w:num w:numId="20" w16cid:durableId="2035693774">
    <w:abstractNumId w:val="0"/>
  </w:num>
  <w:num w:numId="21" w16cid:durableId="116611362">
    <w:abstractNumId w:val="9"/>
  </w:num>
  <w:num w:numId="22" w16cid:durableId="1680161588">
    <w:abstractNumId w:val="7"/>
  </w:num>
  <w:num w:numId="23" w16cid:durableId="2110661981">
    <w:abstractNumId w:val="6"/>
  </w:num>
  <w:num w:numId="24" w16cid:durableId="499808569">
    <w:abstractNumId w:val="5"/>
  </w:num>
  <w:num w:numId="25" w16cid:durableId="819729839">
    <w:abstractNumId w:val="4"/>
  </w:num>
  <w:num w:numId="26" w16cid:durableId="1667899015">
    <w:abstractNumId w:val="8"/>
  </w:num>
  <w:num w:numId="27" w16cid:durableId="1222902991">
    <w:abstractNumId w:val="3"/>
  </w:num>
  <w:num w:numId="28" w16cid:durableId="393624088">
    <w:abstractNumId w:val="2"/>
  </w:num>
  <w:num w:numId="29" w16cid:durableId="328024238">
    <w:abstractNumId w:val="1"/>
  </w:num>
  <w:num w:numId="30" w16cid:durableId="446855773">
    <w:abstractNumId w:val="0"/>
  </w:num>
  <w:num w:numId="31" w16cid:durableId="267810477">
    <w:abstractNumId w:val="9"/>
  </w:num>
  <w:num w:numId="32" w16cid:durableId="1175999054">
    <w:abstractNumId w:val="7"/>
  </w:num>
  <w:num w:numId="33" w16cid:durableId="1975526177">
    <w:abstractNumId w:val="6"/>
  </w:num>
  <w:num w:numId="34" w16cid:durableId="430584968">
    <w:abstractNumId w:val="5"/>
  </w:num>
  <w:num w:numId="35" w16cid:durableId="1184246877">
    <w:abstractNumId w:val="4"/>
  </w:num>
  <w:num w:numId="36" w16cid:durableId="951937354">
    <w:abstractNumId w:val="8"/>
  </w:num>
  <w:num w:numId="37" w16cid:durableId="1709257463">
    <w:abstractNumId w:val="3"/>
  </w:num>
  <w:num w:numId="38" w16cid:durableId="383145337">
    <w:abstractNumId w:val="2"/>
  </w:num>
  <w:num w:numId="39" w16cid:durableId="1372995389">
    <w:abstractNumId w:val="1"/>
  </w:num>
  <w:num w:numId="40" w16cid:durableId="558900277">
    <w:abstractNumId w:val="0"/>
  </w:num>
  <w:num w:numId="41" w16cid:durableId="1751846974">
    <w:abstractNumId w:val="10"/>
  </w:num>
  <w:num w:numId="42" w16cid:durableId="1768308444">
    <w:abstractNumId w:val="10"/>
  </w:num>
  <w:num w:numId="43" w16cid:durableId="969244576">
    <w:abstractNumId w:val="10"/>
  </w:num>
  <w:num w:numId="44" w16cid:durableId="215774846">
    <w:abstractNumId w:val="11"/>
  </w:num>
  <w:num w:numId="45" w16cid:durableId="1944142484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C15"/>
    <w:rsid w:val="002B18FE"/>
    <w:rsid w:val="002B5493"/>
    <w:rsid w:val="00343214"/>
    <w:rsid w:val="00361C00"/>
    <w:rsid w:val="00395FA1"/>
    <w:rsid w:val="003B64F8"/>
    <w:rsid w:val="003D6E3F"/>
    <w:rsid w:val="003E15D4"/>
    <w:rsid w:val="00411CCE"/>
    <w:rsid w:val="0041666E"/>
    <w:rsid w:val="00421060"/>
    <w:rsid w:val="00471C19"/>
    <w:rsid w:val="004867E3"/>
    <w:rsid w:val="00494A28"/>
    <w:rsid w:val="004C0004"/>
    <w:rsid w:val="004C559C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514"/>
    <w:rsid w:val="00731ADD"/>
    <w:rsid w:val="00734777"/>
    <w:rsid w:val="00747932"/>
    <w:rsid w:val="00751A4A"/>
    <w:rsid w:val="00756632"/>
    <w:rsid w:val="00762C74"/>
    <w:rsid w:val="00786EC0"/>
    <w:rsid w:val="007C4EB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0BD"/>
    <w:rsid w:val="009509D8"/>
    <w:rsid w:val="00950B64"/>
    <w:rsid w:val="00981893"/>
    <w:rsid w:val="0099311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A1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1BA"/>
    <w:rsid w:val="00F5134D"/>
    <w:rsid w:val="00F74202"/>
    <w:rsid w:val="00F87713"/>
    <w:rsid w:val="00FB4360"/>
    <w:rsid w:val="00FD0C70"/>
  </w:rsids>
  <w:docVars>
    <w:docVar w:name="dvdocse" w:val="B10-0336/2026"/>
    <w:docVar w:name="dvlangue" w:val="PL"/>
    <w:docVar w:name="dvnumam" w:val="0"/>
    <w:docVar w:name="dvpe" w:val="789.025"/>
    <w:docVar w:name="dvtitre" w:val="Rezolucja Parlamentu Europejskiego z dnia  2026 r. w sprawie projektu decyzji wykonawczej Komisji zezwalającej na wprowadzenie do obrotu, na podstawie rozporządzenia (WE) nr 1829/2003 Parlamentu Europejskiego i Rady, produktów zawierających genetycznie zmodyfikowaną kukurydzę DP202216 x NK603 x DAS-40278-9 i jej subkombinacje DP202216 x NK603, DP202216 x DAS-40278-9 oraz produktów składających się z wymienionych rodzajów zmodyfikowanej genetycznie kukurydzy lub z niej wyprodukowanych(D114997/04 – 2026/274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5568F6"/>
  <w15:chartTrackingRefBased/>
  <w15:docId w15:val="{0CBAA16D-9005-4D2E-8D96-5FF6AC9C4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qFormat/>
    <w:rsid w:val="009320B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320BD"/>
    <w:rPr>
      <w:color w:val="0563C1" w:themeColor="hyperlink"/>
      <w:u w:val="single"/>
    </w:rPr>
  </w:style>
  <w:style w:type="paragraph" w:customStyle="1" w:styleId="Considrant">
    <w:name w:val="Considérant"/>
    <w:basedOn w:val="Normal"/>
    <w:uiPriority w:val="99"/>
    <w:semiHidden/>
    <w:rsid w:val="009320BD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Funotenzeichen">
    <w:name w:val="Fußnotenzeichen"/>
    <w:basedOn w:val="DefaultParagraphFont"/>
    <w:uiPriority w:val="99"/>
    <w:qFormat/>
    <w:rsid w:val="009320BD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_impl/2026/1443/oj" TargetMode="External" /><Relationship Id="rId10" Type="http://schemas.openxmlformats.org/officeDocument/2006/relationships/hyperlink" Target="http://data.europa.eu/eli/C/2025/1802/oj" TargetMode="External" /><Relationship Id="rId11" Type="http://schemas.openxmlformats.org/officeDocument/2006/relationships/hyperlink" Target="http://data.europa.eu/eli/C/2025/1803/oj" TargetMode="External" /><Relationship Id="rId12" Type="http://schemas.openxmlformats.org/officeDocument/2006/relationships/hyperlink" Target="http://data.europa.eu/eli/C/2025/1804/oj" TargetMode="External" /><Relationship Id="rId13" Type="http://schemas.openxmlformats.org/officeDocument/2006/relationships/hyperlink" Target="http://data.europa.eu/eli/C/2025/2246/oj" TargetMode="External" /><Relationship Id="rId14" Type="http://schemas.openxmlformats.org/officeDocument/2006/relationships/hyperlink" Target="http://data.europa.eu/eli/C/2025/2247/oj" TargetMode="External" /><Relationship Id="rId15" Type="http://schemas.openxmlformats.org/officeDocument/2006/relationships/hyperlink" Target="http://data.europa.eu/eli/C/2026/586/oj" TargetMode="External" /><Relationship Id="rId16" Type="http://schemas.openxmlformats.org/officeDocument/2006/relationships/hyperlink" Target="http://data.europa.eu/eli/C/2026/1523/oj" TargetMode="External" /><Relationship Id="rId17" Type="http://schemas.openxmlformats.org/officeDocument/2006/relationships/hyperlink" Target="http://data.europa.eu/eli/C/2026/1703/oj" TargetMode="External" /><Relationship Id="rId18" Type="http://schemas.openxmlformats.org/officeDocument/2006/relationships/hyperlink" Target="http://data.europa.eu/eli/C/2026/1704/oj" TargetMode="External" /><Relationship Id="rId19" Type="http://schemas.openxmlformats.org/officeDocument/2006/relationships/hyperlink" Target="http://data.europa.eu/eli/C/2026/1705/oj" TargetMode="External" /><Relationship Id="rId2" Type="http://schemas.openxmlformats.org/officeDocument/2006/relationships/hyperlink" Target="http://data.europa.eu/eli/reg/2003/1829/oj" TargetMode="External" /><Relationship Id="rId20" Type="http://schemas.openxmlformats.org/officeDocument/2006/relationships/hyperlink" Target="http://data.europa.eu/eli/C/2026/1706/oj" TargetMode="External" /><Relationship Id="rId21" Type="http://schemas.openxmlformats.org/officeDocument/2006/relationships/hyperlink" Target="http://data.europa.eu/eli/C/2026/1707/oj" TargetMode="External" /><Relationship Id="rId22" Type="http://schemas.openxmlformats.org/officeDocument/2006/relationships/hyperlink" Target="http://data.europa.eu/eli/C/2026/2150/oj" TargetMode="External" /><Relationship Id="rId23" Type="http://schemas.openxmlformats.org/officeDocument/2006/relationships/hyperlink" Target="http://data.europa.eu/eli/C/2026/2151/oj" TargetMode="External" /><Relationship Id="rId24" Type="http://schemas.openxmlformats.org/officeDocument/2006/relationships/hyperlink" Target="https://doi.org/10.1007/s00267-015-0589-7" TargetMode="External" /><Relationship Id="rId25" Type="http://schemas.openxmlformats.org/officeDocument/2006/relationships/hyperlink" Target="https://doi.org/10.1186/2190-4715-24-24" TargetMode="External" /><Relationship Id="rId26" Type="http://schemas.openxmlformats.org/officeDocument/2006/relationships/hyperlink" Target="http://data.europa.eu/eli/reg/2009/1107/oj" TargetMode="External" /><Relationship Id="rId27" Type="http://schemas.openxmlformats.org/officeDocument/2006/relationships/hyperlink" Target="https://ec.europa.eu/food/plant/pesticides/eu-pesticides-database/start/screen/active-substances/details/79" TargetMode="External" /><Relationship Id="rId28" Type="http://schemas.openxmlformats.org/officeDocument/2006/relationships/hyperlink" Target="https://doi.org/10.1016/j.mrrev.2019.02.001" TargetMode="External" /><Relationship Id="rId29" Type="http://schemas.openxmlformats.org/officeDocument/2006/relationships/hyperlink" Target="https://doi.org/10.1093/ije/dyz017" TargetMode="External" /><Relationship Id="rId3" Type="http://schemas.openxmlformats.org/officeDocument/2006/relationships/hyperlink" Target="http://data.europa.eu/eli/reg/2011/182/oj" TargetMode="External" /><Relationship Id="rId30" Type="http://schemas.openxmlformats.org/officeDocument/2006/relationships/hyperlink" Target="https://doi.org/10.1371/journal.pone.0219610" TargetMode="External" /><Relationship Id="rId31" Type="http://schemas.openxmlformats.org/officeDocument/2006/relationships/hyperlink" Target="https://doi.org/10.1186/s13045-019-0767-9" TargetMode="External" /><Relationship Id="rId32" Type="http://schemas.openxmlformats.org/officeDocument/2006/relationships/hyperlink" Target="https://doi.org/10.1006/rtph.1999.1371" TargetMode="External" /><Relationship Id="rId33" Type="http://schemas.openxmlformats.org/officeDocument/2006/relationships/hyperlink" Target="https://doi.org/10.1007/s13205-016-0387-9" TargetMode="External" /><Relationship Id="rId34" Type="http://schemas.openxmlformats.org/officeDocument/2006/relationships/hyperlink" Target="https://doi.org/10.2903/j.efsa.2018.5263" TargetMode="External" /><Relationship Id="rId35" Type="http://schemas.openxmlformats.org/officeDocument/2006/relationships/hyperlink" Target="http://data.europa.eu/eli/convention/1993/626/oj" TargetMode="External" /><Relationship Id="rId36" Type="http://schemas.openxmlformats.org/officeDocument/2006/relationships/hyperlink" Target="https://ec.europa.eu/commission/presscorner/detail/pl/ip_22_7834" TargetMode="External" /><Relationship Id="rId37" Type="http://schemas.openxmlformats.org/officeDocument/2006/relationships/hyperlink" Target="https://commission.europa.eu/topics/agriculture-and-rural-development/strategic-dialogue-future-eu-agriculture_pl" TargetMode="External" /><Relationship Id="rId38" Type="http://schemas.openxmlformats.org/officeDocument/2006/relationships/hyperlink" Target="http://data.europa.eu/eli/reg/2002/178/oj" TargetMode="External" /><Relationship Id="rId39" Type="http://schemas.openxmlformats.org/officeDocument/2006/relationships/hyperlink" Target="https://tillymetz.lu/wp-content/uploads/2020/09/Co-signed-letter-MEP-Metz.pdf" TargetMode="External" /><Relationship Id="rId4" Type="http://schemas.openxmlformats.org/officeDocument/2006/relationships/hyperlink" Target="https://doi.org/10.2903/j.efsa.2025.9746" TargetMode="External" /><Relationship Id="rId5" Type="http://schemas.openxmlformats.org/officeDocument/2006/relationships/hyperlink" Target="http://data.europa.eu/eli/C/2025/1797/oj" TargetMode="External" /><Relationship Id="rId6" Type="http://schemas.openxmlformats.org/officeDocument/2006/relationships/hyperlink" Target="http://data.europa.eu/eli/C/2025/1798/oj" TargetMode="External" /><Relationship Id="rId7" Type="http://schemas.openxmlformats.org/officeDocument/2006/relationships/hyperlink" Target="http://data.europa.eu/eli/C/2025/1799/oj" TargetMode="External" /><Relationship Id="rId8" Type="http://schemas.openxmlformats.org/officeDocument/2006/relationships/hyperlink" Target="http://data.europa.eu/eli/C/2025/1800/oj" TargetMode="External" /><Relationship Id="rId9" Type="http://schemas.openxmlformats.org/officeDocument/2006/relationships/hyperlink" Target="http://data.europa.eu/eli/C/2025/180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2166</Words>
  <Characters>14077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2026-08-19T09:16:00Z</dcterms:created>
  <dcterms:modified xsi:type="dcterms:W3CDTF">2026-08-19T09:16:00Z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B10-0336/2026</vt:lpwstr>
  </property>
  <property fmtid="{D5CDD505-2E9C-101B-9397-08002B2CF9AE}" pid="4" name="&lt;Type&gt;">
    <vt:lpwstr>RR</vt:lpwstr>
  </property>
</Properties>
</file>