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DC59594" w14:textId="77777777" w:rsidTr="0010095E">
        <w:tblPrEx>
          <w:tblW w:w="9072" w:type="dxa"/>
          <w:tblLook w:val="01E0"/>
        </w:tblPrEx>
        <w:trPr>
          <w:trHeight w:hRule="exact" w:val="1418"/>
        </w:trPr>
        <w:tc>
          <w:tcPr>
            <w:tcW w:w="6804" w:type="dxa"/>
            <w:shd w:val="clear" w:color="auto" w:fill="auto"/>
            <w:vAlign w:val="center"/>
          </w:tcPr>
          <w:p w:rsidR="00751A4A" w:rsidRPr="00036B39" w:rsidP="0010095E" w14:paraId="70C385D9" w14:textId="4FB31827">
            <w:pPr>
              <w:pStyle w:val="EPName"/>
            </w:pPr>
            <w:r w:rsidRPr="00036B39">
              <w:t>Parlamentul European</w:t>
            </w:r>
          </w:p>
          <w:p w:rsidR="00751A4A" w:rsidRPr="00036B39" w:rsidP="005F1B17" w14:paraId="17F2BE36" w14:textId="77777777">
            <w:pPr>
              <w:pStyle w:val="EPTerm"/>
              <w:rPr>
                <w:rStyle w:val="HideTWBExt"/>
                <w:noProof w:val="0"/>
                <w:vanish w:val="0"/>
                <w:color w:val="auto"/>
              </w:rPr>
            </w:pPr>
            <w:r w:rsidRPr="00036B39">
              <w:t>2024</w:t>
            </w:r>
            <w:r w:rsidRPr="00036B39" w:rsidR="00817416">
              <w:t>-202</w:t>
            </w:r>
            <w:r w:rsidRPr="00036B39">
              <w:t>9</w:t>
            </w:r>
          </w:p>
        </w:tc>
        <w:tc>
          <w:tcPr>
            <w:tcW w:w="2268" w:type="dxa"/>
            <w:shd w:val="clear" w:color="auto" w:fill="auto"/>
          </w:tcPr>
          <w:p w:rsidR="00751A4A" w:rsidRPr="00036B39" w:rsidP="0010095E" w14:paraId="5677D224" w14:textId="77777777">
            <w:pPr>
              <w:pStyle w:val="EPLogo"/>
            </w:pPr>
            <w:r w:rsidRPr="00036B3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36B39" w:rsidP="004C5D52" w14:paraId="30083B30" w14:textId="77777777">
      <w:pPr>
        <w:pStyle w:val="LineTop"/>
      </w:pPr>
    </w:p>
    <w:p w:rsidR="00680577" w:rsidRPr="00036B39" w:rsidP="00680577" w14:paraId="46D373E8" w14:textId="6A7FED12">
      <w:pPr>
        <w:pStyle w:val="EPBodyTA1"/>
      </w:pPr>
      <w:r w:rsidRPr="00036B39">
        <w:t>TEXTE ADOPTATE</w:t>
      </w:r>
    </w:p>
    <w:p w:rsidR="00D058B8" w:rsidRPr="00036B39" w:rsidP="00D058B8" w14:paraId="39127275" w14:textId="77777777">
      <w:pPr>
        <w:pStyle w:val="LineBottom"/>
      </w:pPr>
    </w:p>
    <w:p w:rsidR="00BD37ED" w:rsidRPr="00036B39" w:rsidP="00BD37ED" w14:paraId="73C3FAE5" w14:textId="2B522BE0">
      <w:pPr>
        <w:pStyle w:val="ATHeading1"/>
      </w:pPr>
      <w:bookmarkStart w:id="0" w:name="TANumber"/>
      <w:r w:rsidRPr="00036B39">
        <w:t>P10_TA(2026)0</w:t>
      </w:r>
      <w:r w:rsidRPr="00036B39" w:rsidR="00036B39">
        <w:t>265</w:t>
      </w:r>
      <w:bookmarkEnd w:id="0"/>
    </w:p>
    <w:p w:rsidR="00BD37ED" w:rsidRPr="00036B39" w:rsidP="00BD37ED" w14:paraId="2523A5E0" w14:textId="77777777">
      <w:pPr>
        <w:pStyle w:val="ATHeading2"/>
      </w:pPr>
      <w:bookmarkStart w:id="1" w:name="title"/>
      <w:r w:rsidRPr="00036B39">
        <w:t xml:space="preserve">Porumbul modificat genetic DP202216 x NK603 x DAS-40278-9 și </w:t>
      </w:r>
      <w:r w:rsidRPr="00036B39">
        <w:t>subcombinațiile</w:t>
      </w:r>
      <w:r w:rsidRPr="00036B39">
        <w:t xml:space="preserve"> acestuia DP202216 x NK603, DP202216 x DAS-40278-9</w:t>
      </w:r>
      <w:bookmarkEnd w:id="1"/>
    </w:p>
    <w:p w:rsidR="00BD37ED" w:rsidRPr="00036B39" w:rsidP="00BD37ED" w14:paraId="5B2A9C77" w14:textId="77777777">
      <w:pPr>
        <w:rPr>
          <w:i/>
          <w:vanish/>
        </w:rPr>
      </w:pPr>
      <w:r>
        <w:rPr>
          <w:i/>
        </w:rPr>
        <w:fldChar w:fldCharType="begin"/>
      </w:r>
      <w:r w:rsidRPr="00036B39">
        <w:rPr>
          <w:i/>
        </w:rPr>
        <w:instrText xml:space="preserve"> TC"(</w:instrText>
      </w:r>
      <w:bookmarkStart w:id="2" w:name="DocNumber"/>
      <w:r w:rsidRPr="00036B39">
        <w:rPr>
          <w:i/>
        </w:rPr>
        <w:instrText>B10-0336/2026</w:instrText>
      </w:r>
      <w:bookmarkEnd w:id="2"/>
      <w:r w:rsidRPr="00036B39">
        <w:rPr>
          <w:i/>
        </w:rPr>
        <w:instrText xml:space="preserve">)"\l3 \n&gt; \* MERGEFORMAT </w:instrText>
      </w:r>
      <w:r>
        <w:rPr>
          <w:i/>
        </w:rPr>
        <w:fldChar w:fldCharType="end"/>
      </w:r>
    </w:p>
    <w:p w:rsidR="00BD37ED" w:rsidRPr="00036B39" w:rsidP="00BD37ED" w14:paraId="1AFFA5E9" w14:textId="77777777">
      <w:pPr>
        <w:rPr>
          <w:vanish/>
        </w:rPr>
      </w:pPr>
      <w:bookmarkStart w:id="3" w:name="PE"/>
      <w:r w:rsidRPr="00036B39">
        <w:rPr>
          <w:vanish/>
        </w:rPr>
        <w:t>PE789.025</w:t>
      </w:r>
      <w:bookmarkEnd w:id="3"/>
    </w:p>
    <w:p w:rsidR="00BD37ED" w:rsidRPr="00036B39" w:rsidP="00BD37ED" w14:paraId="75CD7299" w14:textId="621516DE">
      <w:pPr>
        <w:pStyle w:val="ATHeading3"/>
      </w:pPr>
      <w:bookmarkStart w:id="4" w:name="Sujet"/>
      <w:r w:rsidRPr="00036B39">
        <w:t xml:space="preserve">Rezoluția Parlamentului European din 8 iulie 2026 referitoare la </w:t>
      </w:r>
      <w:r w:rsidRPr="00036B39" w:rsidR="00EA622D">
        <w:t>D</w:t>
      </w:r>
      <w:r w:rsidRPr="00036B39">
        <w:t>ecizi</w:t>
      </w:r>
      <w:r w:rsidRPr="00036B39" w:rsidR="00EA622D">
        <w:t>a</w:t>
      </w:r>
      <w:r w:rsidRPr="00036B39">
        <w:t xml:space="preserve"> de punere în aplicare </w:t>
      </w:r>
      <w:r w:rsidRPr="00036B39" w:rsidR="00EA622D">
        <w:t xml:space="preserve">(UE) 2026/1443 </w:t>
      </w:r>
      <w:r w:rsidRPr="00036B39">
        <w:t xml:space="preserve">a Comisiei </w:t>
      </w:r>
      <w:r w:rsidRPr="00036B39" w:rsidR="00EA622D">
        <w:t xml:space="preserve">din 29 iunie 2026 </w:t>
      </w:r>
      <w:r w:rsidRPr="00036B39">
        <w:t xml:space="preserve">de autorizare a introducerii pe piață a produselor care conțin, constau în sau sunt fabricate din porumb modificat genetic DP202216 x NK603 x DAS-40278-9 și </w:t>
      </w:r>
      <w:r w:rsidRPr="00036B39">
        <w:t>subcombinațiile</w:t>
      </w:r>
      <w:r w:rsidRPr="00036B39">
        <w:t xml:space="preserve"> sale DP202216 x NK603, DP202216 x DAS-40278-9, </w:t>
      </w:r>
      <w:r w:rsidRPr="00036B39" w:rsidR="00790CF0">
        <w:t>în conformitate cu</w:t>
      </w:r>
      <w:r w:rsidRPr="00036B39">
        <w:t xml:space="preserve"> Regulamentul (CE) nr. 1829/2003 al Parlamentului European și al Consiliului</w:t>
      </w:r>
      <w:bookmarkEnd w:id="4"/>
      <w:r w:rsidRPr="00036B39">
        <w:t xml:space="preserve"> </w:t>
      </w:r>
      <w:bookmarkStart w:id="5" w:name="References"/>
      <w:r w:rsidRPr="00036B39">
        <w:t>(2026/2746(RSP))</w:t>
      </w:r>
      <w:bookmarkEnd w:id="5"/>
    </w:p>
    <w:p w:rsidR="007A0BE7" w:rsidRPr="00036B39" w:rsidP="007A0BE7" w14:paraId="0642FBB8" w14:textId="77777777">
      <w:pPr>
        <w:pStyle w:val="NormalHanging12a"/>
        <w:tabs>
          <w:tab w:val="center" w:pos="4535"/>
        </w:tabs>
        <w:spacing w:before="240"/>
      </w:pPr>
      <w:bookmarkStart w:id="6" w:name="TextBodyBegin"/>
      <w:bookmarkEnd w:id="6"/>
      <w:r w:rsidRPr="00036B39">
        <w:rPr>
          <w:i/>
          <w:iCs/>
        </w:rPr>
        <w:t>Parlamentul European</w:t>
      </w:r>
      <w:r w:rsidRPr="00036B39">
        <w:t>,</w:t>
      </w:r>
    </w:p>
    <w:p w:rsidR="007A0BE7" w:rsidRPr="00036B39" w:rsidP="007A0BE7" w14:paraId="52BF7FF5" w14:textId="46E79368">
      <w:pPr>
        <w:pStyle w:val="NormalHanging12a"/>
      </w:pPr>
      <w:r w:rsidRPr="00036B39">
        <w:t>–</w:t>
      </w:r>
      <w:r w:rsidRPr="00036B39">
        <w:tab/>
        <w:t xml:space="preserve">având în vedere </w:t>
      </w:r>
      <w:r w:rsidRPr="00036B39" w:rsidR="00EA622D">
        <w:t>D</w:t>
      </w:r>
      <w:r w:rsidRPr="00036B39">
        <w:t>ecizi</w:t>
      </w:r>
      <w:r w:rsidRPr="00036B39" w:rsidR="00EA622D">
        <w:t>a</w:t>
      </w:r>
      <w:r w:rsidRPr="00036B39">
        <w:t xml:space="preserve"> de punere în aplicare </w:t>
      </w:r>
      <w:r w:rsidRPr="00036B39" w:rsidR="00EA622D">
        <w:t xml:space="preserve">(UE) 2026/1443 </w:t>
      </w:r>
      <w:r w:rsidRPr="00036B39">
        <w:t xml:space="preserve">a Comisiei </w:t>
      </w:r>
      <w:r w:rsidRPr="00036B39" w:rsidR="00EA622D">
        <w:t xml:space="preserve">din 29 iunie 2026 </w:t>
      </w:r>
      <w:r w:rsidRPr="00036B39">
        <w:t xml:space="preserve">de autorizare a introducerii pe piață a produselor care conțin, constau în sau sunt fabricate din porumb modificat genetic DP202216 x NK603 x DAS-40278-9 și </w:t>
      </w:r>
      <w:r w:rsidRPr="00036B39">
        <w:t>subcombinațiile</w:t>
      </w:r>
      <w:r w:rsidRPr="00036B39">
        <w:t xml:space="preserve"> sale DP202216 x NK603, DP202216 x DAS-40278-9, </w:t>
      </w:r>
      <w:r w:rsidRPr="00036B39" w:rsidR="00B475CE">
        <w:t>în conformitate cu</w:t>
      </w:r>
      <w:r w:rsidRPr="00036B39">
        <w:t xml:space="preserve"> Regulamentul (CE) nr. 1829/2003 al Parlamentului European și al Consiliului</w:t>
      </w:r>
      <w:r>
        <w:rPr>
          <w:rStyle w:val="FootnoteReference"/>
        </w:rPr>
        <w:footnoteReference w:id="2"/>
      </w:r>
      <w:r w:rsidRPr="00036B39">
        <w:t>,</w:t>
      </w:r>
    </w:p>
    <w:p w:rsidR="007A0BE7" w:rsidRPr="00036B39" w:rsidP="007A0BE7" w14:paraId="179CCA19" w14:textId="77777777">
      <w:pPr>
        <w:pStyle w:val="NormalHanging12a"/>
      </w:pPr>
      <w:r w:rsidRPr="00036B39">
        <w:t>–</w:t>
      </w:r>
      <w:r w:rsidRPr="00036B39">
        <w:tab/>
        <w:t>având în vedere Regulamentul (CE) nr. 1829/2003 al Parlamentului European și al Consiliului din 22 septembrie 2003 privind produsele alimentare și furajele modificate genetic</w:t>
      </w:r>
      <w:r>
        <w:rPr>
          <w:rStyle w:val="FootnoteReference"/>
        </w:rPr>
        <w:footnoteReference w:id="3"/>
      </w:r>
      <w:r w:rsidRPr="00036B39">
        <w:t>, în special articolul 7 alineatul (3) și articolul 19 alineatul (3),</w:t>
      </w:r>
    </w:p>
    <w:p w:rsidR="007A0BE7" w:rsidRPr="00036B39" w:rsidP="007A0BE7" w14:paraId="7501F0BA" w14:textId="77777777">
      <w:pPr>
        <w:pStyle w:val="NormalHanging12a"/>
      </w:pPr>
      <w:r w:rsidRPr="00036B39">
        <w:t>–</w:t>
      </w:r>
      <w:r w:rsidRPr="00036B39">
        <w:tab/>
        <w:t>având în vedere votul din 27 aprilie 2026 al Comitetului permanent pentru plante, animale, produse alimentare și hrană pentru animale, menționat la articolul 35 din Regulamentul (CE) nr. 1829/2003, în urma căruia nu s-a emis niciun aviz, și votul Comitetului de apel din 2 iunie 2026, în urma căruia, din nou, nu a fost emis niciun aviz,</w:t>
      </w:r>
    </w:p>
    <w:p w:rsidR="007A0BE7" w:rsidRPr="00036B39" w:rsidP="007A0BE7" w14:paraId="667D12FE" w14:textId="77777777">
      <w:pPr>
        <w:pStyle w:val="NormalHanging12a"/>
      </w:pPr>
      <w:r w:rsidRPr="00036B39">
        <w:t>–</w:t>
      </w:r>
      <w:r w:rsidRPr="00036B39">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Pr>
          <w:rStyle w:val="FootnoteReference"/>
        </w:rPr>
        <w:footnoteReference w:id="4"/>
      </w:r>
      <w:r w:rsidRPr="00036B39">
        <w:t>,</w:t>
      </w:r>
    </w:p>
    <w:p w:rsidR="007A0BE7" w:rsidRPr="00036B39" w:rsidP="007A0BE7" w14:paraId="674E8B30" w14:textId="77777777">
      <w:pPr>
        <w:pStyle w:val="NormalHanging12a"/>
      </w:pPr>
      <w:r w:rsidRPr="00036B39">
        <w:t>–</w:t>
      </w:r>
      <w:r w:rsidRPr="00036B39">
        <w:tab/>
        <w:t xml:space="preserve">având în vedere avizul adoptat de Autoritatea Europeană pentru Siguranța Alimentară </w:t>
      </w:r>
      <w:r w:rsidRPr="00036B39">
        <w:t>(EFSA) la 30 octombrie 2025 și publicat la 5 decembrie 2025</w:t>
      </w:r>
      <w:r>
        <w:rPr>
          <w:rStyle w:val="FootnoteReference"/>
        </w:rPr>
        <w:footnoteReference w:id="5"/>
      </w:r>
      <w:r w:rsidRPr="00036B39">
        <w:t>,</w:t>
      </w:r>
    </w:p>
    <w:p w:rsidR="007A0BE7" w:rsidRPr="00036B39" w:rsidP="007A0BE7" w14:paraId="4B3EA660" w14:textId="77777777">
      <w:pPr>
        <w:pStyle w:val="NormalHanging12a"/>
      </w:pPr>
      <w:r w:rsidRPr="00036B39">
        <w:t>–</w:t>
      </w:r>
      <w:r w:rsidRPr="00036B39">
        <w:tab/>
        <w:t>având în vedere rezoluțiile sale anterioare în care se opune autorizării organismelor modificate genetic („OMG”)</w:t>
      </w:r>
      <w:r>
        <w:rPr>
          <w:rStyle w:val="FootnoteReference"/>
        </w:rPr>
        <w:footnoteReference w:id="6"/>
      </w:r>
      <w:r w:rsidRPr="00036B39">
        <w:t>,</w:t>
      </w:r>
    </w:p>
    <w:p w:rsidR="007A0BE7" w:rsidRPr="00036B39" w:rsidP="007A0BE7" w14:paraId="3D8186F8" w14:textId="77777777">
      <w:pPr>
        <w:pStyle w:val="NormalHanging12a"/>
      </w:pPr>
      <w:r w:rsidRPr="00036B39">
        <w:t>–</w:t>
      </w:r>
      <w:r w:rsidRPr="00036B39">
        <w:tab/>
        <w:t>având în vedere articolul 115 alineatele (2) și (3) din Regulamentul său de procedură,</w:t>
      </w:r>
    </w:p>
    <w:p w:rsidR="007A0BE7" w:rsidRPr="00036B39" w:rsidP="007A0BE7" w14:paraId="2D23A69F" w14:textId="77777777">
      <w:pPr>
        <w:pStyle w:val="NormalHanging12a"/>
      </w:pPr>
      <w:r w:rsidRPr="00036B39">
        <w:t>–</w:t>
      </w:r>
      <w:r w:rsidRPr="00036B39">
        <w:tab/>
        <w:t>având în vedere propunerea de rezoluție a Comisiei pentru mediu, climă și siguranță alimentară,</w:t>
      </w:r>
    </w:p>
    <w:p w:rsidR="007A0BE7" w:rsidRPr="00036B39" w:rsidP="00036B39" w14:paraId="4BBBE306" w14:textId="3D0ED7E5">
      <w:pPr>
        <w:pStyle w:val="Considrant"/>
        <w:numPr>
          <w:ilvl w:val="0"/>
          <w:numId w:val="0"/>
        </w:numPr>
        <w:spacing w:after="240"/>
        <w:ind w:left="567" w:hanging="567"/>
        <w:jc w:val="left"/>
        <w:rPr>
          <w:szCs w:val="24"/>
        </w:rPr>
      </w:pPr>
      <w:r w:rsidRPr="00036B39">
        <w:t>A.</w:t>
      </w:r>
      <w:r w:rsidRPr="00036B39">
        <w:tab/>
        <w:t xml:space="preserve">întrucât la 10 martie 2023, </w:t>
      </w:r>
      <w:r w:rsidRPr="00036B39">
        <w:t>Corteva</w:t>
      </w:r>
      <w:r w:rsidRPr="00036B39">
        <w:t xml:space="preserve"> </w:t>
      </w:r>
      <w:r w:rsidRPr="00036B39">
        <w:t>Agriscience</w:t>
      </w:r>
      <w:r w:rsidRPr="00036B39">
        <w:t xml:space="preserve"> </w:t>
      </w:r>
      <w:r w:rsidRPr="00036B39">
        <w:t>Belgium</w:t>
      </w:r>
      <w:r w:rsidRPr="00036B39">
        <w:t xml:space="preserve"> B.V., cu sediul în Belgia, a transmis, în numele </w:t>
      </w:r>
      <w:r w:rsidRPr="00036B39">
        <w:t>Corteva</w:t>
      </w:r>
      <w:r w:rsidRPr="00036B39">
        <w:t xml:space="preserve"> </w:t>
      </w:r>
      <w:r w:rsidRPr="00036B39">
        <w:t>Agriscience</w:t>
      </w:r>
      <w:r w:rsidRPr="00036B39">
        <w:t xml:space="preserve"> LLC, cu sediul în Statele Unite ale Americii, o cerere vizând introducerea pe piață a produselor alimentare, a ingredientelor alimentare și a hranei pentru animale care conțin, constau în sau sunt fabricate din porumb modificat genetic DP202216 × NK603 × DAS-40279-9 („porumb</w:t>
      </w:r>
      <w:r w:rsidRPr="00036B39" w:rsidR="00EA622D">
        <w:t>ul</w:t>
      </w:r>
      <w:r w:rsidRPr="00036B39">
        <w:t xml:space="preserve"> MG”), în conformitate cu articolele 5 și 17 din Regulamentul (CE) nr. 1829/2003; întrucât cererea viza, de asemenea, introducerea pe piață a unor produse care conțin sau constau în porumb</w:t>
      </w:r>
      <w:r w:rsidRPr="00036B39" w:rsidR="00995C0A">
        <w:t>ul</w:t>
      </w:r>
      <w:r w:rsidRPr="00036B39">
        <w:t xml:space="preserve"> </w:t>
      </w:r>
      <w:r w:rsidRPr="00036B39" w:rsidR="00EA622D">
        <w:t>MG</w:t>
      </w:r>
      <w:r w:rsidRPr="00036B39">
        <w:t>, destinate altor utilizări decât pentru alimente și furaje, cu excepția cultivării;</w:t>
      </w:r>
    </w:p>
    <w:p w:rsidR="007A0BE7" w:rsidRPr="00036B39" w:rsidP="00036B39" w14:paraId="02013F0A" w14:textId="7D7D413B">
      <w:pPr>
        <w:widowControl/>
        <w:shd w:val="clear" w:color="auto" w:fill="FFFFFF"/>
        <w:spacing w:after="240"/>
        <w:ind w:left="567" w:hanging="567"/>
        <w:rPr>
          <w:szCs w:val="24"/>
        </w:rPr>
      </w:pPr>
      <w:r w:rsidRPr="00036B39">
        <w:t>B.</w:t>
      </w:r>
      <w:r w:rsidRPr="00036B39">
        <w:tab/>
        <w:t xml:space="preserve">întrucât, la 30 octombrie 2025, EFSA a adoptat un aviz științific favorabil privind autorizarea porumbului </w:t>
      </w:r>
      <w:r w:rsidRPr="00036B39" w:rsidR="00EA622D">
        <w:t>MG</w:t>
      </w:r>
      <w:r w:rsidRPr="00036B39">
        <w:t xml:space="preserve">, care a fost publicat la </w:t>
      </w:r>
      <w:r w:rsidRPr="00036B39">
        <w:rPr>
          <w:shd w:val="clear" w:color="auto" w:fill="FFFFFF"/>
        </w:rPr>
        <w:t>5 decembrie 2025</w:t>
      </w:r>
      <w:r w:rsidRPr="00036B39">
        <w:t>;</w:t>
      </w:r>
    </w:p>
    <w:p w:rsidR="007A0BE7" w:rsidRPr="00036B39" w:rsidP="00036B39" w14:paraId="04DC1EA8" w14:textId="3041F84E">
      <w:pPr>
        <w:widowControl/>
        <w:autoSpaceDE w:val="0"/>
        <w:autoSpaceDN w:val="0"/>
        <w:adjustRightInd w:val="0"/>
        <w:spacing w:after="240"/>
        <w:ind w:left="567" w:hanging="567"/>
        <w:rPr>
          <w:rFonts w:eastAsiaTheme="minorHAnsi"/>
          <w:szCs w:val="24"/>
        </w:rPr>
      </w:pPr>
      <w:r w:rsidRPr="00036B39">
        <w:t>C.</w:t>
      </w:r>
      <w:r w:rsidRPr="00036B39">
        <w:tab/>
        <w:t xml:space="preserve">întrucât EFSA a concluzionat că porumbul </w:t>
      </w:r>
      <w:r w:rsidRPr="00036B39" w:rsidR="00AB4A28">
        <w:t>MG</w:t>
      </w:r>
      <w:r w:rsidRPr="00036B39">
        <w:t xml:space="preserve"> și </w:t>
      </w:r>
      <w:r w:rsidRPr="00036B39">
        <w:t>subcombinațiile</w:t>
      </w:r>
      <w:r w:rsidRPr="00036B39">
        <w:t xml:space="preserve"> sale, astfel cum se descrie în cerere, sunt la fel de sigure ca omologul convențional și ca soiurile de porumb de referință nemodificate genetic testate, în ceea ce privește efectele potențiale asupra sănătății umane și animale și asupra mediului; întrucât EFSA a mai concluzionat că consumul de produse alimentare și de hrană pentru animale din porumb</w:t>
      </w:r>
      <w:r w:rsidRPr="00036B39" w:rsidR="00995C0A">
        <w:t>ul</w:t>
      </w:r>
      <w:r w:rsidRPr="00036B39">
        <w:t xml:space="preserve"> </w:t>
      </w:r>
      <w:r w:rsidRPr="00036B39" w:rsidR="00AB4A28">
        <w:t>MG</w:t>
      </w:r>
      <w:r w:rsidRPr="00036B39">
        <w:t xml:space="preserve"> și </w:t>
      </w:r>
      <w:r w:rsidRPr="00036B39">
        <w:t>subcombinațiile</w:t>
      </w:r>
      <w:r w:rsidRPr="00036B39">
        <w:t xml:space="preserve"> sale nu reprezintă nicio problemă nutrițională pentru oameni și la animale; întrucât avizul nu a abordat mai multe efecte mai ample de natură ambientală, socioeconomice și cumulative, despre care EFSA consideră că sunt în afara sferei sale de competență;</w:t>
      </w:r>
    </w:p>
    <w:p w:rsidR="007A0BE7" w:rsidRPr="00036B39" w:rsidP="00036B39" w14:paraId="0B90B31B" w14:textId="6DDF8C85">
      <w:pPr>
        <w:widowControl/>
        <w:autoSpaceDE w:val="0"/>
        <w:autoSpaceDN w:val="0"/>
        <w:adjustRightInd w:val="0"/>
        <w:spacing w:after="240"/>
        <w:ind w:left="567" w:hanging="567"/>
        <w:rPr>
          <w:rFonts w:eastAsiaTheme="minorHAnsi"/>
          <w:szCs w:val="24"/>
        </w:rPr>
      </w:pPr>
      <w:r w:rsidRPr="00036B39">
        <w:t>D.</w:t>
      </w:r>
      <w:r w:rsidRPr="00036B39">
        <w:tab/>
        <w:t xml:space="preserve">întrucât porumbul </w:t>
      </w:r>
      <w:r w:rsidRPr="00036B39" w:rsidR="00AB4A28">
        <w:t>MG</w:t>
      </w:r>
      <w:r w:rsidRPr="00036B39">
        <w:t xml:space="preserve"> a fost dezvoltat prin încrucișare pentru a combina următoarele trei evenimente unice: DP202216 care exprimă enzima </w:t>
      </w:r>
      <w:r w:rsidRPr="00036B39">
        <w:t>fosfinotricin</w:t>
      </w:r>
      <w:r w:rsidRPr="00036B39">
        <w:t xml:space="preserve"> </w:t>
      </w:r>
      <w:r w:rsidRPr="00036B39">
        <w:t>acetiltransferază</w:t>
      </w:r>
      <w:r w:rsidRPr="00036B39">
        <w:t xml:space="preserve"> (PAT) pentru a conferi toleranță la erbicidele care conțin </w:t>
      </w:r>
      <w:r w:rsidRPr="00036B39">
        <w:t>glufosinat</w:t>
      </w:r>
      <w:r w:rsidRPr="00036B39">
        <w:t xml:space="preserve"> de amoniu și proteina endogenă de porumb cu expresie modificată (EPAE) ZMM28 pentru a oferi potențialul de creștere a randamentului (YE) în condiții de teren; NK603 care exprimă CP4 EPSPS și CP4 EPSPS L214P pentru a conferi toleranță la erbicidele pe bază de </w:t>
      </w:r>
      <w:r w:rsidRPr="00036B39">
        <w:t>glifosat</w:t>
      </w:r>
      <w:r w:rsidRPr="00036B39">
        <w:t xml:space="preserve">; și DAS-40278-9 care exprimă </w:t>
      </w:r>
      <w:r w:rsidRPr="00036B39">
        <w:t>ariloxialcanoat</w:t>
      </w:r>
      <w:r w:rsidRPr="00036B39">
        <w:t xml:space="preserve"> </w:t>
      </w:r>
      <w:r w:rsidRPr="00036B39">
        <w:t>dioxigenază</w:t>
      </w:r>
      <w:r w:rsidRPr="00036B39">
        <w:t xml:space="preserve"> (AAD-1) pentru a conferi toleranță la clasa de erbicide 2,4-D și </w:t>
      </w:r>
      <w:r w:rsidRPr="00036B39">
        <w:t>ariloxifenoxipropionat</w:t>
      </w:r>
      <w:r w:rsidRPr="00036B39">
        <w:t xml:space="preserve"> (AOPP)</w:t>
      </w:r>
      <w:r>
        <w:rPr>
          <w:rStyle w:val="FootnoteReference"/>
          <w:rFonts w:eastAsiaTheme="minorHAnsi"/>
          <w:szCs w:val="24"/>
        </w:rPr>
        <w:footnoteReference w:id="7"/>
      </w:r>
      <w:r w:rsidRPr="00036B39">
        <w:t>;</w:t>
      </w:r>
    </w:p>
    <w:p w:rsidR="007A0BE7" w:rsidRPr="00036B39" w:rsidP="00036B39" w14:paraId="4933D363" w14:textId="77777777">
      <w:pPr>
        <w:spacing w:after="240"/>
        <w:ind w:left="567" w:hanging="567"/>
        <w:rPr>
          <w:rFonts w:eastAsiaTheme="minorHAnsi"/>
          <w:szCs w:val="24"/>
        </w:rPr>
      </w:pPr>
      <w:r w:rsidRPr="00036B39">
        <w:t>E.</w:t>
      </w:r>
      <w:r w:rsidRPr="00036B39">
        <w:tab/>
        <w:t xml:space="preserve">întrucât doar </w:t>
      </w:r>
      <w:r w:rsidRPr="00036B39">
        <w:t>subcombinația</w:t>
      </w:r>
      <w:r w:rsidRPr="00036B39">
        <w:t xml:space="preserve"> NK603 × DAS-40278-9 a fost evaluată anterior de EFSA; întrucât solicitantul nu a prezentat date experimentale pentru </w:t>
      </w:r>
      <w:r w:rsidRPr="00036B39">
        <w:t>subcombinațiile</w:t>
      </w:r>
      <w:r w:rsidRPr="00036B39">
        <w:t xml:space="preserve"> DP202216 x NK603 și DP202216 x DAS-40278-9, care nu au fost evaluate anterior de EFSA; întrucât, în pofida acestui fapt, EFSA a concluzionat că aceste </w:t>
      </w:r>
      <w:r w:rsidRPr="00036B39">
        <w:t>subcombinații</w:t>
      </w:r>
      <w:r w:rsidRPr="00036B39">
        <w:t xml:space="preserve"> nu ar ridica probleme de siguranță;</w:t>
      </w:r>
    </w:p>
    <w:p w:rsidR="007A0BE7" w:rsidRPr="00036B39" w:rsidP="00036B39" w14:paraId="64415D93" w14:textId="77777777">
      <w:pPr>
        <w:spacing w:after="240"/>
        <w:ind w:left="567" w:hanging="567"/>
        <w:rPr>
          <w:rFonts w:eastAsiaTheme="minorHAnsi"/>
          <w:szCs w:val="24"/>
        </w:rPr>
      </w:pPr>
      <w:r w:rsidRPr="00036B39">
        <w:t>F.</w:t>
      </w:r>
      <w:r w:rsidRPr="00036B39">
        <w:tab/>
        <w:t xml:space="preserve">întrucât evaluarea riscurilor efectuată de EFSA nu a inclus studii toxicologice pe termen lung, nici nu a analizat în detaliu efectele cumulative și combinatorii, inclusiv posibilele </w:t>
      </w:r>
      <w:r w:rsidRPr="00036B39">
        <w:t>interacțiuni cu reziduurile de pesticide folosite în mod obișnuit la cultivarea porumbului;</w:t>
      </w:r>
    </w:p>
    <w:p w:rsidR="007A0BE7" w:rsidRPr="00036B39" w:rsidP="00036B39" w14:paraId="3AAFB6D4" w14:textId="77777777">
      <w:pPr>
        <w:spacing w:after="240"/>
        <w:ind w:left="567" w:hanging="567"/>
        <w:rPr>
          <w:rFonts w:eastAsiaTheme="minorHAnsi"/>
          <w:szCs w:val="24"/>
        </w:rPr>
      </w:pPr>
      <w:r w:rsidRPr="00036B39">
        <w:t>G.</w:t>
      </w:r>
      <w:r w:rsidRPr="00036B39">
        <w:tab/>
        <w:t>întrucât marea majoritate a culturilor MG, inclusiv porumbul MG, au fost modificate genetic astfel încât să fie tolerante la unul sau mai multe erbicide „complementare” care să poată fi utilizate pe tot ciclul de cultură al plantei MG, fără ca aceasta să moară, cum s-ar întâmpla cu o plantă intolerantă la erbicide; întrucât, potrivit mai multor studii, culturile MG cu toleranță la erbicide au ca efect o utilizare pe scară mai largă a erbicidelor complementare, în mare parte din cauza apariției unor buruieni tolerante la erbicide;</w:t>
      </w:r>
    </w:p>
    <w:p w:rsidR="007A0BE7" w:rsidRPr="00036B39" w:rsidP="00036B39" w14:paraId="0205C879" w14:textId="341EAF65">
      <w:pPr>
        <w:spacing w:after="240"/>
        <w:ind w:left="567" w:hanging="567"/>
        <w:rPr>
          <w:rFonts w:eastAsiaTheme="minorHAnsi"/>
          <w:szCs w:val="24"/>
        </w:rPr>
      </w:pPr>
      <w:r w:rsidRPr="00036B39">
        <w:t>H.</w:t>
      </w:r>
      <w:r w:rsidRPr="00036B39">
        <w:tab/>
        <w:t>întrucât culturile modificate genetic tolerante la erbicide fac ca fermierii să rămână prinși într-un sistem de gestionare a buruienilor care depinde în mare măsură sau în totalitate de erbicide, creând în același timp o dependență de utilizarea unor erbicide complementare ca parte integrantă a sistemului de producție; întrucât dependența mai mare de erbicidele complementare în fermele care plantează porumb</w:t>
      </w:r>
      <w:r w:rsidRPr="00036B39" w:rsidR="00995C0A">
        <w:t>ul</w:t>
      </w:r>
      <w:r w:rsidRPr="00036B39">
        <w:t xml:space="preserve"> </w:t>
      </w:r>
      <w:r w:rsidRPr="00036B39" w:rsidR="00AB4A28">
        <w:t>MG</w:t>
      </w:r>
      <w:r w:rsidRPr="00036B39">
        <w:t xml:space="preserve"> vor accelera apariția și răspândirea unor buruieni rezistente la erbicidele respective, făcând astfel să crească și mai mult cantitatea de erbicid utilizată, cerc vicios cunoscut sub numele de „spirala erbicidelor”; întrucât, în consecință, efectele dăunătoare ale dependenței excesive de erbicide asupra sănătății solului, calității apei și biodiversității din sol și de deasupra solului se vor agrava și vor amplifica expunerea oamenilor și animalelor, eventual și prin creșterea cantității de reziduuri de erbicide în alimente și furaje;</w:t>
      </w:r>
    </w:p>
    <w:p w:rsidR="007A0BE7" w:rsidRPr="00036B39" w:rsidP="00036B39" w14:paraId="32E87B30" w14:textId="183B90E2">
      <w:pPr>
        <w:autoSpaceDE w:val="0"/>
        <w:autoSpaceDN w:val="0"/>
        <w:adjustRightInd w:val="0"/>
        <w:spacing w:after="240"/>
        <w:ind w:left="567" w:hanging="567"/>
        <w:rPr>
          <w:rFonts w:eastAsiaTheme="minorHAnsi"/>
          <w:szCs w:val="24"/>
        </w:rPr>
      </w:pPr>
      <w:r w:rsidRPr="00036B39">
        <w:t>I.</w:t>
      </w:r>
      <w:r w:rsidRPr="00036B39">
        <w:tab/>
        <w:t>întrucât, potrivit mai multor studii, culturile MG cu toleranță la erbicide au ca efect o utilizare pe scară mai largă a erbicidelor complementare, în mare parte din cauza apariției unor buruieni tolerante la erbicide</w:t>
      </w:r>
      <w:r>
        <w:rPr>
          <w:rFonts w:eastAsiaTheme="minorHAnsi"/>
          <w:vertAlign w:val="superscript"/>
        </w:rPr>
        <w:footnoteReference w:id="8"/>
      </w:r>
      <w:r w:rsidRPr="00036B39">
        <w:t xml:space="preserve">; întrucât, în consecință, este de așteptat ca porumbul </w:t>
      </w:r>
      <w:r w:rsidRPr="00036B39" w:rsidR="00AB4A28">
        <w:t>MG</w:t>
      </w:r>
      <w:r w:rsidRPr="00036B39">
        <w:t xml:space="preserve"> să fie expus la doze mai mari și repetate de erbicide pe bază de </w:t>
      </w:r>
      <w:r w:rsidRPr="00036B39">
        <w:t>glifosat</w:t>
      </w:r>
      <w:r w:rsidRPr="00036B39">
        <w:t xml:space="preserve">, </w:t>
      </w:r>
      <w:r w:rsidRPr="00036B39">
        <w:t>glufosinat</w:t>
      </w:r>
      <w:r w:rsidRPr="00036B39">
        <w:t>, AOPP și 2,4-D ceea ce poate, prin urmare, genera o cantitate mai mare de reziduuri și de produse de degradare ale acestora („metaboliți”) în recoltă;</w:t>
      </w:r>
    </w:p>
    <w:p w:rsidR="007A0BE7" w:rsidRPr="00036B39" w:rsidP="00036B39" w14:paraId="1BCAA0E1" w14:textId="77777777">
      <w:pPr>
        <w:autoSpaceDE w:val="0"/>
        <w:autoSpaceDN w:val="0"/>
        <w:adjustRightInd w:val="0"/>
        <w:spacing w:after="240"/>
        <w:ind w:left="567" w:hanging="567"/>
        <w:rPr>
          <w:rFonts w:eastAsiaTheme="minorHAnsi"/>
          <w:szCs w:val="24"/>
        </w:rPr>
      </w:pPr>
      <w:r w:rsidRPr="00036B39">
        <w:t>J.</w:t>
      </w:r>
      <w:r w:rsidRPr="00036B39">
        <w:tab/>
        <w:t xml:space="preserve">întrucât </w:t>
      </w:r>
      <w:r w:rsidRPr="00036B39">
        <w:t>glufosinatul</w:t>
      </w:r>
      <w:r w:rsidRPr="00036B39">
        <w:t xml:space="preserve"> este clasificat drept toxic pentru reproducere în categoria 1B și îndeplinește astfel criteriile de excludere prevăzute în Regulamentul (CE) nr. 1107/2009 al Parlamentului European și al Consiliului</w:t>
      </w:r>
      <w:r>
        <w:rPr>
          <w:rFonts w:eastAsiaTheme="minorHAnsi"/>
          <w:vertAlign w:val="superscript"/>
        </w:rPr>
        <w:footnoteReference w:id="9"/>
      </w:r>
      <w:r w:rsidRPr="00036B39">
        <w:t xml:space="preserve">; întrucât autorizarea utilizării </w:t>
      </w:r>
      <w:r w:rsidRPr="00036B39">
        <w:t>glufosinatului</w:t>
      </w:r>
      <w:r w:rsidRPr="00036B39">
        <w:t xml:space="preserve"> în Uniune a expirat la 31 iulie 2018</w:t>
      </w:r>
      <w:r>
        <w:rPr>
          <w:rFonts w:eastAsiaTheme="minorHAnsi"/>
          <w:vertAlign w:val="superscript"/>
        </w:rPr>
        <w:footnoteReference w:id="10"/>
      </w:r>
      <w:r w:rsidRPr="00036B39">
        <w:t>;</w:t>
      </w:r>
    </w:p>
    <w:p w:rsidR="007A0BE7" w:rsidRPr="00036B39" w:rsidP="00036B39" w14:paraId="478AAA4F" w14:textId="77777777">
      <w:pPr>
        <w:autoSpaceDE w:val="0"/>
        <w:autoSpaceDN w:val="0"/>
        <w:adjustRightInd w:val="0"/>
        <w:spacing w:after="240"/>
        <w:ind w:left="567" w:hanging="567"/>
        <w:rPr>
          <w:rFonts w:eastAsiaTheme="minorHAnsi"/>
          <w:szCs w:val="24"/>
        </w:rPr>
      </w:pPr>
      <w:r w:rsidRPr="00036B39">
        <w:t>K.</w:t>
      </w:r>
      <w:r w:rsidRPr="00036B39">
        <w:tab/>
        <w:t xml:space="preserve">întrucât persistă incertitudini științifice semnificative în ceea ce privește siguranța </w:t>
      </w:r>
      <w:r w:rsidRPr="00036B39">
        <w:t>glifosatului</w:t>
      </w:r>
      <w:r w:rsidRPr="00036B39">
        <w:t xml:space="preserve"> pentru sănătatea umană și pentru mediu; întrucât, în noiembrie 2015, EFSA a ajuns la concluzia că este puțin probabil ca </w:t>
      </w:r>
      <w:r w:rsidRPr="00036B39">
        <w:t>glifosatul</w:t>
      </w:r>
      <w:r w:rsidRPr="00036B39">
        <w:t xml:space="preserve"> să fie cancerigen, iar Agenția Europeană pentru Produse Chimice a concluzionat în martie 2017 că nu se justifică </w:t>
      </w:r>
      <w:r w:rsidRPr="00036B39">
        <w:t xml:space="preserve">clasificarea acestei substanțe ca atare; întrucât, dimpotrivă, în 2015, Agenția Internațională pentru Cercetare în Domeniul Cancerului, agenția specializată în domeniul cancerului a Organizației Mondiale a Sănătății, a clasificat </w:t>
      </w:r>
      <w:r w:rsidRPr="00036B39">
        <w:t>glifosatul</w:t>
      </w:r>
      <w:r w:rsidRPr="00036B39">
        <w:t xml:space="preserve"> drept substanță probabil cancerigenă pentru oameni; întrucât o serie de alte studii științifice recente, evaluate inter </w:t>
      </w:r>
      <w:r w:rsidRPr="00036B39">
        <w:t>pares</w:t>
      </w:r>
      <w:r w:rsidRPr="00036B39">
        <w:t xml:space="preserve">, confirmă că </w:t>
      </w:r>
      <w:r w:rsidRPr="00036B39">
        <w:t>glifosatul</w:t>
      </w:r>
      <w:r w:rsidRPr="00036B39">
        <w:t xml:space="preserve"> are un potențial cancerigen</w:t>
      </w:r>
      <w:r>
        <w:rPr>
          <w:rFonts w:eastAsiaTheme="minorHAnsi"/>
          <w:vertAlign w:val="superscript"/>
        </w:rPr>
        <w:footnoteReference w:id="11"/>
      </w:r>
      <w:r w:rsidRPr="00036B39">
        <w:t>; întrucât revista „</w:t>
      </w:r>
      <w:r w:rsidRPr="00036B39">
        <w:t>Regulatory</w:t>
      </w:r>
      <w:r w:rsidRPr="00036B39">
        <w:t xml:space="preserve"> </w:t>
      </w:r>
      <w:r w:rsidRPr="00036B39">
        <w:t>Toxicology</w:t>
      </w:r>
      <w:r w:rsidRPr="00036B39">
        <w:t xml:space="preserve"> </w:t>
      </w:r>
      <w:r w:rsidRPr="00036B39">
        <w:t>and</w:t>
      </w:r>
      <w:r w:rsidRPr="00036B39">
        <w:t xml:space="preserve"> </w:t>
      </w:r>
      <w:r w:rsidRPr="00036B39">
        <w:t>Pharmacology</w:t>
      </w:r>
      <w:r w:rsidRPr="00036B39">
        <w:t xml:space="preserve">” a retras în mod oficial documentul științific intitulat </w:t>
      </w:r>
      <w:r w:rsidRPr="00036B39">
        <w:rPr>
          <w:shd w:val="clear" w:color="auto" w:fill="FFFFFF"/>
        </w:rPr>
        <w:t>„</w:t>
      </w:r>
      <w:r w:rsidRPr="00036B39">
        <w:t>Safety</w:t>
      </w:r>
      <w:r w:rsidRPr="00036B39">
        <w:t xml:space="preserve"> </w:t>
      </w:r>
      <w:r w:rsidRPr="00036B39">
        <w:t>Evaluation</w:t>
      </w:r>
      <w:r w:rsidRPr="00036B39">
        <w:t xml:space="preserve"> </w:t>
      </w:r>
      <w:r w:rsidRPr="00036B39">
        <w:t>and</w:t>
      </w:r>
      <w:r w:rsidRPr="00036B39">
        <w:t xml:space="preserve"> </w:t>
      </w:r>
      <w:r w:rsidRPr="00036B39">
        <w:t>Risk</w:t>
      </w:r>
      <w:r w:rsidRPr="00036B39">
        <w:t xml:space="preserve"> </w:t>
      </w:r>
      <w:r w:rsidRPr="00036B39">
        <w:t>Assessment</w:t>
      </w:r>
      <w:r w:rsidRPr="00036B39">
        <w:t xml:space="preserve"> of </w:t>
      </w:r>
      <w:r w:rsidRPr="00036B39">
        <w:t>the</w:t>
      </w:r>
      <w:r w:rsidRPr="00036B39">
        <w:t xml:space="preserve"> </w:t>
      </w:r>
      <w:r w:rsidRPr="00036B39">
        <w:t>Herbicide</w:t>
      </w:r>
      <w:r w:rsidRPr="00036B39">
        <w:t xml:space="preserve"> </w:t>
      </w:r>
      <w:r w:rsidRPr="00036B39">
        <w:t>Roundup</w:t>
      </w:r>
      <w:r w:rsidRPr="00036B39">
        <w:t xml:space="preserve"> </w:t>
      </w:r>
      <w:r w:rsidRPr="00036B39">
        <w:t>and</w:t>
      </w:r>
      <w:r w:rsidRPr="00036B39">
        <w:t xml:space="preserve"> </w:t>
      </w:r>
      <w:r w:rsidRPr="00036B39">
        <w:t>Its</w:t>
      </w:r>
      <w:r w:rsidRPr="00036B39">
        <w:t xml:space="preserve"> Active Ingredient, </w:t>
      </w:r>
      <w:r w:rsidRPr="00036B39">
        <w:t>Glyphosate</w:t>
      </w:r>
      <w:r w:rsidRPr="00036B39">
        <w:t xml:space="preserve">, for </w:t>
      </w:r>
      <w:r w:rsidRPr="00036B39">
        <w:t>Humans</w:t>
      </w:r>
      <w:r w:rsidRPr="00036B39">
        <w:rPr>
          <w:shd w:val="clear" w:color="auto" w:fill="FFFFFF"/>
        </w:rPr>
        <w:t>”</w:t>
      </w:r>
      <w:r w:rsidRPr="00036B39">
        <w:t xml:space="preserve"> (Evaluarea siguranței și a riscurilor pentru oameni în ceea ce privește erbicidul </w:t>
      </w:r>
      <w:r w:rsidRPr="00036B39">
        <w:t>Roundup</w:t>
      </w:r>
      <w:r w:rsidRPr="00036B39">
        <w:t xml:space="preserve"> și ingredientul său activ, </w:t>
      </w:r>
      <w:r w:rsidRPr="00036B39">
        <w:t>glifosatul</w:t>
      </w:r>
      <w:r w:rsidRPr="00036B39">
        <w:t xml:space="preserve">), publicat în 2000, care a fost utilizat pentru a susține, în multe evaluări ale riscurilor, că </w:t>
      </w:r>
      <w:r w:rsidRPr="00036B39">
        <w:t>glifosatul</w:t>
      </w:r>
      <w:r w:rsidRPr="00036B39">
        <w:t xml:space="preserve"> poate fi utilizat în condiții de siguranță, deoarece </w:t>
      </w:r>
      <w:r w:rsidRPr="00036B39">
        <w:rPr>
          <w:shd w:val="clear" w:color="auto" w:fill="FFFFFF"/>
        </w:rPr>
        <w:t>„</w:t>
      </w:r>
      <w:r w:rsidRPr="00036B39">
        <w:t>au fost exprimate preocupări cu privire la calitatea de autor, la validitatea rezultatelor cercetării în contextul prezentării eronate a contribuțiilor de către autori și sponsorul studiului și la potențialele conflicte de interese ale autorilor”</w:t>
      </w:r>
      <w:r>
        <w:rPr>
          <w:rStyle w:val="FootnoteReference"/>
        </w:rPr>
        <w:footnoteReference w:id="12"/>
      </w:r>
      <w:r w:rsidRPr="00036B39">
        <w:t>;</w:t>
      </w:r>
    </w:p>
    <w:p w:rsidR="007A0BE7" w:rsidRPr="00036B39" w:rsidP="00036B39" w14:paraId="2DB478FC" w14:textId="77777777">
      <w:pPr>
        <w:autoSpaceDE w:val="0"/>
        <w:autoSpaceDN w:val="0"/>
        <w:adjustRightInd w:val="0"/>
        <w:spacing w:after="240"/>
        <w:ind w:left="567" w:hanging="567"/>
        <w:rPr>
          <w:rFonts w:eastAsiaTheme="minorHAnsi"/>
          <w:szCs w:val="24"/>
        </w:rPr>
      </w:pPr>
      <w:r w:rsidRPr="00036B39">
        <w:t>L.</w:t>
      </w:r>
      <w:r w:rsidRPr="00036B39">
        <w:tab/>
        <w:t xml:space="preserve">întrucât un articol recent, evaluat inter </w:t>
      </w:r>
      <w:r w:rsidRPr="00036B39">
        <w:t>pares</w:t>
      </w:r>
      <w:r w:rsidRPr="00036B39">
        <w:t>, al unui expert implicat în dezvoltarea de plante modificate genetic pune sub semnul întrebării siguranța culturilor modificate genetic tolerante la 2,4-D din cauza degradării sale în produse de degradare citotoxice</w:t>
      </w:r>
      <w:r>
        <w:rPr>
          <w:rFonts w:eastAsiaTheme="minorHAnsi"/>
          <w:vertAlign w:val="superscript"/>
        </w:rPr>
        <w:footnoteReference w:id="13"/>
      </w:r>
      <w:r w:rsidRPr="00036B39">
        <w:t>;</w:t>
      </w:r>
    </w:p>
    <w:p w:rsidR="007A0BE7" w:rsidRPr="00036B39" w:rsidP="00036B39" w14:paraId="7F921EAE" w14:textId="77777777">
      <w:pPr>
        <w:autoSpaceDE w:val="0"/>
        <w:autoSpaceDN w:val="0"/>
        <w:adjustRightInd w:val="0"/>
        <w:spacing w:after="240"/>
        <w:ind w:left="567" w:hanging="567"/>
        <w:rPr>
          <w:rFonts w:eastAsiaTheme="minorHAnsi"/>
          <w:szCs w:val="24"/>
        </w:rPr>
      </w:pPr>
      <w:r w:rsidRPr="00036B39">
        <w:t>M.</w:t>
      </w:r>
      <w:r w:rsidRPr="00036B39">
        <w:tab/>
        <w:t>întrucât se consideră că evaluarea reziduurilor de erbicide și a metaboliților acestora prezenți în plantele modificate genetic nu face parte din domeniul de competență al Grupului EFSA pentru organisme modificate genetic și, prin urmare, nu este efectuată în cadrul procesului de autorizare a organismelor modificate genetic; întrucât acest lucru este problematic, deoarece modul în care erbicidele complementare sunt descompuse de planta modificată genetic în cauză, dar și compoziția și, prin urmare, toxicitatea metaboliților, pot fi afectate de însăși modificarea genetică</w:t>
      </w:r>
      <w:r>
        <w:rPr>
          <w:rFonts w:eastAsiaTheme="minorHAnsi"/>
          <w:vertAlign w:val="superscript"/>
        </w:rPr>
        <w:footnoteReference w:id="14"/>
      </w:r>
      <w:r w:rsidRPr="00036B39">
        <w:t>;</w:t>
      </w:r>
    </w:p>
    <w:p w:rsidR="007A0BE7" w:rsidRPr="00036B39" w:rsidP="00036B39" w14:paraId="23AFEFD3" w14:textId="77777777">
      <w:pPr>
        <w:autoSpaceDE w:val="0"/>
        <w:autoSpaceDN w:val="0"/>
        <w:adjustRightInd w:val="0"/>
        <w:spacing w:after="240"/>
        <w:ind w:left="567" w:hanging="567"/>
        <w:rPr>
          <w:rFonts w:eastAsiaTheme="minorHAnsi"/>
          <w:szCs w:val="24"/>
        </w:rPr>
      </w:pPr>
      <w:r w:rsidRPr="00036B39">
        <w:t>N.</w:t>
      </w:r>
      <w:r w:rsidRPr="00036B39">
        <w:tab/>
        <w:t>întrucât Regulamentul (CE) nr. 1829/2003 prevede că produsele alimentare sau furajele modificate genetic nu trebuie să aibă efecte adverse asupra sănătății umane, a sănătății animale sau a mediului și că, atunci când își redactează decizia, Comisia trebuie să țină seama de toate dispozițiile pertinente din dreptul Uniunii și de alți factori legitimi relevanți pentru subiectul în cauză; întrucât acești factori legitimi ar trebui să includă obligațiile Uniunii în temeiul obiectivelor de dezvoltare durabilă („ODD”) ale ONU, al Acordului de la Paris privind schimbările climatice</w:t>
      </w:r>
      <w:r>
        <w:rPr>
          <w:rStyle w:val="FootnoteReference"/>
          <w:rFonts w:eastAsiaTheme="minorHAnsi"/>
          <w:szCs w:val="24"/>
        </w:rPr>
        <w:footnoteReference w:id="15"/>
      </w:r>
      <w:r w:rsidRPr="00036B39">
        <w:t xml:space="preserve"> și al Convenției ONU privind diversitatea biologică</w:t>
      </w:r>
      <w:r>
        <w:rPr>
          <w:rStyle w:val="FootnoteReference"/>
          <w:rFonts w:eastAsiaTheme="minorHAnsi"/>
          <w:szCs w:val="24"/>
        </w:rPr>
        <w:footnoteReference w:id="16"/>
      </w:r>
      <w:r w:rsidRPr="00036B39">
        <w:t xml:space="preserve"> („CBD a ONU”);</w:t>
      </w:r>
    </w:p>
    <w:p w:rsidR="007A0BE7" w:rsidRPr="00036B39" w:rsidP="00036B39" w14:paraId="2F9039CF" w14:textId="77777777">
      <w:pPr>
        <w:autoSpaceDE w:val="0"/>
        <w:autoSpaceDN w:val="0"/>
        <w:adjustRightInd w:val="0"/>
        <w:spacing w:after="240"/>
        <w:ind w:left="567" w:hanging="567"/>
        <w:rPr>
          <w:rFonts w:eastAsiaTheme="minorHAnsi"/>
          <w:szCs w:val="24"/>
        </w:rPr>
      </w:pPr>
      <w:r w:rsidRPr="00036B39">
        <w:t>O.</w:t>
      </w:r>
      <w:r w:rsidRPr="00036B39">
        <w:tab/>
        <w:t xml:space="preserve">întrucât monitorizarea și supravegherea independentă a potențialelor efecte adverse asupra biodiversității, sănătății solului, polenizatorilor și organismelor nevizate rămân </w:t>
      </w:r>
      <w:r w:rsidRPr="00036B39">
        <w:t>insuficient garantate;</w:t>
      </w:r>
    </w:p>
    <w:p w:rsidR="007A0BE7" w:rsidRPr="00036B39" w:rsidP="00036B39" w14:paraId="4B0690F7" w14:textId="77777777">
      <w:pPr>
        <w:autoSpaceDE w:val="0"/>
        <w:autoSpaceDN w:val="0"/>
        <w:adjustRightInd w:val="0"/>
        <w:spacing w:after="240"/>
        <w:ind w:left="567" w:hanging="567"/>
        <w:rPr>
          <w:rFonts w:eastAsiaTheme="minorHAnsi"/>
          <w:szCs w:val="24"/>
        </w:rPr>
      </w:pPr>
      <w:r w:rsidRPr="00036B39">
        <w:t>P.</w:t>
      </w:r>
      <w:r w:rsidRPr="00036B39">
        <w:tab/>
        <w:t>întrucât principiul precauției, consacrat la articolul 191 din Tratatul privind funcționarea Uniunii Europene, ar trebui să se aplice în cazurile de incertitudine științifică;</w:t>
      </w:r>
    </w:p>
    <w:p w:rsidR="007A0BE7" w:rsidRPr="00036B39" w:rsidP="00036B39" w14:paraId="55F43A9B" w14:textId="77777777">
      <w:pPr>
        <w:autoSpaceDE w:val="0"/>
        <w:autoSpaceDN w:val="0"/>
        <w:adjustRightInd w:val="0"/>
        <w:spacing w:after="240"/>
        <w:ind w:left="567" w:hanging="567"/>
        <w:rPr>
          <w:rFonts w:eastAsiaTheme="minorHAnsi"/>
          <w:szCs w:val="24"/>
        </w:rPr>
      </w:pPr>
      <w:r w:rsidRPr="00036B39">
        <w:t>Q.</w:t>
      </w:r>
      <w:r w:rsidRPr="00036B39">
        <w:tab/>
        <w:t>întrucât Uniunea, în calitate de parte contractantă la CBD a ONU și în conformitate cu articolul 3 din aceasta, are responsabilitatea de a se asigura că activitățile aflate sub jurisdicția sau controlul său nu provoacă daune mediului din alte state;</w:t>
      </w:r>
    </w:p>
    <w:p w:rsidR="007A0BE7" w:rsidRPr="00036B39" w:rsidP="00036B39" w14:paraId="15793536" w14:textId="77777777">
      <w:pPr>
        <w:autoSpaceDE w:val="0"/>
        <w:autoSpaceDN w:val="0"/>
        <w:adjustRightInd w:val="0"/>
        <w:spacing w:after="240"/>
        <w:ind w:left="567" w:hanging="567"/>
        <w:rPr>
          <w:rFonts w:eastAsiaTheme="minorHAnsi"/>
          <w:szCs w:val="24"/>
        </w:rPr>
      </w:pPr>
      <w:r w:rsidRPr="00036B39">
        <w:t>R.</w:t>
      </w:r>
      <w:r w:rsidRPr="00036B39">
        <w:tab/>
        <w:t>întrucât eventuala decizie a Uniunii de a reînnoi autorizația pentru porumbul MG nu ar fi în concordanță cu angajamentele internaționale privind reducerea pesticidelor</w:t>
      </w:r>
      <w:r>
        <w:rPr>
          <w:rFonts w:eastAsiaTheme="minorHAnsi"/>
          <w:vertAlign w:val="superscript"/>
        </w:rPr>
        <w:footnoteReference w:id="17"/>
      </w:r>
      <w:r w:rsidRPr="00036B39">
        <w:t xml:space="preserve">, având în vedere că în țările care cultivă această plantă MG tolerantă la erbicide oamenii, animalele și mediul sunt mai expuși la </w:t>
      </w:r>
      <w:r w:rsidRPr="00036B39">
        <w:t>glifosat</w:t>
      </w:r>
      <w:r w:rsidRPr="00036B39">
        <w:t xml:space="preserve"> și </w:t>
      </w:r>
      <w:r w:rsidRPr="00036B39">
        <w:t>glufosinat</w:t>
      </w:r>
      <w:r w:rsidRPr="00036B39">
        <w:t>, expunere asociată cu efecte potențial grave asupra sănătății;</w:t>
      </w:r>
    </w:p>
    <w:p w:rsidR="007A0BE7" w:rsidRPr="00036B39" w:rsidP="00036B39" w14:paraId="65FB177B" w14:textId="54FB18B0">
      <w:pPr>
        <w:autoSpaceDE w:val="0"/>
        <w:autoSpaceDN w:val="0"/>
        <w:adjustRightInd w:val="0"/>
        <w:spacing w:after="240"/>
        <w:ind w:left="567" w:hanging="567"/>
        <w:rPr>
          <w:rFonts w:eastAsiaTheme="minorHAnsi"/>
          <w:szCs w:val="24"/>
        </w:rPr>
      </w:pPr>
      <w:r w:rsidRPr="00036B39">
        <w:t>S.</w:t>
      </w:r>
      <w:r w:rsidRPr="00036B39">
        <w:tab/>
        <w:t>întrucât cultivarea porumb</w:t>
      </w:r>
      <w:r w:rsidRPr="00036B39" w:rsidR="00995C0A">
        <w:t>ului</w:t>
      </w:r>
      <w:r w:rsidRPr="00036B39">
        <w:t xml:space="preserve"> </w:t>
      </w:r>
      <w:r w:rsidRPr="00036B39" w:rsidR="00480FBA">
        <w:t>MG</w:t>
      </w:r>
      <w:r w:rsidRPr="00036B39">
        <w:t xml:space="preserve"> nu este permisă în Uniune;</w:t>
      </w:r>
    </w:p>
    <w:p w:rsidR="007A0BE7" w:rsidRPr="00036B39" w:rsidP="00036B39" w14:paraId="6CC0B2BB" w14:textId="0B38142E">
      <w:pPr>
        <w:autoSpaceDE w:val="0"/>
        <w:autoSpaceDN w:val="0"/>
        <w:adjustRightInd w:val="0"/>
        <w:spacing w:after="240"/>
        <w:ind w:left="567" w:hanging="567"/>
        <w:rPr>
          <w:rFonts w:eastAsiaTheme="minorHAnsi"/>
          <w:szCs w:val="24"/>
        </w:rPr>
      </w:pPr>
      <w:r w:rsidRPr="00036B39">
        <w:t>T.</w:t>
      </w:r>
      <w:r w:rsidRPr="00036B39">
        <w:tab/>
        <w:t xml:space="preserve">întrucât </w:t>
      </w:r>
      <w:r w:rsidRPr="00036B39" w:rsidR="00EE6823">
        <w:t>D</w:t>
      </w:r>
      <w:r w:rsidRPr="00036B39">
        <w:t>ecizi</w:t>
      </w:r>
      <w:r w:rsidRPr="00036B39" w:rsidR="00EE6823">
        <w:t>a</w:t>
      </w:r>
      <w:r w:rsidRPr="00036B39">
        <w:t xml:space="preserve"> de punere în aplicare </w:t>
      </w:r>
      <w:r w:rsidRPr="00036B39" w:rsidR="00EE6823">
        <w:t xml:space="preserve">(UE) 2026/1443 </w:t>
      </w:r>
      <w:r w:rsidRPr="00036B39">
        <w:t>a Comisiei</w:t>
      </w:r>
      <w:r w:rsidRPr="00036B39" w:rsidR="00EE6823">
        <w:t xml:space="preserve"> </w:t>
      </w:r>
      <w:r w:rsidRPr="00036B39">
        <w:t>ar permite importuri în Uniune care nu respectă standardele aplicate de fermierii din Uniune, punându-i astfel într-o situație de dezavantaj concurențial;</w:t>
      </w:r>
    </w:p>
    <w:p w:rsidR="007A0BE7" w:rsidRPr="00036B39" w:rsidP="00036B39" w14:paraId="3795A319" w14:textId="77777777">
      <w:pPr>
        <w:autoSpaceDE w:val="0"/>
        <w:autoSpaceDN w:val="0"/>
        <w:adjustRightInd w:val="0"/>
        <w:spacing w:after="240"/>
        <w:ind w:left="567" w:hanging="567"/>
        <w:rPr>
          <w:rFonts w:eastAsiaTheme="minorHAnsi"/>
          <w:szCs w:val="24"/>
        </w:rPr>
      </w:pPr>
      <w:r w:rsidRPr="00036B39">
        <w:t>U.</w:t>
      </w:r>
      <w:r w:rsidRPr="00036B39">
        <w:tab/>
        <w:t>întrucât, în concluziile dialogului strategic privind viitorul agriculturii UE</w:t>
      </w:r>
      <w:r>
        <w:rPr>
          <w:rFonts w:eastAsiaTheme="minorHAnsi"/>
          <w:vertAlign w:val="superscript"/>
        </w:rPr>
        <w:footnoteReference w:id="18"/>
      </w:r>
      <w:r w:rsidRPr="00036B39">
        <w:t>, Comisia este invitată să își reevalueze abordarea privind accesul pe piață pentru importurile și exporturile agroalimentare, dată fiind problema standardelor divergente ale Uniunii și ale partenerilor săi comerciali; întrucât, în timpul demonstrațiilor din 2023, 2024 și 2025, una dintre principalele revendicări ale fermierilor a fost să se instaureze relații comerciale mai echitabile, la nivel mondial, în concordanță cu obiectivele pentru un mediu sănătos;</w:t>
      </w:r>
    </w:p>
    <w:p w:rsidR="007A0BE7" w:rsidRPr="00036B39" w:rsidP="00036B39" w14:paraId="029ED6F8" w14:textId="77777777">
      <w:pPr>
        <w:autoSpaceDE w:val="0"/>
        <w:autoSpaceDN w:val="0"/>
        <w:adjustRightInd w:val="0"/>
        <w:spacing w:after="360"/>
        <w:ind w:left="567" w:hanging="567"/>
        <w:rPr>
          <w:rFonts w:eastAsiaTheme="minorHAnsi"/>
          <w:szCs w:val="24"/>
        </w:rPr>
      </w:pPr>
      <w:r w:rsidRPr="00036B39">
        <w:t>V.</w:t>
      </w:r>
      <w:r w:rsidRPr="00036B39">
        <w:tab/>
        <w:t xml:space="preserve">întrucât Parlamentul a subliniat în mod repetat că Comisia nu ar trebui să autorizeze OMG-urile în cazurile în care nu se ajunge la o majoritate calificată a statelor membre în Comitetul permanent pentru plante, animale, produse alimentare și hrană pentru animale sau în comitetul de apel, astfel încât să se rezolve veșnica problemă a deficitului democratic; </w:t>
      </w:r>
    </w:p>
    <w:p w:rsidR="007A0BE7" w:rsidRPr="00036B39" w:rsidP="00036B39" w14:paraId="22A99640" w14:textId="77777777">
      <w:pPr>
        <w:autoSpaceDE w:val="0"/>
        <w:autoSpaceDN w:val="0"/>
        <w:adjustRightInd w:val="0"/>
        <w:spacing w:after="360"/>
        <w:ind w:left="567" w:hanging="567"/>
        <w:rPr>
          <w:rFonts w:eastAsiaTheme="minorHAnsi"/>
          <w:szCs w:val="24"/>
        </w:rPr>
      </w:pPr>
      <w:r w:rsidRPr="00036B39">
        <w:t>W.</w:t>
      </w:r>
      <w:r w:rsidRPr="00036B39">
        <w:tab/>
        <w:t>întrucât, deși ea însăși recunoaște că procesul democratic lasă de dorit, că nu există suficientă susținere din partea statelor membre și că Parlamentul ridică obiecții, Comisia continuă să autorizeze OMG-uri;</w:t>
      </w:r>
    </w:p>
    <w:p w:rsidR="007A0BE7" w:rsidRPr="00036B39" w:rsidP="00036B39" w14:paraId="5EF5EAE5" w14:textId="77777777">
      <w:pPr>
        <w:autoSpaceDE w:val="0"/>
        <w:autoSpaceDN w:val="0"/>
        <w:adjustRightInd w:val="0"/>
        <w:spacing w:after="360"/>
        <w:ind w:left="567" w:hanging="567"/>
      </w:pPr>
      <w:r w:rsidRPr="00036B39">
        <w:t>X.</w:t>
      </w:r>
      <w:r w:rsidRPr="00036B39">
        <w:tab/>
        <w:t>întrucât abordarea de tip „O singură sănătate” presupune a lua în calcul interdependența dintre sănătatea umană, animală, a plantelor și a mediului atunci când se evaluează sustenabilitatea și siguranța pe termen lung a OMG-urilor,</w:t>
      </w:r>
    </w:p>
    <w:p w:rsidR="007A0BE7" w:rsidRPr="00036B39" w:rsidP="00036B39" w14:paraId="1B413546" w14:textId="08AB83BC">
      <w:pPr>
        <w:pStyle w:val="NormalHanging12a"/>
      </w:pPr>
      <w:r w:rsidRPr="00036B39">
        <w:t>1.</w:t>
      </w:r>
      <w:r w:rsidRPr="00036B39">
        <w:tab/>
        <w:t xml:space="preserve">consideră că </w:t>
      </w:r>
      <w:r w:rsidRPr="00036B39" w:rsidR="00EE6823">
        <w:t>D</w:t>
      </w:r>
      <w:r w:rsidRPr="00036B39">
        <w:t>ecizi</w:t>
      </w:r>
      <w:r w:rsidRPr="00036B39" w:rsidR="00EE6823">
        <w:t>a</w:t>
      </w:r>
      <w:r w:rsidRPr="00036B39">
        <w:t xml:space="preserve"> de punere în aplicare </w:t>
      </w:r>
      <w:r w:rsidRPr="00036B39" w:rsidR="00EE6823">
        <w:t xml:space="preserve">(UE) 2026/1443 </w:t>
      </w:r>
      <w:r w:rsidRPr="00036B39">
        <w:t xml:space="preserve">a Comisiei depășește </w:t>
      </w:r>
      <w:r w:rsidRPr="00036B39">
        <w:t xml:space="preserve">competențele de </w:t>
      </w:r>
      <w:r w:rsidRPr="00036B39" w:rsidR="00C6408B">
        <w:t>executare</w:t>
      </w:r>
      <w:r w:rsidRPr="00036B39">
        <w:t xml:space="preserve"> prevăzute în Regulamentul (CE) nr. 1829/2003;</w:t>
      </w:r>
    </w:p>
    <w:p w:rsidR="007A0BE7" w:rsidRPr="00036B39" w:rsidP="00036B39" w14:paraId="2FA58F5B" w14:textId="34142BE6">
      <w:pPr>
        <w:pStyle w:val="NormalHanging12a"/>
      </w:pPr>
      <w:r w:rsidRPr="00036B39">
        <w:t>2.</w:t>
      </w:r>
      <w:r w:rsidRPr="00036B39">
        <w:tab/>
        <w:t xml:space="preserve">consideră că </w:t>
      </w:r>
      <w:r w:rsidRPr="00036B39" w:rsidR="00EE6823">
        <w:t>D</w:t>
      </w:r>
      <w:r w:rsidRPr="00036B39">
        <w:t>ecizi</w:t>
      </w:r>
      <w:r w:rsidRPr="00036B39" w:rsidR="00EE6823">
        <w:t>a</w:t>
      </w:r>
      <w:r w:rsidRPr="00036B39">
        <w:t xml:space="preserve"> de punere în aplicare </w:t>
      </w:r>
      <w:r w:rsidRPr="00036B39" w:rsidR="00EE6823">
        <w:t xml:space="preserve">(UE) 2026/1443 </w:t>
      </w:r>
      <w:r w:rsidRPr="00036B39">
        <w:t>a Comisiei nu este conform</w:t>
      </w:r>
      <w:r w:rsidRPr="00036B39" w:rsidR="00EE6823">
        <w:t>ă</w:t>
      </w:r>
      <w:r w:rsidRPr="00036B39">
        <w:t xml:space="preserve"> cu dreptul Uniunii, întrucât nu este compatibil</w:t>
      </w:r>
      <w:r w:rsidRPr="00036B39" w:rsidR="00C6408B">
        <w:t>ă</w:t>
      </w:r>
      <w:r w:rsidRPr="00036B39">
        <w:t xml:space="preserve"> cu obiectivul Regulamentului (CE) nr. 1829/2003, care, în conformitate cu principiile generale prevăzute de Regulamentul (CE) nr. 178/2002 al Parlamentului European și al Consiliului</w:t>
      </w:r>
      <w:r>
        <w:rPr>
          <w:vertAlign w:val="superscript"/>
        </w:rPr>
        <w:footnoteReference w:id="19"/>
      </w:r>
      <w:r w:rsidRPr="00036B39">
        <w:t>, este de a furniza baza pentru asigurarea unui nivel ridicat de protecție a vieții și sănătății umane, a sănătății și bunăstării animalelor, a mediului și a intereselor consumatorilor în raport cu produsele alimentare și furajele modificate genetic, asigurând totodată funcționarea eficace a pieței interne;</w:t>
      </w:r>
    </w:p>
    <w:p w:rsidR="007A0BE7" w:rsidRPr="00036B39" w:rsidP="00036B39" w14:paraId="7D795020" w14:textId="04E4DE1D">
      <w:pPr>
        <w:pStyle w:val="NormalHanging12a"/>
      </w:pPr>
      <w:r w:rsidRPr="00036B39">
        <w:t>3.</w:t>
      </w:r>
      <w:r w:rsidRPr="00036B39">
        <w:tab/>
        <w:t>solicită Comisiei să</w:t>
      </w:r>
      <w:r w:rsidRPr="00036B39" w:rsidR="00EE6823">
        <w:t xml:space="preserve"> abroge</w:t>
      </w:r>
      <w:r w:rsidRPr="00036B39">
        <w:t xml:space="preserve"> </w:t>
      </w:r>
      <w:r w:rsidRPr="00036B39" w:rsidR="00EE6823">
        <w:t xml:space="preserve">Decizia </w:t>
      </w:r>
      <w:r w:rsidRPr="00036B39">
        <w:t>de punere în aplicare</w:t>
      </w:r>
      <w:r w:rsidRPr="00036B39" w:rsidR="00EE6823">
        <w:t xml:space="preserve"> (UE) 2026/1443 a Comisiei</w:t>
      </w:r>
      <w:r w:rsidRPr="00036B39">
        <w:t>;</w:t>
      </w:r>
    </w:p>
    <w:p w:rsidR="007A0BE7" w:rsidRPr="00036B39" w:rsidP="00036B39" w14:paraId="3203D310" w14:textId="77777777">
      <w:pPr>
        <w:pStyle w:val="NormalHanging12a"/>
      </w:pPr>
      <w:r w:rsidRPr="00036B39">
        <w:t>4.</w:t>
      </w:r>
      <w:r w:rsidRPr="00036B39">
        <w:tab/>
        <w:t>invită Comisia să nu autorizeze importul de culturi modificate genetic tolerante la erbicide, din cauza utilizării sporite asociate a erbicidelor complementare și, prin urmare, din cauza riscurilor crescute pentru biodiversitate, siguranța alimentară și sănătatea lucrătorilor;</w:t>
      </w:r>
    </w:p>
    <w:p w:rsidR="007A0BE7" w:rsidRPr="00036B39" w:rsidP="00036B39" w14:paraId="57C4D4F8" w14:textId="77777777">
      <w:pPr>
        <w:pStyle w:val="NormalHanging12a"/>
      </w:pPr>
      <w:r w:rsidRPr="00036B39">
        <w:t>5.</w:t>
      </w:r>
      <w:r w:rsidRPr="00036B39">
        <w:tab/>
        <w:t>salută faptul că Comisia a recunoscut, în scrisoarea din 11 septembrie 2020 adresată deputaților, că trebuie să se țină seama de sustenabilitate în deciziile de autorizare a OMG-urilor</w:t>
      </w:r>
      <w:r>
        <w:rPr>
          <w:vertAlign w:val="superscript"/>
        </w:rPr>
        <w:footnoteReference w:id="20"/>
      </w:r>
      <w:r w:rsidRPr="00036B39">
        <w:t>; își exprimă totuși dezamăgirea profundă față de faptul că de atunci Comisia a continuat să autorizeze importul de OMG-uri în Uniune, în pofida obiecțiilor continue formulate de Parlament și a faptului că majoritatea statelor membre au votat împotrivă;</w:t>
      </w:r>
    </w:p>
    <w:p w:rsidR="007A0BE7" w:rsidRPr="00036B39" w:rsidP="00036B39" w14:paraId="352B04DD" w14:textId="77777777">
      <w:pPr>
        <w:pStyle w:val="NormalHanging12a"/>
      </w:pPr>
      <w:r w:rsidRPr="00036B39">
        <w:t>6.</w:t>
      </w:r>
      <w:r w:rsidRPr="00036B39">
        <w:tab/>
        <w:t>îndeamnă din nou Comisia să țină seama de obligațiile Uniunii în temeiul acordurilor internaționale, precum Acordul de la Paris privind schimbările climatice, CBD a ONU și ODD ale ONU; solicită din nou ca proiectele de acte de punere în aplicare să fie însoțite de o expunere de motive în care să se explice modul în care acestea respectă principiul de „a nu aduce prejudicii”</w:t>
      </w:r>
      <w:r>
        <w:rPr>
          <w:vertAlign w:val="superscript"/>
        </w:rPr>
        <w:footnoteReference w:id="21"/>
      </w:r>
      <w:r w:rsidRPr="00036B39">
        <w:t>;</w:t>
      </w:r>
    </w:p>
    <w:p w:rsidR="007A0BE7" w:rsidRPr="00036B39" w:rsidP="00036B39" w14:paraId="4E6652CC" w14:textId="77777777">
      <w:pPr>
        <w:pStyle w:val="NormalHanging12a"/>
      </w:pPr>
      <w:r w:rsidRPr="00036B39">
        <w:t>7.</w:t>
      </w:r>
      <w:r w:rsidRPr="00036B39">
        <w:tab/>
        <w:t>evidențiază că amendamentele adoptate de Parlamentul European la 17 decembrie 2020 cu privire la propunerea de regulament al Parlamentului European și al Consiliului de modificare a Regulamentului (UE) nr. 182/2011</w:t>
      </w:r>
      <w:r>
        <w:rPr>
          <w:vertAlign w:val="superscript"/>
        </w:rPr>
        <w:footnoteReference w:id="22"/>
      </w:r>
      <w:r w:rsidRPr="00036B39">
        <w:t>, care au fost adoptate în Parlament ca bază pentru negocierile cu Consiliul, stipulează că Comisia nu autorizează OMG-uri care nu sunt susținute de o majoritate calificată a statelor membre; insistă pe lângă Comisie să respecte această poziție și invită Consiliul să depună în continuare eforturi și să adopte de urgență o abordare generală față de acest dosar;</w:t>
      </w:r>
    </w:p>
    <w:p w:rsidR="00E365E1" w:rsidRPr="00036B39" w:rsidP="00C979E8" w14:paraId="47504C0D" w14:textId="11BD952F">
      <w:pPr>
        <w:pStyle w:val="NormalHanging12a"/>
      </w:pPr>
      <w:r w:rsidRPr="00036B39">
        <w:t>8.</w:t>
      </w:r>
      <w:r w:rsidRPr="00036B39">
        <w:tab/>
        <w:t>încredințează Președintei sarcina de a transmite prezenta rezoluție Consiliului și Comisiei, precum și guvernelor și parlamentelor statelor membre.</w:t>
      </w:r>
    </w:p>
    <w:sectPr w:rsidSect="0093702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029" w14:paraId="4AA4A85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029" w14:paraId="64FF234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029" w14:paraId="42BC9D5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D37ED" w:rsidRPr="00937029" w14:paraId="4F993812" w14:textId="77777777">
      <w:r w:rsidRPr="00937029">
        <w:separator/>
      </w:r>
    </w:p>
  </w:footnote>
  <w:footnote w:type="continuationSeparator" w:id="1">
    <w:p w:rsidR="00BD37ED" w:rsidRPr="00937029" w14:paraId="2727ECA4" w14:textId="77777777">
      <w:r w:rsidRPr="00937029">
        <w:continuationSeparator/>
      </w:r>
    </w:p>
  </w:footnote>
  <w:footnote w:id="2">
    <w:p w:rsidR="00EA622D" w:rsidRPr="00507E69" w:rsidP="00EA622D" w14:paraId="647682CE" w14:textId="7878C7E2">
      <w:pPr>
        <w:pStyle w:val="FootnoteText"/>
        <w:ind w:left="567" w:hanging="567"/>
        <w:rPr>
          <w:sz w:val="24"/>
          <w:szCs w:val="24"/>
          <w:lang w:val="fi-FI"/>
        </w:rPr>
      </w:pPr>
      <w:r w:rsidRPr="00036B39">
        <w:rPr>
          <w:rStyle w:val="FootnoteReference"/>
          <w:sz w:val="24"/>
          <w:szCs w:val="24"/>
        </w:rPr>
        <w:footnoteRef/>
      </w:r>
      <w:r w:rsidRPr="00036B39">
        <w:rPr>
          <w:sz w:val="24"/>
          <w:szCs w:val="24"/>
          <w:lang w:val="fi-FI"/>
        </w:rPr>
        <w:t xml:space="preserve"> </w:t>
      </w:r>
      <w:r w:rsidRPr="00036B39">
        <w:rPr>
          <w:sz w:val="24"/>
          <w:szCs w:val="24"/>
          <w:lang w:val="fi-FI"/>
        </w:rPr>
        <w:tab/>
        <w:t xml:space="preserve">JO L, 2026/1443, 3.7.2026, ELI: </w:t>
      </w:r>
      <w:hyperlink r:id="rId1" w:history="1">
        <w:r w:rsidRPr="00036B39">
          <w:rPr>
            <w:rStyle w:val="Hyperlink"/>
            <w:sz w:val="24"/>
            <w:szCs w:val="24"/>
            <w:lang w:val="fi-FI"/>
          </w:rPr>
          <w:t>http://data.europa.eu/eli/dec_impl/2026/1443/oj</w:t>
        </w:r>
      </w:hyperlink>
      <w:r w:rsidRPr="00036B39">
        <w:rPr>
          <w:sz w:val="24"/>
          <w:szCs w:val="24"/>
          <w:lang w:val="fi-FI"/>
        </w:rPr>
        <w:t>.</w:t>
      </w:r>
    </w:p>
  </w:footnote>
  <w:footnote w:id="3">
    <w:p w:rsidR="007A0BE7" w:rsidRPr="00937029" w:rsidP="00937029" w14:paraId="264473B1" w14:textId="3E227E8D">
      <w:pPr>
        <w:pStyle w:val="FootnoteText"/>
        <w:ind w:left="567" w:hanging="567"/>
        <w:rPr>
          <w:sz w:val="24"/>
          <w:lang w:val="ro-RO"/>
        </w:rPr>
      </w:pPr>
      <w:r w:rsidRPr="00937029">
        <w:rPr>
          <w:rStyle w:val="Funotenzeichen"/>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JO L 268, 18.10.2003, p. 1., ELI:  </w:t>
      </w:r>
      <w:hyperlink r:id="rId2" w:tooltip="Oferă acces la acest document prin identificatorul său uniform de resurse ELI." w:history="1">
        <w:r w:rsidRPr="00937029">
          <w:rPr>
            <w:rStyle w:val="Hyperlink"/>
            <w:sz w:val="24"/>
            <w:lang w:val="ro-RO"/>
          </w:rPr>
          <w:t>http://data.europa.eu/eli/reg/2003/1829/oj</w:t>
        </w:r>
      </w:hyperlink>
      <w:r w:rsidRPr="00937029">
        <w:rPr>
          <w:sz w:val="24"/>
          <w:lang w:val="ro-RO"/>
        </w:rPr>
        <w:t>.</w:t>
      </w:r>
    </w:p>
  </w:footnote>
  <w:footnote w:id="4">
    <w:p w:rsidR="007A0BE7" w:rsidRPr="00937029" w:rsidP="00937029" w14:paraId="2B171A1B" w14:textId="71A989B7">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JO L 55, 28.2.2011, p. 13, ELI: </w:t>
      </w:r>
      <w:hyperlink r:id="rId3" w:history="1">
        <w:r w:rsidRPr="00937029">
          <w:rPr>
            <w:rStyle w:val="Hyperlink"/>
            <w:sz w:val="24"/>
            <w:lang w:val="ro-RO"/>
          </w:rPr>
          <w:t>http://data.europa.eu/eli/reg/2011/182/oj</w:t>
        </w:r>
      </w:hyperlink>
      <w:r w:rsidRPr="00937029">
        <w:rPr>
          <w:sz w:val="24"/>
          <w:lang w:val="ro-RO"/>
        </w:rPr>
        <w:t>.</w:t>
      </w:r>
    </w:p>
  </w:footnote>
  <w:footnote w:id="5">
    <w:p w:rsidR="007A0BE7" w:rsidRPr="00937029" w:rsidP="00937029" w14:paraId="36E7E32A" w14:textId="6C4DEFDA">
      <w:pPr>
        <w:pStyle w:val="FootnoteText"/>
        <w:ind w:left="567" w:hanging="567"/>
        <w:rPr>
          <w:sz w:val="24"/>
          <w:lang w:val="ro-RO"/>
        </w:rPr>
      </w:pPr>
      <w:r w:rsidRPr="00937029">
        <w:rPr>
          <w:rStyle w:val="Funotenzeichen"/>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Avizul științific al Grupului EFSA pentru organisme modificate genetic referitor la „</w:t>
      </w:r>
      <w:r w:rsidRPr="00937029">
        <w:rPr>
          <w:sz w:val="24"/>
          <w:lang w:val="ro-RO"/>
        </w:rPr>
        <w:t>Assessment</w:t>
      </w:r>
      <w:r w:rsidRPr="00937029">
        <w:rPr>
          <w:sz w:val="24"/>
          <w:lang w:val="ro-RO"/>
        </w:rPr>
        <w:t xml:space="preserve"> of </w:t>
      </w:r>
      <w:r w:rsidRPr="00937029">
        <w:rPr>
          <w:sz w:val="24"/>
          <w:lang w:val="ro-RO"/>
        </w:rPr>
        <w:t>genetically</w:t>
      </w:r>
      <w:r w:rsidRPr="00937029">
        <w:rPr>
          <w:sz w:val="24"/>
          <w:lang w:val="ro-RO"/>
        </w:rPr>
        <w:t xml:space="preserve"> </w:t>
      </w:r>
      <w:r w:rsidRPr="00937029">
        <w:rPr>
          <w:sz w:val="24"/>
          <w:lang w:val="ro-RO"/>
        </w:rPr>
        <w:t>modified</w:t>
      </w:r>
      <w:r w:rsidRPr="00937029">
        <w:rPr>
          <w:sz w:val="24"/>
          <w:lang w:val="ro-RO"/>
        </w:rPr>
        <w:t xml:space="preserve"> </w:t>
      </w:r>
      <w:r w:rsidRPr="00937029">
        <w:rPr>
          <w:sz w:val="24"/>
          <w:lang w:val="ro-RO"/>
        </w:rPr>
        <w:t>maize</w:t>
      </w:r>
      <w:r w:rsidRPr="00937029">
        <w:rPr>
          <w:sz w:val="24"/>
          <w:lang w:val="ro-RO"/>
        </w:rPr>
        <w:t xml:space="preserve"> DP202216 × NK603 × DAS-40278-9 (</w:t>
      </w:r>
      <w:r w:rsidRPr="00937029">
        <w:rPr>
          <w:sz w:val="24"/>
          <w:lang w:val="ro-RO"/>
        </w:rPr>
        <w:t>application</w:t>
      </w:r>
      <w:r w:rsidRPr="00937029">
        <w:rPr>
          <w:sz w:val="24"/>
          <w:lang w:val="ro-RO"/>
        </w:rPr>
        <w:t xml:space="preserve"> GMFF-2022-6232)’, </w:t>
      </w:r>
      <w:r w:rsidRPr="00937029">
        <w:rPr>
          <w:i/>
          <w:sz w:val="24"/>
          <w:lang w:val="ro-RO"/>
        </w:rPr>
        <w:t>EFSA Journal</w:t>
      </w:r>
      <w:r w:rsidRPr="00937029">
        <w:rPr>
          <w:sz w:val="24"/>
          <w:lang w:val="ro-RO"/>
        </w:rPr>
        <w:t xml:space="preserve">, 2025, 23(12):e9746, </w:t>
      </w:r>
      <w:hyperlink r:id="rId4" w:history="1">
        <w:r w:rsidRPr="00937029">
          <w:rPr>
            <w:rStyle w:val="Hyperlink"/>
            <w:sz w:val="24"/>
            <w:lang w:val="ro-RO"/>
          </w:rPr>
          <w:t>https://doi.org/10.2903/j.efsa.2025.9746</w:t>
        </w:r>
      </w:hyperlink>
      <w:r w:rsidRPr="00937029">
        <w:rPr>
          <w:rStyle w:val="Hyperlink"/>
          <w:sz w:val="24"/>
          <w:lang w:val="ro-RO"/>
        </w:rPr>
        <w:t>.</w:t>
      </w:r>
    </w:p>
  </w:footnote>
  <w:footnote w:id="6">
    <w:p w:rsidR="007A0BE7" w:rsidRPr="00937029" w:rsidP="00937029" w14:paraId="79029C05" w14:textId="2741A90A">
      <w:pPr>
        <w:pStyle w:val="FootnoteText"/>
        <w:ind w:left="567" w:hanging="567"/>
        <w:rPr>
          <w:color w:val="000000" w:themeColor="text1"/>
          <w:sz w:val="24"/>
          <w:vertAlign w:val="superscript"/>
          <w:lang w:val="ro-RO"/>
        </w:rPr>
      </w:pPr>
      <w:r w:rsidRPr="00937029">
        <w:rPr>
          <w:rStyle w:val="Funotenzeichen"/>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În cea de a opta legislatură, Parlamentul a adoptat 36 de rezoluții, iar în cea de a noua legislatură, 38 de rezoluții în care se opune autorizării OMG-urilor.</w:t>
      </w:r>
      <w:r w:rsidRPr="00937029">
        <w:rPr>
          <w:color w:val="000000" w:themeColor="text1"/>
          <w:sz w:val="24"/>
          <w:lang w:val="ro-RO"/>
        </w:rPr>
        <w:t xml:space="preserve"> În plus, în cea de a zecea legislatură, Parlamentul a adoptat următoarele rezoluții:</w:t>
      </w:r>
    </w:p>
    <w:p w:rsidR="007A0BE7" w:rsidRPr="00937029" w:rsidP="00937029" w14:paraId="74285CE1" w14:textId="1CFEBC87">
      <w:pPr>
        <w:pStyle w:val="FootnoteText"/>
        <w:ind w:left="567" w:hanging="567"/>
        <w:rPr>
          <w:color w:val="000000" w:themeColor="text1"/>
          <w:sz w:val="24"/>
          <w:vertAlign w:val="superscript"/>
          <w:lang w:val="ro-RO"/>
        </w:rPr>
      </w:pPr>
      <w:r w:rsidRPr="00937029">
        <w:rPr>
          <w:color w:val="000000" w:themeColor="text1"/>
          <w:sz w:val="24"/>
          <w:lang w:val="ro-RO"/>
        </w:rPr>
        <w:t xml:space="preserve"> </w:t>
      </w:r>
      <w:r w:rsidRPr="00937029">
        <w:rPr>
          <w:color w:val="000000" w:themeColor="text1"/>
          <w:sz w:val="24"/>
          <w:lang w:val="ro-RO"/>
        </w:rPr>
        <w:tab/>
      </w:r>
      <w:r w:rsidRPr="00937029">
        <w:rPr>
          <w:color w:val="000000" w:themeColor="text1"/>
          <w:sz w:val="24"/>
          <w:lang w:val="ro-RO"/>
        </w:rPr>
        <w:t>–</w:t>
      </w:r>
      <w:r w:rsidRPr="00937029">
        <w:rPr>
          <w:color w:val="000000" w:themeColor="text1"/>
          <w:sz w:val="24"/>
          <w:lang w:val="ro-RO"/>
        </w:rPr>
        <w:tab/>
        <w:t>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(JO C, C/2025/1797, 4.4.2025, ELI: </w:t>
      </w:r>
      <w:hyperlink r:id="rId5" w:history="1">
        <w:r w:rsidRPr="00937029">
          <w:rPr>
            <w:rStyle w:val="Hyperlink"/>
            <w:sz w:val="24"/>
            <w:lang w:val="ro-RO"/>
          </w:rPr>
          <w:t>http://data.europa.eu/eli/C/2025/1797/oj</w:t>
        </w:r>
      </w:hyperlink>
      <w:r w:rsidRPr="00937029">
        <w:rPr>
          <w:color w:val="000000" w:themeColor="text1"/>
          <w:sz w:val="24"/>
          <w:lang w:val="ro-RO"/>
        </w:rPr>
        <w:t>).</w:t>
      </w:r>
    </w:p>
    <w:p w:rsidR="007A0BE7" w:rsidRPr="00937029" w:rsidP="00937029" w14:paraId="4B8027B0" w14:textId="73933CFD">
      <w:pPr>
        <w:pStyle w:val="FootnoteText"/>
        <w:ind w:left="567" w:hanging="567"/>
        <w:rPr>
          <w:color w:val="000000" w:themeColor="text1"/>
          <w:sz w:val="24"/>
          <w:vertAlign w:val="superscript"/>
          <w:lang w:val="ro-RO"/>
        </w:rPr>
      </w:pPr>
      <w:r w:rsidRPr="00937029">
        <w:rPr>
          <w:color w:val="000000" w:themeColor="text1"/>
          <w:sz w:val="24"/>
          <w:lang w:val="ro-RO"/>
        </w:rPr>
        <w:t xml:space="preserve"> </w:t>
      </w:r>
      <w:r w:rsidRPr="00937029">
        <w:rPr>
          <w:color w:val="000000" w:themeColor="text1"/>
          <w:sz w:val="24"/>
          <w:lang w:val="ro-RO"/>
        </w:rPr>
        <w:tab/>
      </w:r>
      <w:r w:rsidRPr="00937029">
        <w:rPr>
          <w:color w:val="000000" w:themeColor="text1"/>
          <w:sz w:val="24"/>
          <w:lang w:val="ro-RO"/>
        </w:rPr>
        <w:t>–</w:t>
      </w:r>
      <w:r w:rsidRPr="00937029">
        <w:rPr>
          <w:color w:val="000000" w:themeColor="text1"/>
          <w:sz w:val="24"/>
          <w:lang w:val="ro-RO"/>
        </w:rPr>
        <w:tab/>
        <w:t>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6" w:history="1">
        <w:r w:rsidRPr="00937029">
          <w:rPr>
            <w:rStyle w:val="Hyperlink"/>
            <w:sz w:val="24"/>
            <w:lang w:val="ro-RO"/>
          </w:rPr>
          <w:t>http://data.europa.eu/eli/C/2025/1798/oj</w:t>
        </w:r>
      </w:hyperlink>
      <w:r w:rsidRPr="00937029">
        <w:rPr>
          <w:color w:val="000000" w:themeColor="text1"/>
          <w:sz w:val="24"/>
          <w:lang w:val="ro-RO"/>
        </w:rPr>
        <w:t>).</w:t>
      </w:r>
    </w:p>
    <w:p w:rsidR="007A0BE7" w:rsidRPr="00937029" w:rsidP="00937029" w14:paraId="0E7F5FD6" w14:textId="548B217B">
      <w:pPr>
        <w:pStyle w:val="FootnoteText"/>
        <w:ind w:left="567" w:hanging="567"/>
        <w:rPr>
          <w:color w:val="000000" w:themeColor="text1"/>
          <w:sz w:val="24"/>
          <w:vertAlign w:val="superscript"/>
          <w:lang w:val="ro-RO"/>
        </w:rPr>
      </w:pPr>
      <w:r w:rsidRPr="00937029">
        <w:rPr>
          <w:color w:val="000000" w:themeColor="text1"/>
          <w:sz w:val="24"/>
          <w:lang w:val="ro-RO"/>
        </w:rPr>
        <w:t xml:space="preserve"> </w:t>
      </w:r>
      <w:r w:rsidRPr="00937029">
        <w:rPr>
          <w:color w:val="000000" w:themeColor="text1"/>
          <w:sz w:val="24"/>
          <w:lang w:val="ro-RO"/>
        </w:rPr>
        <w:tab/>
      </w:r>
      <w:r w:rsidRPr="00937029">
        <w:rPr>
          <w:color w:val="000000" w:themeColor="text1"/>
          <w:sz w:val="24"/>
          <w:lang w:val="ro-RO"/>
        </w:rPr>
        <w:t>–</w:t>
      </w:r>
      <w:r w:rsidRPr="00937029">
        <w:rPr>
          <w:color w:val="000000" w:themeColor="text1"/>
          <w:sz w:val="24"/>
          <w:lang w:val="ro-RO"/>
        </w:rPr>
        <w:tab/>
        <w:t>Rezoluția Parlamentului European din 26 noiembrie 2024 referitoare la Decizia de punere în aplicare (UE) 2024/2629</w:t>
      </w:r>
      <w:r w:rsidRPr="00036B39" w:rsidR="00BA7A78">
        <w:rPr>
          <w:lang w:val="ro-RO"/>
        </w:rPr>
        <w:t xml:space="preserve"> </w:t>
      </w:r>
      <w:r w:rsidRPr="00BA7A78" w:rsidR="00BA7A78">
        <w:rPr>
          <w:color w:val="000000" w:themeColor="text1"/>
          <w:sz w:val="24"/>
          <w:lang w:val="ro-RO"/>
        </w:rPr>
        <w:t>a Comisiei</w:t>
      </w:r>
      <w:r w:rsidRPr="00937029">
        <w:rPr>
          <w:color w:val="000000" w:themeColor="text1"/>
          <w:sz w:val="24"/>
          <w:lang w:val="ro-RO"/>
        </w:rPr>
        <w:t xml:space="preserve"> </w:t>
      </w:r>
      <w:r w:rsidR="00BA7A78">
        <w:rPr>
          <w:color w:val="000000" w:themeColor="text1"/>
          <w:sz w:val="24"/>
          <w:lang w:val="ro-RO"/>
        </w:rPr>
        <w:t>de</w:t>
      </w:r>
      <w:r w:rsidRPr="00937029">
        <w:rPr>
          <w:color w:val="000000" w:themeColor="text1"/>
          <w:sz w:val="24"/>
          <w:lang w:val="ro-RO"/>
        </w:rPr>
        <w:t xml:space="preserve"> reînnoire</w:t>
      </w:r>
      <w:r w:rsidR="00BA7A78">
        <w:rPr>
          <w:color w:val="000000" w:themeColor="text1"/>
          <w:sz w:val="24"/>
          <w:lang w:val="ro-RO"/>
        </w:rPr>
        <w:t xml:space="preserve"> </w:t>
      </w:r>
      <w:r w:rsidRPr="00937029">
        <w:rPr>
          <w:color w:val="000000" w:themeColor="text1"/>
          <w:sz w:val="24"/>
          <w:lang w:val="ro-RO"/>
        </w:rPr>
        <w:t xml:space="preserve">a autorizației </w:t>
      </w:r>
      <w:r w:rsidR="00BA7A78">
        <w:rPr>
          <w:color w:val="000000" w:themeColor="text1"/>
          <w:sz w:val="24"/>
          <w:lang w:val="ro-RO"/>
        </w:rPr>
        <w:t>de</w:t>
      </w:r>
      <w:r w:rsidRPr="00937029">
        <w:rPr>
          <w:color w:val="000000" w:themeColor="text1"/>
          <w:sz w:val="24"/>
          <w:lang w:val="ro-RO"/>
        </w:rPr>
        <w:t xml:space="preserve"> introducere pe piață a produselor care conțin, </w:t>
      </w:r>
      <w:r w:rsidRPr="00BA7A78" w:rsidR="00BA7A78">
        <w:rPr>
          <w:color w:val="000000" w:themeColor="text1"/>
          <w:sz w:val="24"/>
          <w:lang w:val="ro-RO"/>
        </w:rPr>
        <w:t>constau în</w:t>
      </w:r>
      <w:r w:rsidRPr="00937029">
        <w:rPr>
          <w:color w:val="000000" w:themeColor="text1"/>
          <w:sz w:val="24"/>
          <w:lang w:val="ro-RO"/>
        </w:rPr>
        <w:t xml:space="preserve"> sau </w:t>
      </w:r>
      <w:r w:rsidR="00BA7A78">
        <w:rPr>
          <w:color w:val="000000" w:themeColor="text1"/>
          <w:sz w:val="24"/>
          <w:lang w:val="ro-RO"/>
        </w:rPr>
        <w:t xml:space="preserve">sunt </w:t>
      </w:r>
      <w:r w:rsidRPr="00937029">
        <w:rPr>
          <w:color w:val="000000" w:themeColor="text1"/>
          <w:sz w:val="24"/>
          <w:lang w:val="ro-RO"/>
        </w:rPr>
        <w:t>fabricate din porumb</w:t>
      </w:r>
      <w:r w:rsidR="00BA7A78">
        <w:rPr>
          <w:color w:val="000000" w:themeColor="text1"/>
          <w:sz w:val="24"/>
          <w:lang w:val="ro-RO"/>
        </w:rPr>
        <w:t>ul</w:t>
      </w:r>
      <w:r w:rsidRPr="00937029">
        <w:rPr>
          <w:color w:val="000000" w:themeColor="text1"/>
          <w:sz w:val="24"/>
          <w:lang w:val="ro-RO"/>
        </w:rPr>
        <w:t xml:space="preserve"> modificat genetic MON 89034 × 1507 × MON 88017 × 59122 și </w:t>
      </w:r>
      <w:r w:rsidR="00BA7A78">
        <w:rPr>
          <w:color w:val="000000" w:themeColor="text1"/>
          <w:sz w:val="24"/>
          <w:lang w:val="ro-RO"/>
        </w:rPr>
        <w:t xml:space="preserve">a </w:t>
      </w:r>
      <w:r w:rsidRPr="00937029">
        <w:rPr>
          <w:color w:val="000000" w:themeColor="text1"/>
          <w:sz w:val="24"/>
          <w:lang w:val="ro-RO"/>
        </w:rPr>
        <w:t xml:space="preserve">opt dintre </w:t>
      </w:r>
      <w:r w:rsidRPr="00937029">
        <w:rPr>
          <w:color w:val="000000" w:themeColor="text1"/>
          <w:sz w:val="24"/>
          <w:lang w:val="ro-RO"/>
        </w:rPr>
        <w:t>subcombinațiile</w:t>
      </w:r>
      <w:r w:rsidRPr="00937029">
        <w:rPr>
          <w:color w:val="000000" w:themeColor="text1"/>
          <w:sz w:val="24"/>
          <w:lang w:val="ro-RO"/>
        </w:rPr>
        <w:t xml:space="preserve"> acestuia, în temeiul Regulamentului (CE) nr. 1829/2003 al Parlamentului European și al Consiliului (JO C, C/2025/1799, 4.4.2025, ELI: </w:t>
      </w:r>
      <w:hyperlink r:id="rId7" w:history="1">
        <w:r w:rsidRPr="00937029">
          <w:rPr>
            <w:rStyle w:val="Hyperlink"/>
            <w:sz w:val="24"/>
            <w:lang w:val="ro-RO"/>
          </w:rPr>
          <w:t>http://data.europa.eu/eli/C/2025/1799/oj</w:t>
        </w:r>
      </w:hyperlink>
      <w:r w:rsidRPr="00937029">
        <w:rPr>
          <w:color w:val="000000" w:themeColor="text1"/>
          <w:sz w:val="24"/>
          <w:lang w:val="ro-RO"/>
        </w:rPr>
        <w:t>).</w:t>
      </w:r>
    </w:p>
    <w:p w:rsidR="007A0BE7" w:rsidRPr="00937029" w:rsidP="00937029" w14:paraId="478C4080" w14:textId="3FF056C4">
      <w:pPr>
        <w:pStyle w:val="FootnoteText"/>
        <w:ind w:left="567" w:hanging="567"/>
        <w:rPr>
          <w:color w:val="000000" w:themeColor="text1"/>
          <w:sz w:val="24"/>
          <w:vertAlign w:val="superscript"/>
          <w:lang w:val="ro-RO"/>
        </w:rPr>
      </w:pPr>
      <w:r w:rsidRPr="00937029">
        <w:rPr>
          <w:color w:val="000000" w:themeColor="text1"/>
          <w:sz w:val="24"/>
          <w:lang w:val="ro-RO"/>
        </w:rPr>
        <w:t xml:space="preserve"> </w:t>
      </w:r>
      <w:r w:rsidRPr="00937029">
        <w:rPr>
          <w:color w:val="000000" w:themeColor="text1"/>
          <w:sz w:val="24"/>
          <w:lang w:val="ro-RO"/>
        </w:rPr>
        <w:tab/>
      </w:r>
      <w:r w:rsidRPr="00937029">
        <w:rPr>
          <w:color w:val="000000" w:themeColor="text1"/>
          <w:sz w:val="24"/>
          <w:lang w:val="ro-RO"/>
        </w:rPr>
        <w:t>–</w:t>
      </w:r>
      <w:r w:rsidRPr="00937029">
        <w:rPr>
          <w:color w:val="000000" w:themeColor="text1"/>
          <w:sz w:val="24"/>
          <w:lang w:val="ro-RO"/>
        </w:rPr>
        <w:tab/>
        <w:t>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8" w:history="1">
        <w:r w:rsidRPr="00937029">
          <w:rPr>
            <w:rStyle w:val="Hyperlink"/>
            <w:sz w:val="24"/>
            <w:lang w:val="ro-RO"/>
          </w:rPr>
          <w:t>http://data.europa.eu/eli/C/2025/1800/oj</w:t>
        </w:r>
      </w:hyperlink>
      <w:r w:rsidRPr="00937029">
        <w:rPr>
          <w:color w:val="000000" w:themeColor="text1"/>
          <w:sz w:val="24"/>
          <w:lang w:val="ro-RO"/>
        </w:rPr>
        <w:t>).</w:t>
      </w:r>
    </w:p>
    <w:p w:rsidR="007A0BE7" w:rsidRPr="00937029" w:rsidP="00937029" w14:paraId="6A934B55" w14:textId="023D7ED7">
      <w:pPr>
        <w:pStyle w:val="FootnoteText"/>
        <w:ind w:left="567" w:hanging="567"/>
        <w:rPr>
          <w:color w:val="000000" w:themeColor="text1"/>
          <w:sz w:val="24"/>
          <w:vertAlign w:val="superscript"/>
          <w:lang w:val="ro-RO"/>
        </w:rPr>
      </w:pPr>
      <w:r w:rsidRPr="00937029">
        <w:rPr>
          <w:color w:val="000000" w:themeColor="text1"/>
          <w:sz w:val="24"/>
          <w:lang w:val="ro-RO"/>
        </w:rPr>
        <w:t xml:space="preserve"> </w:t>
      </w:r>
      <w:r w:rsidRPr="00937029">
        <w:rPr>
          <w:color w:val="000000" w:themeColor="text1"/>
          <w:sz w:val="24"/>
          <w:lang w:val="ro-RO"/>
        </w:rPr>
        <w:tab/>
      </w:r>
      <w:r w:rsidRPr="00937029">
        <w:rPr>
          <w:color w:val="000000" w:themeColor="text1"/>
          <w:sz w:val="24"/>
          <w:lang w:val="ro-RO"/>
        </w:rPr>
        <w:t>–</w:t>
      </w:r>
      <w:r w:rsidRPr="00937029">
        <w:rPr>
          <w:color w:val="000000" w:themeColor="text1"/>
          <w:sz w:val="24"/>
          <w:lang w:val="ro-RO"/>
        </w:rPr>
        <w:tab/>
        <w:t>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9" w:history="1">
        <w:r w:rsidRPr="00937029">
          <w:rPr>
            <w:rStyle w:val="Hyperlink"/>
            <w:sz w:val="24"/>
            <w:lang w:val="ro-RO"/>
          </w:rPr>
          <w:t>http://data.europa.eu/eli/C/2025/1801/oj</w:t>
        </w:r>
      </w:hyperlink>
      <w:r w:rsidRPr="00937029">
        <w:rPr>
          <w:color w:val="000000" w:themeColor="text1"/>
          <w:sz w:val="24"/>
          <w:lang w:val="ro-RO"/>
        </w:rPr>
        <w:t>).</w:t>
      </w:r>
    </w:p>
    <w:p w:rsidR="007A0BE7" w:rsidRPr="00937029" w:rsidP="00937029" w14:paraId="2FBDFE1B" w14:textId="0C37A539">
      <w:pPr>
        <w:pStyle w:val="FootnoteText"/>
        <w:ind w:left="567" w:hanging="567"/>
        <w:rPr>
          <w:color w:val="000000" w:themeColor="text1"/>
          <w:sz w:val="24"/>
          <w:vertAlign w:val="superscript"/>
          <w:lang w:val="ro-RO"/>
        </w:rPr>
      </w:pPr>
      <w:r w:rsidRPr="00937029">
        <w:rPr>
          <w:color w:val="000000" w:themeColor="text1"/>
          <w:sz w:val="24"/>
          <w:lang w:val="ro-RO"/>
        </w:rPr>
        <w:t xml:space="preserve"> </w:t>
      </w:r>
      <w:r w:rsidRPr="00937029">
        <w:rPr>
          <w:color w:val="000000" w:themeColor="text1"/>
          <w:sz w:val="24"/>
          <w:lang w:val="ro-RO"/>
        </w:rPr>
        <w:tab/>
      </w:r>
      <w:r w:rsidRPr="00937029">
        <w:rPr>
          <w:color w:val="000000" w:themeColor="text1"/>
          <w:sz w:val="24"/>
          <w:lang w:val="ro-RO"/>
        </w:rPr>
        <w:t>–</w:t>
      </w:r>
      <w:r w:rsidRPr="00937029">
        <w:rPr>
          <w:color w:val="000000" w:themeColor="text1"/>
          <w:sz w:val="24"/>
          <w:lang w:val="ro-RO"/>
        </w:rPr>
        <w:tab/>
        <w:t>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10" w:history="1">
        <w:r w:rsidRPr="00937029">
          <w:rPr>
            <w:rStyle w:val="Hyperlink"/>
            <w:sz w:val="24"/>
            <w:lang w:val="ro-RO"/>
          </w:rPr>
          <w:t>http://data.europa.eu/eli/C/2025/1802/oj</w:t>
        </w:r>
      </w:hyperlink>
      <w:r w:rsidRPr="00937029">
        <w:rPr>
          <w:color w:val="000000" w:themeColor="text1"/>
          <w:sz w:val="24"/>
          <w:lang w:val="ro-RO"/>
        </w:rPr>
        <w:t>).</w:t>
      </w:r>
    </w:p>
    <w:p w:rsidR="007A0BE7" w:rsidRPr="00937029" w:rsidP="00937029" w14:paraId="26CA1FD0" w14:textId="4DCA2824">
      <w:pPr>
        <w:pStyle w:val="FootnoteText"/>
        <w:ind w:left="567" w:hanging="567"/>
        <w:rPr>
          <w:color w:val="000000" w:themeColor="text1"/>
          <w:sz w:val="24"/>
          <w:vertAlign w:val="superscript"/>
          <w:lang w:val="ro-RO"/>
        </w:rPr>
      </w:pPr>
      <w:r w:rsidRPr="00937029">
        <w:rPr>
          <w:color w:val="000000" w:themeColor="text1"/>
          <w:sz w:val="24"/>
          <w:lang w:val="ro-RO"/>
        </w:rPr>
        <w:t xml:space="preserve"> </w:t>
      </w:r>
      <w:r w:rsidRPr="00937029">
        <w:rPr>
          <w:color w:val="000000" w:themeColor="text1"/>
          <w:sz w:val="24"/>
          <w:lang w:val="ro-RO"/>
        </w:rPr>
        <w:tab/>
      </w:r>
      <w:r w:rsidRPr="00937029">
        <w:rPr>
          <w:color w:val="000000" w:themeColor="text1"/>
          <w:sz w:val="24"/>
          <w:lang w:val="ro-RO"/>
        </w:rPr>
        <w:t>–</w:t>
      </w:r>
      <w:r w:rsidRPr="00937029">
        <w:rPr>
          <w:color w:val="000000" w:themeColor="text1"/>
          <w:sz w:val="24"/>
          <w:lang w:val="ro-RO"/>
        </w:rPr>
        <w:tab/>
        <w:t>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1" w:history="1">
        <w:r w:rsidRPr="00937029">
          <w:rPr>
            <w:rStyle w:val="Hyperlink"/>
            <w:sz w:val="24"/>
            <w:lang w:val="ro-RO"/>
          </w:rPr>
          <w:t>http://data.europa.eu/eli/C/2025/1803/oj</w:t>
        </w:r>
      </w:hyperlink>
      <w:r w:rsidRPr="00937029">
        <w:rPr>
          <w:color w:val="000000" w:themeColor="text1"/>
          <w:sz w:val="24"/>
          <w:lang w:val="ro-RO"/>
        </w:rPr>
        <w:t>).</w:t>
      </w:r>
    </w:p>
    <w:p w:rsidR="007A0BE7" w:rsidRPr="00937029" w:rsidP="00937029" w14:paraId="33332569" w14:textId="5F72D2E5">
      <w:pPr>
        <w:pStyle w:val="FootnoteText"/>
        <w:ind w:left="567" w:hanging="567"/>
        <w:rPr>
          <w:color w:val="000000" w:themeColor="text1"/>
          <w:sz w:val="24"/>
          <w:vertAlign w:val="superscript"/>
          <w:lang w:val="ro-RO"/>
        </w:rPr>
      </w:pPr>
      <w:r w:rsidRPr="00937029">
        <w:rPr>
          <w:color w:val="000000" w:themeColor="text1"/>
          <w:sz w:val="24"/>
          <w:lang w:val="ro-RO"/>
        </w:rPr>
        <w:t xml:space="preserve"> </w:t>
      </w:r>
      <w:r w:rsidRPr="00937029">
        <w:rPr>
          <w:color w:val="000000" w:themeColor="text1"/>
          <w:sz w:val="24"/>
          <w:lang w:val="ro-RO"/>
        </w:rPr>
        <w:tab/>
      </w:r>
      <w:r w:rsidRPr="00937029">
        <w:rPr>
          <w:color w:val="000000" w:themeColor="text1"/>
          <w:sz w:val="24"/>
          <w:lang w:val="ro-RO"/>
        </w:rPr>
        <w:t>–</w:t>
      </w:r>
      <w:r w:rsidRPr="00937029">
        <w:rPr>
          <w:color w:val="000000" w:themeColor="text1"/>
          <w:sz w:val="24"/>
          <w:lang w:val="ro-RO"/>
        </w:rPr>
        <w:tab/>
        <w:t>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2" w:history="1">
        <w:r w:rsidRPr="00937029">
          <w:rPr>
            <w:rStyle w:val="Hyperlink"/>
            <w:sz w:val="24"/>
            <w:lang w:val="ro-RO"/>
          </w:rPr>
          <w:t>http://data.europa.eu/eli/C/2025/1804/oj</w:t>
        </w:r>
      </w:hyperlink>
      <w:r w:rsidRPr="00937029">
        <w:rPr>
          <w:color w:val="000000" w:themeColor="text1"/>
          <w:sz w:val="24"/>
          <w:lang w:val="ro-RO"/>
        </w:rPr>
        <w:t>).</w:t>
      </w:r>
    </w:p>
    <w:p w:rsidR="007A0BE7" w:rsidRPr="00937029" w:rsidP="00937029" w14:paraId="4C2F057C" w14:textId="53118657">
      <w:pPr>
        <w:pStyle w:val="FootnoteText"/>
        <w:ind w:left="567" w:hanging="567"/>
        <w:rPr>
          <w:sz w:val="24"/>
          <w:vertAlign w:val="superscript"/>
          <w:lang w:val="ro-RO"/>
        </w:rPr>
      </w:pPr>
      <w:r w:rsidRPr="00937029">
        <w:rPr>
          <w:color w:val="000000" w:themeColor="text1"/>
          <w:sz w:val="24"/>
          <w:lang w:val="ro-RO"/>
        </w:rPr>
        <w:t xml:space="preserve"> </w:t>
      </w:r>
      <w:r w:rsidRPr="00937029">
        <w:rPr>
          <w:color w:val="000000" w:themeColor="text1"/>
          <w:sz w:val="24"/>
          <w:lang w:val="ro-RO"/>
        </w:rPr>
        <w:tab/>
      </w:r>
      <w:r w:rsidRPr="00937029">
        <w:rPr>
          <w:color w:val="000000" w:themeColor="text1"/>
          <w:sz w:val="24"/>
          <w:lang w:val="ro-RO"/>
        </w:rPr>
        <w:t>–</w:t>
      </w:r>
      <w:r w:rsidRPr="00937029">
        <w:rPr>
          <w:color w:val="000000" w:themeColor="text1"/>
          <w:sz w:val="24"/>
          <w:lang w:val="ro-RO"/>
        </w:rPr>
        <w:tab/>
      </w:r>
      <w:r w:rsidRPr="00937029">
        <w:rPr>
          <w:sz w:val="24"/>
          <w:lang w:val="ro-RO"/>
        </w:rPr>
        <w:t>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13" w:history="1">
        <w:r w:rsidRPr="00937029">
          <w:rPr>
            <w:rStyle w:val="Hyperlink"/>
            <w:sz w:val="24"/>
            <w:lang w:val="ro-RO"/>
          </w:rPr>
          <w:t>http://data.europa.eu/eli/C/2025/2246/oj</w:t>
        </w:r>
      </w:hyperlink>
      <w:r w:rsidRPr="00937029">
        <w:rPr>
          <w:sz w:val="24"/>
          <w:lang w:val="ro-RO"/>
        </w:rPr>
        <w:t>).</w:t>
      </w:r>
    </w:p>
    <w:p w:rsidR="007A0BE7" w:rsidRPr="00937029" w:rsidP="00937029" w14:paraId="42F245CE" w14:textId="625B87B4">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4" w:history="1">
        <w:r w:rsidRPr="00937029">
          <w:rPr>
            <w:rStyle w:val="Hyperlink"/>
            <w:sz w:val="24"/>
            <w:lang w:val="ro-RO"/>
          </w:rPr>
          <w:t>http://data.europa.eu/eli/C/2025/2247/oj</w:t>
        </w:r>
      </w:hyperlink>
      <w:r w:rsidRPr="00937029">
        <w:rPr>
          <w:sz w:val="24"/>
          <w:lang w:val="ro-RO"/>
        </w:rPr>
        <w:t>).</w:t>
      </w:r>
    </w:p>
    <w:p w:rsidR="007A0BE7" w:rsidRPr="00937029" w:rsidP="00937029" w14:paraId="636CCEEB" w14:textId="6C71E4E5">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(JO C, C/2026/586, 24.2.2026, ELI: </w:t>
      </w:r>
      <w:hyperlink r:id="rId15" w:tooltip="Oferă acces la acest document prin identificatorul său uniform de resurse ELI." w:history="1">
        <w:r w:rsidRPr="00937029">
          <w:rPr>
            <w:rStyle w:val="Hyperlink"/>
            <w:sz w:val="24"/>
            <w:lang w:val="ro-RO"/>
          </w:rPr>
          <w:t>http://data.europa.eu/eli/C/2026/586/oj</w:t>
        </w:r>
      </w:hyperlink>
      <w:r w:rsidRPr="00937029">
        <w:rPr>
          <w:sz w:val="24"/>
          <w:lang w:val="ro-RO"/>
        </w:rPr>
        <w:t>).</w:t>
      </w:r>
    </w:p>
    <w:p w:rsidR="007A0BE7" w:rsidRPr="00937029" w:rsidP="00937029" w14:paraId="604AFA77" w14:textId="68672398">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(JO C, C/2026/1523, 15.4.2026, ELI: </w:t>
      </w:r>
      <w:hyperlink r:id="rId16" w:history="1">
        <w:r w:rsidRPr="00937029">
          <w:rPr>
            <w:rStyle w:val="Hyperlink"/>
            <w:sz w:val="24"/>
            <w:lang w:val="ro-RO"/>
          </w:rPr>
          <w:t>http://data.europa.eu/eli/C/2026/1523/oj</w:t>
        </w:r>
      </w:hyperlink>
      <w:r w:rsidRPr="00937029">
        <w:rPr>
          <w:sz w:val="24"/>
          <w:lang w:val="ro-RO"/>
        </w:rPr>
        <w:t>).</w:t>
      </w:r>
    </w:p>
    <w:p w:rsidR="007A0BE7" w:rsidRPr="00937029" w:rsidP="00937029" w14:paraId="3777930E" w14:textId="57CD688A">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 (JO C, C/2026/1703, 24.4.2026, ELI: </w:t>
      </w:r>
      <w:hyperlink r:id="rId17" w:history="1">
        <w:r w:rsidRPr="00937029">
          <w:rPr>
            <w:rStyle w:val="Hyperlink"/>
            <w:sz w:val="24"/>
            <w:lang w:val="ro-RO"/>
          </w:rPr>
          <w:t>http://data.europa.eu/eli/C/2026/1703/oj</w:t>
        </w:r>
      </w:hyperlink>
      <w:r w:rsidRPr="00937029">
        <w:rPr>
          <w:sz w:val="24"/>
          <w:lang w:val="ro-RO"/>
        </w:rPr>
        <w:t>).</w:t>
      </w:r>
    </w:p>
    <w:p w:rsidR="007A0BE7" w:rsidRPr="00937029" w:rsidP="00937029" w14:paraId="0151422D" w14:textId="7E306CAA">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bumbac modificat genetic MON 88913 (MON-88913-8), în temeiul Regulamentului (CE) nr. 1829/2003 al Parlamentului European și al Consiliului (JO C, C/2026/1704, 24.4.2026, ELI: </w:t>
      </w:r>
      <w:hyperlink r:id="rId18" w:history="1">
        <w:r w:rsidRPr="00937029">
          <w:rPr>
            <w:rStyle w:val="Hyperlink"/>
            <w:sz w:val="24"/>
            <w:lang w:val="ro-RO"/>
          </w:rPr>
          <w:t>http://data.europa.eu/eli/C/2026/1704/oj</w:t>
        </w:r>
      </w:hyperlink>
      <w:r w:rsidRPr="00937029">
        <w:rPr>
          <w:sz w:val="24"/>
          <w:lang w:val="ro-RO"/>
        </w:rPr>
        <w:t>).</w:t>
      </w:r>
    </w:p>
    <w:p w:rsidR="007A0BE7" w:rsidRPr="00937029" w:rsidP="00937029" w14:paraId="256473C5" w14:textId="22C5C399">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(JO C, C/2026/1705, 24.4.2026, ELI: </w:t>
      </w:r>
      <w:hyperlink r:id="rId19" w:history="1">
        <w:r w:rsidRPr="00937029">
          <w:rPr>
            <w:rStyle w:val="Hyperlink"/>
            <w:sz w:val="24"/>
            <w:lang w:val="ro-RO"/>
          </w:rPr>
          <w:t>http://data.europa.eu/eli/C/2026/1705/oj</w:t>
        </w:r>
      </w:hyperlink>
      <w:r w:rsidRPr="00937029">
        <w:rPr>
          <w:sz w:val="24"/>
          <w:lang w:val="ro-RO"/>
        </w:rPr>
        <w:t>).</w:t>
      </w:r>
    </w:p>
    <w:p w:rsidR="007A0BE7" w:rsidRPr="00937029" w:rsidP="00937029" w14:paraId="19BA019F" w14:textId="17ED9894">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 (JO C, C/2026/1706, 24.4.2026, ELI: </w:t>
      </w:r>
      <w:hyperlink r:id="rId20" w:history="1">
        <w:r w:rsidRPr="00937029">
          <w:rPr>
            <w:rStyle w:val="Hyperlink"/>
            <w:sz w:val="24"/>
            <w:lang w:val="ro-RO"/>
          </w:rPr>
          <w:t>http://data.europa.eu/eli/C/2026/1706/oj</w:t>
        </w:r>
      </w:hyperlink>
      <w:r w:rsidRPr="00937029">
        <w:rPr>
          <w:sz w:val="24"/>
          <w:lang w:val="ro-RO"/>
        </w:rPr>
        <w:t>).</w:t>
      </w:r>
    </w:p>
    <w:p w:rsidR="007A0BE7" w:rsidRPr="00937029" w:rsidP="00937029" w14:paraId="0FDCE075" w14:textId="110330FF">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25 noiembrie 2025 referitoare la proiectul de decizie de punere în aplicare a Comisiei privind reînnoirea autorizației pentru introducerea pe piață a produselor care conțin, sunt compuse sau fabricate din porumb modificat genetic MON 87427, în temeiul Regulamentului (CE) nr. 1829/2003 al Parlamentului European și al Consiliului (JO C, C/2026/1707, 24.4.2026, ELI: </w:t>
      </w:r>
      <w:hyperlink r:id="rId21" w:history="1">
        <w:r w:rsidRPr="00937029">
          <w:rPr>
            <w:rStyle w:val="Hyperlink"/>
            <w:sz w:val="24"/>
            <w:lang w:val="ro-RO"/>
          </w:rPr>
          <w:t>http://data.europa.eu/eli/C/2026/1707/oj</w:t>
        </w:r>
      </w:hyperlink>
      <w:r w:rsidRPr="00937029">
        <w:rPr>
          <w:sz w:val="24"/>
          <w:lang w:val="ro-RO"/>
        </w:rPr>
        <w:t>).</w:t>
      </w:r>
    </w:p>
    <w:p w:rsidR="007A0BE7" w:rsidRPr="00937029" w:rsidP="00937029" w14:paraId="279BA05D" w14:textId="427B6833">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16 decembrie 2025 referitoare la proiectul de decizie de punere în aplicare a Comisiei privind reînnoirea autorizației pentru introducerea pe piață a produselor care conțin, sunt compuse sau fabricate din porumb modificat genetic NK603, în temeiul Regulamentului (CE) nr. 1829/2003 al Parlamentului European și al Consiliului (JO C, C/2026/2150, 6.5.2026, ELI: </w:t>
      </w:r>
      <w:hyperlink r:id="rId22" w:history="1">
        <w:r w:rsidRPr="00937029">
          <w:rPr>
            <w:rStyle w:val="Hyperlink"/>
            <w:sz w:val="24"/>
            <w:lang w:val="ro-RO"/>
          </w:rPr>
          <w:t>http://data.europa.eu/eli/C/2026/2150/oj</w:t>
        </w:r>
      </w:hyperlink>
      <w:r w:rsidRPr="00937029">
        <w:rPr>
          <w:sz w:val="24"/>
          <w:lang w:val="ro-RO"/>
        </w:rPr>
        <w:t>).</w:t>
      </w:r>
    </w:p>
    <w:p w:rsidR="007A0BE7" w:rsidRPr="00937029" w:rsidP="00937029" w14:paraId="1863E64B" w14:textId="37F37433">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 xml:space="preserve">Rezoluția Parlamentului European din 16 decembrie 2025 referitoare la proiectul de decizie de punere în aplicare a Comisiei de autorizare a introducerii pe piață a produselor care conțin, sunt compuse sau fabricate din sfeclă de zahăr modificată genetic KWS20-1, în temeiul Regulamentului (CE) nr. </w:t>
      </w:r>
      <w:r w:rsidR="00C979E8">
        <w:rPr>
          <w:sz w:val="24"/>
          <w:lang w:val="ro-RO"/>
        </w:rPr>
        <w:t>1</w:t>
      </w:r>
      <w:r w:rsidRPr="00937029">
        <w:rPr>
          <w:sz w:val="24"/>
          <w:lang w:val="ro-RO"/>
        </w:rPr>
        <w:t>829/2003 al Parlamentului European și al Consiliului (JO C, C/2026/2151, 6.5.2026, ELI: </w:t>
      </w:r>
      <w:hyperlink r:id="rId23" w:history="1">
        <w:r w:rsidRPr="00937029">
          <w:rPr>
            <w:rStyle w:val="Hyperlink"/>
            <w:sz w:val="24"/>
            <w:lang w:val="ro-RO"/>
          </w:rPr>
          <w:t>http://data.europa.eu/eli/C/2026/2151/oj</w:t>
        </w:r>
      </w:hyperlink>
      <w:r w:rsidRPr="00937029">
        <w:rPr>
          <w:sz w:val="24"/>
          <w:lang w:val="ro-RO"/>
        </w:rPr>
        <w:t>).</w:t>
      </w:r>
    </w:p>
    <w:p w:rsidR="007A0BE7" w:rsidRPr="00937029" w:rsidP="00937029" w14:paraId="4B86868D" w14:textId="628E7A16">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11 februarie 2026 referitoare la proiectul de decizie de punere în aplicare a Comisiei de autorizare a introducerii pe piață a produselor care conțin, constau în sau sunt fabricate din soia modificată genetic DBN-09004-6, în temeiul Regulamentului (CE) nr. 1829/2003 al Parlamentului European și al Consiliului (Texte adoptate, P10_TA(2026)0041).</w:t>
      </w:r>
    </w:p>
    <w:p w:rsidR="007A0BE7" w:rsidRPr="00937029" w:rsidP="00937029" w14:paraId="02E4B35E" w14:textId="0EEE8C4A">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11 februarie 2026 referitoare la proiectul de decizie de punere în aplicare a Comisiei privind reînnoirea autorizației pentru introducerea pe piață a produselor care conțin, sunt compuse sau fabricate din porumb modificat genetic T25 (ACS-ZMØØ3-2), în temeiul Regulamentului (CE) nr. 1829/2003 al Parlamentului European și al Consiliului (Texte adoptate, P10_TA(2026)0042).</w:t>
      </w:r>
    </w:p>
    <w:p w:rsidR="007A0BE7" w:rsidRPr="00937029" w:rsidP="00937029" w14:paraId="1AC1DABE" w14:textId="7088B4BE">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11 februarie 2026 referitoare la proiectul de decizie de punere în aplicare a Comisiei privind reînnoirea autorizației pentru introducerea pe piață a produselor care conțin, sunt compuse sau fabricate din bumbac modificat genetic GHB614 × LLCotton25, în temeiul Regulamentului (CE) nr. 1829/2003 al Parlamentului European și al Consiliului (Texte adoptate, P10_TA(2026)0043).</w:t>
      </w:r>
    </w:p>
    <w:p w:rsidR="007A0BE7" w:rsidRPr="00937029" w:rsidP="00937029" w14:paraId="19F16A58" w14:textId="478AD043">
      <w:pPr>
        <w:pStyle w:val="FootnoteText"/>
        <w:ind w:left="567" w:hanging="567"/>
        <w:rPr>
          <w:sz w:val="24"/>
          <w:vertAlign w:val="superscript"/>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Rezoluția Parlamentului European din 11 februarie 2026 referitoare la proiectul de decizie de punere în aplicare a Comisiei privind reînnoirea autorizației pentru introducerea pe piață a produselor care conțin, sunt compuse sau fabricate din bumbac modificat genetic T304-40, în temeiul Regulamentului (CE) nr. 1829/2003 al Parlamentului European și al Consiliului (Texte adoptate, P10_TA(2026)0044).</w:t>
      </w:r>
    </w:p>
    <w:p w:rsidR="007A0BE7" w:rsidRPr="00937029" w:rsidP="00937029" w14:paraId="5D8968BD" w14:textId="54295BEF">
      <w:pPr>
        <w:pStyle w:val="FootnoteText"/>
        <w:ind w:left="567" w:hanging="567"/>
        <w:rPr>
          <w:sz w:val="24"/>
          <w:lang w:val="ro-RO"/>
        </w:rPr>
      </w:pPr>
      <w:r w:rsidRPr="00937029">
        <w:rPr>
          <w:sz w:val="24"/>
          <w:lang w:val="ro-RO"/>
        </w:rPr>
        <w:t xml:space="preserve"> </w:t>
      </w:r>
      <w:r w:rsidRPr="00937029">
        <w:rPr>
          <w:sz w:val="24"/>
          <w:lang w:val="ro-RO"/>
        </w:rPr>
        <w:tab/>
      </w:r>
      <w:r w:rsidRPr="00937029">
        <w:rPr>
          <w:sz w:val="24"/>
          <w:lang w:val="ro-RO"/>
        </w:rPr>
        <w:t>–</w:t>
      </w:r>
      <w:r w:rsidRPr="00937029">
        <w:rPr>
          <w:sz w:val="24"/>
          <w:lang w:val="ro-RO"/>
        </w:rPr>
        <w:tab/>
        <w:t xml:space="preserve">Rezoluția Parlamentului European din 29 aprilie 2026 referitoare la proiectul de decizie de punere în aplicare a Comisiei de autorizare a introducerii pe piață a produselor care conțin, </w:t>
      </w:r>
      <w:r w:rsidRPr="00995C0A" w:rsidR="00995C0A">
        <w:rPr>
          <w:sz w:val="24"/>
          <w:lang w:val="ro-RO"/>
        </w:rPr>
        <w:t>sunt compuse</w:t>
      </w:r>
      <w:r w:rsidRPr="00937029">
        <w:rPr>
          <w:sz w:val="24"/>
          <w:lang w:val="ro-RO"/>
        </w:rPr>
        <w:t xml:space="preserve"> sau fabricate din soia modificată genetic MON 94637, în temeiul Regulamentului (CE) nr. 1829/2003 al Parlamentului European și al Consiliului (Texte adoptate, P10_TA(2026)0150).</w:t>
      </w:r>
    </w:p>
  </w:footnote>
  <w:footnote w:id="7">
    <w:p w:rsidR="007A0BE7" w:rsidRPr="00937029" w:rsidP="00937029" w14:paraId="7B841264" w14:textId="3BD94B0B">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 xml:space="preserve">Avizul </w:t>
      </w:r>
      <w:r w:rsidRPr="00AB4A28" w:rsidR="00AB4A28">
        <w:rPr>
          <w:sz w:val="24"/>
          <w:lang w:val="ro-RO"/>
        </w:rPr>
        <w:t xml:space="preserve">științific al </w:t>
      </w:r>
      <w:r w:rsidRPr="00937029">
        <w:rPr>
          <w:sz w:val="24"/>
          <w:lang w:val="ro-RO"/>
        </w:rPr>
        <w:t xml:space="preserve">EFSA, </w:t>
      </w:r>
      <w:hyperlink r:id="rId4" w:history="1">
        <w:r w:rsidRPr="00937029">
          <w:rPr>
            <w:rStyle w:val="Hyperlink"/>
            <w:sz w:val="24"/>
            <w:lang w:val="ro-RO"/>
          </w:rPr>
          <w:t>https://doi.org/10.2903/j.efsa.2025.9746</w:t>
        </w:r>
      </w:hyperlink>
      <w:r w:rsidRPr="00937029">
        <w:rPr>
          <w:sz w:val="24"/>
          <w:lang w:val="ro-RO"/>
        </w:rPr>
        <w:t>, p. 7.</w:t>
      </w:r>
    </w:p>
  </w:footnote>
  <w:footnote w:id="8">
    <w:p w:rsidR="007A0BE7" w:rsidRPr="00937029" w:rsidP="00937029" w14:paraId="14C29093" w14:textId="070A6E01">
      <w:pPr>
        <w:pStyle w:val="FootnoteText"/>
        <w:ind w:left="567" w:hanging="567"/>
        <w:rPr>
          <w:sz w:val="24"/>
          <w:lang w:val="ro-RO"/>
        </w:rPr>
      </w:pPr>
      <w:r w:rsidRPr="00937029">
        <w:rPr>
          <w:rStyle w:val="FootnoteReference"/>
          <w:sz w:val="24"/>
          <w:szCs w:val="24"/>
          <w:lang w:val="ro-RO"/>
        </w:rPr>
        <w:footnoteRef/>
      </w:r>
      <w:r w:rsidRPr="00937029" w:rsidR="00937029">
        <w:rPr>
          <w:sz w:val="24"/>
          <w:shd w:val="clear" w:color="auto" w:fill="FFFFFF"/>
          <w:lang w:val="ro-RO"/>
        </w:rPr>
        <w:t xml:space="preserve"> </w:t>
      </w:r>
      <w:r w:rsidRPr="00937029" w:rsidR="00937029">
        <w:rPr>
          <w:sz w:val="24"/>
          <w:shd w:val="clear" w:color="auto" w:fill="FFFFFF"/>
          <w:lang w:val="ro-RO"/>
        </w:rPr>
        <w:tab/>
      </w:r>
      <w:r w:rsidRPr="00937029">
        <w:rPr>
          <w:sz w:val="24"/>
          <w:shd w:val="clear" w:color="auto" w:fill="FFFFFF"/>
          <w:lang w:val="ro-RO"/>
        </w:rPr>
        <w:t xml:space="preserve">A se vedea, de exemplu: </w:t>
      </w:r>
      <w:r w:rsidRPr="00937029">
        <w:rPr>
          <w:sz w:val="24"/>
          <w:shd w:val="clear" w:color="auto" w:fill="FFFFFF"/>
          <w:lang w:val="ro-RO"/>
        </w:rPr>
        <w:t>Bonny</w:t>
      </w:r>
      <w:r w:rsidRPr="00937029">
        <w:rPr>
          <w:sz w:val="24"/>
          <w:shd w:val="clear" w:color="auto" w:fill="FFFFFF"/>
          <w:lang w:val="ro-RO"/>
        </w:rPr>
        <w:t>, S., „</w:t>
      </w:r>
      <w:r w:rsidRPr="00937029">
        <w:rPr>
          <w:sz w:val="24"/>
          <w:shd w:val="clear" w:color="auto" w:fill="FFFFFF"/>
          <w:lang w:val="ro-RO"/>
        </w:rPr>
        <w:t>Genetically</w:t>
      </w:r>
      <w:r w:rsidRPr="00937029">
        <w:rPr>
          <w:sz w:val="24"/>
          <w:shd w:val="clear" w:color="auto" w:fill="FFFFFF"/>
          <w:lang w:val="ro-RO"/>
        </w:rPr>
        <w:t xml:space="preserve"> </w:t>
      </w:r>
      <w:r w:rsidRPr="00937029">
        <w:rPr>
          <w:sz w:val="24"/>
          <w:shd w:val="clear" w:color="auto" w:fill="FFFFFF"/>
          <w:lang w:val="ro-RO"/>
        </w:rPr>
        <w:t>Modified</w:t>
      </w:r>
      <w:r w:rsidRPr="00937029">
        <w:rPr>
          <w:sz w:val="24"/>
          <w:shd w:val="clear" w:color="auto" w:fill="FFFFFF"/>
          <w:lang w:val="ro-RO"/>
        </w:rPr>
        <w:t xml:space="preserve"> </w:t>
      </w:r>
      <w:r w:rsidRPr="00937029">
        <w:rPr>
          <w:sz w:val="24"/>
          <w:shd w:val="clear" w:color="auto" w:fill="FFFFFF"/>
          <w:lang w:val="ro-RO"/>
        </w:rPr>
        <w:t>Herbicide</w:t>
      </w:r>
      <w:r w:rsidRPr="00937029">
        <w:rPr>
          <w:sz w:val="24"/>
          <w:shd w:val="clear" w:color="auto" w:fill="FFFFFF"/>
          <w:lang w:val="ro-RO"/>
        </w:rPr>
        <w:t xml:space="preserve">-Tolerant </w:t>
      </w:r>
      <w:r w:rsidRPr="00937029">
        <w:rPr>
          <w:sz w:val="24"/>
          <w:shd w:val="clear" w:color="auto" w:fill="FFFFFF"/>
          <w:lang w:val="ro-RO"/>
        </w:rPr>
        <w:t>Crops</w:t>
      </w:r>
      <w:r w:rsidRPr="00937029">
        <w:rPr>
          <w:sz w:val="24"/>
          <w:shd w:val="clear" w:color="auto" w:fill="FFFFFF"/>
          <w:lang w:val="ro-RO"/>
        </w:rPr>
        <w:t xml:space="preserve">, </w:t>
      </w:r>
      <w:r w:rsidRPr="00937029">
        <w:rPr>
          <w:sz w:val="24"/>
          <w:shd w:val="clear" w:color="auto" w:fill="FFFFFF"/>
          <w:lang w:val="ro-RO"/>
        </w:rPr>
        <w:t>Weeds</w:t>
      </w:r>
      <w:r w:rsidRPr="00937029">
        <w:rPr>
          <w:sz w:val="24"/>
          <w:shd w:val="clear" w:color="auto" w:fill="FFFFFF"/>
          <w:lang w:val="ro-RO"/>
        </w:rPr>
        <w:t xml:space="preserve">, </w:t>
      </w:r>
      <w:r w:rsidRPr="00937029">
        <w:rPr>
          <w:sz w:val="24"/>
          <w:shd w:val="clear" w:color="auto" w:fill="FFFFFF"/>
          <w:lang w:val="ro-RO"/>
        </w:rPr>
        <w:t>and</w:t>
      </w:r>
      <w:r w:rsidRPr="00937029">
        <w:rPr>
          <w:sz w:val="24"/>
          <w:shd w:val="clear" w:color="auto" w:fill="FFFFFF"/>
          <w:lang w:val="ro-RO"/>
        </w:rPr>
        <w:t xml:space="preserve"> </w:t>
      </w:r>
      <w:r w:rsidRPr="00937029">
        <w:rPr>
          <w:sz w:val="24"/>
          <w:shd w:val="clear" w:color="auto" w:fill="FFFFFF"/>
          <w:lang w:val="ro-RO"/>
        </w:rPr>
        <w:t>Herbicides</w:t>
      </w:r>
      <w:r w:rsidRPr="00937029">
        <w:rPr>
          <w:sz w:val="24"/>
          <w:shd w:val="clear" w:color="auto" w:fill="FFFFFF"/>
          <w:lang w:val="ro-RO"/>
        </w:rPr>
        <w:t xml:space="preserve">: </w:t>
      </w:r>
      <w:r w:rsidRPr="00937029">
        <w:rPr>
          <w:sz w:val="24"/>
          <w:shd w:val="clear" w:color="auto" w:fill="FFFFFF"/>
          <w:lang w:val="ro-RO"/>
        </w:rPr>
        <w:t>Overview</w:t>
      </w:r>
      <w:r w:rsidRPr="00937029">
        <w:rPr>
          <w:sz w:val="24"/>
          <w:shd w:val="clear" w:color="auto" w:fill="FFFFFF"/>
          <w:lang w:val="ro-RO"/>
        </w:rPr>
        <w:t xml:space="preserve"> </w:t>
      </w:r>
      <w:r w:rsidRPr="00937029">
        <w:rPr>
          <w:sz w:val="24"/>
          <w:shd w:val="clear" w:color="auto" w:fill="FFFFFF"/>
          <w:lang w:val="ro-RO"/>
        </w:rPr>
        <w:t>and</w:t>
      </w:r>
      <w:r w:rsidRPr="00937029">
        <w:rPr>
          <w:sz w:val="24"/>
          <w:shd w:val="clear" w:color="auto" w:fill="FFFFFF"/>
          <w:lang w:val="ro-RO"/>
        </w:rPr>
        <w:t xml:space="preserve"> Impact”, </w:t>
      </w:r>
      <w:r w:rsidRPr="00937029">
        <w:rPr>
          <w:i/>
          <w:sz w:val="24"/>
          <w:shd w:val="clear" w:color="auto" w:fill="FFFFFF"/>
          <w:lang w:val="ro-RO"/>
        </w:rPr>
        <w:t>Environmental</w:t>
      </w:r>
      <w:r w:rsidRPr="00937029">
        <w:rPr>
          <w:i/>
          <w:sz w:val="24"/>
          <w:shd w:val="clear" w:color="auto" w:fill="FFFFFF"/>
          <w:lang w:val="ro-RO"/>
        </w:rPr>
        <w:t xml:space="preserve"> Management</w:t>
      </w:r>
      <w:r w:rsidRPr="00937029">
        <w:rPr>
          <w:sz w:val="24"/>
          <w:shd w:val="clear" w:color="auto" w:fill="FFFFFF"/>
          <w:lang w:val="ro-RO"/>
        </w:rPr>
        <w:t>, ianuarie 2016; 57(1), pp. 31-48,</w:t>
      </w:r>
      <w:r w:rsidRPr="00937029">
        <w:rPr>
          <w:sz w:val="24"/>
          <w:lang w:val="ro-RO"/>
        </w:rPr>
        <w:t xml:space="preserve"> </w:t>
      </w:r>
      <w:hyperlink r:id="rId24" w:history="1">
        <w:r w:rsidRPr="00937029">
          <w:rPr>
            <w:rStyle w:val="Hyperlink"/>
            <w:sz w:val="24"/>
            <w:shd w:val="clear" w:color="auto" w:fill="FFFFFF"/>
            <w:lang w:val="ro-RO"/>
          </w:rPr>
          <w:t>https://doi.org/10.1007/s00267-015-0589-7</w:t>
        </w:r>
      </w:hyperlink>
      <w:r w:rsidRPr="00937029">
        <w:rPr>
          <w:sz w:val="24"/>
          <w:shd w:val="clear" w:color="auto" w:fill="FFFFFF"/>
          <w:lang w:val="ro-RO"/>
        </w:rPr>
        <w:t xml:space="preserve"> și </w:t>
      </w:r>
      <w:r w:rsidRPr="00937029">
        <w:rPr>
          <w:sz w:val="24"/>
          <w:shd w:val="clear" w:color="auto" w:fill="FFFFFF"/>
          <w:lang w:val="ro-RO"/>
        </w:rPr>
        <w:t>Benbrook</w:t>
      </w:r>
      <w:r w:rsidRPr="00937029">
        <w:rPr>
          <w:sz w:val="24"/>
          <w:shd w:val="clear" w:color="auto" w:fill="FFFFFF"/>
          <w:lang w:val="ro-RO"/>
        </w:rPr>
        <w:t>, C.M., „</w:t>
      </w:r>
      <w:r w:rsidRPr="00937029">
        <w:rPr>
          <w:sz w:val="24"/>
          <w:shd w:val="clear" w:color="auto" w:fill="FFFFFF"/>
          <w:lang w:val="ro-RO"/>
        </w:rPr>
        <w:t>Impacts</w:t>
      </w:r>
      <w:r w:rsidRPr="00937029">
        <w:rPr>
          <w:sz w:val="24"/>
          <w:shd w:val="clear" w:color="auto" w:fill="FFFFFF"/>
          <w:lang w:val="ro-RO"/>
        </w:rPr>
        <w:t xml:space="preserve"> of </w:t>
      </w:r>
      <w:r w:rsidRPr="00937029">
        <w:rPr>
          <w:sz w:val="24"/>
          <w:shd w:val="clear" w:color="auto" w:fill="FFFFFF"/>
          <w:lang w:val="ro-RO"/>
        </w:rPr>
        <w:t>genetically</w:t>
      </w:r>
      <w:r w:rsidRPr="00937029">
        <w:rPr>
          <w:sz w:val="24"/>
          <w:shd w:val="clear" w:color="auto" w:fill="FFFFFF"/>
          <w:lang w:val="ro-RO"/>
        </w:rPr>
        <w:t xml:space="preserve"> </w:t>
      </w:r>
      <w:r w:rsidRPr="00937029">
        <w:rPr>
          <w:sz w:val="24"/>
          <w:shd w:val="clear" w:color="auto" w:fill="FFFFFF"/>
          <w:lang w:val="ro-RO"/>
        </w:rPr>
        <w:t>engineered</w:t>
      </w:r>
      <w:r w:rsidRPr="00937029">
        <w:rPr>
          <w:sz w:val="24"/>
          <w:shd w:val="clear" w:color="auto" w:fill="FFFFFF"/>
          <w:lang w:val="ro-RO"/>
        </w:rPr>
        <w:t xml:space="preserve"> </w:t>
      </w:r>
      <w:r w:rsidRPr="00937029">
        <w:rPr>
          <w:sz w:val="24"/>
          <w:shd w:val="clear" w:color="auto" w:fill="FFFFFF"/>
          <w:lang w:val="ro-RO"/>
        </w:rPr>
        <w:t>crops</w:t>
      </w:r>
      <w:r w:rsidRPr="00937029">
        <w:rPr>
          <w:sz w:val="24"/>
          <w:shd w:val="clear" w:color="auto" w:fill="FFFFFF"/>
          <w:lang w:val="ro-RO"/>
        </w:rPr>
        <w:t xml:space="preserve"> on pesticide </w:t>
      </w:r>
      <w:r w:rsidRPr="00937029">
        <w:rPr>
          <w:sz w:val="24"/>
          <w:shd w:val="clear" w:color="auto" w:fill="FFFFFF"/>
          <w:lang w:val="ro-RO"/>
        </w:rPr>
        <w:t>use</w:t>
      </w:r>
      <w:r w:rsidRPr="00937029">
        <w:rPr>
          <w:sz w:val="24"/>
          <w:shd w:val="clear" w:color="auto" w:fill="FFFFFF"/>
          <w:lang w:val="ro-RO"/>
        </w:rPr>
        <w:t xml:space="preserve"> in </w:t>
      </w:r>
      <w:r w:rsidRPr="00937029">
        <w:rPr>
          <w:sz w:val="24"/>
          <w:shd w:val="clear" w:color="auto" w:fill="FFFFFF"/>
          <w:lang w:val="ro-RO"/>
        </w:rPr>
        <w:t>the</w:t>
      </w:r>
      <w:r w:rsidRPr="00937029">
        <w:rPr>
          <w:sz w:val="24"/>
          <w:shd w:val="clear" w:color="auto" w:fill="FFFFFF"/>
          <w:lang w:val="ro-RO"/>
        </w:rPr>
        <w:t xml:space="preserve"> U.S. – </w:t>
      </w:r>
      <w:r w:rsidRPr="00937029">
        <w:rPr>
          <w:sz w:val="24"/>
          <w:shd w:val="clear" w:color="auto" w:fill="FFFFFF"/>
          <w:lang w:val="ro-RO"/>
        </w:rPr>
        <w:t>the</w:t>
      </w:r>
      <w:r w:rsidRPr="00937029">
        <w:rPr>
          <w:sz w:val="24"/>
          <w:shd w:val="clear" w:color="auto" w:fill="FFFFFF"/>
          <w:lang w:val="ro-RO"/>
        </w:rPr>
        <w:t xml:space="preserve"> </w:t>
      </w:r>
      <w:r w:rsidRPr="00937029">
        <w:rPr>
          <w:sz w:val="24"/>
          <w:shd w:val="clear" w:color="auto" w:fill="FFFFFF"/>
          <w:lang w:val="ro-RO"/>
        </w:rPr>
        <w:t>first</w:t>
      </w:r>
      <w:r w:rsidRPr="00937029">
        <w:rPr>
          <w:sz w:val="24"/>
          <w:shd w:val="clear" w:color="auto" w:fill="FFFFFF"/>
          <w:lang w:val="ro-RO"/>
        </w:rPr>
        <w:t xml:space="preserve"> </w:t>
      </w:r>
      <w:r w:rsidRPr="00937029">
        <w:rPr>
          <w:sz w:val="24"/>
          <w:shd w:val="clear" w:color="auto" w:fill="FFFFFF"/>
          <w:lang w:val="ro-RO"/>
        </w:rPr>
        <w:t>sixteen</w:t>
      </w:r>
      <w:r w:rsidRPr="00937029">
        <w:rPr>
          <w:sz w:val="24"/>
          <w:shd w:val="clear" w:color="auto" w:fill="FFFFFF"/>
          <w:lang w:val="ro-RO"/>
        </w:rPr>
        <w:t xml:space="preserve"> </w:t>
      </w:r>
      <w:r w:rsidRPr="00937029">
        <w:rPr>
          <w:sz w:val="24"/>
          <w:shd w:val="clear" w:color="auto" w:fill="FFFFFF"/>
          <w:lang w:val="ro-RO"/>
        </w:rPr>
        <w:t>years</w:t>
      </w:r>
      <w:r w:rsidRPr="00937029">
        <w:rPr>
          <w:sz w:val="24"/>
          <w:shd w:val="clear" w:color="auto" w:fill="FFFFFF"/>
          <w:lang w:val="ro-RO"/>
        </w:rPr>
        <w:t xml:space="preserve">”, </w:t>
      </w:r>
      <w:r w:rsidRPr="00937029">
        <w:rPr>
          <w:i/>
          <w:sz w:val="24"/>
          <w:shd w:val="clear" w:color="auto" w:fill="FFFFFF"/>
          <w:lang w:val="ro-RO"/>
        </w:rPr>
        <w:t>Environmental</w:t>
      </w:r>
      <w:r w:rsidRPr="00937029">
        <w:rPr>
          <w:i/>
          <w:sz w:val="24"/>
          <w:shd w:val="clear" w:color="auto" w:fill="FFFFFF"/>
          <w:lang w:val="ro-RO"/>
        </w:rPr>
        <w:t xml:space="preserve"> </w:t>
      </w:r>
      <w:r w:rsidRPr="00937029">
        <w:rPr>
          <w:i/>
          <w:sz w:val="24"/>
          <w:shd w:val="clear" w:color="auto" w:fill="FFFFFF"/>
          <w:lang w:val="ro-RO"/>
        </w:rPr>
        <w:t>Sciences</w:t>
      </w:r>
      <w:r w:rsidRPr="00937029">
        <w:rPr>
          <w:i/>
          <w:sz w:val="24"/>
          <w:shd w:val="clear" w:color="auto" w:fill="FFFFFF"/>
          <w:lang w:val="ro-RO"/>
        </w:rPr>
        <w:t xml:space="preserve"> Europe</w:t>
      </w:r>
      <w:r w:rsidRPr="00937029">
        <w:rPr>
          <w:sz w:val="24"/>
          <w:shd w:val="clear" w:color="auto" w:fill="FFFFFF"/>
          <w:lang w:val="ro-RO"/>
        </w:rPr>
        <w:t>, 28 septembrie 2012, vol. 24(1),</w:t>
      </w:r>
      <w:r w:rsidRPr="00937029">
        <w:rPr>
          <w:sz w:val="24"/>
          <w:lang w:val="ro-RO"/>
        </w:rPr>
        <w:t xml:space="preserve"> </w:t>
      </w:r>
      <w:hyperlink r:id="rId25" w:history="1">
        <w:r w:rsidRPr="00937029">
          <w:rPr>
            <w:rStyle w:val="Hyperlink"/>
            <w:sz w:val="24"/>
            <w:lang w:val="ro-RO"/>
          </w:rPr>
          <w:t>https://doi.org/10.1186/2190-4715-24-24</w:t>
        </w:r>
      </w:hyperlink>
      <w:r w:rsidRPr="00937029">
        <w:rPr>
          <w:sz w:val="24"/>
          <w:lang w:val="ro-RO"/>
        </w:rPr>
        <w:t>.</w:t>
      </w:r>
    </w:p>
  </w:footnote>
  <w:footnote w:id="9">
    <w:p w:rsidR="007A0BE7" w:rsidRPr="00937029" w:rsidP="00937029" w14:paraId="07310FD4" w14:textId="5C756758">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Regulamentul (CE) nr. 1107/2009 al Parlamentului European și al Consiliului din 21 octombrie 2009 privind introducerea pe piață a produselor fitosanitare și de abrogare a Directivelor 79/117/CEE și 91/414/CEE ale Consiliului (JO L 309, 24.11.2009, p. 1, ELI: </w:t>
      </w:r>
      <w:hyperlink r:id="rId26" w:tooltip="Oferă acces la acest document prin identificatorul său uniform de resurse ELI." w:history="1">
        <w:r w:rsidRPr="00937029">
          <w:rPr>
            <w:rStyle w:val="Hyperlink"/>
            <w:sz w:val="24"/>
            <w:lang w:val="ro-RO"/>
          </w:rPr>
          <w:t>http://data.europa.eu/eli/reg/2009/1107/oj</w:t>
        </w:r>
      </w:hyperlink>
      <w:r w:rsidRPr="00937029">
        <w:rPr>
          <w:sz w:val="24"/>
          <w:lang w:val="ro-RO"/>
        </w:rPr>
        <w:t>).</w:t>
      </w:r>
    </w:p>
  </w:footnote>
  <w:footnote w:id="10">
    <w:p w:rsidR="007A0BE7" w:rsidRPr="00937029" w:rsidP="00937029" w14:paraId="0038E2E1" w14:textId="041D5B26">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hyperlink r:id="rId27" w:history="1">
        <w:r w:rsidRPr="00036B39" w:rsidR="00AB4A28">
          <w:rPr>
            <w:rStyle w:val="Hyperlink"/>
            <w:sz w:val="24"/>
            <w:szCs w:val="24"/>
            <w:lang w:val="ro-RO"/>
          </w:rPr>
          <w:t>https://ec.europa.eu/food/plant/pesticides/eu-pesticides-database/start/screen/active-substances/details/79</w:t>
        </w:r>
      </w:hyperlink>
      <w:r w:rsidRPr="00036B39" w:rsidR="00AB4A28">
        <w:rPr>
          <w:sz w:val="24"/>
          <w:szCs w:val="24"/>
          <w:lang w:val="ro-RO"/>
        </w:rPr>
        <w:t>.</w:t>
      </w:r>
    </w:p>
  </w:footnote>
  <w:footnote w:id="11">
    <w:p w:rsidR="007A0BE7" w:rsidRPr="00937029" w:rsidP="00937029" w14:paraId="21648152" w14:textId="1C92D930">
      <w:pPr>
        <w:pStyle w:val="FootnoteText"/>
        <w:ind w:left="567" w:hanging="567"/>
        <w:rPr>
          <w:sz w:val="24"/>
          <w:lang w:val="ro-RO"/>
        </w:rPr>
      </w:pPr>
      <w:r w:rsidRPr="00937029">
        <w:rPr>
          <w:rStyle w:val="FootnoteReference"/>
          <w:sz w:val="24"/>
          <w:lang w:val="ro-RO"/>
        </w:rPr>
        <w:footnoteRef/>
      </w:r>
      <w:r w:rsidRPr="00937029" w:rsidR="00937029">
        <w:rPr>
          <w:sz w:val="24"/>
          <w:shd w:val="clear" w:color="auto" w:fill="FFFFFF"/>
          <w:lang w:val="ro-RO"/>
        </w:rPr>
        <w:t xml:space="preserve"> </w:t>
      </w:r>
      <w:r w:rsidRPr="00937029" w:rsidR="00937029">
        <w:rPr>
          <w:sz w:val="24"/>
          <w:shd w:val="clear" w:color="auto" w:fill="FFFFFF"/>
          <w:lang w:val="ro-RO"/>
        </w:rPr>
        <w:tab/>
      </w:r>
      <w:r w:rsidRPr="00937029">
        <w:rPr>
          <w:sz w:val="24"/>
          <w:shd w:val="clear" w:color="auto" w:fill="FFFFFF"/>
          <w:lang w:val="ro-RO"/>
        </w:rPr>
        <w:t xml:space="preserve">A se vedea, de exemplu, </w:t>
      </w:r>
      <w:hyperlink r:id="rId28" w:history="1">
        <w:r w:rsidRPr="00937029">
          <w:rPr>
            <w:rStyle w:val="Hyperlink"/>
            <w:sz w:val="24"/>
            <w:lang w:val="ro-RO"/>
          </w:rPr>
          <w:t>https://doi.org/10.1016/j.mrrev.2019.02.001</w:t>
        </w:r>
      </w:hyperlink>
      <w:r w:rsidRPr="00937029">
        <w:rPr>
          <w:sz w:val="24"/>
          <w:lang w:val="ro-RO"/>
        </w:rPr>
        <w:t xml:space="preserve">, </w:t>
      </w:r>
      <w:hyperlink r:id="rId29" w:history="1">
        <w:r w:rsidRPr="00937029">
          <w:rPr>
            <w:rStyle w:val="Hyperlink"/>
            <w:sz w:val="24"/>
            <w:lang w:val="ro-RO"/>
          </w:rPr>
          <w:t>https://doi.org/10.1093/ije/dyz017</w:t>
        </w:r>
      </w:hyperlink>
      <w:r w:rsidRPr="00937029">
        <w:rPr>
          <w:sz w:val="24"/>
          <w:lang w:val="ro-RO"/>
        </w:rPr>
        <w:t xml:space="preserve">, </w:t>
      </w:r>
      <w:hyperlink r:id="rId30" w:history="1">
        <w:r w:rsidRPr="00937029">
          <w:rPr>
            <w:rStyle w:val="Hyperlink"/>
            <w:sz w:val="24"/>
            <w:lang w:val="ro-RO"/>
          </w:rPr>
          <w:t>https://doi.org/10.1371/journal.pone.0219610</w:t>
        </w:r>
      </w:hyperlink>
      <w:r w:rsidRPr="00937029">
        <w:rPr>
          <w:sz w:val="24"/>
          <w:lang w:val="ro-RO"/>
        </w:rPr>
        <w:t xml:space="preserve"> și </w:t>
      </w:r>
      <w:hyperlink r:id="rId31" w:history="1">
        <w:r w:rsidRPr="00937029">
          <w:rPr>
            <w:rStyle w:val="Hyperlink"/>
            <w:sz w:val="24"/>
            <w:lang w:val="ro-RO"/>
          </w:rPr>
          <w:t>https://doi.org/10.1186/s13045-019-0767-9</w:t>
        </w:r>
      </w:hyperlink>
      <w:r w:rsidRPr="00937029">
        <w:rPr>
          <w:sz w:val="24"/>
          <w:lang w:val="ro-RO"/>
        </w:rPr>
        <w:t>.</w:t>
      </w:r>
    </w:p>
  </w:footnote>
  <w:footnote w:id="12">
    <w:p w:rsidR="007A0BE7" w:rsidRPr="00937029" w:rsidP="00937029" w14:paraId="27C1E761" w14:textId="012C97D9">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hyperlink r:id="rId32" w:tgtFrame="_blank" w:tooltip="Link permanent care folosește un identificator de obiect digital" w:history="1">
        <w:r w:rsidRPr="00937029">
          <w:rPr>
            <w:rStyle w:val="Hyperlink"/>
            <w:sz w:val="24"/>
            <w:lang w:val="ro-RO"/>
          </w:rPr>
          <w:t>https://doi.org/10.1006/rtph.1999.1371</w:t>
        </w:r>
      </w:hyperlink>
      <w:r w:rsidRPr="00937029">
        <w:rPr>
          <w:sz w:val="24"/>
          <w:lang w:val="ro-RO"/>
        </w:rPr>
        <w:t>.</w:t>
      </w:r>
    </w:p>
  </w:footnote>
  <w:footnote w:id="13">
    <w:p w:rsidR="007A0BE7" w:rsidRPr="00937029" w:rsidP="00937029" w14:paraId="54D64C21" w14:textId="2B13F886">
      <w:pPr>
        <w:pStyle w:val="FootnoteText"/>
        <w:ind w:left="567" w:hanging="567"/>
        <w:rPr>
          <w:sz w:val="24"/>
          <w:lang w:val="ro-RO"/>
        </w:rPr>
      </w:pPr>
      <w:r w:rsidRPr="00937029">
        <w:rPr>
          <w:rStyle w:val="FootnoteReference"/>
          <w:sz w:val="24"/>
          <w:lang w:val="ro-RO"/>
        </w:rPr>
        <w:footnoteRef/>
      </w:r>
      <w:r w:rsidRPr="00937029" w:rsidR="00937029">
        <w:rPr>
          <w:sz w:val="24"/>
          <w:shd w:val="clear" w:color="auto" w:fill="FFFFFF"/>
          <w:lang w:val="ro-RO"/>
        </w:rPr>
        <w:t xml:space="preserve"> </w:t>
      </w:r>
      <w:r w:rsidRPr="00937029" w:rsidR="00937029">
        <w:rPr>
          <w:sz w:val="24"/>
          <w:shd w:val="clear" w:color="auto" w:fill="FFFFFF"/>
          <w:lang w:val="ro-RO"/>
        </w:rPr>
        <w:tab/>
      </w:r>
      <w:r w:rsidRPr="00937029">
        <w:rPr>
          <w:sz w:val="24"/>
          <w:shd w:val="clear" w:color="auto" w:fill="FFFFFF"/>
          <w:lang w:val="ro-RO"/>
        </w:rPr>
        <w:t>Lurquin</w:t>
      </w:r>
      <w:r w:rsidRPr="00937029">
        <w:rPr>
          <w:sz w:val="24"/>
          <w:shd w:val="clear" w:color="auto" w:fill="FFFFFF"/>
          <w:lang w:val="ro-RO"/>
        </w:rPr>
        <w:t>, P.F., „</w:t>
      </w:r>
      <w:r w:rsidRPr="00937029">
        <w:rPr>
          <w:sz w:val="24"/>
          <w:shd w:val="clear" w:color="auto" w:fill="FFFFFF"/>
          <w:lang w:val="ro-RO"/>
        </w:rPr>
        <w:t>Production</w:t>
      </w:r>
      <w:r w:rsidRPr="00937029">
        <w:rPr>
          <w:sz w:val="24"/>
          <w:shd w:val="clear" w:color="auto" w:fill="FFFFFF"/>
          <w:lang w:val="ro-RO"/>
        </w:rPr>
        <w:t xml:space="preserve"> of a toxic </w:t>
      </w:r>
      <w:r w:rsidRPr="00937029">
        <w:rPr>
          <w:sz w:val="24"/>
          <w:shd w:val="clear" w:color="auto" w:fill="FFFFFF"/>
          <w:lang w:val="ro-RO"/>
        </w:rPr>
        <w:t>metabolite</w:t>
      </w:r>
      <w:r w:rsidRPr="00937029">
        <w:rPr>
          <w:sz w:val="24"/>
          <w:shd w:val="clear" w:color="auto" w:fill="FFFFFF"/>
          <w:lang w:val="ro-RO"/>
        </w:rPr>
        <w:t xml:space="preserve"> in 2, 4-D-resistant GM crop </w:t>
      </w:r>
      <w:r w:rsidRPr="00937029">
        <w:rPr>
          <w:sz w:val="24"/>
          <w:shd w:val="clear" w:color="auto" w:fill="FFFFFF"/>
          <w:lang w:val="ro-RO"/>
        </w:rPr>
        <w:t>plants</w:t>
      </w:r>
      <w:r w:rsidRPr="00937029">
        <w:rPr>
          <w:sz w:val="24"/>
          <w:shd w:val="clear" w:color="auto" w:fill="FFFFFF"/>
          <w:lang w:val="ro-RO"/>
        </w:rPr>
        <w:t xml:space="preserve">”, </w:t>
      </w:r>
      <w:r w:rsidRPr="00937029">
        <w:rPr>
          <w:i/>
          <w:sz w:val="24"/>
          <w:shd w:val="clear" w:color="auto" w:fill="FFFFFF"/>
          <w:lang w:val="ro-RO"/>
        </w:rPr>
        <w:t xml:space="preserve">3 </w:t>
      </w:r>
      <w:r w:rsidRPr="00937029">
        <w:rPr>
          <w:i/>
          <w:sz w:val="24"/>
          <w:shd w:val="clear" w:color="auto" w:fill="FFFFFF"/>
          <w:lang w:val="ro-RO"/>
        </w:rPr>
        <w:t>Biotech</w:t>
      </w:r>
      <w:r w:rsidRPr="00937029">
        <w:rPr>
          <w:sz w:val="24"/>
          <w:shd w:val="clear" w:color="auto" w:fill="FFFFFF"/>
          <w:lang w:val="ro-RO"/>
        </w:rPr>
        <w:t xml:space="preserve"> 6, 82 (2016), </w:t>
      </w:r>
      <w:hyperlink r:id="rId33" w:history="1">
        <w:r w:rsidRPr="00937029">
          <w:rPr>
            <w:rStyle w:val="Hyperlink"/>
            <w:sz w:val="24"/>
            <w:shd w:val="clear" w:color="auto" w:fill="FCFCFC"/>
            <w:lang w:val="ro-RO"/>
          </w:rPr>
          <w:t>https://doi.org/10.1007/s13205-016-0387-9</w:t>
        </w:r>
      </w:hyperlink>
      <w:r w:rsidRPr="00937029">
        <w:rPr>
          <w:sz w:val="24"/>
          <w:lang w:val="ro-RO"/>
        </w:rPr>
        <w:t>.</w:t>
      </w:r>
    </w:p>
  </w:footnote>
  <w:footnote w:id="14">
    <w:p w:rsidR="007A0BE7" w:rsidRPr="00937029" w:rsidP="00937029" w14:paraId="3C336A4D" w14:textId="0C11D986">
      <w:pPr>
        <w:pStyle w:val="FootnoteText"/>
        <w:ind w:left="567" w:hanging="567"/>
        <w:rPr>
          <w:sz w:val="24"/>
          <w:lang w:val="ro-RO"/>
        </w:rPr>
      </w:pPr>
      <w:r w:rsidRPr="00937029">
        <w:rPr>
          <w:rStyle w:val="FootnoteReference"/>
          <w:sz w:val="24"/>
          <w:lang w:val="ro-RO"/>
        </w:rPr>
        <w:footnoteRef/>
      </w:r>
      <w:r w:rsidRPr="00937029" w:rsidR="00937029">
        <w:rPr>
          <w:sz w:val="24"/>
          <w:shd w:val="clear" w:color="auto" w:fill="FFFFFF"/>
          <w:lang w:val="ro-RO"/>
        </w:rPr>
        <w:t xml:space="preserve"> </w:t>
      </w:r>
      <w:r w:rsidRPr="00937029" w:rsidR="00937029">
        <w:rPr>
          <w:sz w:val="24"/>
          <w:shd w:val="clear" w:color="auto" w:fill="FFFFFF"/>
          <w:lang w:val="ro-RO"/>
        </w:rPr>
        <w:tab/>
      </w:r>
      <w:r w:rsidRPr="00937029">
        <w:rPr>
          <w:sz w:val="24"/>
          <w:shd w:val="clear" w:color="auto" w:fill="FFFFFF"/>
          <w:lang w:val="ro-RO"/>
        </w:rPr>
        <w:t xml:space="preserve">Acest lucru este într-adevăr valabil în cazul </w:t>
      </w:r>
      <w:r w:rsidRPr="00937029">
        <w:rPr>
          <w:sz w:val="24"/>
          <w:shd w:val="clear" w:color="auto" w:fill="FFFFFF"/>
          <w:lang w:val="ro-RO"/>
        </w:rPr>
        <w:t>glifosatului</w:t>
      </w:r>
      <w:r w:rsidRPr="00937029">
        <w:rPr>
          <w:sz w:val="24"/>
          <w:shd w:val="clear" w:color="auto" w:fill="FFFFFF"/>
          <w:lang w:val="ro-RO"/>
        </w:rPr>
        <w:t xml:space="preserve">, astfel cum se afirmă în avizul motivat al EFSA privind revizuirea reziduurilor maxime existente de </w:t>
      </w:r>
      <w:r w:rsidRPr="00937029">
        <w:rPr>
          <w:sz w:val="24"/>
          <w:shd w:val="clear" w:color="auto" w:fill="FFFFFF"/>
          <w:lang w:val="ro-RO"/>
        </w:rPr>
        <w:t>glifosat</w:t>
      </w:r>
      <w:r w:rsidRPr="00937029">
        <w:rPr>
          <w:sz w:val="24"/>
          <w:shd w:val="clear" w:color="auto" w:fill="FFFFFF"/>
          <w:lang w:val="ro-RO"/>
        </w:rPr>
        <w:t xml:space="preserve"> în conformitate cu articolul 12 din Regulamentul (CE) nr. 396/2005, </w:t>
      </w:r>
      <w:r w:rsidRPr="00937029">
        <w:rPr>
          <w:i/>
          <w:sz w:val="24"/>
          <w:shd w:val="clear" w:color="auto" w:fill="FFFFFF"/>
          <w:lang w:val="ro-RO"/>
        </w:rPr>
        <w:t>EFSA Journal</w:t>
      </w:r>
      <w:r w:rsidRPr="00937029">
        <w:rPr>
          <w:sz w:val="24"/>
          <w:shd w:val="clear" w:color="auto" w:fill="FFFFFF"/>
          <w:lang w:val="ro-RO"/>
        </w:rPr>
        <w:t xml:space="preserve">, 2018, 16(5):e5263, p. 12, </w:t>
      </w:r>
      <w:hyperlink r:id="rId34" w:history="1">
        <w:r w:rsidRPr="00937029">
          <w:rPr>
            <w:rStyle w:val="Hyperlink"/>
            <w:sz w:val="24"/>
            <w:lang w:val="ro-RO"/>
          </w:rPr>
          <w:t>https://doi.org/10.2903/j.efsa.2018.5263</w:t>
        </w:r>
      </w:hyperlink>
      <w:r w:rsidRPr="00937029">
        <w:rPr>
          <w:sz w:val="24"/>
          <w:lang w:val="ro-RO"/>
        </w:rPr>
        <w:t>.</w:t>
      </w:r>
    </w:p>
  </w:footnote>
  <w:footnote w:id="15">
    <w:p w:rsidR="007A0BE7" w:rsidRPr="00937029" w:rsidP="00937029" w14:paraId="1B81DD6C" w14:textId="602EECDC">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 xml:space="preserve">JO L 282, 19.10.2016, p. 4. </w:t>
      </w:r>
    </w:p>
  </w:footnote>
  <w:footnote w:id="16">
    <w:p w:rsidR="007A0BE7" w:rsidRPr="00937029" w:rsidP="00937029" w14:paraId="60183CB8" w14:textId="06B9EE91">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JO L 309, 13.12.1993, p. 3, ELI: </w:t>
      </w:r>
      <w:hyperlink r:id="rId35" w:tooltip="Oferă acces la acest document prin identificatorul său uniform de resurse ELI." w:history="1">
        <w:r w:rsidRPr="00937029">
          <w:rPr>
            <w:rStyle w:val="Hyperlink"/>
            <w:sz w:val="24"/>
            <w:lang w:val="ro-RO"/>
          </w:rPr>
          <w:t>http://data.europa.eu/eli/convention/1993/626/oj</w:t>
        </w:r>
      </w:hyperlink>
      <w:r w:rsidRPr="00937029">
        <w:rPr>
          <w:sz w:val="24"/>
          <w:lang w:val="ro-RO"/>
        </w:rPr>
        <w:t>.</w:t>
      </w:r>
    </w:p>
  </w:footnote>
  <w:footnote w:id="17">
    <w:p w:rsidR="007A0BE7" w:rsidRPr="00937029" w:rsidP="00937029" w14:paraId="1CDE396F" w14:textId="3FFCE5FF">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În decembrie 2022, a fost convenit un cadru mondial pentru biodiversitate la COP15 la CBD a ONU, care cuprinde o țintă mondială de reducere a riscului asociat pesticidelor cu cel puțin 50 % până în 2030 (a se vedea:</w:t>
      </w:r>
      <w:r w:rsidRPr="00937029">
        <w:rPr>
          <w:color w:val="000000" w:themeColor="text1"/>
          <w:sz w:val="24"/>
          <w:lang w:val="ro-RO"/>
        </w:rPr>
        <w:t xml:space="preserve"> </w:t>
      </w:r>
      <w:hyperlink r:id="rId36" w:history="1">
        <w:r w:rsidRPr="00937029">
          <w:rPr>
            <w:rStyle w:val="Hyperlink"/>
            <w:sz w:val="24"/>
            <w:lang w:val="ro-RO"/>
          </w:rPr>
          <w:t>https://ec.europa.eu/commission/presscorner/detail/ro/ip_22_7834</w:t>
        </w:r>
      </w:hyperlink>
      <w:r w:rsidRPr="00937029">
        <w:rPr>
          <w:sz w:val="24"/>
          <w:lang w:val="ro-RO"/>
        </w:rPr>
        <w:t xml:space="preserve">). </w:t>
      </w:r>
    </w:p>
  </w:footnote>
  <w:footnote w:id="18">
    <w:p w:rsidR="007A0BE7" w:rsidRPr="00937029" w:rsidP="00937029" w14:paraId="144E21F5" w14:textId="5FBC5ABB">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hyperlink r:id="rId37" w:history="1">
        <w:r w:rsidRPr="00937029">
          <w:rPr>
            <w:rStyle w:val="Hyperlink"/>
            <w:sz w:val="24"/>
            <w:lang w:val="ro-RO"/>
          </w:rPr>
          <w:t>https://commission.europa.eu/topics/agriculture-and-rural-development/strategic-dialogue-future-eu-agriculture_ro</w:t>
        </w:r>
      </w:hyperlink>
      <w:r w:rsidRPr="00937029">
        <w:rPr>
          <w:rStyle w:val="Hyperlink"/>
          <w:sz w:val="24"/>
          <w:lang w:val="ro-RO"/>
        </w:rPr>
        <w:t>.</w:t>
      </w:r>
      <w:r w:rsidRPr="00937029">
        <w:rPr>
          <w:sz w:val="24"/>
          <w:lang w:val="ro-RO"/>
        </w:rPr>
        <w:t xml:space="preserve"> </w:t>
      </w:r>
    </w:p>
  </w:footnote>
  <w:footnote w:id="19">
    <w:p w:rsidR="007A0BE7" w:rsidRPr="00937029" w:rsidP="00937029" w14:paraId="14796430" w14:textId="68EB3191">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r w:rsidRPr="00937029">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w:t>
      </w:r>
      <w:hyperlink r:id="rId38" w:tooltip="Oferă acces la acest document prin identificatorul său uniform de resurse ELI." w:history="1">
        <w:r w:rsidRPr="00937029">
          <w:rPr>
            <w:rStyle w:val="Hyperlink"/>
            <w:sz w:val="24"/>
            <w:lang w:val="ro-RO"/>
          </w:rPr>
          <w:t>http://data.europa.eu/eli/reg/2002/178/oj</w:t>
        </w:r>
      </w:hyperlink>
      <w:r w:rsidRPr="00937029">
        <w:rPr>
          <w:sz w:val="24"/>
          <w:lang w:val="ro-RO"/>
        </w:rPr>
        <w:t>).</w:t>
      </w:r>
    </w:p>
  </w:footnote>
  <w:footnote w:id="20">
    <w:p w:rsidR="007A0BE7" w:rsidRPr="00937029" w:rsidP="00937029" w14:paraId="1005310D" w14:textId="007F9177">
      <w:pPr>
        <w:pStyle w:val="FootnoteText"/>
        <w:ind w:left="567" w:hanging="567"/>
        <w:rPr>
          <w:sz w:val="24"/>
          <w:lang w:val="ro-RO"/>
        </w:rPr>
      </w:pPr>
      <w:r w:rsidRPr="00937029">
        <w:rPr>
          <w:rStyle w:val="FootnoteReference"/>
          <w:sz w:val="24"/>
          <w:lang w:val="ro-RO"/>
        </w:rPr>
        <w:footnoteRef/>
      </w:r>
      <w:r w:rsidRPr="00937029" w:rsidR="00937029">
        <w:rPr>
          <w:sz w:val="24"/>
          <w:lang w:val="ro-RO"/>
        </w:rPr>
        <w:t xml:space="preserve"> </w:t>
      </w:r>
      <w:r w:rsidRPr="00937029" w:rsidR="00937029">
        <w:rPr>
          <w:sz w:val="24"/>
          <w:lang w:val="ro-RO"/>
        </w:rPr>
        <w:tab/>
      </w:r>
      <w:hyperlink r:id="rId39" w:history="1">
        <w:r w:rsidRPr="00937029">
          <w:rPr>
            <w:rStyle w:val="Hyperlink"/>
            <w:sz w:val="24"/>
            <w:shd w:val="clear" w:color="auto" w:fill="FFFFFF"/>
            <w:lang w:val="ro-RO"/>
          </w:rPr>
          <w:t>https://tillymetz.lu/wp-content/uploads/2020/09/Co-signed-letter-MEP-Metz.pdf</w:t>
        </w:r>
      </w:hyperlink>
      <w:r w:rsidRPr="00937029">
        <w:rPr>
          <w:sz w:val="24"/>
          <w:lang w:val="ro-RO"/>
        </w:rPr>
        <w:t>.</w:t>
      </w:r>
      <w:r w:rsidRPr="00937029">
        <w:rPr>
          <w:sz w:val="24"/>
          <w:shd w:val="clear" w:color="auto" w:fill="FFFFFF"/>
          <w:lang w:val="ro-RO"/>
        </w:rPr>
        <w:t xml:space="preserve"> </w:t>
      </w:r>
    </w:p>
  </w:footnote>
  <w:footnote w:id="21">
    <w:p w:rsidR="007A0BE7" w:rsidRPr="00937029" w:rsidP="00937029" w14:paraId="32376843" w14:textId="5AD1B716">
      <w:pPr>
        <w:pStyle w:val="FootnoteText"/>
        <w:ind w:left="567" w:hanging="567"/>
        <w:rPr>
          <w:sz w:val="24"/>
          <w:lang w:val="ro-RO"/>
        </w:rPr>
      </w:pPr>
      <w:r w:rsidRPr="00937029">
        <w:rPr>
          <w:rStyle w:val="FootnoteReference"/>
          <w:sz w:val="24"/>
          <w:lang w:val="ro-RO"/>
        </w:rPr>
        <w:footnoteRef/>
      </w:r>
      <w:r w:rsidRPr="00937029" w:rsidR="00937029">
        <w:rPr>
          <w:sz w:val="24"/>
          <w:shd w:val="clear" w:color="auto" w:fill="FFFFFF"/>
          <w:lang w:val="ro-RO"/>
        </w:rPr>
        <w:t xml:space="preserve"> </w:t>
      </w:r>
      <w:r w:rsidRPr="00937029" w:rsidR="00937029">
        <w:rPr>
          <w:sz w:val="24"/>
          <w:shd w:val="clear" w:color="auto" w:fill="FFFFFF"/>
          <w:lang w:val="ro-RO"/>
        </w:rPr>
        <w:tab/>
      </w:r>
      <w:r w:rsidRPr="00937029">
        <w:rPr>
          <w:sz w:val="24"/>
          <w:shd w:val="clear" w:color="auto" w:fill="FFFFFF"/>
          <w:lang w:val="ro-RO"/>
        </w:rPr>
        <w:t>Rezoluția Parlamentului European din 15 ianuarie 2020 referitoare la Pactul ecologic european (JO C 270, 7.7.2021, p. 2), punctul 102.</w:t>
      </w:r>
    </w:p>
  </w:footnote>
  <w:footnote w:id="22">
    <w:p w:rsidR="007A0BE7" w:rsidRPr="00937029" w:rsidP="00937029" w14:paraId="12A79015" w14:textId="6D5DE2FC">
      <w:pPr>
        <w:pStyle w:val="FootnoteText"/>
        <w:ind w:left="567" w:hanging="567"/>
        <w:rPr>
          <w:sz w:val="24"/>
          <w:szCs w:val="24"/>
          <w:lang w:val="ro-RO"/>
        </w:rPr>
      </w:pPr>
      <w:r w:rsidRPr="00937029">
        <w:rPr>
          <w:rStyle w:val="FootnoteReference"/>
          <w:sz w:val="24"/>
          <w:lang w:val="ro-RO"/>
        </w:rPr>
        <w:footnoteRef/>
      </w:r>
      <w:r w:rsidRPr="00937029" w:rsidR="00937029">
        <w:rPr>
          <w:sz w:val="24"/>
          <w:shd w:val="clear" w:color="auto" w:fill="FFFFFF"/>
          <w:lang w:val="ro-RO"/>
        </w:rPr>
        <w:t xml:space="preserve"> </w:t>
      </w:r>
      <w:r w:rsidRPr="00937029" w:rsidR="00937029">
        <w:rPr>
          <w:sz w:val="24"/>
          <w:shd w:val="clear" w:color="auto" w:fill="FFFFFF"/>
          <w:lang w:val="ro-RO"/>
        </w:rPr>
        <w:tab/>
      </w:r>
      <w:r w:rsidRPr="00937029">
        <w:rPr>
          <w:sz w:val="24"/>
          <w:shd w:val="clear" w:color="auto" w:fill="FFFFFF"/>
          <w:lang w:val="ro-RO"/>
        </w:rPr>
        <w:t>JO C 445, 29.10.2021, p.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029" w14:paraId="19E1B8D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029" w14:paraId="01CD6A3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029" w14:paraId="5DD9CA9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631746244">
    <w:abstractNumId w:val="9"/>
  </w:num>
  <w:num w:numId="2" w16cid:durableId="1676884566">
    <w:abstractNumId w:val="9"/>
  </w:num>
  <w:num w:numId="3" w16cid:durableId="1870293791">
    <w:abstractNumId w:val="7"/>
  </w:num>
  <w:num w:numId="4" w16cid:durableId="1090194937">
    <w:abstractNumId w:val="7"/>
  </w:num>
  <w:num w:numId="5" w16cid:durableId="1855873531">
    <w:abstractNumId w:val="6"/>
  </w:num>
  <w:num w:numId="6" w16cid:durableId="1242645526">
    <w:abstractNumId w:val="6"/>
  </w:num>
  <w:num w:numId="7" w16cid:durableId="1173564637">
    <w:abstractNumId w:val="5"/>
  </w:num>
  <w:num w:numId="8" w16cid:durableId="283661195">
    <w:abstractNumId w:val="5"/>
  </w:num>
  <w:num w:numId="9" w16cid:durableId="2146467104">
    <w:abstractNumId w:val="4"/>
  </w:num>
  <w:num w:numId="10" w16cid:durableId="2019888960">
    <w:abstractNumId w:val="4"/>
  </w:num>
  <w:num w:numId="11" w16cid:durableId="926034562">
    <w:abstractNumId w:val="8"/>
  </w:num>
  <w:num w:numId="12" w16cid:durableId="1305430946">
    <w:abstractNumId w:val="8"/>
  </w:num>
  <w:num w:numId="13" w16cid:durableId="960890012">
    <w:abstractNumId w:val="3"/>
  </w:num>
  <w:num w:numId="14" w16cid:durableId="85732483">
    <w:abstractNumId w:val="3"/>
  </w:num>
  <w:num w:numId="15" w16cid:durableId="1807312367">
    <w:abstractNumId w:val="2"/>
  </w:num>
  <w:num w:numId="16" w16cid:durableId="1152140565">
    <w:abstractNumId w:val="2"/>
  </w:num>
  <w:num w:numId="17" w16cid:durableId="683630409">
    <w:abstractNumId w:val="1"/>
  </w:num>
  <w:num w:numId="18" w16cid:durableId="432211897">
    <w:abstractNumId w:val="1"/>
  </w:num>
  <w:num w:numId="19" w16cid:durableId="756247046">
    <w:abstractNumId w:val="0"/>
  </w:num>
  <w:num w:numId="20" w16cid:durableId="991325830">
    <w:abstractNumId w:val="0"/>
  </w:num>
  <w:num w:numId="21" w16cid:durableId="1587422173">
    <w:abstractNumId w:val="9"/>
  </w:num>
  <w:num w:numId="22" w16cid:durableId="42099129">
    <w:abstractNumId w:val="7"/>
  </w:num>
  <w:num w:numId="23" w16cid:durableId="932200731">
    <w:abstractNumId w:val="6"/>
  </w:num>
  <w:num w:numId="24" w16cid:durableId="107627550">
    <w:abstractNumId w:val="5"/>
  </w:num>
  <w:num w:numId="25" w16cid:durableId="727187596">
    <w:abstractNumId w:val="4"/>
  </w:num>
  <w:num w:numId="26" w16cid:durableId="1834487169">
    <w:abstractNumId w:val="8"/>
  </w:num>
  <w:num w:numId="27" w16cid:durableId="1422872500">
    <w:abstractNumId w:val="3"/>
  </w:num>
  <w:num w:numId="28" w16cid:durableId="1113785484">
    <w:abstractNumId w:val="2"/>
  </w:num>
  <w:num w:numId="29" w16cid:durableId="1908150024">
    <w:abstractNumId w:val="1"/>
  </w:num>
  <w:num w:numId="30" w16cid:durableId="150490136">
    <w:abstractNumId w:val="0"/>
  </w:num>
  <w:num w:numId="31" w16cid:durableId="30764111">
    <w:abstractNumId w:val="9"/>
  </w:num>
  <w:num w:numId="32" w16cid:durableId="1668284756">
    <w:abstractNumId w:val="7"/>
  </w:num>
  <w:num w:numId="33" w16cid:durableId="1998849098">
    <w:abstractNumId w:val="6"/>
  </w:num>
  <w:num w:numId="34" w16cid:durableId="88545428">
    <w:abstractNumId w:val="5"/>
  </w:num>
  <w:num w:numId="35" w16cid:durableId="1199050392">
    <w:abstractNumId w:val="4"/>
  </w:num>
  <w:num w:numId="36" w16cid:durableId="445586566">
    <w:abstractNumId w:val="8"/>
  </w:num>
  <w:num w:numId="37" w16cid:durableId="1702509376">
    <w:abstractNumId w:val="3"/>
  </w:num>
  <w:num w:numId="38" w16cid:durableId="597643667">
    <w:abstractNumId w:val="2"/>
  </w:num>
  <w:num w:numId="39" w16cid:durableId="477234599">
    <w:abstractNumId w:val="1"/>
  </w:num>
  <w:num w:numId="40" w16cid:durableId="1381132245">
    <w:abstractNumId w:val="0"/>
  </w:num>
  <w:num w:numId="41" w16cid:durableId="2047294774">
    <w:abstractNumId w:val="10"/>
  </w:num>
  <w:num w:numId="42" w16cid:durableId="1860047436">
    <w:abstractNumId w:val="10"/>
  </w:num>
  <w:num w:numId="43" w16cid:durableId="1912695673">
    <w:abstractNumId w:val="10"/>
  </w:num>
  <w:num w:numId="44" w16cid:durableId="1255550871">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7ED"/>
    <w:rsid w:val="00002272"/>
    <w:rsid w:val="00036B39"/>
    <w:rsid w:val="00064002"/>
    <w:rsid w:val="000677B9"/>
    <w:rsid w:val="000831BA"/>
    <w:rsid w:val="000A42CC"/>
    <w:rsid w:val="000E7DD9"/>
    <w:rsid w:val="0010095E"/>
    <w:rsid w:val="00125B37"/>
    <w:rsid w:val="00187494"/>
    <w:rsid w:val="001F32AE"/>
    <w:rsid w:val="002767FF"/>
    <w:rsid w:val="002B18FE"/>
    <w:rsid w:val="002B5493"/>
    <w:rsid w:val="00343214"/>
    <w:rsid w:val="003501B5"/>
    <w:rsid w:val="00361C00"/>
    <w:rsid w:val="00395FA1"/>
    <w:rsid w:val="003E15D4"/>
    <w:rsid w:val="00411CCE"/>
    <w:rsid w:val="0041666E"/>
    <w:rsid w:val="00421060"/>
    <w:rsid w:val="00471C19"/>
    <w:rsid w:val="00480FBA"/>
    <w:rsid w:val="004867E3"/>
    <w:rsid w:val="00494A28"/>
    <w:rsid w:val="004C0004"/>
    <w:rsid w:val="004C5D52"/>
    <w:rsid w:val="0050519A"/>
    <w:rsid w:val="005072A1"/>
    <w:rsid w:val="00507E69"/>
    <w:rsid w:val="00514517"/>
    <w:rsid w:val="00545827"/>
    <w:rsid w:val="00560270"/>
    <w:rsid w:val="005C2568"/>
    <w:rsid w:val="005F1B17"/>
    <w:rsid w:val="006037C0"/>
    <w:rsid w:val="006631B6"/>
    <w:rsid w:val="00680577"/>
    <w:rsid w:val="006F74FA"/>
    <w:rsid w:val="00722943"/>
    <w:rsid w:val="00731ADD"/>
    <w:rsid w:val="00734777"/>
    <w:rsid w:val="00747932"/>
    <w:rsid w:val="00751A4A"/>
    <w:rsid w:val="00756632"/>
    <w:rsid w:val="00762C74"/>
    <w:rsid w:val="00786EC0"/>
    <w:rsid w:val="00790CF0"/>
    <w:rsid w:val="007A0BE7"/>
    <w:rsid w:val="007D1690"/>
    <w:rsid w:val="007E22AD"/>
    <w:rsid w:val="00817416"/>
    <w:rsid w:val="00842779"/>
    <w:rsid w:val="00865F67"/>
    <w:rsid w:val="00881A7B"/>
    <w:rsid w:val="008840E5"/>
    <w:rsid w:val="00887B3E"/>
    <w:rsid w:val="008C2AC6"/>
    <w:rsid w:val="00930C23"/>
    <w:rsid w:val="0093193B"/>
    <w:rsid w:val="00937029"/>
    <w:rsid w:val="009509D8"/>
    <w:rsid w:val="00950B64"/>
    <w:rsid w:val="00981893"/>
    <w:rsid w:val="00995C0A"/>
    <w:rsid w:val="00A1687D"/>
    <w:rsid w:val="00A24371"/>
    <w:rsid w:val="00A43E52"/>
    <w:rsid w:val="00A4678D"/>
    <w:rsid w:val="00A778C7"/>
    <w:rsid w:val="00AB441E"/>
    <w:rsid w:val="00AB4A28"/>
    <w:rsid w:val="00AB6293"/>
    <w:rsid w:val="00AE0928"/>
    <w:rsid w:val="00AF3B82"/>
    <w:rsid w:val="00B12E95"/>
    <w:rsid w:val="00B22876"/>
    <w:rsid w:val="00B33C1A"/>
    <w:rsid w:val="00B475CE"/>
    <w:rsid w:val="00B558F0"/>
    <w:rsid w:val="00BA7A78"/>
    <w:rsid w:val="00BD37ED"/>
    <w:rsid w:val="00BD48FE"/>
    <w:rsid w:val="00BD7BD8"/>
    <w:rsid w:val="00BE6ADC"/>
    <w:rsid w:val="00C05BFE"/>
    <w:rsid w:val="00C23CD4"/>
    <w:rsid w:val="00C61C0C"/>
    <w:rsid w:val="00C6408B"/>
    <w:rsid w:val="00C941CB"/>
    <w:rsid w:val="00C979E8"/>
    <w:rsid w:val="00CC2357"/>
    <w:rsid w:val="00CF071A"/>
    <w:rsid w:val="00D058B8"/>
    <w:rsid w:val="00D56C11"/>
    <w:rsid w:val="00D834A0"/>
    <w:rsid w:val="00D872DF"/>
    <w:rsid w:val="00D91E21"/>
    <w:rsid w:val="00DA7FCD"/>
    <w:rsid w:val="00E365E1"/>
    <w:rsid w:val="00E820A4"/>
    <w:rsid w:val="00E824AA"/>
    <w:rsid w:val="00EA622D"/>
    <w:rsid w:val="00EB006A"/>
    <w:rsid w:val="00EB4772"/>
    <w:rsid w:val="00ED169E"/>
    <w:rsid w:val="00ED4235"/>
    <w:rsid w:val="00EE6823"/>
    <w:rsid w:val="00F04346"/>
    <w:rsid w:val="00F075DC"/>
    <w:rsid w:val="00F149E9"/>
    <w:rsid w:val="00F5134D"/>
    <w:rsid w:val="00F74202"/>
    <w:rsid w:val="00F87713"/>
    <w:rsid w:val="00FB4360"/>
    <w:rsid w:val="00FD0C70"/>
  </w:rsids>
  <w:docVars>
    <w:docVar w:name="dvdocse" w:val="B10-0336/2026"/>
    <w:docVar w:name="dvlangue" w:val="RO"/>
    <w:docVar w:name="dvnumam" w:val="0"/>
    <w:docVar w:name="dvpe" w:val="789.025"/>
    <w:docVar w:name="dvtitre" w:val="Rezoluția Parlamentului European din 8 iulie 2026 referitoare la proiectul de decizie de punere în aplicare a Comisiei de autorizare a introducerii pe piață a produselor care conțin, constau în sau sunt fabricate din porumb modificat genetic DP202216 x NK603 x DAS-40278-9 și din subcombinațiile sale DP202216 x NK603, DP202216 x DAS-40278-9, în temeiul Regulamentului (CE) nr. 1829/2003 al Parlamentului European și al Consiliului(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F5C7E3"/>
  <w15:chartTrackingRefBased/>
  <w15:docId w15:val="{F199E6EF-D26D-4577-95F3-C10E6DB81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7A0BE7"/>
    <w:pPr>
      <w:spacing w:after="240"/>
      <w:ind w:left="567" w:hanging="567"/>
    </w:pPr>
  </w:style>
  <w:style w:type="character" w:styleId="Hyperlink">
    <w:name w:val="Hyperlink"/>
    <w:basedOn w:val="DefaultParagraphFont"/>
    <w:uiPriority w:val="99"/>
    <w:rsid w:val="007A0BE7"/>
    <w:rPr>
      <w:color w:val="0563C1" w:themeColor="hyperlink"/>
      <w:u w:val="single"/>
    </w:rPr>
  </w:style>
  <w:style w:type="paragraph" w:customStyle="1" w:styleId="Considrant">
    <w:name w:val="Considérant"/>
    <w:basedOn w:val="Normal"/>
    <w:uiPriority w:val="99"/>
    <w:semiHidden/>
    <w:rsid w:val="007A0BE7"/>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7A0BE7"/>
    <w:rPr>
      <w:rFonts w:ascii="Times New Roman" w:hAnsi="Times New Roman" w:cs="Times New Roman" w:hint="default"/>
      <w:vertAlign w:val="superscript"/>
    </w:rPr>
  </w:style>
  <w:style w:type="paragraph" w:styleId="Revision">
    <w:name w:val="Revision"/>
    <w:hidden/>
    <w:uiPriority w:val="99"/>
    <w:semiHidden/>
    <w:rsid w:val="00EA622D"/>
    <w:rPr>
      <w:sz w:val="24"/>
      <w:lang w:val="ro-RO"/>
    </w:rPr>
  </w:style>
  <w:style w:type="character" w:styleId="UnresolvedMention">
    <w:name w:val="Unresolved Mention"/>
    <w:basedOn w:val="DefaultParagraphFont"/>
    <w:uiPriority w:val="99"/>
    <w:semiHidden/>
    <w:unhideWhenUsed/>
    <w:rsid w:val="00AB4A28"/>
    <w:rPr>
      <w:color w:val="605E5C"/>
      <w:shd w:val="clear" w:color="auto" w:fill="E1DFDD"/>
    </w:rPr>
  </w:style>
  <w:style w:type="character" w:styleId="FollowedHyperlink">
    <w:name w:val="FollowedHyperlink"/>
    <w:basedOn w:val="DefaultParagraphFont"/>
    <w:rsid w:val="00BA7A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ro/ip_22_7834" TargetMode="External" /><Relationship Id="rId37" Type="http://schemas.openxmlformats.org/officeDocument/2006/relationships/hyperlink" Target="https://commission.europa.eu/topics/agriculture-and-rural-development/strategic-dialogue-future-eu-agriculture_ro"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2358</Words>
  <Characters>13719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2026-08-06T09:13:00Z</dcterms:created>
  <dcterms:modified xsi:type="dcterms:W3CDTF">2026-08-06T09:13:00Z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B10-0336/2026</vt:lpwstr>
  </property>
  <property fmtid="{D5CDD505-2E9C-101B-9397-08002B2CF9AE}" pid="4" name="&lt;Type&gt;">
    <vt:lpwstr>RR</vt:lpwstr>
  </property>
</Properties>
</file>