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B61FB5D" w14:textId="77777777" w:rsidTr="0010095E">
        <w:tblPrEx>
          <w:tblW w:w="9072" w:type="dxa"/>
          <w:tblLook w:val="01E0"/>
        </w:tblPrEx>
        <w:trPr>
          <w:trHeight w:hRule="exact" w:val="1418"/>
        </w:trPr>
        <w:tc>
          <w:tcPr>
            <w:tcW w:w="6804" w:type="dxa"/>
            <w:shd w:val="clear" w:color="auto" w:fill="auto"/>
            <w:vAlign w:val="center"/>
          </w:tcPr>
          <w:p w:rsidR="00751A4A" w:rsidRPr="007805D2" w:rsidP="0010095E" w14:paraId="45F3DEF1" w14:textId="47D2EAC1">
            <w:pPr>
              <w:pStyle w:val="EPName"/>
            </w:pPr>
            <w:r w:rsidRPr="007805D2">
              <w:t>Európsky parlament</w:t>
            </w:r>
          </w:p>
          <w:p w:rsidR="00751A4A" w:rsidRPr="007805D2" w:rsidP="005F1B17" w14:paraId="37BCA0D6" w14:textId="77777777">
            <w:pPr>
              <w:pStyle w:val="EPTerm"/>
              <w:rPr>
                <w:rStyle w:val="HideTWBExt"/>
                <w:noProof w:val="0"/>
                <w:vanish w:val="0"/>
                <w:color w:val="auto"/>
              </w:rPr>
            </w:pPr>
            <w:r w:rsidRPr="007805D2">
              <w:t>2024</w:t>
            </w:r>
            <w:r w:rsidRPr="007805D2" w:rsidR="00817416">
              <w:t>-202</w:t>
            </w:r>
            <w:r w:rsidRPr="007805D2">
              <w:t>9</w:t>
            </w:r>
          </w:p>
        </w:tc>
        <w:tc>
          <w:tcPr>
            <w:tcW w:w="2268" w:type="dxa"/>
            <w:shd w:val="clear" w:color="auto" w:fill="auto"/>
          </w:tcPr>
          <w:p w:rsidR="00751A4A" w:rsidRPr="007805D2" w:rsidP="0010095E" w14:paraId="5A73110D" w14:textId="77777777">
            <w:pPr>
              <w:pStyle w:val="EPLogo"/>
            </w:pPr>
            <w:r w:rsidRPr="007805D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805D2" w:rsidP="004C5D52" w14:paraId="48F4D7E1" w14:textId="77777777">
      <w:pPr>
        <w:pStyle w:val="LineTop"/>
      </w:pPr>
    </w:p>
    <w:p w:rsidR="00680577" w:rsidRPr="007805D2" w:rsidP="00680577" w14:paraId="740ABC4F" w14:textId="5B850981">
      <w:pPr>
        <w:pStyle w:val="EPBodyTA1"/>
      </w:pPr>
      <w:r w:rsidRPr="007805D2">
        <w:t>PRIJATÉ TEXTY</w:t>
      </w:r>
    </w:p>
    <w:p w:rsidR="00D058B8" w:rsidRPr="007805D2" w:rsidP="00D058B8" w14:paraId="5AE72047" w14:textId="77777777">
      <w:pPr>
        <w:pStyle w:val="LineBottom"/>
      </w:pPr>
    </w:p>
    <w:p w:rsidR="009E1AFB" w:rsidRPr="007805D2" w:rsidP="009E1AFB" w14:paraId="7F6F1EAB" w14:textId="03915507">
      <w:pPr>
        <w:pStyle w:val="ATHeading1"/>
      </w:pPr>
      <w:bookmarkStart w:id="0" w:name="TANumber"/>
      <w:r w:rsidRPr="007805D2">
        <w:t>P10_TA(2026)0</w:t>
      </w:r>
      <w:r w:rsidRPr="007805D2" w:rsidR="00DB69AA">
        <w:t>26</w:t>
      </w:r>
      <w:bookmarkEnd w:id="0"/>
      <w:r w:rsidR="009F0E15">
        <w:t>5</w:t>
      </w:r>
    </w:p>
    <w:p w:rsidR="009E1AFB" w:rsidRPr="007805D2" w:rsidP="009E1AFB" w14:paraId="2EAFDF03" w14:textId="12ABEA31">
      <w:pPr>
        <w:pStyle w:val="ATHeading2"/>
      </w:pPr>
      <w:bookmarkStart w:id="1" w:name="title"/>
      <w:r w:rsidRPr="007805D2">
        <w:t>Geneticky modifikovaná kukurica DP202216 x</w:t>
      </w:r>
      <w:r w:rsidRPr="007805D2" w:rsidR="003C1B8C">
        <w:t xml:space="preserve"> </w:t>
      </w:r>
      <w:r w:rsidRPr="007805D2">
        <w:t>NK603 x DAS-40278-9 a jej čiastkové kombinácie DP202216 x NK603, DP202216 x DAS-40278-9</w:t>
      </w:r>
      <w:bookmarkEnd w:id="1"/>
    </w:p>
    <w:p w:rsidR="009E1AFB" w:rsidRPr="007805D2" w:rsidP="009E1AFB" w14:paraId="7119A529" w14:textId="77777777">
      <w:pPr>
        <w:rPr>
          <w:i/>
          <w:vanish/>
        </w:rPr>
      </w:pPr>
      <w:r>
        <w:rPr>
          <w:i/>
        </w:rPr>
        <w:fldChar w:fldCharType="begin"/>
      </w:r>
      <w:r w:rsidRPr="007805D2">
        <w:rPr>
          <w:i/>
        </w:rPr>
        <w:instrText xml:space="preserve"> TC"(</w:instrText>
      </w:r>
      <w:bookmarkStart w:id="2" w:name="DocNumber"/>
      <w:r w:rsidRPr="007805D2">
        <w:rPr>
          <w:i/>
        </w:rPr>
        <w:instrText>B10-0336/2026</w:instrText>
      </w:r>
      <w:bookmarkEnd w:id="2"/>
      <w:r w:rsidRPr="007805D2">
        <w:rPr>
          <w:i/>
        </w:rPr>
        <w:instrText xml:space="preserve">)"\l3 \n&gt; \* MERGEFORMAT </w:instrText>
      </w:r>
      <w:r>
        <w:rPr>
          <w:i/>
        </w:rPr>
        <w:fldChar w:fldCharType="end"/>
      </w:r>
    </w:p>
    <w:p w:rsidR="009E1AFB" w:rsidRPr="007805D2" w:rsidP="009E1AFB" w14:paraId="08C1BABE" w14:textId="77777777">
      <w:pPr>
        <w:rPr>
          <w:vanish/>
        </w:rPr>
      </w:pPr>
      <w:bookmarkStart w:id="3" w:name="PE"/>
      <w:r w:rsidRPr="007805D2">
        <w:rPr>
          <w:vanish/>
        </w:rPr>
        <w:t>PE789.025</w:t>
      </w:r>
      <w:bookmarkEnd w:id="3"/>
    </w:p>
    <w:p w:rsidR="009E1AFB" w:rsidRPr="007805D2" w:rsidP="009E1AFB" w14:paraId="280D30C7" w14:textId="18A2F6A3">
      <w:pPr>
        <w:pStyle w:val="ATHeading3"/>
      </w:pPr>
      <w:bookmarkStart w:id="4" w:name="Sujet"/>
      <w:r w:rsidRPr="007805D2">
        <w:t>Uznesenie Európskeho parlamentu z</w:t>
      </w:r>
      <w:r w:rsidRPr="007805D2" w:rsidR="007B2D33">
        <w:t xml:space="preserve"> 8. júla</w:t>
      </w:r>
      <w:r w:rsidRPr="007805D2">
        <w:t xml:space="preserve"> 2026 o vykonávac</w:t>
      </w:r>
      <w:r w:rsidRPr="007805D2" w:rsidR="007B2D33">
        <w:t>om</w:t>
      </w:r>
      <w:r w:rsidRPr="007805D2">
        <w:t xml:space="preserve"> rozhodnut</w:t>
      </w:r>
      <w:r w:rsidRPr="007805D2" w:rsidR="007B2D33">
        <w:t>í</w:t>
      </w:r>
      <w:r w:rsidRPr="007805D2">
        <w:t xml:space="preserve"> Komisie</w:t>
      </w:r>
      <w:r w:rsidRPr="007805D2" w:rsidR="007B2D33">
        <w:t xml:space="preserve"> (EÚ) 2026/1443 z 29. júna 2026</w:t>
      </w:r>
      <w:r w:rsidRPr="007805D2">
        <w:t>, ktorým sa podľa nariadenia Európskeho parlamentu a Rady (ES) č. 1829/2003 povoľuje umiestniť na trh výrobky, ktoré obsahujú geneticky modifikovanú kukuricu DP202216 x NK603 x DAS-40278-9 a jej čiastkové kombinácie DP202216 x NK603, DP202216 x DAS-40278-9, sú z nich zložené alebo vyrobené</w:t>
      </w:r>
      <w:bookmarkEnd w:id="4"/>
      <w:r w:rsidRPr="007805D2">
        <w:t xml:space="preserve"> </w:t>
      </w:r>
      <w:bookmarkStart w:id="5" w:name="References"/>
      <w:r w:rsidRPr="007805D2">
        <w:t>(2026/2746(RSP))</w:t>
      </w:r>
      <w:bookmarkEnd w:id="5"/>
    </w:p>
    <w:p w:rsidR="008663E5" w:rsidRPr="007805D2" w:rsidP="008663E5" w14:paraId="3167465F" w14:textId="77777777">
      <w:pPr>
        <w:pStyle w:val="NormalHanging12a"/>
        <w:tabs>
          <w:tab w:val="center" w:pos="4535"/>
        </w:tabs>
        <w:spacing w:before="240"/>
      </w:pPr>
      <w:bookmarkStart w:id="6" w:name="TextBodyBegin"/>
      <w:bookmarkEnd w:id="6"/>
      <w:r w:rsidRPr="007805D2">
        <w:rPr>
          <w:i/>
          <w:iCs/>
        </w:rPr>
        <w:t>Európsky parlament</w:t>
      </w:r>
      <w:r w:rsidRPr="007805D2">
        <w:t>,</w:t>
      </w:r>
    </w:p>
    <w:p w:rsidR="008663E5" w:rsidRPr="007805D2" w:rsidP="008663E5" w14:paraId="620380C1" w14:textId="6F605793">
      <w:pPr>
        <w:pStyle w:val="NormalHanging12a"/>
      </w:pPr>
      <w:r w:rsidRPr="007805D2">
        <w:t>–</w:t>
      </w:r>
      <w:r w:rsidRPr="007805D2">
        <w:tab/>
        <w:t>so zreteľom na vykonávacie rozhodnuti</w:t>
      </w:r>
      <w:r w:rsidRPr="007805D2" w:rsidR="007B2D33">
        <w:t>e</w:t>
      </w:r>
      <w:r w:rsidRPr="007805D2">
        <w:t xml:space="preserve"> Komisie</w:t>
      </w:r>
      <w:r w:rsidRPr="007805D2" w:rsidR="007B2D33">
        <w:t xml:space="preserve"> (EÚ) 2026/1443 z 29. júna 2026</w:t>
      </w:r>
      <w:r w:rsidRPr="007805D2">
        <w:t>, ktorým sa podľa nariadenia Európskeho parlamentu a Rady (ES) č. 1829/2003 povoľuje umiestniť na trh výrobky, ktoré obsahujú geneticky modifikovanú kukuricu DP202216 x NK603 x DAS-40278-9 a jej čiastkové kombinácie DP202216 x NK603, DP202216 x DAS-40278-9, sú z nich zložené alebo vyrobené</w:t>
      </w:r>
      <w:r>
        <w:rPr>
          <w:rStyle w:val="FootnoteReference"/>
        </w:rPr>
        <w:footnoteReference w:id="2"/>
      </w:r>
      <w:r w:rsidRPr="007805D2">
        <w:t>,</w:t>
      </w:r>
    </w:p>
    <w:p w:rsidR="008663E5" w:rsidRPr="007805D2" w:rsidP="008663E5" w14:paraId="3B6F4893" w14:textId="77777777">
      <w:pPr>
        <w:pStyle w:val="NormalHanging12a"/>
      </w:pPr>
      <w:r w:rsidRPr="007805D2">
        <w:t>–</w:t>
      </w:r>
      <w:r w:rsidRPr="007805D2">
        <w:tab/>
        <w:t>so zreteľom na nariadenie Európskeho parlamentu a Rady (ES) č. 1829/2003 z 22. septembra 2003 o geneticky modifikovaných potravinách a krmivách</w:t>
      </w:r>
      <w:r>
        <w:rPr>
          <w:rStyle w:val="FootnoteReference"/>
        </w:rPr>
        <w:footnoteReference w:id="3"/>
      </w:r>
      <w:r w:rsidRPr="007805D2">
        <w:t>, a najmä na jeho článok 7 ods. 3 a článok 19 ods. 3,</w:t>
      </w:r>
    </w:p>
    <w:p w:rsidR="008663E5" w:rsidRPr="007805D2" w:rsidP="008663E5" w14:paraId="37400EC9" w14:textId="77777777">
      <w:pPr>
        <w:pStyle w:val="NormalHanging12a"/>
      </w:pPr>
      <w:r w:rsidRPr="007805D2">
        <w:t>–</w:t>
      </w:r>
      <w:r w:rsidRPr="007805D2">
        <w:tab/>
        <w:t>so zreteľom na hlasovanie Stáleho výboru pre rastliny, zvieratá, potraviny a krmivá podľa článku 35 nariadenia (ES) č. 1829/2003, ktoré sa konalo 27. apríla 2026 a na ktorom sa rozhodlo, že sa nevydá žiadne stanovisko, a na hlasovanie odvolacieho výboru z 2. júna 2026, počas ktorého opätovne nebolo prijaté žiadne stanovisko,</w:t>
      </w:r>
    </w:p>
    <w:p w:rsidR="008663E5" w:rsidRPr="007805D2" w:rsidP="008663E5" w14:paraId="2F8417A0" w14:textId="77777777">
      <w:pPr>
        <w:pStyle w:val="NormalHanging12a"/>
      </w:pPr>
      <w:r w:rsidRPr="007805D2">
        <w:t>–</w:t>
      </w:r>
      <w:r w:rsidRPr="007805D2">
        <w:tab/>
        <w:t>so zreteľom na článok 11 nariadenia Európskeho parlamentu a Rady (EÚ) č. 182/2011 zo 16. februára 2011, ktorým sa ustanovujú pravidlá a všeobecné zásady mechanizmu, na základe ktorého členské štáty kontrolujú vykonávanie vykonávacích právomocí Komisie</w:t>
      </w:r>
      <w:r>
        <w:rPr>
          <w:rStyle w:val="FootnoteReference"/>
        </w:rPr>
        <w:footnoteReference w:id="4"/>
      </w:r>
      <w:r w:rsidRPr="007805D2">
        <w:t>,</w:t>
      </w:r>
    </w:p>
    <w:p w:rsidR="008663E5" w:rsidRPr="007805D2" w:rsidP="008663E5" w14:paraId="798B3076" w14:textId="7AD2CA1B">
      <w:pPr>
        <w:pStyle w:val="NormalHanging12a"/>
      </w:pPr>
      <w:r w:rsidRPr="007805D2">
        <w:t>–</w:t>
      </w:r>
      <w:r w:rsidRPr="007805D2">
        <w:tab/>
        <w:t>so zreteľom na stanovisko, ktoré prijal Európsky úrad pre bezpečnosť potravín (</w:t>
      </w:r>
      <w:r w:rsidRPr="007805D2" w:rsidR="00D8723A">
        <w:t xml:space="preserve">ďalej </w:t>
      </w:r>
      <w:r w:rsidRPr="007805D2" w:rsidR="00D8723A">
        <w:t>len „</w:t>
      </w:r>
      <w:r w:rsidRPr="007805D2">
        <w:t>EFSA</w:t>
      </w:r>
      <w:r w:rsidRPr="007805D2" w:rsidR="00D8723A">
        <w:t>“</w:t>
      </w:r>
      <w:r w:rsidRPr="007805D2">
        <w:t>) 30. októbra 2025 a ktoré bolo uverejnené 5. decembra 2025</w:t>
      </w:r>
      <w:r>
        <w:rPr>
          <w:rStyle w:val="FootnoteReference"/>
        </w:rPr>
        <w:footnoteReference w:id="5"/>
      </w:r>
      <w:r w:rsidRPr="007805D2">
        <w:t>,</w:t>
      </w:r>
    </w:p>
    <w:p w:rsidR="008663E5" w:rsidRPr="007805D2" w:rsidP="008663E5" w14:paraId="6BCF08D0" w14:textId="77777777">
      <w:pPr>
        <w:pStyle w:val="NormalHanging12a"/>
      </w:pPr>
      <w:r w:rsidRPr="007805D2">
        <w:t>–</w:t>
      </w:r>
      <w:r w:rsidRPr="007805D2">
        <w:tab/>
        <w:t>so zreteľom na svoje predchádzajúce uznesenia, v ktorých namieta proti povoľovaniu geneticky modifikovaných organizmov</w:t>
      </w:r>
      <w:r>
        <w:rPr>
          <w:rStyle w:val="FootnoteReference"/>
        </w:rPr>
        <w:footnoteReference w:id="6"/>
      </w:r>
      <w:r w:rsidRPr="007805D2">
        <w:t>,</w:t>
      </w:r>
    </w:p>
    <w:p w:rsidR="008663E5" w:rsidRPr="007805D2" w:rsidP="008663E5" w14:paraId="00920DC6" w14:textId="77777777">
      <w:pPr>
        <w:pStyle w:val="NormalHanging12a"/>
      </w:pPr>
      <w:r w:rsidRPr="007805D2">
        <w:t>–</w:t>
      </w:r>
      <w:r w:rsidRPr="007805D2">
        <w:tab/>
        <w:t>so zreteľom na článok 115 ods. 2 a 3 rokovacieho poriadku,</w:t>
      </w:r>
    </w:p>
    <w:p w:rsidR="008663E5" w:rsidRPr="007805D2" w:rsidP="008663E5" w14:paraId="7E27224B" w14:textId="77777777">
      <w:pPr>
        <w:pStyle w:val="NormalHanging12a"/>
      </w:pPr>
      <w:r w:rsidRPr="007805D2">
        <w:t>–</w:t>
      </w:r>
      <w:r w:rsidRPr="007805D2">
        <w:tab/>
        <w:t>so zreteľom na návrh uznesenia Výboru pre životné prostredie, klímu a bezpečnosť potravín,</w:t>
      </w:r>
    </w:p>
    <w:p w:rsidR="008663E5" w:rsidRPr="007805D2" w:rsidP="00DB69AA" w14:paraId="3E5B8E62" w14:textId="77777777">
      <w:pPr>
        <w:pStyle w:val="Considrant"/>
        <w:numPr>
          <w:ilvl w:val="0"/>
          <w:numId w:val="0"/>
        </w:numPr>
        <w:spacing w:after="240"/>
        <w:ind w:left="567" w:hanging="567"/>
        <w:jc w:val="left"/>
        <w:rPr>
          <w:szCs w:val="24"/>
        </w:rPr>
      </w:pPr>
      <w:r w:rsidRPr="007805D2">
        <w:t>A.</w:t>
      </w:r>
      <w:r w:rsidRPr="007805D2">
        <w:tab/>
        <w:t xml:space="preserve">keďže spoločnosť </w:t>
      </w:r>
      <w:r w:rsidRPr="007805D2">
        <w:rPr>
          <w:snapToGrid w:val="0"/>
        </w:rPr>
        <w:t>Corteva</w:t>
      </w:r>
      <w:r w:rsidRPr="007805D2">
        <w:rPr>
          <w:snapToGrid w:val="0"/>
        </w:rPr>
        <w:t xml:space="preserve"> </w:t>
      </w:r>
      <w:r w:rsidRPr="007805D2">
        <w:rPr>
          <w:snapToGrid w:val="0"/>
        </w:rPr>
        <w:t>Agriscience</w:t>
      </w:r>
      <w:r w:rsidRPr="007805D2">
        <w:rPr>
          <w:snapToGrid w:val="0"/>
        </w:rPr>
        <w:t xml:space="preserve"> </w:t>
      </w:r>
      <w:r w:rsidRPr="007805D2">
        <w:rPr>
          <w:snapToGrid w:val="0"/>
        </w:rPr>
        <w:t>Belgium</w:t>
      </w:r>
      <w:r w:rsidRPr="007805D2">
        <w:rPr>
          <w:snapToGrid w:val="0"/>
        </w:rPr>
        <w:t xml:space="preserve"> B.V. so sídlom v Belgicku predložila 10. marca 2023 v súlade s článkami 5 a 17 nariadenia (ES) č. 1829/2003 v mene spoločnosti </w:t>
      </w:r>
      <w:r w:rsidRPr="007805D2">
        <w:rPr>
          <w:snapToGrid w:val="0"/>
        </w:rPr>
        <w:t>Corteva</w:t>
      </w:r>
      <w:r w:rsidRPr="007805D2">
        <w:rPr>
          <w:snapToGrid w:val="0"/>
        </w:rPr>
        <w:t xml:space="preserve"> </w:t>
      </w:r>
      <w:r w:rsidRPr="007805D2">
        <w:rPr>
          <w:snapToGrid w:val="0"/>
        </w:rPr>
        <w:t>Agriscience</w:t>
      </w:r>
      <w:r w:rsidRPr="007805D2">
        <w:rPr>
          <w:snapToGrid w:val="0"/>
        </w:rPr>
        <w:t xml:space="preserve"> LLC so sídlom v Spojených štátoch amerických žiadosť o</w:t>
      </w:r>
      <w:r w:rsidRPr="007805D2">
        <w:t xml:space="preserve"> umiestnenie na trh potravín, zložiek potravín a krmív, ktoré obsahujú geneticky modifikovanú kukuricu DP202216 × NK603 × DAS-40279-9 (ďalej len „geneticky modifikovaná kukurica“), sú z nej zložené alebo vyrobené; keďže táto žiadosť sa vzťahuje aj na umiestnenie na trh produktov, ktoré obsahujú geneticky modifikovanú kukuricu alebo sú z nej zložené, na iné účely ako potraviny a krmivá, s výnimkou pestovania;</w:t>
      </w:r>
    </w:p>
    <w:p w:rsidR="008663E5" w:rsidRPr="007805D2" w:rsidP="00DB69AA" w14:paraId="597223A3" w14:textId="77777777">
      <w:pPr>
        <w:widowControl/>
        <w:shd w:val="clear" w:color="auto" w:fill="FFFFFF"/>
        <w:spacing w:after="240"/>
        <w:ind w:left="567" w:hanging="567"/>
        <w:rPr>
          <w:szCs w:val="24"/>
        </w:rPr>
      </w:pPr>
      <w:r w:rsidRPr="007805D2">
        <w:t>B.</w:t>
      </w:r>
      <w:r w:rsidRPr="007805D2">
        <w:tab/>
        <w:t xml:space="preserve">keďže úrad EFSA prijal 30. októbra 2025 kladné stanovisko v súvislosti s povolením geneticky modifikovanej kukurice, ktoré bolo uverejnené </w:t>
      </w:r>
      <w:r w:rsidRPr="007805D2">
        <w:rPr>
          <w:shd w:val="clear" w:color="auto" w:fill="FFFFFF"/>
        </w:rPr>
        <w:t>5. decembra 2025</w:t>
      </w:r>
      <w:r w:rsidRPr="007805D2">
        <w:t>;</w:t>
      </w:r>
    </w:p>
    <w:p w:rsidR="008663E5" w:rsidRPr="007805D2" w:rsidP="00DB69AA" w14:paraId="0ACDFC7C" w14:textId="77777777">
      <w:pPr>
        <w:widowControl/>
        <w:autoSpaceDE w:val="0"/>
        <w:autoSpaceDN w:val="0"/>
        <w:adjustRightInd w:val="0"/>
        <w:spacing w:after="240"/>
        <w:ind w:left="567" w:hanging="567"/>
        <w:rPr>
          <w:rFonts w:eastAsiaTheme="minorHAnsi"/>
          <w:szCs w:val="24"/>
        </w:rPr>
      </w:pPr>
      <w:r w:rsidRPr="007805D2">
        <w:t>C.</w:t>
      </w:r>
      <w:r w:rsidRPr="007805D2">
        <w:tab/>
        <w:t>keďže úrad EFSA dospel k záveru, že geneticky modifikovaná kukurica opísaná v žiadosti a jej čiastkové kombinácie sú rovnako bezpečné ako ich tradičný ekvivalent a testované geneticky nemodifikované referenčné odrody kukurice, pokiaľ ide o potenciálne vplyvy na zdravie ľudí, zvierat a na životné prostredie. keďže úrad EFSA takisto dospel k záveru, že konzumácia potravín a krmív z geneticky modifikovanej kukurice a jej čiastkových kombinácií nepredstavuje pre ľudí a zvieratá žiadne výživové riziko. keďže stanovisko sa nezaoberalo viacerými širšími environmentálnymi, sociálno-ekonomickými a kumulatívnymi vplyvmi, ktoré podľa úradu EFSA nepatria do jeho právomoci;</w:t>
      </w:r>
    </w:p>
    <w:p w:rsidR="008663E5" w:rsidRPr="007805D2" w:rsidP="00DB69AA" w14:paraId="1B5BD37A" w14:textId="77777777">
      <w:pPr>
        <w:widowControl/>
        <w:autoSpaceDE w:val="0"/>
        <w:autoSpaceDN w:val="0"/>
        <w:adjustRightInd w:val="0"/>
        <w:spacing w:after="240"/>
        <w:ind w:left="567" w:hanging="567"/>
        <w:rPr>
          <w:rFonts w:eastAsiaTheme="minorHAnsi"/>
          <w:szCs w:val="24"/>
        </w:rPr>
      </w:pPr>
      <w:r w:rsidRPr="007805D2">
        <w:t>D.</w:t>
      </w:r>
      <w:r w:rsidRPr="007805D2">
        <w:tab/>
        <w:t xml:space="preserve">keďže geneticky modifikovaná kukurica bola vyvinutá krížením s cieľom skombinovať nasledujúce tri jednotlivé modifikácie: DP202216, ktorý </w:t>
      </w:r>
      <w:r w:rsidRPr="007805D2">
        <w:t>exprimuje</w:t>
      </w:r>
      <w:r w:rsidRPr="007805D2">
        <w:t xml:space="preserve"> enzým </w:t>
      </w:r>
      <w:r w:rsidRPr="007805D2">
        <w:t>fosfinotricín-acetyltransferázu</w:t>
      </w:r>
      <w:r w:rsidRPr="007805D2">
        <w:t xml:space="preserve"> (PAT) s cieľom zabezpečiť toleranciu voči herbicídom obsahujúcim </w:t>
      </w:r>
      <w:r w:rsidRPr="007805D2">
        <w:t>glufosinát</w:t>
      </w:r>
      <w:r w:rsidRPr="007805D2">
        <w:t xml:space="preserve">-amónium, a endogénny proteín kukurice so zmenenou </w:t>
      </w:r>
      <w:r w:rsidRPr="007805D2">
        <w:t>expresiou</w:t>
      </w:r>
      <w:r w:rsidRPr="007805D2">
        <w:t xml:space="preserve"> (EPAE) ZMM28, ktorý poskytuje potenciál pre zvýšenie výnosu (YE) v poľných podmienkach; NK603, ktorý </w:t>
      </w:r>
      <w:r w:rsidRPr="007805D2">
        <w:t>exprimuje</w:t>
      </w:r>
      <w:r w:rsidRPr="007805D2">
        <w:t xml:space="preserve"> CP4 EPSPS a CP4 EPSPS L214P s cieľom zabezpečiť toleranciu voči herbicídom na báze </w:t>
      </w:r>
      <w:r w:rsidRPr="007805D2">
        <w:t>glyfosátu</w:t>
      </w:r>
      <w:r w:rsidRPr="007805D2">
        <w:t xml:space="preserve">; a DAS-40278-9, ktorý </w:t>
      </w:r>
      <w:r w:rsidRPr="007805D2">
        <w:t>exprimuje</w:t>
      </w:r>
      <w:r w:rsidRPr="007805D2">
        <w:t xml:space="preserve"> </w:t>
      </w:r>
      <w:r w:rsidRPr="007805D2">
        <w:t>aryloxyalkanoátovú</w:t>
      </w:r>
      <w:r w:rsidRPr="007805D2">
        <w:t xml:space="preserve"> </w:t>
      </w:r>
      <w:r w:rsidRPr="007805D2">
        <w:t>dioxygenázu</w:t>
      </w:r>
      <w:r w:rsidRPr="007805D2">
        <w:t xml:space="preserve"> (AAD-1) s cieľom zabezpečiť toleranciu voči herbicídom triedy 2,4-D a </w:t>
      </w:r>
      <w:r w:rsidRPr="007805D2">
        <w:t>aryloxyfenoxypropionátu</w:t>
      </w:r>
      <w:r w:rsidRPr="007805D2">
        <w:t xml:space="preserve"> (AOPP)</w:t>
      </w:r>
      <w:r>
        <w:rPr>
          <w:rStyle w:val="FootnoteReference"/>
          <w:rFonts w:eastAsiaTheme="minorHAnsi"/>
          <w:szCs w:val="24"/>
        </w:rPr>
        <w:footnoteReference w:id="7"/>
      </w:r>
      <w:r w:rsidRPr="007805D2">
        <w:t>;</w:t>
      </w:r>
    </w:p>
    <w:p w:rsidR="008663E5" w:rsidRPr="007805D2" w:rsidP="00DB69AA" w14:paraId="2CCCAC2A" w14:textId="77777777">
      <w:pPr>
        <w:spacing w:after="240"/>
        <w:ind w:left="567" w:hanging="567"/>
        <w:rPr>
          <w:rFonts w:eastAsiaTheme="minorHAnsi"/>
          <w:szCs w:val="24"/>
        </w:rPr>
      </w:pPr>
      <w:r w:rsidRPr="007805D2">
        <w:t>E.</w:t>
      </w:r>
      <w:r w:rsidRPr="007805D2">
        <w:tab/>
        <w:t>keďže úrad EFSA doteraz posúdil iba čiastkovú kombináciu NK603 × DAS-40278-9; keďže žiadateľ nepredložil žiadne experimentálne údaje pre čiastkové kombinácie DP202216 x NK603 a DP202216 x DAS-40278-9, ktoré úrad EFSA predtým neposudzoval; keďže napriek tomu úrad EFSA dospel k záveru, že táto čiastková kombinácia nevyvoláva obavy o bezpečnosť;</w:t>
      </w:r>
    </w:p>
    <w:p w:rsidR="008663E5" w:rsidRPr="007805D2" w:rsidP="00DB69AA" w14:paraId="42F58D9E" w14:textId="77777777">
      <w:pPr>
        <w:spacing w:after="240"/>
        <w:ind w:left="567" w:hanging="567"/>
        <w:rPr>
          <w:rFonts w:eastAsiaTheme="minorHAnsi"/>
          <w:szCs w:val="24"/>
        </w:rPr>
      </w:pPr>
      <w:r w:rsidRPr="007805D2">
        <w:t>F.</w:t>
      </w:r>
      <w:r w:rsidRPr="007805D2">
        <w:tab/>
        <w:t>keďže posúdenia rizika, ktoré vykonal úrad EFSA, nezahŕňalo dlhodobé toxikologické štúdie ani podrobnú analýzu kumulatívnych a kombinovaných účinkov vrátane možných interakcií s rezíduami pesticídov bežne používaných pri pestovaní kukurice;</w:t>
      </w:r>
    </w:p>
    <w:p w:rsidR="008663E5" w:rsidRPr="007805D2" w:rsidP="00DB69AA" w14:paraId="6146AF60" w14:textId="77777777">
      <w:pPr>
        <w:spacing w:after="240"/>
        <w:ind w:left="567" w:hanging="567"/>
        <w:rPr>
          <w:rFonts w:eastAsiaTheme="minorHAnsi"/>
          <w:szCs w:val="24"/>
        </w:rPr>
      </w:pPr>
      <w:r w:rsidRPr="007805D2">
        <w:t>G.</w:t>
      </w:r>
      <w:r w:rsidRPr="007805D2">
        <w:tab/>
        <w:t xml:space="preserve">keďže veľká väčšina geneticky modifikovaných plodín vrátane geneticky modifikovanej kukurice je geneticky modifikovaná tak, aby dané plodiny boli odolné voči jednému alebo viacerým „doplnkovým“ herbicídom, ktoré sa môžu používať počas pestovania geneticky modifikovanej plodiny bez toho, aby uhynula, ako by to bolo v prípade plodiny, ktorá nie je odolná voči herbicídom; keďže viaceré štúdie preukázali, že geneticky modifikované plodiny odolné voči herbicídom vedú k vyššiemu </w:t>
      </w:r>
      <w:r w:rsidRPr="007805D2">
        <w:t>používaniu doplnkových herbicídov, čo je z veľkej časti spôsobené výskytom buriny odolnej voči herbicídom;</w:t>
      </w:r>
    </w:p>
    <w:p w:rsidR="008663E5" w:rsidRPr="007805D2" w:rsidP="00DB69AA" w14:paraId="6FC2F2ED" w14:textId="77777777">
      <w:pPr>
        <w:spacing w:after="240"/>
        <w:ind w:left="567" w:hanging="567"/>
        <w:rPr>
          <w:rFonts w:eastAsiaTheme="minorHAnsi"/>
          <w:szCs w:val="24"/>
        </w:rPr>
      </w:pPr>
      <w:r w:rsidRPr="007805D2">
        <w:t>H.</w:t>
      </w:r>
      <w:r w:rsidRPr="007805D2">
        <w:tab/>
        <w:t>keďže geneticky modifikované plodiny odolné voči herbicídom viažu poľnohospodárov na systém boja proti burinám, ktorý je z veľkej časti alebo úplne závislý od herbicídov, a zároveň vytvárajú závislosť od používania doplnkových herbicídov ako neoddeliteľnej súčasti výrobného systému; keďže zvýšená závislosť od doplnkových herbicídov v poľnohospodárskych podnikoch, v ktorých sa sadí geneticky modifikovaná kukurica, urýchli vznik a šírenie buriny rezistentnej voči týmto herbicídom, čo vyvoláva potrebu ešte väčšieho používania herbicídov, čo je začarovaný kruh neustáleho používania čoraz väčšieho množstva herbicídov; keďže nepriaznivé vplyvy vyplývajúce z nadmerného používania herbicídov následne zhoršujú zdravie pôdy, kvalitu vody a biodiverzitu nad zemou a pod ňou a vedú k zvýšenej expozícii ľudí a zvierat herbicídom, a to potenciálne aj prostredníctvom zvýšeného množstva rezíduí herbicídov v potravinách a krmivách;</w:t>
      </w:r>
    </w:p>
    <w:p w:rsidR="008663E5" w:rsidRPr="007805D2" w:rsidP="00DB69AA" w14:paraId="24EE745F" w14:textId="77777777">
      <w:pPr>
        <w:autoSpaceDE w:val="0"/>
        <w:autoSpaceDN w:val="0"/>
        <w:adjustRightInd w:val="0"/>
        <w:spacing w:after="240"/>
        <w:ind w:left="567" w:hanging="567"/>
        <w:rPr>
          <w:rFonts w:eastAsiaTheme="minorHAnsi"/>
          <w:szCs w:val="24"/>
        </w:rPr>
      </w:pPr>
      <w:r w:rsidRPr="007805D2">
        <w:t>I.</w:t>
      </w:r>
      <w:r w:rsidRPr="007805D2">
        <w:tab/>
        <w:t>keďže viaceré štúdie preukázali, že geneticky modifikované plodiny odolné voči herbicídom vedú k vyššiemu používaniu doplnkových herbicídov, čo je z veľkej časti spôsobené výskytom buriny odolnej voči herbicídom</w:t>
      </w:r>
      <w:r>
        <w:rPr>
          <w:rFonts w:eastAsiaTheme="minorHAnsi"/>
          <w:vertAlign w:val="superscript"/>
        </w:rPr>
        <w:footnoteReference w:id="8"/>
      </w:r>
      <w:r w:rsidRPr="007805D2">
        <w:t xml:space="preserve">; keďže sa preto musí predpokladať, že geneticky modifikovaná kukurica bude vystavená vyšším, ako aj opakovaným dávkam </w:t>
      </w:r>
      <w:r w:rsidRPr="007805D2">
        <w:t>glyfozátu</w:t>
      </w:r>
      <w:r w:rsidRPr="007805D2">
        <w:t xml:space="preserve">, </w:t>
      </w:r>
      <w:r w:rsidRPr="007805D2">
        <w:t>glufosinátu</w:t>
      </w:r>
      <w:r w:rsidRPr="007805D2">
        <w:t>, AOPP a 2,4-D herbicídov, a preto sa v úrode môže vyskytovať väčšie množstvo rezíduí a produktov ich rozkladu (tzv. metabolitov);</w:t>
      </w:r>
    </w:p>
    <w:p w:rsidR="008663E5" w:rsidRPr="007805D2" w:rsidP="00DB69AA" w14:paraId="6AF3272B" w14:textId="77777777">
      <w:pPr>
        <w:autoSpaceDE w:val="0"/>
        <w:autoSpaceDN w:val="0"/>
        <w:adjustRightInd w:val="0"/>
        <w:spacing w:after="240"/>
        <w:ind w:left="567" w:hanging="567"/>
        <w:rPr>
          <w:rFonts w:eastAsiaTheme="minorHAnsi"/>
          <w:szCs w:val="24"/>
        </w:rPr>
      </w:pPr>
      <w:r w:rsidRPr="007805D2">
        <w:t>J.</w:t>
      </w:r>
      <w:r w:rsidRPr="007805D2">
        <w:tab/>
        <w:t xml:space="preserve">keďže </w:t>
      </w:r>
      <w:r w:rsidRPr="007805D2">
        <w:t>glufosinát</w:t>
      </w:r>
      <w:r w:rsidRPr="007805D2">
        <w:t xml:space="preserve"> je zaradený do kategórie 1B ako toxický pre reprodukciu, a preto sa naň vzťahujú hraničné kritériá stanovené v nariadení Európskeho parlamentu a Rady (ES) č. 1107/2009</w:t>
      </w:r>
      <w:r>
        <w:rPr>
          <w:rFonts w:eastAsiaTheme="minorHAnsi"/>
          <w:vertAlign w:val="superscript"/>
        </w:rPr>
        <w:footnoteReference w:id="9"/>
      </w:r>
      <w:r w:rsidRPr="007805D2">
        <w:t xml:space="preserve">; keďže platnosť povolenia </w:t>
      </w:r>
      <w:r w:rsidRPr="007805D2">
        <w:t>glufosinátu</w:t>
      </w:r>
      <w:r w:rsidRPr="007805D2">
        <w:t xml:space="preserve"> na používanie v Únii sa skončila 31. júla 2018</w:t>
      </w:r>
      <w:r>
        <w:rPr>
          <w:rFonts w:eastAsiaTheme="minorHAnsi"/>
          <w:vertAlign w:val="superscript"/>
        </w:rPr>
        <w:footnoteReference w:id="10"/>
      </w:r>
      <w:r w:rsidRPr="007805D2">
        <w:t>;</w:t>
      </w:r>
    </w:p>
    <w:p w:rsidR="008663E5" w:rsidRPr="007805D2" w:rsidP="00DB69AA" w14:paraId="0D32817A" w14:textId="77777777">
      <w:pPr>
        <w:autoSpaceDE w:val="0"/>
        <w:autoSpaceDN w:val="0"/>
        <w:adjustRightInd w:val="0"/>
        <w:spacing w:after="240"/>
        <w:ind w:left="567" w:hanging="567"/>
        <w:rPr>
          <w:rFonts w:eastAsiaTheme="minorHAnsi"/>
          <w:szCs w:val="24"/>
        </w:rPr>
      </w:pPr>
      <w:r w:rsidRPr="007805D2">
        <w:t>K.</w:t>
      </w:r>
      <w:r w:rsidRPr="007805D2">
        <w:tab/>
        <w:t xml:space="preserve">keďže naďalej pretrvávajú značné vedecké neistoty týkajúce sa bezpečnosti </w:t>
      </w:r>
      <w:r w:rsidRPr="007805D2">
        <w:t>glyfozátu</w:t>
      </w:r>
      <w:r w:rsidRPr="007805D2">
        <w:t xml:space="preserve"> pre ľudské zdravie a životné prostredie; keďže úrad EFSA v novembri 2015 dospel k záveru, že </w:t>
      </w:r>
      <w:r w:rsidRPr="007805D2">
        <w:t>glyfozát</w:t>
      </w:r>
      <w:r w:rsidRPr="007805D2">
        <w:t xml:space="preserve"> pravdepodobne nie je karcinogénny, a Európska chemická agentúra v marci 2017 dospela k záveru, že klasifikácia nie je odôvodnená; keďže Medzinárodná agentúra pre výskum rakoviny, špecializovaná agentúra Svetovej zdravotníckej organizácie pre rakovinu, v roku 2015 klasifikovala </w:t>
      </w:r>
      <w:r w:rsidRPr="007805D2">
        <w:t>glyfozát</w:t>
      </w:r>
      <w:r w:rsidRPr="007805D2">
        <w:t xml:space="preserve"> ako pravdepodobný karcinogén pre ľudí; keďže viaceré ďalšie nedávne vedecké </w:t>
      </w:r>
      <w:r w:rsidRPr="007805D2">
        <w:t xml:space="preserve">recenzované štúdie potvrdzujú karcinogénny potenciál </w:t>
      </w:r>
      <w:r w:rsidRPr="007805D2">
        <w:t>glyfozátu</w:t>
      </w:r>
      <w:r>
        <w:rPr>
          <w:rFonts w:eastAsiaTheme="minorHAnsi"/>
          <w:vertAlign w:val="superscript"/>
        </w:rPr>
        <w:footnoteReference w:id="11"/>
      </w:r>
      <w:r w:rsidRPr="007805D2">
        <w:t xml:space="preserve">; keďže časopis </w:t>
      </w:r>
      <w:r w:rsidRPr="007805D2">
        <w:t>Regulatory</w:t>
      </w:r>
      <w:r w:rsidRPr="007805D2">
        <w:t xml:space="preserve"> </w:t>
      </w:r>
      <w:r w:rsidRPr="007805D2">
        <w:t>Toxicology</w:t>
      </w:r>
      <w:r w:rsidRPr="007805D2">
        <w:t xml:space="preserve"> and </w:t>
      </w:r>
      <w:r w:rsidRPr="007805D2">
        <w:t>Pharmacology</w:t>
      </w:r>
      <w:r w:rsidRPr="007805D2">
        <w:t xml:space="preserve"> formálne stiahol vedeckú prácu </w:t>
      </w:r>
      <w:r w:rsidRPr="007805D2">
        <w:rPr>
          <w:shd w:val="clear" w:color="auto" w:fill="FFFFFF"/>
        </w:rPr>
        <w:t>„</w:t>
      </w:r>
      <w:r w:rsidRPr="007805D2">
        <w:t>Safety</w:t>
      </w:r>
      <w:r w:rsidRPr="007805D2">
        <w:t xml:space="preserve"> </w:t>
      </w:r>
      <w:r w:rsidRPr="007805D2">
        <w:t>Evaluation</w:t>
      </w:r>
      <w:r w:rsidRPr="007805D2">
        <w:t xml:space="preserve"> and Risk </w:t>
      </w:r>
      <w:r w:rsidRPr="007805D2">
        <w:t>Assessment</w:t>
      </w:r>
      <w:r w:rsidRPr="007805D2">
        <w:t xml:space="preserve"> of </w:t>
      </w:r>
      <w:r w:rsidRPr="007805D2">
        <w:t>the</w:t>
      </w:r>
      <w:r w:rsidRPr="007805D2">
        <w:t xml:space="preserve"> </w:t>
      </w:r>
      <w:r w:rsidRPr="007805D2">
        <w:t>Herbicide</w:t>
      </w:r>
      <w:r w:rsidRPr="007805D2">
        <w:t xml:space="preserve"> </w:t>
      </w:r>
      <w:r w:rsidRPr="007805D2">
        <w:t>Roundup</w:t>
      </w:r>
      <w:r w:rsidRPr="007805D2">
        <w:t xml:space="preserve"> and </w:t>
      </w:r>
      <w:r w:rsidRPr="007805D2">
        <w:t>Its</w:t>
      </w:r>
      <w:r w:rsidRPr="007805D2">
        <w:t xml:space="preserve"> </w:t>
      </w:r>
      <w:r w:rsidRPr="007805D2">
        <w:t>Active</w:t>
      </w:r>
      <w:r w:rsidRPr="007805D2">
        <w:t xml:space="preserve"> </w:t>
      </w:r>
      <w:r w:rsidRPr="007805D2">
        <w:t>Ingredient</w:t>
      </w:r>
      <w:r w:rsidRPr="007805D2">
        <w:t xml:space="preserve">, </w:t>
      </w:r>
      <w:r w:rsidRPr="007805D2">
        <w:t>Glyphosate</w:t>
      </w:r>
      <w:r w:rsidRPr="007805D2">
        <w:t xml:space="preserve">, </w:t>
      </w:r>
      <w:r w:rsidRPr="007805D2">
        <w:t>for</w:t>
      </w:r>
      <w:r w:rsidRPr="007805D2">
        <w:t xml:space="preserve"> </w:t>
      </w:r>
      <w:r w:rsidRPr="007805D2">
        <w:t>Humans</w:t>
      </w:r>
      <w:r w:rsidRPr="007805D2">
        <w:rPr>
          <w:shd w:val="clear" w:color="auto" w:fill="FFFFFF"/>
        </w:rPr>
        <w:t>“</w:t>
      </w:r>
      <w:r w:rsidRPr="007805D2">
        <w:t xml:space="preserve"> (Hodnotenie bezpečnosti a hodnotenie rizík herbicídu </w:t>
      </w:r>
      <w:r w:rsidRPr="007805D2">
        <w:t>Roundup</w:t>
      </w:r>
      <w:r w:rsidRPr="007805D2">
        <w:t xml:space="preserve"> a jeho účinnej látky </w:t>
      </w:r>
      <w:r w:rsidRPr="007805D2">
        <w:t>glyfozátu</w:t>
      </w:r>
      <w:r w:rsidRPr="007805D2">
        <w:t xml:space="preserve"> pre ľudí), ktorá bola uverejnená v roku 2000 a ktorá sa používala na obhajobu bezpečnosti </w:t>
      </w:r>
      <w:r w:rsidRPr="007805D2">
        <w:t>glyfozátu</w:t>
      </w:r>
      <w:r w:rsidRPr="007805D2">
        <w:t xml:space="preserve"> v mnohých posúdeniach rizík, keďže </w:t>
      </w:r>
      <w:r w:rsidRPr="007805D2">
        <w:rPr>
          <w:shd w:val="clear" w:color="auto" w:fill="FFFFFF"/>
        </w:rPr>
        <w:t>„</w:t>
      </w:r>
      <w:r w:rsidRPr="007805D2">
        <w:t>boli vyjadrené obavy týkajúce sa jej autorstva, platnosti výsledkov výskumu v kontexte skresľovania príspevkov autorov a zadávateľa štúdie a možného konfliktu záujmov autorov“</w:t>
      </w:r>
      <w:r>
        <w:rPr>
          <w:rStyle w:val="FootnoteReference"/>
        </w:rPr>
        <w:footnoteReference w:id="12"/>
      </w:r>
      <w:r w:rsidRPr="007805D2">
        <w:t>;</w:t>
      </w:r>
    </w:p>
    <w:p w:rsidR="008663E5" w:rsidRPr="007805D2" w:rsidP="00DB69AA" w14:paraId="659DEBAD" w14:textId="77777777">
      <w:pPr>
        <w:autoSpaceDE w:val="0"/>
        <w:autoSpaceDN w:val="0"/>
        <w:adjustRightInd w:val="0"/>
        <w:spacing w:after="240"/>
        <w:ind w:left="567" w:hanging="567"/>
        <w:rPr>
          <w:rFonts w:eastAsiaTheme="minorHAnsi"/>
          <w:szCs w:val="24"/>
        </w:rPr>
      </w:pPr>
      <w:r w:rsidRPr="007805D2">
        <w:t>L.</w:t>
      </w:r>
      <w:r w:rsidRPr="007805D2">
        <w:tab/>
        <w:t xml:space="preserve">keďže v recenzovanom vedeckom článku odborník v oblasti vývoja geneticky modifikovaných rastlín spochybňuje bezpečnosť geneticky modifikovaných plodín odolných voči 2,4-D z dôvodu jeho degradácie na </w:t>
      </w:r>
      <w:r w:rsidRPr="007805D2">
        <w:t>cytotoxické</w:t>
      </w:r>
      <w:r w:rsidRPr="007805D2">
        <w:t xml:space="preserve"> produkty rozkladu</w:t>
      </w:r>
      <w:r>
        <w:rPr>
          <w:rFonts w:eastAsiaTheme="minorHAnsi"/>
          <w:vertAlign w:val="superscript"/>
        </w:rPr>
        <w:footnoteReference w:id="13"/>
      </w:r>
      <w:r w:rsidRPr="007805D2">
        <w:t>;</w:t>
      </w:r>
    </w:p>
    <w:p w:rsidR="008663E5" w:rsidRPr="007805D2" w:rsidP="00DB69AA" w14:paraId="76673B30" w14:textId="77777777">
      <w:pPr>
        <w:autoSpaceDE w:val="0"/>
        <w:autoSpaceDN w:val="0"/>
        <w:adjustRightInd w:val="0"/>
        <w:spacing w:after="240"/>
        <w:ind w:left="567" w:hanging="567"/>
        <w:rPr>
          <w:rFonts w:eastAsiaTheme="minorHAnsi"/>
          <w:szCs w:val="24"/>
        </w:rPr>
      </w:pPr>
      <w:r w:rsidRPr="007805D2">
        <w:t>M.</w:t>
      </w:r>
      <w:r w:rsidRPr="007805D2">
        <w:tab/>
        <w:t>keďže posudzovanie rezíduí herbicídov a ich metabolitov v geneticky modifikovaných rastlinách je mimo pôsobnosti panelu EFSA pre geneticky modifikované organizmy, a preto sa v rámci postupu povoľovania GMO nevykonáva; keďže tento stav je problematický, pretože v prípade geneticky modifikovaných rastlín môže byť samotná genetická modifikácia ovplyvnená tým, ako rastlina metabolizuje doplnkové herbicídy, ako aj zložením, a teda aj toxicitou metabolitov</w:t>
      </w:r>
      <w:r>
        <w:rPr>
          <w:rFonts w:eastAsiaTheme="minorHAnsi"/>
          <w:vertAlign w:val="superscript"/>
        </w:rPr>
        <w:footnoteReference w:id="14"/>
      </w:r>
      <w:r w:rsidRPr="007805D2">
        <w:t>;</w:t>
      </w:r>
    </w:p>
    <w:p w:rsidR="008663E5" w:rsidRPr="007805D2" w:rsidP="00DB69AA" w14:paraId="71569D7D" w14:textId="77777777">
      <w:pPr>
        <w:autoSpaceDE w:val="0"/>
        <w:autoSpaceDN w:val="0"/>
        <w:adjustRightInd w:val="0"/>
        <w:spacing w:after="240"/>
        <w:ind w:left="567" w:hanging="567"/>
        <w:rPr>
          <w:rFonts w:eastAsiaTheme="minorHAnsi"/>
          <w:szCs w:val="24"/>
        </w:rPr>
      </w:pPr>
      <w:r w:rsidRPr="007805D2">
        <w:t>N.</w:t>
      </w:r>
      <w:r w:rsidRPr="007805D2">
        <w:tab/>
        <w:t>keďže v nariadení (ES) č. 1829/2003 vyžaduje, aby geneticky modifikované potraviny alebo krmivá nemali nepriaznivé účinky na ľudské zdravie, zdravie zvierat alebo životné prostredie a aby Komisia pri príprave svojho rozhodnutia zohľadnila všetky relevantné ustanovenia práva Únie a ostatné legitímne faktory týkajúce sa posudzovanej záležitosti; keďže medzi tieto legitímne faktory by mali patriť záväzky Únie v rámci cieľov OSN v oblasti udržateľného rozvoja, Parížskej dohody o zmene klímy</w:t>
      </w:r>
      <w:r>
        <w:rPr>
          <w:rStyle w:val="FootnoteReference"/>
          <w:rFonts w:eastAsiaTheme="minorHAnsi"/>
          <w:szCs w:val="24"/>
        </w:rPr>
        <w:footnoteReference w:id="15"/>
      </w:r>
      <w:r w:rsidRPr="007805D2">
        <w:t xml:space="preserve"> a Dohovoru Organizácie spojených národov o biologickej diverzite</w:t>
      </w:r>
      <w:r>
        <w:rPr>
          <w:rStyle w:val="FootnoteReference"/>
          <w:rFonts w:eastAsiaTheme="minorHAnsi"/>
          <w:szCs w:val="24"/>
        </w:rPr>
        <w:footnoteReference w:id="16"/>
      </w:r>
      <w:r w:rsidRPr="007805D2">
        <w:t>;</w:t>
      </w:r>
    </w:p>
    <w:p w:rsidR="008663E5" w:rsidRPr="007805D2" w:rsidP="00DB69AA" w14:paraId="22E4CAC2" w14:textId="77777777">
      <w:pPr>
        <w:autoSpaceDE w:val="0"/>
        <w:autoSpaceDN w:val="0"/>
        <w:adjustRightInd w:val="0"/>
        <w:spacing w:after="240"/>
        <w:ind w:left="567" w:hanging="567"/>
        <w:rPr>
          <w:rFonts w:eastAsiaTheme="minorHAnsi"/>
          <w:szCs w:val="24"/>
        </w:rPr>
      </w:pPr>
      <w:r w:rsidRPr="007805D2">
        <w:t>O.</w:t>
      </w:r>
      <w:r w:rsidRPr="007805D2">
        <w:tab/>
        <w:t>keďže nie je dostatočne zaručené nezávislé monitorovanie možných nepriaznivých účinkov na biodiverzitu, zdravie pôdy, opeľovače a necieľové organizmy a dohľad nad nimi;</w:t>
      </w:r>
    </w:p>
    <w:p w:rsidR="008663E5" w:rsidRPr="007805D2" w:rsidP="00DB69AA" w14:paraId="3E43422D" w14:textId="77777777">
      <w:pPr>
        <w:autoSpaceDE w:val="0"/>
        <w:autoSpaceDN w:val="0"/>
        <w:adjustRightInd w:val="0"/>
        <w:spacing w:after="240"/>
        <w:ind w:left="567" w:hanging="567"/>
        <w:rPr>
          <w:rFonts w:eastAsiaTheme="minorHAnsi"/>
          <w:szCs w:val="24"/>
        </w:rPr>
      </w:pPr>
      <w:r w:rsidRPr="007805D2">
        <w:t>P.</w:t>
      </w:r>
      <w:r w:rsidRPr="007805D2">
        <w:tab/>
        <w:t>keďže v prípadoch vedeckej neistoty by sa mala uplatňovať zásada predbežnej opatrnosti ustanovená v článku 191 Zmluvy o fungovaní Európskej únie;</w:t>
      </w:r>
    </w:p>
    <w:p w:rsidR="008663E5" w:rsidRPr="007805D2" w:rsidP="00DB69AA" w14:paraId="354EA00D" w14:textId="77777777">
      <w:pPr>
        <w:autoSpaceDE w:val="0"/>
        <w:autoSpaceDN w:val="0"/>
        <w:adjustRightInd w:val="0"/>
        <w:spacing w:after="240"/>
        <w:ind w:left="567" w:hanging="567"/>
        <w:rPr>
          <w:rFonts w:eastAsiaTheme="minorHAnsi"/>
          <w:szCs w:val="24"/>
        </w:rPr>
      </w:pPr>
      <w:r w:rsidRPr="007805D2">
        <w:t>Q.</w:t>
      </w:r>
      <w:r w:rsidRPr="007805D2">
        <w:tab/>
        <w:t xml:space="preserve">keďže Únia ako zmluvná strana Dohovoru OSN o biologickej diverzite a v súlade s článkom 3 tohto dohovoru má povinnosť zabezpečiť, aby činnosti vykonávané v rámci </w:t>
      </w:r>
      <w:r w:rsidRPr="007805D2">
        <w:t>jej jurisdikcie alebo pod jej kontrolou nespôsobovali škody na životnom prostredí iných štátov;</w:t>
      </w:r>
    </w:p>
    <w:p w:rsidR="008663E5" w:rsidRPr="007805D2" w:rsidP="00DB69AA" w14:paraId="245ED530" w14:textId="77777777">
      <w:pPr>
        <w:autoSpaceDE w:val="0"/>
        <w:autoSpaceDN w:val="0"/>
        <w:adjustRightInd w:val="0"/>
        <w:spacing w:after="240"/>
        <w:ind w:left="567" w:hanging="567"/>
        <w:rPr>
          <w:rFonts w:eastAsiaTheme="minorHAnsi"/>
          <w:szCs w:val="24"/>
        </w:rPr>
      </w:pPr>
      <w:r w:rsidRPr="007805D2">
        <w:t>R.</w:t>
      </w:r>
      <w:r w:rsidRPr="007805D2">
        <w:tab/>
        <w:t>keďže obnovenie povolenia geneticky modifikovanej kukurice v Únii by nebolo v súlade s medzinárodnými záväzkami v oblasti znižovania pesticídov</w:t>
      </w:r>
      <w:r>
        <w:rPr>
          <w:rFonts w:eastAsiaTheme="minorHAnsi"/>
          <w:vertAlign w:val="superscript"/>
        </w:rPr>
        <w:footnoteReference w:id="17"/>
      </w:r>
      <w:r w:rsidRPr="007805D2">
        <w:t xml:space="preserve"> vzhľadom na zvýšenú expozíciu ľudí, zvierat a životného prostredia </w:t>
      </w:r>
      <w:r w:rsidRPr="007805D2">
        <w:t>glyfozátu</w:t>
      </w:r>
      <w:r w:rsidRPr="007805D2">
        <w:t xml:space="preserve">, </w:t>
      </w:r>
      <w:r w:rsidRPr="007805D2">
        <w:t>dikambe</w:t>
      </w:r>
      <w:r w:rsidRPr="007805D2">
        <w:t xml:space="preserve"> a </w:t>
      </w:r>
      <w:r w:rsidRPr="007805D2">
        <w:t>glufosinátu</w:t>
      </w:r>
      <w:r w:rsidRPr="007805D2">
        <w:t xml:space="preserve"> v krajinách, v ktorých sa pestuje táto geneticky modifikovaná plodina tolerantná voči herbicídom, spolu s potenciálne závažnými súvisiacimi zdravotnými výsledkami;</w:t>
      </w:r>
    </w:p>
    <w:p w:rsidR="008663E5" w:rsidRPr="007805D2" w:rsidP="00DB69AA" w14:paraId="65254A55" w14:textId="77777777">
      <w:pPr>
        <w:autoSpaceDE w:val="0"/>
        <w:autoSpaceDN w:val="0"/>
        <w:adjustRightInd w:val="0"/>
        <w:spacing w:after="240"/>
        <w:ind w:left="567" w:hanging="567"/>
        <w:rPr>
          <w:rFonts w:eastAsiaTheme="minorHAnsi"/>
          <w:szCs w:val="24"/>
        </w:rPr>
      </w:pPr>
      <w:r w:rsidRPr="007805D2">
        <w:t>S.</w:t>
      </w:r>
      <w:r w:rsidRPr="007805D2">
        <w:tab/>
        <w:t>keďže pestovanie geneticky modifikovanej kukurice nie je v Únii povolené;</w:t>
      </w:r>
    </w:p>
    <w:p w:rsidR="008663E5" w:rsidRPr="007805D2" w:rsidP="00DB69AA" w14:paraId="62A18C0C" w14:textId="03B89D18">
      <w:pPr>
        <w:autoSpaceDE w:val="0"/>
        <w:autoSpaceDN w:val="0"/>
        <w:adjustRightInd w:val="0"/>
        <w:spacing w:after="240"/>
        <w:ind w:left="567" w:hanging="567"/>
        <w:rPr>
          <w:rFonts w:eastAsiaTheme="minorHAnsi"/>
          <w:szCs w:val="24"/>
        </w:rPr>
      </w:pPr>
      <w:r w:rsidRPr="007805D2">
        <w:t>T.</w:t>
      </w:r>
      <w:r w:rsidRPr="007805D2">
        <w:tab/>
        <w:t>keďže vykonávacie rozhodnuti</w:t>
      </w:r>
      <w:r w:rsidRPr="007805D2" w:rsidR="00D8723A">
        <w:t>e</w:t>
      </w:r>
      <w:r w:rsidRPr="007805D2">
        <w:t xml:space="preserve"> Komisie </w:t>
      </w:r>
      <w:r w:rsidRPr="007805D2" w:rsidR="00D8723A">
        <w:t xml:space="preserve">(EÚ) 2026/1443 </w:t>
      </w:r>
      <w:r w:rsidRPr="007805D2">
        <w:t>by umožnil</w:t>
      </w:r>
      <w:r w:rsidRPr="007805D2" w:rsidR="00D8723A">
        <w:t>o</w:t>
      </w:r>
      <w:r w:rsidRPr="007805D2">
        <w:t xml:space="preserve"> dovoz do Únie, ktorý nie je v súlade s normami, ktoré dodržiavajú poľnohospodári Únie, čím by sa dostali do konkurenčnej nevýhody;</w:t>
      </w:r>
    </w:p>
    <w:p w:rsidR="008663E5" w:rsidRPr="007805D2" w:rsidP="00DB69AA" w14:paraId="6A869B26" w14:textId="77777777">
      <w:pPr>
        <w:autoSpaceDE w:val="0"/>
        <w:autoSpaceDN w:val="0"/>
        <w:adjustRightInd w:val="0"/>
        <w:spacing w:after="240"/>
        <w:ind w:left="567" w:hanging="567"/>
        <w:rPr>
          <w:rFonts w:eastAsiaTheme="minorHAnsi"/>
          <w:szCs w:val="24"/>
        </w:rPr>
      </w:pPr>
      <w:r w:rsidRPr="007805D2">
        <w:t>U.</w:t>
      </w:r>
      <w:r w:rsidRPr="007805D2">
        <w:tab/>
        <w:t>keďže v záveroch strategického dialógu o budúcnosti poľnohospodárstva v EÚ</w:t>
      </w:r>
      <w:r>
        <w:rPr>
          <w:rFonts w:eastAsiaTheme="minorHAnsi"/>
          <w:vertAlign w:val="superscript"/>
        </w:rPr>
        <w:footnoteReference w:id="18"/>
      </w:r>
      <w:r w:rsidRPr="007805D2">
        <w:t xml:space="preserve"> sa Komisia vyzýva, aby prehodnotila prístup, pokiaľ ide o prístup na trh pre </w:t>
      </w:r>
      <w:r w:rsidRPr="007805D2">
        <w:t>agropotravinový</w:t>
      </w:r>
      <w:r w:rsidRPr="007805D2">
        <w:t xml:space="preserve"> dovoz a vývoz, a to vzhľadom na rozdiely medzi normami Únie a jej obchodných partnerov; keďže spravodlivejšie obchodné vzťahy na celosvetovej úrovni, ktoré sú v súlade s cieľmi zdravého životného prostredia, boli jednou z hlavných požiadaviek poľnohospodárov počas demonštrácií v rokoch 2023, 2024 a 2025;</w:t>
      </w:r>
    </w:p>
    <w:p w:rsidR="008663E5" w:rsidRPr="007805D2" w:rsidP="00DB69AA" w14:paraId="48FAE522" w14:textId="5C6F58F1">
      <w:pPr>
        <w:autoSpaceDE w:val="0"/>
        <w:autoSpaceDN w:val="0"/>
        <w:adjustRightInd w:val="0"/>
        <w:spacing w:after="360"/>
        <w:ind w:left="567" w:hanging="567"/>
        <w:rPr>
          <w:rFonts w:eastAsiaTheme="minorHAnsi"/>
          <w:szCs w:val="24"/>
        </w:rPr>
      </w:pPr>
      <w:r w:rsidRPr="007805D2">
        <w:t>V.</w:t>
      </w:r>
      <w:r w:rsidRPr="007805D2">
        <w:tab/>
        <w:t xml:space="preserve">keďže </w:t>
      </w:r>
      <w:r w:rsidRPr="007805D2" w:rsidR="00D8723A">
        <w:t>Európsky p</w:t>
      </w:r>
      <w:r w:rsidRPr="007805D2">
        <w:t xml:space="preserve">arlament opakovane zdôraznil, že Komisia by nemala povoľovať GMO v prípadoch, keď členské štáty nedosiahnu kvalifikovanú väčšinu v Stálom výbore pre rastliny, zvieratá, potraviny a krmivá alebo v odvolacom výbore, aby sa vyriešil pretrvávajúci demokratický deficit; </w:t>
      </w:r>
    </w:p>
    <w:p w:rsidR="008663E5" w:rsidRPr="007805D2" w:rsidP="00DB69AA" w14:paraId="5C352B82" w14:textId="77777777">
      <w:pPr>
        <w:autoSpaceDE w:val="0"/>
        <w:autoSpaceDN w:val="0"/>
        <w:adjustRightInd w:val="0"/>
        <w:spacing w:after="360"/>
        <w:ind w:left="567" w:hanging="567"/>
        <w:rPr>
          <w:rFonts w:eastAsiaTheme="minorHAnsi"/>
          <w:szCs w:val="24"/>
        </w:rPr>
      </w:pPr>
      <w:r w:rsidRPr="007805D2">
        <w:t>W.</w:t>
      </w:r>
      <w:r w:rsidRPr="007805D2">
        <w:tab/>
        <w:t>keďže Komisia naďalej povoľuje geneticky modifikované organizmy, hoci si sama uvedomuje nedostatky z hľadiska demokracie, nízku podporu členských štátov a námietky Európskeho parlamentu;</w:t>
      </w:r>
    </w:p>
    <w:p w:rsidR="008663E5" w:rsidRPr="007805D2" w:rsidP="00DB69AA" w14:paraId="7ED2F21D" w14:textId="77777777">
      <w:pPr>
        <w:autoSpaceDE w:val="0"/>
        <w:autoSpaceDN w:val="0"/>
        <w:adjustRightInd w:val="0"/>
        <w:spacing w:after="360"/>
        <w:ind w:left="567" w:hanging="567"/>
      </w:pPr>
      <w:r w:rsidRPr="007805D2">
        <w:t>X.</w:t>
      </w:r>
      <w:r w:rsidRPr="007805D2">
        <w:tab/>
        <w:t>keďže na základe prístupu „jedno zdravie“ sa vyžaduje, aby sa pri hodnotení dlhodobej udržateľnosti a bezpečnosti geneticky modifikovaných organizmov zohľadňovala vzájomná závislosť medzi zdravím ľudí, zvierat, rastlín a životného prostredia;</w:t>
      </w:r>
    </w:p>
    <w:p w:rsidR="008663E5" w:rsidRPr="007805D2" w:rsidP="00DB69AA" w14:paraId="7D9F4535" w14:textId="54069FB7">
      <w:pPr>
        <w:pStyle w:val="NormalHanging12a"/>
      </w:pPr>
      <w:r w:rsidRPr="007805D2">
        <w:t>1.</w:t>
      </w:r>
      <w:r w:rsidRPr="007805D2">
        <w:tab/>
        <w:t>domnieva sa, že vykonávacie rozhodnuti</w:t>
      </w:r>
      <w:r w:rsidRPr="007805D2" w:rsidR="00D8723A">
        <w:t>e</w:t>
      </w:r>
      <w:r w:rsidRPr="007805D2">
        <w:t xml:space="preserve"> Komisie </w:t>
      </w:r>
      <w:r w:rsidRPr="007805D2" w:rsidR="00D8723A">
        <w:t xml:space="preserve">(EÚ) 2026/1443 </w:t>
      </w:r>
      <w:r w:rsidRPr="007805D2">
        <w:t>prekračuje rámec vykonávacích právomocí stanovených v nariadení (ES) č. 1829/2003;</w:t>
      </w:r>
    </w:p>
    <w:p w:rsidR="008663E5" w:rsidRPr="007805D2" w:rsidP="00DB69AA" w14:paraId="622EFA10" w14:textId="4CF281DA">
      <w:pPr>
        <w:pStyle w:val="NormalHanging12a"/>
      </w:pPr>
      <w:r w:rsidRPr="007805D2">
        <w:t>2.</w:t>
      </w:r>
      <w:r w:rsidRPr="007805D2">
        <w:tab/>
        <w:t>domnieva sa, že vykonávacie rozhodnuti</w:t>
      </w:r>
      <w:r w:rsidRPr="007805D2" w:rsidR="00D8723A">
        <w:t>e</w:t>
      </w:r>
      <w:r w:rsidRPr="007805D2">
        <w:t xml:space="preserve"> Komisie </w:t>
      </w:r>
      <w:r w:rsidRPr="007805D2" w:rsidR="00D8723A">
        <w:t xml:space="preserve">(EÚ) 2026/1443 </w:t>
      </w:r>
      <w:r w:rsidRPr="007805D2">
        <w:t xml:space="preserve">nie je v súlade s právom Únie, pretože nie je zlučiteľný s cieľom nariadenia (ES) č. 1829/2003, ktorým je podľa všeobecných zásad uvedených v nariadení Európskeho parlamentu a Rady (ES) </w:t>
      </w:r>
      <w:r w:rsidRPr="007805D2">
        <w:t>č. 178/2002</w:t>
      </w:r>
      <w:r>
        <w:rPr>
          <w:vertAlign w:val="superscript"/>
        </w:rPr>
        <w:footnoteReference w:id="19"/>
      </w:r>
      <w:r w:rsidRPr="007805D2">
        <w:t xml:space="preserve"> poskytovať základ na zabezpečenie vysokej miery ochrany ľudského života a zdravia, zdravia a dobrých životných podmienok zvierat, životného prostredia a záujmov spotrebiteľov v súvislosti s geneticky modifikovanými potravinami a krmivami a súčasne zabezpečovať efektívne fungovanie vnútorného trhu;</w:t>
      </w:r>
    </w:p>
    <w:p w:rsidR="008663E5" w:rsidRPr="007805D2" w:rsidP="00DB69AA" w14:paraId="3F3C22BC" w14:textId="732F64ED">
      <w:pPr>
        <w:pStyle w:val="NormalHanging12a"/>
      </w:pPr>
      <w:r w:rsidRPr="007805D2">
        <w:t>3.</w:t>
      </w:r>
      <w:r w:rsidRPr="007805D2">
        <w:tab/>
        <w:t xml:space="preserve">žiada Komisiu, aby </w:t>
      </w:r>
      <w:r w:rsidRPr="007805D2" w:rsidR="00D8723A">
        <w:t xml:space="preserve">zrušila </w:t>
      </w:r>
      <w:r w:rsidRPr="007805D2">
        <w:t>vykonávacie rozhodnuti</w:t>
      </w:r>
      <w:r w:rsidRPr="007805D2" w:rsidR="00D8723A">
        <w:t xml:space="preserve">e </w:t>
      </w:r>
      <w:r w:rsidRPr="007805D2" w:rsidR="00DC4E8B">
        <w:t xml:space="preserve">Komisie </w:t>
      </w:r>
      <w:r w:rsidRPr="007805D2" w:rsidR="00D8723A">
        <w:t>(EÚ) 2026/1443</w:t>
      </w:r>
      <w:r w:rsidRPr="007805D2">
        <w:t>;</w:t>
      </w:r>
    </w:p>
    <w:p w:rsidR="008663E5" w:rsidRPr="007805D2" w:rsidP="00DB69AA" w14:paraId="010D67DC" w14:textId="77777777">
      <w:pPr>
        <w:pStyle w:val="NormalHanging12a"/>
      </w:pPr>
      <w:r w:rsidRPr="007805D2">
        <w:t>4.</w:t>
      </w:r>
      <w:r w:rsidRPr="007805D2">
        <w:tab/>
        <w:t>vyzýva Komisiu, aby nepovolila dovoz geneticky modifikovaných plodín odolných voči herbicídom z dôvodu súvisiaceho zvýšeného používania doplnkových herbicídov, a teda zvýšeného rizika pre biodiverzitu, bezpečnosť potravín a zdravie pracovníkov;</w:t>
      </w:r>
    </w:p>
    <w:p w:rsidR="008663E5" w:rsidRPr="007805D2" w:rsidP="00DB69AA" w14:paraId="7A560310" w14:textId="77777777">
      <w:pPr>
        <w:pStyle w:val="NormalHanging12a"/>
      </w:pPr>
      <w:r w:rsidRPr="007805D2">
        <w:t>5.</w:t>
      </w:r>
      <w:r w:rsidRPr="007805D2">
        <w:tab/>
        <w:t>víta, že Komisia v liste z 11. septembra 2020 adresovanom poslancom uznala, že pri rozhodovaní o povoleniach pre geneticky modifikované organizmy treba zohľadňovať otázku udržateľnosti</w:t>
      </w:r>
      <w:r>
        <w:rPr>
          <w:vertAlign w:val="superscript"/>
        </w:rPr>
        <w:footnoteReference w:id="20"/>
      </w:r>
      <w:r w:rsidRPr="007805D2">
        <w:t>; vyjadruje však hlboké sklamanie nad tým, že Komisia naďalej povoľuje dovoz geneticky modifikovaných organizmov do Únie napriek neprestajným námietkam Európskeho parlamentu a väčšiny členských štátov hlasujúcich proti;</w:t>
      </w:r>
    </w:p>
    <w:p w:rsidR="008663E5" w:rsidRPr="007805D2" w:rsidP="00DB69AA" w14:paraId="50C07A18" w14:textId="77777777">
      <w:pPr>
        <w:pStyle w:val="NormalHanging12a"/>
      </w:pPr>
      <w:r w:rsidRPr="007805D2">
        <w:t>6.</w:t>
      </w:r>
      <w:r w:rsidRPr="007805D2">
        <w:tab/>
        <w:t>opätovne naliehavo vyzýva Komisiu, aby zohľadnila záväzky Únie vyplývajúce z medzinárodných dohôd, ako sú Parížska dohoda o zmene klímy, Dohovor OSN o biologickej diverzite a ciele OSN v oblasti udržateľného rozvoja; opakuje svoju výzvu, aby bola k návrhom vykonávacích aktov priložená dôvodová správa, v ktorej sa vysvetlí, ako sa v nich dodržiava zásada „nespôsobovať škodu“</w:t>
      </w:r>
      <w:r>
        <w:rPr>
          <w:vertAlign w:val="superscript"/>
        </w:rPr>
        <w:footnoteReference w:id="21"/>
      </w:r>
      <w:r w:rsidRPr="007805D2">
        <w:t>;</w:t>
      </w:r>
    </w:p>
    <w:p w:rsidR="008663E5" w:rsidRPr="007805D2" w:rsidP="00DB69AA" w14:paraId="0318C4B6" w14:textId="77777777">
      <w:pPr>
        <w:pStyle w:val="NormalHanging12a"/>
      </w:pPr>
      <w:r w:rsidRPr="007805D2">
        <w:t>7.</w:t>
      </w:r>
      <w:r w:rsidRPr="007805D2">
        <w:tab/>
        <w:t>zdôrazňuje, že v pozmeňujúcich návrhoch prijatých Európskym parlamentom 17. decembra 2020 k návrhu nariadenia Európskeho parlamentu a Rady, ktorým sa mení nariadenie (EÚ) č. 182/2011</w:t>
      </w:r>
      <w:r>
        <w:rPr>
          <w:vertAlign w:val="superscript"/>
        </w:rPr>
        <w:footnoteReference w:id="22"/>
      </w:r>
      <w:r w:rsidRPr="007805D2">
        <w:t>, ktoré boli prijaté v Európskom parlamente ako základ na rokovania s Radou, sa uvádza, že Komisia nepovolí GMO, ak kvalifikovaná väčšina členských štátov nebude hlasovať za; trvá na tom, aby Komisia rešpektovala túto pozíciu, a vyzýva Radu, aby pokračovala vo svojej práci a urýchlene prijala všeobecný prístup k tomuto spisu;</w:t>
      </w:r>
    </w:p>
    <w:p w:rsidR="00313FAF" w:rsidRPr="007805D2" w:rsidP="00DB69AA" w14:paraId="683F335C" w14:textId="6F7CA48B">
      <w:pPr>
        <w:pStyle w:val="NormalHanging12a"/>
      </w:pPr>
      <w:r w:rsidRPr="007805D2">
        <w:t>8.</w:t>
      </w:r>
      <w:r w:rsidRPr="007805D2">
        <w:tab/>
        <w:t>poveruje svoju predsedníčku, aby postúpila toto uznesenie Rade, Komisii a vládam a parlamentom členských štátov.</w:t>
      </w:r>
    </w:p>
    <w:p w:rsidR="00E365E1" w:rsidRPr="007805D2" w:rsidP="00D8723A" w14:paraId="1D44FFEB" w14:textId="144B9657"/>
    <w:sectPr w:rsidSect="00313FA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13FAF" w14:paraId="0BC7690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13FAF" w14:paraId="2674CC2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13FAF" w14:paraId="29EEB7D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E1AFB" w:rsidRPr="00313FAF" w14:paraId="5273FFDC" w14:textId="77777777">
      <w:r w:rsidRPr="00313FAF">
        <w:separator/>
      </w:r>
    </w:p>
  </w:footnote>
  <w:footnote w:type="continuationSeparator" w:id="1">
    <w:p w:rsidR="009E1AFB" w:rsidRPr="00313FAF" w14:paraId="67E93CFE" w14:textId="77777777">
      <w:r w:rsidRPr="00313FAF">
        <w:continuationSeparator/>
      </w:r>
    </w:p>
  </w:footnote>
  <w:footnote w:id="2">
    <w:p w:rsidR="007B2D33" w:rsidRPr="00DB69AA" w:rsidP="00DB69AA" w14:paraId="7FA7CE33" w14:textId="32D3E456">
      <w:pPr>
        <w:pStyle w:val="FootnoteText"/>
        <w:ind w:left="567" w:hanging="567"/>
        <w:rPr>
          <w:sz w:val="24"/>
          <w:szCs w:val="24"/>
          <w:lang w:val="sk-SK"/>
        </w:rPr>
      </w:pPr>
      <w:r w:rsidRPr="00DB69AA">
        <w:rPr>
          <w:rStyle w:val="FootnoteReference"/>
          <w:sz w:val="24"/>
          <w:szCs w:val="24"/>
        </w:rPr>
        <w:footnoteRef/>
      </w:r>
      <w:r w:rsidRPr="00DB69AA">
        <w:rPr>
          <w:sz w:val="24"/>
          <w:szCs w:val="24"/>
          <w:lang w:val="fi-FI"/>
        </w:rPr>
        <w:t xml:space="preserve"> </w:t>
      </w:r>
      <w:r w:rsidRPr="00DB69AA">
        <w:rPr>
          <w:sz w:val="24"/>
          <w:szCs w:val="24"/>
          <w:lang w:val="sk-SK"/>
        </w:rPr>
        <w:tab/>
      </w:r>
      <w:r w:rsidRPr="004E2FCF">
        <w:rPr>
          <w:sz w:val="24"/>
          <w:szCs w:val="24"/>
          <w:lang w:val="sk-SK"/>
        </w:rPr>
        <w:t>Ú. v. EÚ</w:t>
      </w:r>
      <w:r w:rsidRPr="00DB69AA">
        <w:rPr>
          <w:sz w:val="24"/>
          <w:szCs w:val="24"/>
          <w:lang w:val="fi-FI"/>
        </w:rPr>
        <w:t xml:space="preserve"> L, 2026/1443, 3.7.2026, ELI: </w:t>
      </w:r>
      <w:hyperlink r:id="rId1" w:history="1">
        <w:r w:rsidRPr="00DB69AA">
          <w:rPr>
            <w:rStyle w:val="Hyperlink"/>
            <w:sz w:val="24"/>
            <w:szCs w:val="24"/>
            <w:lang w:val="fi-FI"/>
          </w:rPr>
          <w:t>http://data.europa.eu/eli/dec_impl/2026/1443/oj</w:t>
        </w:r>
      </w:hyperlink>
      <w:r w:rsidRPr="004E2FCF">
        <w:rPr>
          <w:sz w:val="24"/>
          <w:szCs w:val="24"/>
          <w:lang w:val="sk-SK"/>
        </w:rPr>
        <w:t>.</w:t>
      </w:r>
    </w:p>
  </w:footnote>
  <w:footnote w:id="3">
    <w:p w:rsidR="008663E5" w:rsidRPr="004E2FCF" w:rsidP="00313FAF" w14:paraId="7BAE81CC" w14:textId="7C3FD2AD">
      <w:pPr>
        <w:pStyle w:val="FootnoteText"/>
        <w:ind w:left="567" w:hanging="567"/>
        <w:rPr>
          <w:sz w:val="24"/>
          <w:szCs w:val="24"/>
          <w:lang w:val="sk-SK"/>
        </w:rPr>
      </w:pPr>
      <w:r w:rsidRPr="004E2FCF">
        <w:rPr>
          <w:rStyle w:val="Funotenzeichen"/>
          <w:sz w:val="24"/>
          <w:szCs w:val="24"/>
          <w:lang w:val="sk-SK"/>
        </w:rPr>
        <w:footnoteRef/>
      </w:r>
      <w:r w:rsidRPr="004E2FCF" w:rsidR="00313FAF">
        <w:rPr>
          <w:sz w:val="24"/>
          <w:szCs w:val="24"/>
          <w:lang w:val="sk-SK"/>
        </w:rPr>
        <w:t xml:space="preserve"> </w:t>
      </w:r>
      <w:r w:rsidRPr="004E2FCF" w:rsidR="00313FAF">
        <w:rPr>
          <w:sz w:val="24"/>
          <w:szCs w:val="24"/>
          <w:lang w:val="sk-SK"/>
        </w:rPr>
        <w:tab/>
      </w:r>
      <w:r w:rsidRPr="004E2FCF">
        <w:rPr>
          <w:sz w:val="24"/>
          <w:szCs w:val="24"/>
          <w:lang w:val="sk-SK"/>
        </w:rPr>
        <w:t xml:space="preserve">Ú. v. EÚ L 268, 18.10.2003, s. </w:t>
      </w:r>
      <w:r w:rsidRPr="004E2FCF">
        <w:rPr>
          <w:sz w:val="24"/>
          <w:szCs w:val="24"/>
          <w:lang w:val="sk-SK"/>
        </w:rPr>
        <w:t>1, ELI: </w:t>
      </w:r>
      <w:hyperlink r:id="rId2" w:history="1">
        <w:r w:rsidRPr="004E2FCF" w:rsidR="00D8723A">
          <w:rPr>
            <w:rStyle w:val="Hyperlink"/>
            <w:sz w:val="24"/>
            <w:szCs w:val="24"/>
            <w:lang w:val="sk-SK"/>
          </w:rPr>
          <w:t>http://data.europa.eu/eli/reg/2003/1829/oj</w:t>
        </w:r>
      </w:hyperlink>
      <w:r w:rsidRPr="004E2FCF">
        <w:rPr>
          <w:sz w:val="24"/>
          <w:szCs w:val="24"/>
          <w:lang w:val="sk-SK"/>
        </w:rPr>
        <w:t>.</w:t>
      </w:r>
    </w:p>
  </w:footnote>
  <w:footnote w:id="4">
    <w:p w:rsidR="008663E5" w:rsidRPr="004E2FCF" w:rsidP="00313FAF" w14:paraId="70B6777A" w14:textId="7912565C">
      <w:pPr>
        <w:pStyle w:val="FootnoteText"/>
        <w:ind w:left="567" w:hanging="567"/>
        <w:rPr>
          <w:sz w:val="24"/>
          <w:szCs w:val="24"/>
          <w:lang w:val="sk-SK"/>
        </w:rPr>
      </w:pPr>
      <w:r w:rsidRPr="004E2FCF">
        <w:rPr>
          <w:rStyle w:val="FootnoteReference"/>
          <w:sz w:val="24"/>
          <w:szCs w:val="24"/>
          <w:lang w:val="sk-SK"/>
        </w:rPr>
        <w:footnoteRef/>
      </w:r>
      <w:r w:rsidRPr="004E2FCF" w:rsidR="00313FAF">
        <w:rPr>
          <w:sz w:val="24"/>
          <w:szCs w:val="24"/>
          <w:lang w:val="sk-SK"/>
        </w:rPr>
        <w:t xml:space="preserve"> </w:t>
      </w:r>
      <w:r w:rsidRPr="004E2FCF" w:rsidR="00313FAF">
        <w:rPr>
          <w:sz w:val="24"/>
          <w:szCs w:val="24"/>
          <w:lang w:val="sk-SK"/>
        </w:rPr>
        <w:tab/>
      </w:r>
      <w:r w:rsidRPr="004E2FCF">
        <w:rPr>
          <w:sz w:val="24"/>
          <w:szCs w:val="24"/>
          <w:lang w:val="sk-SK"/>
        </w:rPr>
        <w:t>Ú. v. EÚ L 55, 28.2.2011, s. </w:t>
      </w:r>
      <w:r w:rsidRPr="004E2FCF">
        <w:rPr>
          <w:sz w:val="24"/>
          <w:szCs w:val="24"/>
          <w:lang w:val="sk-SK"/>
        </w:rPr>
        <w:t>13, ELI: </w:t>
      </w:r>
      <w:hyperlink r:id="rId3" w:history="1">
        <w:r w:rsidRPr="004E2FCF">
          <w:rPr>
            <w:rStyle w:val="Hyperlink"/>
            <w:sz w:val="24"/>
            <w:szCs w:val="24"/>
            <w:lang w:val="sk-SK"/>
          </w:rPr>
          <w:t>https://eur-lex.europa.eu/eli/reg/2011/182/oj?locale=sk</w:t>
        </w:r>
      </w:hyperlink>
      <w:r w:rsidRPr="004E2FCF">
        <w:rPr>
          <w:sz w:val="24"/>
          <w:szCs w:val="24"/>
          <w:lang w:val="sk-SK"/>
        </w:rPr>
        <w:t>.</w:t>
      </w:r>
    </w:p>
  </w:footnote>
  <w:footnote w:id="5">
    <w:p w:rsidR="008663E5" w:rsidRPr="004E2FCF" w:rsidP="006F2CA1" w14:paraId="15EB18D9" w14:textId="1A78349C">
      <w:pPr>
        <w:pStyle w:val="FootnoteText"/>
        <w:ind w:left="567" w:hanging="567"/>
        <w:rPr>
          <w:sz w:val="24"/>
          <w:szCs w:val="24"/>
          <w:lang w:val="sk-SK"/>
        </w:rPr>
      </w:pPr>
      <w:r w:rsidRPr="004E2FCF">
        <w:rPr>
          <w:rStyle w:val="Funotenzeichen"/>
          <w:sz w:val="24"/>
          <w:szCs w:val="24"/>
          <w:lang w:val="sk-SK"/>
        </w:rPr>
        <w:footnoteRef/>
      </w:r>
      <w:r w:rsidRPr="004E2FCF" w:rsidR="00313FAF">
        <w:rPr>
          <w:sz w:val="24"/>
          <w:szCs w:val="24"/>
          <w:lang w:val="sk-SK"/>
        </w:rPr>
        <w:t xml:space="preserve"> </w:t>
      </w:r>
      <w:r w:rsidRPr="004E2FCF" w:rsidR="00313FAF">
        <w:rPr>
          <w:sz w:val="24"/>
          <w:szCs w:val="24"/>
          <w:lang w:val="sk-SK"/>
        </w:rPr>
        <w:tab/>
      </w:r>
      <w:r w:rsidRPr="004E2FCF">
        <w:rPr>
          <w:sz w:val="24"/>
          <w:szCs w:val="24"/>
          <w:lang w:val="sk-SK"/>
        </w:rPr>
        <w:t xml:space="preserve">Vedecké stanovisko pracovnej skupiny EFSA pre geneticky modifikované organizmy k posúdeniu geneticky modifikovanej kukurice DP202216 × NK603 × DAS-40278-9 (žiadosť GMFF-2022-6232), </w:t>
      </w:r>
      <w:r w:rsidRPr="004E2FCF">
        <w:rPr>
          <w:i/>
          <w:iCs/>
          <w:sz w:val="24"/>
          <w:szCs w:val="24"/>
          <w:lang w:val="sk-SK"/>
        </w:rPr>
        <w:t>Vestník EFSA</w:t>
      </w:r>
      <w:r w:rsidRPr="004E2FCF">
        <w:rPr>
          <w:sz w:val="24"/>
          <w:szCs w:val="24"/>
          <w:lang w:val="sk-SK"/>
        </w:rPr>
        <w:t xml:space="preserve">, 2025, 23(12):e9746, </w:t>
      </w:r>
      <w:hyperlink r:id="rId4" w:history="1">
        <w:r w:rsidRPr="004E2FCF">
          <w:rPr>
            <w:rStyle w:val="Hyperlink"/>
            <w:sz w:val="24"/>
            <w:szCs w:val="24"/>
            <w:lang w:val="sk-SK"/>
          </w:rPr>
          <w:t>https://doi.org/10.2903/j.efsa.2025.9746</w:t>
        </w:r>
      </w:hyperlink>
      <w:r w:rsidRPr="004E2FCF">
        <w:rPr>
          <w:rStyle w:val="Hyperlink"/>
          <w:sz w:val="24"/>
          <w:szCs w:val="24"/>
          <w:lang w:val="sk-SK"/>
        </w:rPr>
        <w:t>.</w:t>
      </w:r>
    </w:p>
  </w:footnote>
  <w:footnote w:id="6">
    <w:p w:rsidR="008663E5" w:rsidRPr="004E2FCF" w:rsidP="00313FAF" w14:paraId="7724EE22" w14:textId="6D2E5CF4">
      <w:pPr>
        <w:pStyle w:val="FootnoteText"/>
        <w:ind w:left="567" w:hanging="567"/>
        <w:rPr>
          <w:color w:val="000000" w:themeColor="text1"/>
          <w:sz w:val="24"/>
          <w:szCs w:val="24"/>
          <w:vertAlign w:val="superscript"/>
          <w:lang w:val="sk-SK"/>
        </w:rPr>
      </w:pPr>
      <w:r w:rsidRPr="004E2FCF">
        <w:rPr>
          <w:rStyle w:val="Funotenzeichen"/>
          <w:sz w:val="24"/>
          <w:szCs w:val="24"/>
          <w:lang w:val="sk-SK"/>
        </w:rPr>
        <w:footnoteRef/>
      </w:r>
      <w:r w:rsidRPr="004E2FCF" w:rsidR="00313FAF">
        <w:rPr>
          <w:sz w:val="24"/>
          <w:szCs w:val="24"/>
          <w:lang w:val="sk-SK"/>
        </w:rPr>
        <w:t xml:space="preserve"> </w:t>
      </w:r>
      <w:r w:rsidRPr="004E2FCF" w:rsidR="00313FAF">
        <w:rPr>
          <w:sz w:val="24"/>
          <w:szCs w:val="24"/>
          <w:lang w:val="sk-SK"/>
        </w:rPr>
        <w:tab/>
      </w:r>
      <w:r w:rsidRPr="004E2FCF">
        <w:rPr>
          <w:sz w:val="24"/>
          <w:szCs w:val="24"/>
          <w:lang w:val="sk-SK"/>
        </w:rPr>
        <w:t>Európsky parlament prijal vo svojom ôsmom volebnom období 36 uznesení a v deviatom volebnom období 38 uznesení, v ktorých namieta proti povoľovaniu geneticky modifikovaných organizmov.</w:t>
      </w:r>
      <w:r w:rsidRPr="004E2FCF">
        <w:rPr>
          <w:color w:val="000000" w:themeColor="text1"/>
          <w:sz w:val="24"/>
          <w:szCs w:val="24"/>
          <w:lang w:val="sk-SK"/>
        </w:rPr>
        <w:t xml:space="preserve"> Okrem toho Európsky parlament počas desiateho volebného obdobia prijal tieto uznesenia:</w:t>
      </w:r>
    </w:p>
    <w:p w:rsidR="008663E5" w:rsidRPr="004E2FCF" w:rsidP="006F2CA1" w14:paraId="5ED07C1F" w14:textId="25FC7683">
      <w:pPr>
        <w:pStyle w:val="FootnoteText"/>
        <w:ind w:left="1134" w:hanging="567"/>
        <w:rPr>
          <w:color w:val="000000" w:themeColor="text1"/>
          <w:sz w:val="24"/>
          <w:szCs w:val="24"/>
          <w:vertAlign w:val="superscript"/>
          <w:lang w:val="sk-SK"/>
        </w:rPr>
      </w:pPr>
      <w:r w:rsidRPr="004E2FCF">
        <w:rPr>
          <w:color w:val="000000" w:themeColor="text1"/>
          <w:sz w:val="24"/>
          <w:szCs w:val="24"/>
          <w:lang w:val="sk-SK"/>
        </w:rPr>
        <w:t>–</w:t>
      </w:r>
      <w:r w:rsidRPr="004E2FCF">
        <w:rPr>
          <w:color w:val="000000" w:themeColor="text1"/>
          <w:sz w:val="24"/>
          <w:szCs w:val="24"/>
          <w:lang w:val="sk-SK"/>
        </w:rPr>
        <w:tab/>
        <w:t xml:space="preserve">Uznesenie Európskeho parlamentu z 26. novembra 2024 o vykonávacom rozhodnutí Komisie (EÚ) 2024/2628 o obnovení povolenia umiestniť na trh výrobky, ktoré obsahujú geneticky modifikovanú kukuricu MON 89034 × 1507 × NK603, sú z nej zložené alebo vyrobené, podľa nariadenia Európskeho parlamentu a Rady (ES) č. 1829/2003 (Ú. v. </w:t>
      </w:r>
      <w:r w:rsidRPr="004E2FCF">
        <w:rPr>
          <w:color w:val="000000" w:themeColor="text1"/>
          <w:sz w:val="24"/>
          <w:szCs w:val="24"/>
          <w:lang w:val="sk-SK"/>
        </w:rPr>
        <w:t>EÚ C, C/2025/1797, 4.4.2025, ELI: </w:t>
      </w:r>
      <w:hyperlink r:id="rId5" w:history="1">
        <w:r w:rsidRPr="00DB69AA" w:rsidR="00DC4E8B">
          <w:rPr>
            <w:rStyle w:val="Hyperlink"/>
            <w:sz w:val="24"/>
            <w:szCs w:val="24"/>
            <w:lang w:val="sk-SK"/>
          </w:rPr>
          <w:t>http://data.europa.eu/eli/C/2025/1797/oj</w:t>
        </w:r>
      </w:hyperlink>
      <w:r w:rsidRPr="004E2FCF">
        <w:rPr>
          <w:color w:val="000000" w:themeColor="text1"/>
          <w:sz w:val="24"/>
          <w:szCs w:val="24"/>
          <w:lang w:val="sk-SK"/>
        </w:rPr>
        <w:t>).</w:t>
      </w:r>
    </w:p>
    <w:p w:rsidR="008663E5" w:rsidRPr="004E2FCF" w:rsidP="00DB69AA" w14:paraId="7F368F25" w14:textId="4E55322B">
      <w:pPr>
        <w:pStyle w:val="FootnoteText"/>
        <w:ind w:left="1134" w:hanging="567"/>
        <w:rPr>
          <w:color w:val="000000" w:themeColor="text1"/>
          <w:sz w:val="24"/>
          <w:szCs w:val="24"/>
          <w:vertAlign w:val="superscript"/>
          <w:lang w:val="sk-SK"/>
        </w:rPr>
      </w:pPr>
      <w:r w:rsidRPr="004E2FCF">
        <w:rPr>
          <w:color w:val="000000" w:themeColor="text1"/>
          <w:sz w:val="24"/>
          <w:szCs w:val="24"/>
          <w:lang w:val="sk-SK"/>
        </w:rPr>
        <w:t>–</w:t>
      </w:r>
      <w:r w:rsidRPr="004E2FCF">
        <w:rPr>
          <w:color w:val="000000" w:themeColor="text1"/>
          <w:sz w:val="24"/>
          <w:szCs w:val="24"/>
          <w:lang w:val="sk-SK"/>
        </w:rPr>
        <w:tab/>
        <w:t>Uznesenie Európskeho parlamentu z 26. novembra 2024 o vykonávacom rozhodnutí Komisie (EÚ) 2024/2627, ktorým sa podľa nariadenia Európskeho parlamentu a Rady (ES) č. 1829/2003 povoľuje umiestniť na trh výrobky, ktoré obsahujú geneticky modifikovanú bavlnu COT102, sú z nej zložené alebo vyrobené (Ú. v. EÚ C, C/2025/1798, 4.4.2025, ELI: </w:t>
      </w:r>
      <w:hyperlink r:id="rId6" w:history="1">
        <w:r w:rsidRPr="00DB69AA" w:rsidR="00DC4E8B">
          <w:rPr>
            <w:rStyle w:val="Hyperlink"/>
            <w:sz w:val="24"/>
            <w:szCs w:val="24"/>
            <w:lang w:val="sk-SK"/>
          </w:rPr>
          <w:t>http://data.europa.eu/eli/C/2025/1798/oj</w:t>
        </w:r>
      </w:hyperlink>
      <w:r w:rsidRPr="004E2FCF">
        <w:rPr>
          <w:color w:val="000000" w:themeColor="text1"/>
          <w:sz w:val="24"/>
          <w:szCs w:val="24"/>
          <w:lang w:val="sk-SK"/>
        </w:rPr>
        <w:t>).</w:t>
      </w:r>
    </w:p>
    <w:p w:rsidR="008663E5" w:rsidRPr="004E2FCF" w:rsidP="00DB69AA" w14:paraId="6B1E6F22" w14:textId="36BA3729">
      <w:pPr>
        <w:pStyle w:val="FootnoteText"/>
        <w:ind w:left="1134" w:hanging="567"/>
        <w:rPr>
          <w:color w:val="000000" w:themeColor="text1"/>
          <w:sz w:val="24"/>
          <w:szCs w:val="24"/>
          <w:vertAlign w:val="superscript"/>
          <w:lang w:val="sk-SK"/>
        </w:rPr>
      </w:pPr>
      <w:r w:rsidRPr="004E2FCF">
        <w:rPr>
          <w:color w:val="000000" w:themeColor="text1"/>
          <w:sz w:val="24"/>
          <w:szCs w:val="24"/>
          <w:lang w:val="sk-SK"/>
        </w:rPr>
        <w:t>–</w:t>
      </w:r>
      <w:r w:rsidRPr="004E2FCF">
        <w:rPr>
          <w:color w:val="000000" w:themeColor="text1"/>
          <w:sz w:val="24"/>
          <w:szCs w:val="24"/>
          <w:lang w:val="sk-SK"/>
        </w:rPr>
        <w:tab/>
        <w:t>Uznesenie Európskeho parlamentu z 26. novembra 2024 o vykonávacom rozhodnutí Komisie (EÚ) 2024/2629, ktorým sa podľa nariadenia Európskeho parlamentu a Rady (ES) č. 1829/2003 obnovuje povolenie umiestňovať na trh výrobky, ktoré obsahujú geneticky modifikovanú kukuricu MON 89034 × 1507 × MON 88017 × 59122 a osem jej čiastkových kombinácií, sú z nich zložené alebo vyrobené (Ú. v. EÚ C, C/2025/1799, 4.4.2025, ELI: </w:t>
      </w:r>
      <w:hyperlink r:id="rId7" w:history="1">
        <w:r w:rsidRPr="00DB69AA" w:rsidR="00DC4E8B">
          <w:rPr>
            <w:rStyle w:val="Hyperlink"/>
            <w:sz w:val="24"/>
            <w:szCs w:val="24"/>
            <w:lang w:val="sk-SK"/>
          </w:rPr>
          <w:t>http://data.europa.eu/eli/C/2025/1799/oj</w:t>
        </w:r>
      </w:hyperlink>
      <w:r w:rsidRPr="004E2FCF">
        <w:rPr>
          <w:color w:val="000000" w:themeColor="text1"/>
          <w:sz w:val="24"/>
          <w:szCs w:val="24"/>
          <w:lang w:val="sk-SK"/>
        </w:rPr>
        <w:t>).</w:t>
      </w:r>
    </w:p>
    <w:p w:rsidR="008663E5" w:rsidRPr="004E2FCF" w:rsidP="00DB69AA" w14:paraId="099A4C63" w14:textId="5EAD2DEF">
      <w:pPr>
        <w:pStyle w:val="FootnoteText"/>
        <w:ind w:left="1134" w:hanging="567"/>
        <w:rPr>
          <w:color w:val="000000" w:themeColor="text1"/>
          <w:sz w:val="24"/>
          <w:szCs w:val="24"/>
          <w:vertAlign w:val="superscript"/>
          <w:lang w:val="sk-SK"/>
        </w:rPr>
      </w:pPr>
      <w:r w:rsidRPr="004E2FCF">
        <w:rPr>
          <w:color w:val="000000" w:themeColor="text1"/>
          <w:sz w:val="24"/>
          <w:szCs w:val="24"/>
          <w:lang w:val="sk-SK"/>
        </w:rPr>
        <w:t>–</w:t>
      </w:r>
      <w:r w:rsidRPr="004E2FCF">
        <w:rPr>
          <w:color w:val="000000" w:themeColor="text1"/>
          <w:sz w:val="24"/>
          <w:szCs w:val="24"/>
          <w:lang w:val="sk-SK"/>
        </w:rPr>
        <w:tab/>
        <w:t>Uznesenie Európskeho parlamentu z 26. novembra 2024 o vykonávacom rozhodnutí Komisie (EÚ) 2024/1828, ktorým sa podľa nariadenia Európskeho parlamentu a Rady (ES) č. 1829/2003 obnovuje povolenie umiestňovať na trh krmivá, ktoré obsahujú geneticky modifikovanú kukuricu MON 810 alebo sú z nej zložené, a potraviny a krmivá vyrobené z geneticky modifikovanej kukurice MON 810 a ktorým sa zrušuje vykonávacie rozhodnutie Komisie (EÚ) 2017/1207 (Ú. v. EÚ C, C/2025/1800, 4.4.2025, ELI: </w:t>
      </w:r>
      <w:hyperlink r:id="rId8" w:history="1">
        <w:r w:rsidRPr="00DB69AA" w:rsidR="00DC4E8B">
          <w:rPr>
            <w:rStyle w:val="Hyperlink"/>
            <w:sz w:val="24"/>
            <w:szCs w:val="24"/>
            <w:lang w:val="sk-SK"/>
          </w:rPr>
          <w:t>http://data.europa.eu/eli/C/2025/1800/oj</w:t>
        </w:r>
      </w:hyperlink>
      <w:r w:rsidRPr="004E2FCF">
        <w:rPr>
          <w:color w:val="000000" w:themeColor="text1"/>
          <w:sz w:val="24"/>
          <w:szCs w:val="24"/>
          <w:lang w:val="sk-SK"/>
        </w:rPr>
        <w:t>).</w:t>
      </w:r>
    </w:p>
    <w:p w:rsidR="008663E5" w:rsidRPr="004E2FCF" w:rsidP="00DB69AA" w14:paraId="7F712E21" w14:textId="7A410B68">
      <w:pPr>
        <w:pStyle w:val="FootnoteText"/>
        <w:ind w:left="1134" w:hanging="567"/>
        <w:rPr>
          <w:color w:val="000000" w:themeColor="text1"/>
          <w:sz w:val="24"/>
          <w:szCs w:val="24"/>
          <w:vertAlign w:val="superscript"/>
          <w:lang w:val="sk-SK"/>
        </w:rPr>
      </w:pPr>
      <w:r w:rsidRPr="004E2FCF">
        <w:rPr>
          <w:color w:val="000000" w:themeColor="text1"/>
          <w:sz w:val="24"/>
          <w:szCs w:val="24"/>
          <w:lang w:val="sk-SK"/>
        </w:rPr>
        <w:t>–</w:t>
      </w:r>
      <w:r w:rsidRPr="004E2FCF">
        <w:rPr>
          <w:color w:val="000000" w:themeColor="text1"/>
          <w:sz w:val="24"/>
          <w:szCs w:val="24"/>
          <w:lang w:val="sk-SK"/>
        </w:rPr>
        <w:tab/>
        <w:t>Uznesenie Európskeho parlamentu z 26. novembra 2024 o vykonávacom rozhodnutí Komisie (EÚ) 2024/1822, ktorým sa podľa nariadenia Európskeho parlamentu a Rady (ES) č. 1829/2003 povoľuje umiestniť na trh výrobky, ktoré obsahujú geneticky modifikovanú kukuricu DP915635, sú z nej zložené alebo vyrobené (Ú. v. EÚ C, C/2025/1801, 4.4.2025, ELI: </w:t>
      </w:r>
      <w:hyperlink r:id="rId9" w:history="1">
        <w:r w:rsidRPr="00DB69AA" w:rsidR="00DC4E8B">
          <w:rPr>
            <w:rStyle w:val="Hyperlink"/>
            <w:sz w:val="24"/>
            <w:szCs w:val="24"/>
            <w:lang w:val="sk-SK"/>
          </w:rPr>
          <w:t>http://data.europa.eu/eli/C/2025/1801/oj</w:t>
        </w:r>
      </w:hyperlink>
      <w:r w:rsidRPr="004E2FCF">
        <w:rPr>
          <w:color w:val="000000" w:themeColor="text1"/>
          <w:sz w:val="24"/>
          <w:szCs w:val="24"/>
          <w:lang w:val="sk-SK"/>
        </w:rPr>
        <w:t>).</w:t>
      </w:r>
    </w:p>
    <w:p w:rsidR="008663E5" w:rsidRPr="004E2FCF" w:rsidP="00DB69AA" w14:paraId="3403A2B9" w14:textId="691FE216">
      <w:pPr>
        <w:pStyle w:val="FootnoteText"/>
        <w:ind w:left="1134" w:hanging="567"/>
        <w:rPr>
          <w:color w:val="000000" w:themeColor="text1"/>
          <w:sz w:val="24"/>
          <w:szCs w:val="24"/>
          <w:vertAlign w:val="superscript"/>
          <w:lang w:val="sk-SK"/>
        </w:rPr>
      </w:pPr>
      <w:r w:rsidRPr="004E2FCF">
        <w:rPr>
          <w:color w:val="000000" w:themeColor="text1"/>
          <w:sz w:val="24"/>
          <w:szCs w:val="24"/>
          <w:lang w:val="sk-SK"/>
        </w:rPr>
        <w:t>–</w:t>
      </w:r>
      <w:r w:rsidRPr="004E2FCF">
        <w:rPr>
          <w:color w:val="000000" w:themeColor="text1"/>
          <w:sz w:val="24"/>
          <w:szCs w:val="24"/>
          <w:lang w:val="sk-SK"/>
        </w:rPr>
        <w:tab/>
        <w:t>Uznesenie Európskeho parlamentu z 26. novembra 2024 o vykonávacom rozhodnutí Komisie (EÚ) 2024/1826, ktorým sa podľa nariadenia Európskeho parlamentu a Rady (ES) č. 1829/2003 povoľuje umiestniť na trh výrobky, ktoré obsahujú geneticky modifikovanú kukuricu DP23211, sú z nej zložené alebo vyrobené (Ú. v. EÚ C, C/2025/1802, 4.4.2025, ELI: </w:t>
      </w:r>
      <w:hyperlink r:id="rId10" w:history="1">
        <w:r w:rsidRPr="00DB69AA" w:rsidR="00DC4E8B">
          <w:rPr>
            <w:rStyle w:val="Hyperlink"/>
            <w:sz w:val="24"/>
            <w:szCs w:val="24"/>
            <w:lang w:val="sk-SK"/>
          </w:rPr>
          <w:t>http://data.europa.eu/eli/C/2025/1802/oj</w:t>
        </w:r>
      </w:hyperlink>
      <w:r w:rsidRPr="004E2FCF">
        <w:rPr>
          <w:color w:val="000000" w:themeColor="text1"/>
          <w:sz w:val="24"/>
          <w:szCs w:val="24"/>
          <w:lang w:val="sk-SK"/>
        </w:rPr>
        <w:t>).</w:t>
      </w:r>
    </w:p>
    <w:p w:rsidR="008663E5" w:rsidRPr="004E2FCF" w:rsidP="00DB69AA" w14:paraId="0A865B11" w14:textId="0A2520A1">
      <w:pPr>
        <w:pStyle w:val="FootnoteText"/>
        <w:ind w:left="1134" w:hanging="567"/>
        <w:rPr>
          <w:color w:val="000000" w:themeColor="text1"/>
          <w:sz w:val="24"/>
          <w:szCs w:val="24"/>
          <w:vertAlign w:val="superscript"/>
          <w:lang w:val="sk-SK"/>
        </w:rPr>
      </w:pPr>
      <w:r w:rsidRPr="004E2FCF">
        <w:rPr>
          <w:color w:val="000000" w:themeColor="text1"/>
          <w:sz w:val="24"/>
          <w:szCs w:val="24"/>
          <w:lang w:val="sk-SK"/>
        </w:rPr>
        <w:t>–</w:t>
      </w:r>
      <w:r w:rsidRPr="004E2FCF">
        <w:rPr>
          <w:color w:val="000000" w:themeColor="text1"/>
          <w:sz w:val="24"/>
          <w:szCs w:val="24"/>
          <w:lang w:val="sk-SK"/>
        </w:rPr>
        <w:tab/>
        <w:t>Uznesenie Európskeho parlamentu z 26. novembra 2024 o vykonávacom rozhodnutí Komisie (EÚ) 2024/2618, ktorým sa podľa nariadenia Európskeho parlamentu a Rady (ES) č. 1829/2003 povoľuje umiestniť na trh výrobky, ktoré obsahujú geneticky modifikovanú kukuricu DP202216, sú z nej zložené alebo vyrobené (Ú. v. EÚ C, C/2025/1803, 4.4.2025, ELI: </w:t>
      </w:r>
      <w:hyperlink r:id="rId11" w:history="1">
        <w:r w:rsidRPr="00DB69AA" w:rsidR="00DC4E8B">
          <w:rPr>
            <w:rStyle w:val="Hyperlink"/>
            <w:sz w:val="24"/>
            <w:szCs w:val="24"/>
            <w:lang w:val="sk-SK"/>
          </w:rPr>
          <w:t>http://data.europa.eu/eli/C/2025/1803/oj</w:t>
        </w:r>
      </w:hyperlink>
      <w:r w:rsidRPr="004E2FCF">
        <w:rPr>
          <w:color w:val="000000" w:themeColor="text1"/>
          <w:sz w:val="24"/>
          <w:szCs w:val="24"/>
          <w:lang w:val="sk-SK"/>
        </w:rPr>
        <w:t>).</w:t>
      </w:r>
    </w:p>
    <w:p w:rsidR="008663E5" w:rsidRPr="004E2FCF" w:rsidP="00DB69AA" w14:paraId="5F605611" w14:textId="2E010409">
      <w:pPr>
        <w:pStyle w:val="FootnoteText"/>
        <w:ind w:left="1134" w:hanging="567"/>
        <w:rPr>
          <w:color w:val="000000" w:themeColor="text1"/>
          <w:sz w:val="24"/>
          <w:szCs w:val="24"/>
          <w:vertAlign w:val="superscript"/>
          <w:lang w:val="sk-SK"/>
        </w:rPr>
      </w:pPr>
      <w:r w:rsidRPr="004E2FCF">
        <w:rPr>
          <w:color w:val="000000" w:themeColor="text1"/>
          <w:sz w:val="24"/>
          <w:szCs w:val="24"/>
          <w:lang w:val="sk-SK"/>
        </w:rPr>
        <w:t>–</w:t>
      </w:r>
      <w:r w:rsidRPr="004E2FCF">
        <w:rPr>
          <w:color w:val="000000" w:themeColor="text1"/>
          <w:sz w:val="24"/>
          <w:szCs w:val="24"/>
          <w:lang w:val="sk-SK"/>
        </w:rPr>
        <w:tab/>
        <w:t>Uznesenie Európskeho parlamentu z 26. novembra 2024 o návrhu vykonávacieho rozhodnutia Komisie, ktorým sa podľa nariadenia Európskeho parlamentu a Rady (ES) č. 1829/2003 povoľuje umiestniť na trh produkty, ktoré obsahujú geneticky modifikovanú kukuricu MON 94804, sú z nej zložené alebo vyrobené (Ú. v. EÚ C, C/2025/1804, 4.4.2025, ELI: </w:t>
      </w:r>
      <w:hyperlink r:id="rId12" w:history="1">
        <w:r w:rsidRPr="00DB69AA" w:rsidR="00DC4E8B">
          <w:rPr>
            <w:rStyle w:val="Hyperlink"/>
            <w:sz w:val="24"/>
            <w:szCs w:val="24"/>
            <w:lang w:val="sk-SK"/>
          </w:rPr>
          <w:t>http://data.europa.eu/eli/C/2025/1804/oj</w:t>
        </w:r>
      </w:hyperlink>
      <w:r w:rsidRPr="004E2FCF">
        <w:rPr>
          <w:color w:val="000000" w:themeColor="text1"/>
          <w:sz w:val="24"/>
          <w:szCs w:val="24"/>
          <w:lang w:val="sk-SK"/>
        </w:rPr>
        <w:t>).</w:t>
      </w:r>
    </w:p>
    <w:p w:rsidR="008663E5" w:rsidRPr="004E2FCF" w:rsidP="00DB69AA" w14:paraId="0DD2C18A" w14:textId="61ABFB76">
      <w:pPr>
        <w:pStyle w:val="FootnoteText"/>
        <w:ind w:left="1134" w:hanging="567"/>
        <w:rPr>
          <w:sz w:val="24"/>
          <w:szCs w:val="24"/>
          <w:vertAlign w:val="superscript"/>
          <w:lang w:val="sk-SK"/>
        </w:rPr>
      </w:pPr>
      <w:r w:rsidRPr="004E2FCF">
        <w:rPr>
          <w:color w:val="000000" w:themeColor="text1"/>
          <w:sz w:val="24"/>
          <w:szCs w:val="24"/>
          <w:lang w:val="sk-SK"/>
        </w:rPr>
        <w:t>–</w:t>
      </w:r>
      <w:r w:rsidRPr="004E2FCF">
        <w:rPr>
          <w:color w:val="000000" w:themeColor="text1"/>
          <w:sz w:val="24"/>
          <w:szCs w:val="24"/>
          <w:lang w:val="sk-SK"/>
        </w:rPr>
        <w:tab/>
      </w:r>
      <w:r w:rsidRPr="004E2FCF">
        <w:rPr>
          <w:sz w:val="24"/>
          <w:szCs w:val="24"/>
          <w:lang w:val="sk-SK"/>
        </w:rPr>
        <w:t>Uznesenie Európskeho parlamentu z 12. februára 2025 o návrhu vykonávacieho rozhodnutia Komisie, ktorým sa podľa nariadenia Európskeho parlamentu a Rady (ES) č. 1829/2003 povoľuje umiestniť na trh produkty, ktoré obsahujú geneticky modifikovanú kukuricu DP910521, sú z nej zložené alebo vyrobené (Ú. v. EÚ C, C/2025/2246, 29.4.2025, ELI: </w:t>
      </w:r>
      <w:hyperlink r:id="rId13" w:history="1">
        <w:r w:rsidRPr="00DB69AA" w:rsidR="00DC4E8B">
          <w:rPr>
            <w:rStyle w:val="Hyperlink"/>
            <w:sz w:val="24"/>
            <w:szCs w:val="24"/>
            <w:lang w:val="sk-SK"/>
          </w:rPr>
          <w:t>http://data.europa.eu/eli/C/2025/2246/oj</w:t>
        </w:r>
      </w:hyperlink>
      <w:r w:rsidRPr="004E2FCF">
        <w:rPr>
          <w:sz w:val="24"/>
          <w:szCs w:val="24"/>
          <w:lang w:val="sk-SK"/>
        </w:rPr>
        <w:t>).</w:t>
      </w:r>
    </w:p>
    <w:p w:rsidR="008663E5" w:rsidRPr="004E2FCF" w:rsidP="00DB69AA" w14:paraId="69578C2B" w14:textId="6B112910">
      <w:pPr>
        <w:pStyle w:val="FootnoteText"/>
        <w:ind w:left="1134" w:hanging="567"/>
        <w:rPr>
          <w:sz w:val="24"/>
          <w:szCs w:val="24"/>
          <w:vertAlign w:val="superscript"/>
          <w:lang w:val="sk-SK"/>
        </w:rPr>
      </w:pPr>
      <w:r w:rsidRPr="004E2FCF">
        <w:rPr>
          <w:sz w:val="24"/>
          <w:szCs w:val="24"/>
          <w:lang w:val="sk-SK"/>
        </w:rPr>
        <w:t>–</w:t>
      </w:r>
      <w:r w:rsidRPr="004E2FCF">
        <w:rPr>
          <w:sz w:val="24"/>
          <w:szCs w:val="24"/>
          <w:lang w:val="sk-SK"/>
        </w:rPr>
        <w:tab/>
        <w:t>Uznesenie Európskeho parlamentu z 12. februára 2025 o návrhu vykonávacieho rozhodnutia Komisie, ktorým sa podľa nariadenia Európskeho parlamentu a Rady (ES) č. 1829/2003 povoľuje umiestniť na trh produkty, ktoré obsahujú geneticky modifikovanú kukuricu MON 95275, sú z nej zložené alebo vyrobené (Ú. v. EÚ C, C/2025/2247, 29.4.2025, ELI: </w:t>
      </w:r>
      <w:hyperlink r:id="rId14" w:history="1">
        <w:r w:rsidRPr="00DB69AA" w:rsidR="00DC4E8B">
          <w:rPr>
            <w:rStyle w:val="Hyperlink"/>
            <w:sz w:val="24"/>
            <w:szCs w:val="24"/>
            <w:lang w:val="sk-SK"/>
          </w:rPr>
          <w:t>http://data.europa.eu/eli/C/2025/2247/oj</w:t>
        </w:r>
      </w:hyperlink>
      <w:r w:rsidRPr="004E2FCF">
        <w:rPr>
          <w:sz w:val="24"/>
          <w:szCs w:val="24"/>
          <w:lang w:val="sk-SK"/>
        </w:rPr>
        <w:t>).</w:t>
      </w:r>
    </w:p>
    <w:p w:rsidR="008663E5" w:rsidRPr="004E2FCF" w:rsidP="00DB69AA" w14:paraId="5EA940EF" w14:textId="640A4ED1">
      <w:pPr>
        <w:pStyle w:val="FootnoteText"/>
        <w:ind w:left="1134" w:hanging="567"/>
        <w:rPr>
          <w:sz w:val="24"/>
          <w:szCs w:val="24"/>
          <w:vertAlign w:val="superscript"/>
          <w:lang w:val="sk-SK"/>
        </w:rPr>
      </w:pPr>
      <w:r w:rsidRPr="004E2FCF">
        <w:rPr>
          <w:sz w:val="24"/>
          <w:szCs w:val="24"/>
          <w:lang w:val="sk-SK"/>
        </w:rPr>
        <w:t>–</w:t>
      </w:r>
      <w:r w:rsidRPr="004E2FCF">
        <w:rPr>
          <w:sz w:val="24"/>
          <w:szCs w:val="24"/>
          <w:lang w:val="sk-SK"/>
        </w:rPr>
        <w:tab/>
      </w:r>
      <w:r w:rsidRPr="00DB69AA">
        <w:rPr>
          <w:color w:val="000000" w:themeColor="text1"/>
          <w:sz w:val="24"/>
          <w:szCs w:val="24"/>
          <w:lang w:val="sk-SK"/>
        </w:rPr>
        <w:t>Uznesenie</w:t>
      </w:r>
      <w:r w:rsidRPr="004E2FCF">
        <w:rPr>
          <w:sz w:val="24"/>
          <w:szCs w:val="24"/>
          <w:lang w:val="sk-SK"/>
        </w:rPr>
        <w:t xml:space="preserve"> Európskeho parlamentu z 08. mája 2025 o návrhu vykonávacieho rozhodnutia Komisie, ktorým sa podľa nariadenia Európskeho parlamentu a Rady (ES) č. 1829/2003 povoľuje umiestniť na trh produkty, ktoré obsahujú geneticky modifikovanú kukuricu MON 89788, sú z nej zložené alebo vyrobené (Ú. v. EÚ C, C/2026/586, 2</w:t>
      </w:r>
      <w:r w:rsidR="00C92A6B">
        <w:rPr>
          <w:sz w:val="24"/>
          <w:szCs w:val="24"/>
          <w:lang w:val="sk-SK"/>
        </w:rPr>
        <w:t>4</w:t>
      </w:r>
      <w:r w:rsidRPr="004E2FCF">
        <w:rPr>
          <w:sz w:val="24"/>
          <w:szCs w:val="24"/>
          <w:lang w:val="sk-SK"/>
        </w:rPr>
        <w:t>.</w:t>
      </w:r>
      <w:r w:rsidR="00C92A6B">
        <w:rPr>
          <w:sz w:val="24"/>
          <w:szCs w:val="24"/>
          <w:lang w:val="sk-SK"/>
        </w:rPr>
        <w:t>2</w:t>
      </w:r>
      <w:r w:rsidRPr="004E2FCF">
        <w:rPr>
          <w:sz w:val="24"/>
          <w:szCs w:val="24"/>
          <w:lang w:val="sk-SK"/>
        </w:rPr>
        <w:t>.2025, ELI: </w:t>
      </w:r>
      <w:hyperlink r:id="rId15" w:tooltip="Gives access to this document through its ELI URI." w:history="1">
        <w:r w:rsidRPr="00DB69AA" w:rsidR="00DC4E8B">
          <w:rPr>
            <w:rStyle w:val="Hyperlink"/>
            <w:sz w:val="24"/>
            <w:szCs w:val="24"/>
            <w:lang w:val="sk-SK"/>
          </w:rPr>
          <w:t>http://data.europa.eu/eli/C/2026/586/oj</w:t>
        </w:r>
      </w:hyperlink>
      <w:r w:rsidRPr="004E2FCF">
        <w:rPr>
          <w:sz w:val="24"/>
          <w:szCs w:val="24"/>
          <w:lang w:val="sk-SK"/>
        </w:rPr>
        <w:t>).</w:t>
      </w:r>
    </w:p>
    <w:p w:rsidR="008663E5" w:rsidRPr="004E2FCF" w:rsidP="00DB69AA" w14:paraId="1E2CFF92" w14:textId="452DF822">
      <w:pPr>
        <w:pStyle w:val="FootnoteText"/>
        <w:ind w:left="1134" w:hanging="567"/>
        <w:rPr>
          <w:sz w:val="24"/>
          <w:szCs w:val="24"/>
          <w:vertAlign w:val="superscript"/>
          <w:lang w:val="sk-SK"/>
        </w:rPr>
      </w:pPr>
      <w:r w:rsidRPr="004E2FCF">
        <w:rPr>
          <w:sz w:val="24"/>
          <w:szCs w:val="24"/>
          <w:lang w:val="sk-SK"/>
        </w:rPr>
        <w:t>–</w:t>
      </w:r>
      <w:r w:rsidRPr="004E2FCF">
        <w:rPr>
          <w:sz w:val="24"/>
          <w:szCs w:val="24"/>
          <w:lang w:val="sk-SK"/>
        </w:rPr>
        <w:tab/>
        <w:t xml:space="preserve">Uznesenie Európskeho parlamentu z </w:t>
      </w:r>
      <w:r w:rsidRPr="004E2FCF">
        <w:rPr>
          <w:sz w:val="24"/>
          <w:szCs w:val="24"/>
          <w:lang w:val="sk-SK"/>
        </w:rPr>
        <w:t>8. októbra 2025 o vykonávacom rozhodnutí Komisie (EÚ) 2025/1898</w:t>
      </w:r>
      <w:r w:rsidR="002A5116">
        <w:rPr>
          <w:sz w:val="24"/>
          <w:szCs w:val="24"/>
          <w:lang w:val="sk-SK"/>
        </w:rPr>
        <w:t xml:space="preserve"> z 22. septembra 2025</w:t>
      </w:r>
      <w:r w:rsidRPr="004E2FCF">
        <w:rPr>
          <w:sz w:val="24"/>
          <w:szCs w:val="24"/>
          <w:lang w:val="sk-SK"/>
        </w:rPr>
        <w:t xml:space="preserve">, ktorým sa podľa nariadenia Európskeho parlamentu a Rady (ES) č. 1829/2003 povoľuje umiestniť na trh výrobky, ktoré obsahujú geneticky modifikovanú kukuricu DP51291, sú z nej zložené alebo vyrobené (Ú. v. EÚ C, C/2026/1523, </w:t>
      </w:r>
      <w:r w:rsidR="00C92A6B">
        <w:rPr>
          <w:sz w:val="24"/>
          <w:szCs w:val="24"/>
          <w:lang w:val="sk-SK"/>
        </w:rPr>
        <w:t>15</w:t>
      </w:r>
      <w:r w:rsidRPr="004E2FCF">
        <w:rPr>
          <w:sz w:val="24"/>
          <w:szCs w:val="24"/>
          <w:lang w:val="sk-SK"/>
        </w:rPr>
        <w:t>.4.2025, ELI: </w:t>
      </w:r>
      <w:hyperlink r:id="rId16" w:history="1">
        <w:r w:rsidRPr="00DB69AA" w:rsidR="00DC4E8B">
          <w:rPr>
            <w:rStyle w:val="Hyperlink"/>
            <w:sz w:val="24"/>
            <w:szCs w:val="24"/>
            <w:lang w:val="sk-SK"/>
          </w:rPr>
          <w:t>http://data.europa.eu/eli/C/2026/1523/oj</w:t>
        </w:r>
      </w:hyperlink>
      <w:r w:rsidRPr="004E2FCF">
        <w:rPr>
          <w:sz w:val="24"/>
          <w:szCs w:val="24"/>
          <w:lang w:val="sk-SK"/>
        </w:rPr>
        <w:t>).</w:t>
      </w:r>
    </w:p>
    <w:p w:rsidR="008663E5" w:rsidRPr="004E2FCF" w:rsidP="00DB69AA" w14:paraId="3F554959" w14:textId="263BB940">
      <w:pPr>
        <w:pStyle w:val="FootnoteText"/>
        <w:ind w:left="1134" w:hanging="567"/>
        <w:rPr>
          <w:sz w:val="24"/>
          <w:szCs w:val="24"/>
          <w:vertAlign w:val="superscript"/>
          <w:lang w:val="sk-SK"/>
        </w:rPr>
      </w:pPr>
      <w:r w:rsidRPr="004E2FCF">
        <w:rPr>
          <w:sz w:val="24"/>
          <w:szCs w:val="24"/>
          <w:lang w:val="sk-SK"/>
        </w:rPr>
        <w:t>–</w:t>
      </w:r>
      <w:r w:rsidRPr="004E2FCF">
        <w:rPr>
          <w:sz w:val="24"/>
          <w:szCs w:val="24"/>
          <w:lang w:val="sk-SK"/>
        </w:rPr>
        <w:tab/>
      </w:r>
      <w:r w:rsidRPr="00DB69AA">
        <w:rPr>
          <w:color w:val="000000" w:themeColor="text1"/>
          <w:sz w:val="24"/>
          <w:szCs w:val="24"/>
          <w:lang w:val="sk-SK"/>
        </w:rPr>
        <w:t>Uznesenie</w:t>
      </w:r>
      <w:r w:rsidRPr="004E2FCF">
        <w:rPr>
          <w:sz w:val="24"/>
          <w:szCs w:val="24"/>
          <w:lang w:val="sk-SK"/>
        </w:rPr>
        <w:t xml:space="preserve"> Európskeho parlamentu z 25. novembra 2025 o návrhu vykonávacieho rozhodnutia Komisie, ktorým sa podľa nariadenia Európskeho parlamentu a Rady (ES) č. 1829/2003 povoľuje umiestniť na trh produkty, ktoré obsahujú geneticky modifikovanú kukuricu DAS1131, sú z nej zložené alebo vyrobené (Ú. v. EÚ C, C/2026/1703, 2</w:t>
      </w:r>
      <w:r w:rsidR="00C92A6B">
        <w:rPr>
          <w:sz w:val="24"/>
          <w:szCs w:val="24"/>
          <w:lang w:val="sk-SK"/>
        </w:rPr>
        <w:t>4</w:t>
      </w:r>
      <w:r w:rsidRPr="004E2FCF">
        <w:rPr>
          <w:sz w:val="24"/>
          <w:szCs w:val="24"/>
          <w:lang w:val="sk-SK"/>
        </w:rPr>
        <w:t>.4.2025, ELI: </w:t>
      </w:r>
      <w:hyperlink r:id="rId17" w:history="1">
        <w:r w:rsidRPr="00DB69AA" w:rsidR="00DC4E8B">
          <w:rPr>
            <w:rStyle w:val="Hyperlink"/>
            <w:sz w:val="24"/>
            <w:szCs w:val="24"/>
            <w:lang w:val="sk-SK"/>
          </w:rPr>
          <w:t>http://data.europa.eu/eli/C/2026/1703/oj</w:t>
        </w:r>
      </w:hyperlink>
      <w:r w:rsidRPr="004E2FCF">
        <w:rPr>
          <w:sz w:val="24"/>
          <w:szCs w:val="24"/>
          <w:lang w:val="sk-SK"/>
        </w:rPr>
        <w:t>).</w:t>
      </w:r>
    </w:p>
    <w:p w:rsidR="008663E5" w:rsidRPr="004E2FCF" w:rsidP="00DB69AA" w14:paraId="45EBB5D8" w14:textId="3B3854C6">
      <w:pPr>
        <w:pStyle w:val="FootnoteText"/>
        <w:ind w:left="1134" w:hanging="567"/>
        <w:rPr>
          <w:sz w:val="24"/>
          <w:szCs w:val="24"/>
          <w:vertAlign w:val="superscript"/>
          <w:lang w:val="sk-SK"/>
        </w:rPr>
      </w:pPr>
      <w:r w:rsidRPr="004E2FCF">
        <w:rPr>
          <w:sz w:val="24"/>
          <w:szCs w:val="24"/>
          <w:lang w:val="sk-SK"/>
        </w:rPr>
        <w:t>–</w:t>
      </w:r>
      <w:r w:rsidRPr="004E2FCF">
        <w:rPr>
          <w:sz w:val="24"/>
          <w:szCs w:val="24"/>
          <w:lang w:val="sk-SK"/>
        </w:rPr>
        <w:tab/>
        <w:t>Uznesenie Európskeho parlamentu z 25. novembra 2025 o návrhu vykonávacieho rozhodnutia Komisie, ktorým sa podľa nariadenia Európskeho parlamentu a Rady (ES) č. 1829/2003 obnovuje povolenie umiestniť na trh produkty, ktoré obsahujú geneticky modifikovanú bavlnu MON 88913 (MON-88913-8), sú z nej zložené alebo vyrobené (Ú. v. EÚ C, C/2026/1704, 24.4.2026, ELI: </w:t>
      </w:r>
      <w:hyperlink r:id="rId18" w:history="1">
        <w:r w:rsidRPr="00DB69AA" w:rsidR="00DC4E8B">
          <w:rPr>
            <w:rStyle w:val="Hyperlink"/>
            <w:sz w:val="24"/>
            <w:szCs w:val="24"/>
            <w:lang w:val="sk-SK"/>
          </w:rPr>
          <w:t>http://data.europa.eu/eli/C/2026/1704/oj</w:t>
        </w:r>
      </w:hyperlink>
      <w:r w:rsidRPr="004E2FCF">
        <w:rPr>
          <w:sz w:val="24"/>
          <w:szCs w:val="24"/>
          <w:lang w:val="sk-SK"/>
        </w:rPr>
        <w:t>).</w:t>
      </w:r>
    </w:p>
    <w:p w:rsidR="008663E5" w:rsidRPr="004E2FCF" w:rsidP="00DB69AA" w14:paraId="7EAC097D" w14:textId="095C6A78">
      <w:pPr>
        <w:pStyle w:val="FootnoteText"/>
        <w:ind w:left="1134" w:hanging="567"/>
        <w:rPr>
          <w:sz w:val="24"/>
          <w:szCs w:val="24"/>
          <w:vertAlign w:val="superscript"/>
          <w:lang w:val="sk-SK"/>
        </w:rPr>
      </w:pPr>
      <w:r w:rsidRPr="004E2FCF">
        <w:rPr>
          <w:sz w:val="24"/>
          <w:szCs w:val="24"/>
          <w:lang w:val="sk-SK"/>
        </w:rPr>
        <w:t>–</w:t>
      </w:r>
      <w:r w:rsidRPr="004E2FCF">
        <w:rPr>
          <w:sz w:val="24"/>
          <w:szCs w:val="24"/>
          <w:lang w:val="sk-SK"/>
        </w:rPr>
        <w:tab/>
        <w:t xml:space="preserve">Uznesenie Európskeho parlamentu z 25. novembra 2025 o návrhu vykonávacieho rozhodnutia Komisie, ktorým sa podľa nariadenia Európskeho parlamentu a Rady (ES) č. 1829/2003 obnovuje povolenie umiestniť na trh produkty, ktoré obsahujú geneticky modifikovanú repku </w:t>
      </w:r>
      <w:r w:rsidRPr="004E2FCF">
        <w:rPr>
          <w:sz w:val="24"/>
          <w:szCs w:val="24"/>
          <w:lang w:val="sk-SK"/>
        </w:rPr>
        <w:t>olejku</w:t>
      </w:r>
      <w:r w:rsidRPr="004E2FCF">
        <w:rPr>
          <w:sz w:val="24"/>
          <w:szCs w:val="24"/>
          <w:lang w:val="sk-SK"/>
        </w:rPr>
        <w:t xml:space="preserve"> MON 88302, sú z nej zložené alebo vyrobené (Ú. v. EÚ C, C/2026/1705, 24.4.2026, ELI: </w:t>
      </w:r>
      <w:hyperlink r:id="rId19" w:history="1">
        <w:r w:rsidRPr="00DB69AA" w:rsidR="00DC4E8B">
          <w:rPr>
            <w:rStyle w:val="Hyperlink"/>
            <w:sz w:val="24"/>
            <w:szCs w:val="24"/>
            <w:lang w:val="sk-SK"/>
          </w:rPr>
          <w:t>http://data.europa.eu/eli/C/2026/1705/oj</w:t>
        </w:r>
      </w:hyperlink>
      <w:r w:rsidRPr="004E2FCF">
        <w:rPr>
          <w:sz w:val="24"/>
          <w:szCs w:val="24"/>
          <w:lang w:val="sk-SK"/>
        </w:rPr>
        <w:t>).</w:t>
      </w:r>
    </w:p>
    <w:p w:rsidR="008663E5" w:rsidRPr="004E2FCF" w:rsidP="00DB69AA" w14:paraId="28F50170" w14:textId="2BE0DE25">
      <w:pPr>
        <w:pStyle w:val="FootnoteText"/>
        <w:ind w:left="1134" w:hanging="567"/>
        <w:rPr>
          <w:sz w:val="24"/>
          <w:szCs w:val="24"/>
          <w:vertAlign w:val="superscript"/>
          <w:lang w:val="sk-SK"/>
        </w:rPr>
      </w:pPr>
      <w:r w:rsidRPr="004E2FCF">
        <w:rPr>
          <w:sz w:val="24"/>
          <w:szCs w:val="24"/>
          <w:lang w:val="sk-SK"/>
        </w:rPr>
        <w:t>–</w:t>
      </w:r>
      <w:r w:rsidRPr="004E2FCF">
        <w:rPr>
          <w:sz w:val="24"/>
          <w:szCs w:val="24"/>
          <w:lang w:val="sk-SK"/>
        </w:rPr>
        <w:tab/>
      </w:r>
      <w:r w:rsidRPr="00DB69AA">
        <w:rPr>
          <w:color w:val="000000" w:themeColor="text1"/>
          <w:sz w:val="24"/>
          <w:szCs w:val="24"/>
          <w:lang w:val="sk-SK"/>
        </w:rPr>
        <w:t>Uznesenie</w:t>
      </w:r>
      <w:r w:rsidRPr="004E2FCF">
        <w:rPr>
          <w:sz w:val="24"/>
          <w:szCs w:val="24"/>
          <w:lang w:val="sk-SK"/>
        </w:rPr>
        <w:t xml:space="preserve"> Európskeho parlamentu z 25. novembra 2025 o návrhu vykonávacieho rozhodnutia Komisie, ktorým sa podľa nariadenia Európskeho parlamentu a Rady (ES) č. 1829/2003 obnovuje povolenie umiestniť na trh produkty, ktoré obsahujú geneticky modifikovanú sóju MON 87708, sú z nej zložené alebo vyrobené (Ú. v. EÚ C, C/2026/1706, 24.4.2026, ELI: </w:t>
      </w:r>
      <w:hyperlink r:id="rId20" w:history="1">
        <w:r w:rsidRPr="00DB69AA" w:rsidR="00DC4E8B">
          <w:rPr>
            <w:rStyle w:val="Hyperlink"/>
            <w:sz w:val="24"/>
            <w:szCs w:val="24"/>
            <w:lang w:val="sk-SK"/>
          </w:rPr>
          <w:t>http://data.europa.eu/eli/C/2026/1706/oj</w:t>
        </w:r>
      </w:hyperlink>
      <w:r w:rsidRPr="004E2FCF">
        <w:rPr>
          <w:sz w:val="24"/>
          <w:szCs w:val="24"/>
          <w:lang w:val="sk-SK"/>
        </w:rPr>
        <w:t>).</w:t>
      </w:r>
    </w:p>
    <w:p w:rsidR="008663E5" w:rsidRPr="004E2FCF" w:rsidP="00DB69AA" w14:paraId="5A44F76F" w14:textId="43ABECAD">
      <w:pPr>
        <w:pStyle w:val="FootnoteText"/>
        <w:ind w:left="1134" w:hanging="567"/>
        <w:rPr>
          <w:sz w:val="24"/>
          <w:szCs w:val="24"/>
          <w:vertAlign w:val="superscript"/>
          <w:lang w:val="sk-SK"/>
        </w:rPr>
      </w:pPr>
      <w:r w:rsidRPr="004E2FCF">
        <w:rPr>
          <w:sz w:val="24"/>
          <w:szCs w:val="24"/>
          <w:lang w:val="sk-SK"/>
        </w:rPr>
        <w:t>–</w:t>
      </w:r>
      <w:r w:rsidRPr="004E2FCF">
        <w:rPr>
          <w:sz w:val="24"/>
          <w:szCs w:val="24"/>
          <w:lang w:val="sk-SK"/>
        </w:rPr>
        <w:tab/>
      </w:r>
      <w:r w:rsidRPr="00DB69AA">
        <w:rPr>
          <w:color w:val="000000" w:themeColor="text1"/>
          <w:sz w:val="24"/>
          <w:szCs w:val="24"/>
          <w:lang w:val="sk-SK"/>
        </w:rPr>
        <w:t>Uznesenie</w:t>
      </w:r>
      <w:r w:rsidRPr="004E2FCF">
        <w:rPr>
          <w:sz w:val="24"/>
          <w:szCs w:val="24"/>
          <w:lang w:val="sk-SK"/>
        </w:rPr>
        <w:t xml:space="preserve"> Európskeho parlamentu z 25. novembra 2025 o návrhu vykonávacieho rozhodnutia Komisie, ktorým sa podľa nariadenia Európskeho parlamentu a Rady (ES) č. 1829/2003 obnovuje povolenie umiestniť na trh produkty, ktoré obsahujú geneticky modifikovanú kukuricu MON 87427, sú z nej zložené alebo vyrobené (Ú. v. EÚ C, C/2026/1707, 24.4.2026, ELI: </w:t>
      </w:r>
      <w:hyperlink r:id="rId21" w:history="1">
        <w:r w:rsidRPr="00DB69AA" w:rsidR="00DC4E8B">
          <w:rPr>
            <w:rStyle w:val="Hyperlink"/>
            <w:sz w:val="24"/>
            <w:szCs w:val="24"/>
            <w:lang w:val="sk-SK"/>
          </w:rPr>
          <w:t>http://data.europa.eu/eli/C/2026/1707/oj</w:t>
        </w:r>
      </w:hyperlink>
      <w:r w:rsidRPr="004E2FCF">
        <w:rPr>
          <w:sz w:val="24"/>
          <w:szCs w:val="24"/>
          <w:lang w:val="sk-SK"/>
        </w:rPr>
        <w:t>).</w:t>
      </w:r>
    </w:p>
    <w:p w:rsidR="008663E5" w:rsidRPr="004E2FCF" w:rsidP="00DB69AA" w14:paraId="22D53DAF" w14:textId="5BC57806">
      <w:pPr>
        <w:pStyle w:val="FootnoteText"/>
        <w:ind w:left="1134" w:hanging="567"/>
        <w:rPr>
          <w:sz w:val="24"/>
          <w:szCs w:val="24"/>
          <w:vertAlign w:val="superscript"/>
          <w:lang w:val="sk-SK"/>
        </w:rPr>
      </w:pPr>
      <w:r w:rsidRPr="004E2FCF">
        <w:rPr>
          <w:sz w:val="24"/>
          <w:szCs w:val="24"/>
          <w:lang w:val="sk-SK"/>
        </w:rPr>
        <w:t>–</w:t>
      </w:r>
      <w:r w:rsidRPr="004E2FCF">
        <w:rPr>
          <w:sz w:val="24"/>
          <w:szCs w:val="24"/>
          <w:lang w:val="sk-SK"/>
        </w:rPr>
        <w:tab/>
      </w:r>
      <w:r w:rsidRPr="00DB69AA">
        <w:rPr>
          <w:color w:val="000000" w:themeColor="text1"/>
          <w:sz w:val="24"/>
          <w:szCs w:val="24"/>
          <w:lang w:val="sk-SK"/>
        </w:rPr>
        <w:t>Uznesenie</w:t>
      </w:r>
      <w:r w:rsidRPr="004E2FCF">
        <w:rPr>
          <w:sz w:val="24"/>
          <w:szCs w:val="24"/>
          <w:lang w:val="sk-SK"/>
        </w:rPr>
        <w:t xml:space="preserve"> Európskeho parlamentu zo 16. decembra 2025 o návrhu vykonávacieho rozhodnutia Komisie, ktorým sa podľa nariadenia Európskeho parlamentu a Rady (ES) č. 1829/2003 obnovuje povolenie umiestniť na trh produkty, ktoré obsahujú geneticky modifikovanú kukuricu NK603, sú z nej zložené alebo vyrobené (Ú. v. EÚ C, C/2026/2150, 6.5.2026, ELI: </w:t>
      </w:r>
      <w:hyperlink r:id="rId22" w:history="1">
        <w:r w:rsidRPr="00DB69AA" w:rsidR="00DC4E8B">
          <w:rPr>
            <w:rStyle w:val="Hyperlink"/>
            <w:sz w:val="24"/>
            <w:szCs w:val="24"/>
            <w:lang w:val="sk-SK"/>
          </w:rPr>
          <w:t>http://data.europa.eu/eli/C/2026/2150/oj</w:t>
        </w:r>
      </w:hyperlink>
      <w:r w:rsidRPr="004E2FCF">
        <w:rPr>
          <w:sz w:val="24"/>
          <w:szCs w:val="24"/>
          <w:lang w:val="sk-SK"/>
        </w:rPr>
        <w:t>).</w:t>
      </w:r>
    </w:p>
    <w:p w:rsidR="008663E5" w:rsidRPr="004E2FCF" w:rsidP="00DB69AA" w14:paraId="69AC2CAD" w14:textId="5AEA3592">
      <w:pPr>
        <w:pStyle w:val="FootnoteText"/>
        <w:ind w:left="1134" w:hanging="567"/>
        <w:rPr>
          <w:sz w:val="24"/>
          <w:szCs w:val="24"/>
          <w:vertAlign w:val="superscript"/>
          <w:lang w:val="sk-SK"/>
        </w:rPr>
      </w:pPr>
      <w:r w:rsidRPr="004E2FCF">
        <w:rPr>
          <w:sz w:val="24"/>
          <w:szCs w:val="24"/>
          <w:lang w:val="sk-SK"/>
        </w:rPr>
        <w:t>–</w:t>
      </w:r>
      <w:r w:rsidRPr="004E2FCF">
        <w:rPr>
          <w:sz w:val="24"/>
          <w:szCs w:val="24"/>
          <w:lang w:val="sk-SK"/>
        </w:rPr>
        <w:tab/>
        <w:t>Uznesenie Európskeho parlamentu z 16. decembra 2025 o návrhu vykonávacieho rozhodnutia Komisie, ktorým sa podľa nariadenia Európskeho parlamentu a Rady (ES) č. 1829/2003 povoľuje umiestniť na trh potraviny, zložky potravín a krmivá, ktoré sú vyrobené z geneticky modifikovanej cukrovej repy KWS20-1 (Ú. v. EÚ C, C/2026/2151, 6.5.2026, ELI: </w:t>
      </w:r>
      <w:hyperlink r:id="rId23" w:history="1">
        <w:r w:rsidRPr="00DB69AA" w:rsidR="00DC4E8B">
          <w:rPr>
            <w:rStyle w:val="Hyperlink"/>
            <w:sz w:val="24"/>
            <w:szCs w:val="24"/>
            <w:lang w:val="sk-SK"/>
          </w:rPr>
          <w:t>http://data.europa.eu/eli/C/2026/2151/oj</w:t>
        </w:r>
      </w:hyperlink>
      <w:r w:rsidRPr="004E2FCF">
        <w:rPr>
          <w:sz w:val="24"/>
          <w:szCs w:val="24"/>
          <w:lang w:val="sk-SK"/>
        </w:rPr>
        <w:t>).</w:t>
      </w:r>
    </w:p>
    <w:p w:rsidR="008663E5" w:rsidRPr="004E2FCF" w:rsidP="00DB69AA" w14:paraId="0D3ADB57" w14:textId="66160CF6">
      <w:pPr>
        <w:pStyle w:val="FootnoteText"/>
        <w:ind w:left="1134" w:hanging="567"/>
        <w:rPr>
          <w:sz w:val="24"/>
          <w:szCs w:val="24"/>
          <w:vertAlign w:val="superscript"/>
          <w:lang w:val="sk-SK"/>
        </w:rPr>
      </w:pPr>
      <w:r w:rsidRPr="004E2FCF">
        <w:rPr>
          <w:sz w:val="24"/>
          <w:szCs w:val="24"/>
          <w:lang w:val="sk-SK"/>
        </w:rPr>
        <w:t>–</w:t>
      </w:r>
      <w:r w:rsidRPr="004E2FCF">
        <w:rPr>
          <w:sz w:val="24"/>
          <w:szCs w:val="24"/>
          <w:lang w:val="sk-SK"/>
        </w:rPr>
        <w:tab/>
        <w:t xml:space="preserve">Uznesenie Európskeho parlamentu z 11. februára 2026 o návrhu vykonávacieho </w:t>
      </w:r>
      <w:r w:rsidRPr="00DB69AA">
        <w:rPr>
          <w:color w:val="000000" w:themeColor="text1"/>
          <w:sz w:val="24"/>
          <w:szCs w:val="24"/>
          <w:lang w:val="sk-SK"/>
        </w:rPr>
        <w:t>rozhodnutia</w:t>
      </w:r>
      <w:r w:rsidRPr="004E2FCF">
        <w:rPr>
          <w:sz w:val="24"/>
          <w:szCs w:val="24"/>
          <w:lang w:val="sk-SK"/>
        </w:rPr>
        <w:t xml:space="preserve"> Komisie, ktorým sa podľa nariadenia Európskeho parlamentu a Rady (ES) č. 1829/2003 povoľuje umiestniť na trh produkty, ktoré obsahujú geneticky modifikovanú sóju DBN-09004-6, sú z nej zložené alebo vyrobené (Prijaté texty, P10_TA(2026)0041).</w:t>
      </w:r>
    </w:p>
    <w:p w:rsidR="008663E5" w:rsidRPr="004E2FCF" w:rsidP="00DB69AA" w14:paraId="25FD6110" w14:textId="76FC1AEC">
      <w:pPr>
        <w:pStyle w:val="FootnoteText"/>
        <w:ind w:left="1134" w:hanging="567"/>
        <w:rPr>
          <w:sz w:val="24"/>
          <w:szCs w:val="24"/>
          <w:vertAlign w:val="superscript"/>
          <w:lang w:val="sk-SK"/>
        </w:rPr>
      </w:pPr>
      <w:r w:rsidRPr="004E2FCF">
        <w:rPr>
          <w:sz w:val="24"/>
          <w:szCs w:val="24"/>
          <w:lang w:val="sk-SK"/>
        </w:rPr>
        <w:t>–</w:t>
      </w:r>
      <w:r w:rsidRPr="004E2FCF">
        <w:rPr>
          <w:sz w:val="24"/>
          <w:szCs w:val="24"/>
          <w:lang w:val="sk-SK"/>
        </w:rPr>
        <w:tab/>
        <w:t xml:space="preserve">Uznesenie Európskeho parlamentu z 11. februára 2026 o návrhu vykonávacieho </w:t>
      </w:r>
      <w:r w:rsidRPr="00DB69AA">
        <w:rPr>
          <w:color w:val="000000" w:themeColor="text1"/>
          <w:sz w:val="24"/>
          <w:szCs w:val="24"/>
          <w:lang w:val="sk-SK"/>
        </w:rPr>
        <w:t>rozhodnutia</w:t>
      </w:r>
      <w:r w:rsidRPr="004E2FCF">
        <w:rPr>
          <w:sz w:val="24"/>
          <w:szCs w:val="24"/>
          <w:lang w:val="sk-SK"/>
        </w:rPr>
        <w:t xml:space="preserve"> Komisie, ktorým sa podľa nariadenia Európskeho parlamentu a Rady (ES) č. 1829/2003 obnovuje povolenie umiestniť na trh produkty, ktoré obsahujú geneticky modifikovanú kukuricu T25 (ACS-ZMØØ3-2), sú z nej zložené alebo vyrobené (Prijaté texty, P10_TA(2026)0042).</w:t>
      </w:r>
    </w:p>
    <w:p w:rsidR="008663E5" w:rsidRPr="004E2FCF" w:rsidP="00DB69AA" w14:paraId="04816F18" w14:textId="40A1BC9B">
      <w:pPr>
        <w:pStyle w:val="FootnoteText"/>
        <w:ind w:left="1134" w:hanging="567"/>
        <w:rPr>
          <w:sz w:val="24"/>
          <w:szCs w:val="24"/>
          <w:vertAlign w:val="superscript"/>
          <w:lang w:val="sk-SK"/>
        </w:rPr>
      </w:pPr>
      <w:r w:rsidRPr="004E2FCF">
        <w:rPr>
          <w:sz w:val="24"/>
          <w:szCs w:val="24"/>
          <w:lang w:val="sk-SK"/>
        </w:rPr>
        <w:t>–</w:t>
      </w:r>
      <w:r w:rsidRPr="004E2FCF">
        <w:rPr>
          <w:sz w:val="24"/>
          <w:szCs w:val="24"/>
          <w:lang w:val="sk-SK"/>
        </w:rPr>
        <w:tab/>
      </w:r>
      <w:r w:rsidRPr="00DB69AA">
        <w:rPr>
          <w:color w:val="000000" w:themeColor="text1"/>
          <w:sz w:val="24"/>
          <w:szCs w:val="24"/>
          <w:lang w:val="sk-SK"/>
        </w:rPr>
        <w:t>Uznesenie</w:t>
      </w:r>
      <w:r w:rsidRPr="004E2FCF">
        <w:rPr>
          <w:sz w:val="24"/>
          <w:szCs w:val="24"/>
          <w:lang w:val="sk-SK"/>
        </w:rPr>
        <w:t xml:space="preserve"> Európskeho parlamentu z 11. februára 2026 o návrhu vykonávacieho rozhodnutia Komisie, ktorým sa podľa nariadenia Európskeho parlamentu a Rady (ES) č. 1829/2003 obnovuje povolenie umiestniť na trh produkty, ktoré obsahujú geneticky modifikovanú bavlnu GHB614 × LLCotton25, sú z nej zložené alebo vyrobené (Prijaté texty, P10_TA(2026)0043).</w:t>
      </w:r>
    </w:p>
    <w:p w:rsidR="008663E5" w:rsidRPr="004E2FCF" w:rsidP="00DB69AA" w14:paraId="748F9BBF" w14:textId="17CD5D4E">
      <w:pPr>
        <w:pStyle w:val="FootnoteText"/>
        <w:ind w:left="1134" w:hanging="567"/>
        <w:rPr>
          <w:sz w:val="24"/>
          <w:szCs w:val="24"/>
          <w:vertAlign w:val="superscript"/>
          <w:lang w:val="sk-SK"/>
        </w:rPr>
      </w:pPr>
      <w:r w:rsidRPr="004E2FCF">
        <w:rPr>
          <w:sz w:val="24"/>
          <w:szCs w:val="24"/>
          <w:lang w:val="sk-SK"/>
        </w:rPr>
        <w:t>–</w:t>
      </w:r>
      <w:r w:rsidRPr="004E2FCF">
        <w:rPr>
          <w:sz w:val="24"/>
          <w:szCs w:val="24"/>
          <w:lang w:val="sk-SK"/>
        </w:rPr>
        <w:tab/>
      </w:r>
      <w:r w:rsidRPr="00DB69AA">
        <w:rPr>
          <w:color w:val="000000" w:themeColor="text1"/>
          <w:sz w:val="24"/>
          <w:szCs w:val="24"/>
          <w:lang w:val="sk-SK"/>
        </w:rPr>
        <w:t>Uznesenie</w:t>
      </w:r>
      <w:r w:rsidRPr="004E2FCF">
        <w:rPr>
          <w:sz w:val="24"/>
          <w:szCs w:val="24"/>
          <w:lang w:val="sk-SK"/>
        </w:rPr>
        <w:t xml:space="preserve"> Európskeho parlamentu z 11. februára 2026 o návrhu vykonávacieho rozhodnutia Komisie, ktorým sa podľa nariadenia Európskeho parlamentu a Rady (ES) č. 1829/2003 obnovuje povolenie umiestniť na trh produkty, ktoré obsahujú geneticky modifikovanú bavlnu T304-40, sú z nej zložené alebo vyrobené (Prijaté texty, P10_TA(2026)0044).</w:t>
      </w:r>
    </w:p>
    <w:p w:rsidR="008663E5" w:rsidRPr="004E2FCF" w:rsidP="00DB69AA" w14:paraId="4456D8C9" w14:textId="3C812864">
      <w:pPr>
        <w:pStyle w:val="FootnoteText"/>
        <w:ind w:left="1134" w:hanging="567"/>
        <w:rPr>
          <w:sz w:val="24"/>
          <w:szCs w:val="24"/>
          <w:lang w:val="sk-SK"/>
        </w:rPr>
      </w:pPr>
      <w:r w:rsidRPr="004E2FCF">
        <w:rPr>
          <w:sz w:val="24"/>
          <w:szCs w:val="24"/>
          <w:lang w:val="sk-SK"/>
        </w:rPr>
        <w:t>–</w:t>
      </w:r>
      <w:r w:rsidRPr="004E2FCF">
        <w:rPr>
          <w:sz w:val="24"/>
          <w:szCs w:val="24"/>
          <w:lang w:val="sk-SK"/>
        </w:rPr>
        <w:tab/>
      </w:r>
      <w:r w:rsidRPr="00DB69AA">
        <w:rPr>
          <w:color w:val="000000" w:themeColor="text1"/>
          <w:sz w:val="24"/>
          <w:szCs w:val="24"/>
          <w:lang w:val="sk-SK"/>
        </w:rPr>
        <w:t>Uznesenie</w:t>
      </w:r>
      <w:r w:rsidRPr="004E2FCF">
        <w:rPr>
          <w:sz w:val="24"/>
          <w:szCs w:val="24"/>
          <w:lang w:val="sk-SK"/>
        </w:rPr>
        <w:t xml:space="preserve"> Európskeho parlamentu z 29. apríla 2026 o návrhu vykonávacieho rozhodnutia Komisie, ktorým sa podľa nariadenia Európskeho parlamentu a Rady (ES) č. 1829/2003 povoľuje umiestniť na trh produkty, ktoré obsahujú geneticky modifikovanú sóju MON 94637, sú z nej zložené alebo vyrobené (Prijaté texty, P10_TA(2026)0150).</w:t>
      </w:r>
    </w:p>
  </w:footnote>
  <w:footnote w:id="7">
    <w:p w:rsidR="008663E5" w:rsidRPr="004E2FCF" w:rsidP="00313FAF" w14:paraId="52C76E29" w14:textId="41F760DD">
      <w:pPr>
        <w:pStyle w:val="FootnoteText"/>
        <w:ind w:left="567" w:hanging="567"/>
        <w:rPr>
          <w:sz w:val="24"/>
          <w:szCs w:val="24"/>
          <w:lang w:val="sk-SK"/>
        </w:rPr>
      </w:pPr>
      <w:r w:rsidRPr="004E2FCF">
        <w:rPr>
          <w:rStyle w:val="FootnoteReference"/>
          <w:sz w:val="24"/>
          <w:szCs w:val="24"/>
          <w:lang w:val="sk-SK"/>
        </w:rPr>
        <w:footnoteRef/>
      </w:r>
      <w:r w:rsidRPr="004E2FCF" w:rsidR="00313FAF">
        <w:rPr>
          <w:sz w:val="24"/>
          <w:szCs w:val="24"/>
          <w:lang w:val="sk-SK"/>
        </w:rPr>
        <w:t xml:space="preserve"> </w:t>
      </w:r>
      <w:r w:rsidRPr="004E2FCF" w:rsidR="00313FAF">
        <w:rPr>
          <w:sz w:val="24"/>
          <w:szCs w:val="24"/>
          <w:lang w:val="sk-SK"/>
        </w:rPr>
        <w:tab/>
      </w:r>
      <w:r w:rsidRPr="004E2FCF" w:rsidR="006F2CA1">
        <w:rPr>
          <w:sz w:val="24"/>
          <w:szCs w:val="24"/>
          <w:lang w:val="sk-SK"/>
        </w:rPr>
        <w:t>Vedecké s</w:t>
      </w:r>
      <w:r w:rsidRPr="004E2FCF">
        <w:rPr>
          <w:sz w:val="24"/>
          <w:szCs w:val="24"/>
          <w:lang w:val="sk-SK"/>
        </w:rPr>
        <w:t xml:space="preserve">tanovisko EFSA, </w:t>
      </w:r>
      <w:hyperlink r:id="rId4" w:history="1">
        <w:r w:rsidRPr="004E2FCF">
          <w:rPr>
            <w:rStyle w:val="Hyperlink"/>
            <w:sz w:val="24"/>
            <w:szCs w:val="24"/>
            <w:lang w:val="sk-SK"/>
          </w:rPr>
          <w:t>https://doi.org/10.2903/j.efsa.2025.9746</w:t>
        </w:r>
      </w:hyperlink>
      <w:r w:rsidRPr="004E2FCF">
        <w:rPr>
          <w:sz w:val="24"/>
          <w:szCs w:val="24"/>
          <w:lang w:val="sk-SK"/>
        </w:rPr>
        <w:t>, s. 7.</w:t>
      </w:r>
    </w:p>
  </w:footnote>
  <w:footnote w:id="8">
    <w:p w:rsidR="008663E5" w:rsidRPr="004E2FCF" w:rsidP="00313FAF" w14:paraId="47D9FE40" w14:textId="4A4BE4A3">
      <w:pPr>
        <w:pStyle w:val="FootnoteText"/>
        <w:ind w:left="567" w:hanging="567"/>
        <w:rPr>
          <w:sz w:val="24"/>
          <w:szCs w:val="24"/>
          <w:lang w:val="sk-SK"/>
        </w:rPr>
      </w:pPr>
      <w:r w:rsidRPr="004E2FCF">
        <w:rPr>
          <w:rStyle w:val="FootnoteReference"/>
          <w:sz w:val="24"/>
          <w:szCs w:val="24"/>
          <w:lang w:val="sk-SK"/>
        </w:rPr>
        <w:footnoteRef/>
      </w:r>
      <w:r w:rsidRPr="004E2FCF" w:rsidR="00313FAF">
        <w:rPr>
          <w:sz w:val="24"/>
          <w:szCs w:val="24"/>
          <w:shd w:val="clear" w:color="auto" w:fill="FFFFFF"/>
          <w:lang w:val="sk-SK"/>
        </w:rPr>
        <w:t xml:space="preserve"> </w:t>
      </w:r>
      <w:r w:rsidRPr="004E2FCF" w:rsidR="00313FAF">
        <w:rPr>
          <w:sz w:val="24"/>
          <w:szCs w:val="24"/>
          <w:shd w:val="clear" w:color="auto" w:fill="FFFFFF"/>
          <w:lang w:val="sk-SK"/>
        </w:rPr>
        <w:tab/>
      </w:r>
      <w:r w:rsidRPr="004E2FCF">
        <w:rPr>
          <w:sz w:val="24"/>
          <w:szCs w:val="24"/>
          <w:shd w:val="clear" w:color="auto" w:fill="FFFFFF"/>
          <w:lang w:val="sk-SK"/>
        </w:rPr>
        <w:t xml:space="preserve">Pozri napríklad </w:t>
      </w:r>
      <w:r w:rsidRPr="004E2FCF">
        <w:rPr>
          <w:sz w:val="24"/>
          <w:szCs w:val="24"/>
          <w:shd w:val="clear" w:color="auto" w:fill="FFFFFF"/>
          <w:lang w:val="sk-SK"/>
        </w:rPr>
        <w:t>Bonny</w:t>
      </w:r>
      <w:r w:rsidRPr="004E2FCF">
        <w:rPr>
          <w:sz w:val="24"/>
          <w:szCs w:val="24"/>
          <w:shd w:val="clear" w:color="auto" w:fill="FFFFFF"/>
          <w:lang w:val="sk-SK"/>
        </w:rPr>
        <w:t xml:space="preserve">, S., </w:t>
      </w:r>
      <w:r w:rsidRPr="004E2FCF">
        <w:rPr>
          <w:sz w:val="24"/>
          <w:szCs w:val="24"/>
          <w:shd w:val="clear" w:color="auto" w:fill="FFFFFF"/>
          <w:lang w:val="sk-SK"/>
        </w:rPr>
        <w:t>Genetically</w:t>
      </w:r>
      <w:r w:rsidRPr="004E2FCF">
        <w:rPr>
          <w:sz w:val="24"/>
          <w:szCs w:val="24"/>
          <w:shd w:val="clear" w:color="auto" w:fill="FFFFFF"/>
          <w:lang w:val="sk-SK"/>
        </w:rPr>
        <w:t xml:space="preserve"> </w:t>
      </w:r>
      <w:r w:rsidRPr="004E2FCF">
        <w:rPr>
          <w:sz w:val="24"/>
          <w:szCs w:val="24"/>
          <w:shd w:val="clear" w:color="auto" w:fill="FFFFFF"/>
          <w:lang w:val="sk-SK"/>
        </w:rPr>
        <w:t>Modified</w:t>
      </w:r>
      <w:r w:rsidRPr="004E2FCF">
        <w:rPr>
          <w:sz w:val="24"/>
          <w:szCs w:val="24"/>
          <w:shd w:val="clear" w:color="auto" w:fill="FFFFFF"/>
          <w:lang w:val="sk-SK"/>
        </w:rPr>
        <w:t xml:space="preserve"> </w:t>
      </w:r>
      <w:r w:rsidRPr="004E2FCF">
        <w:rPr>
          <w:sz w:val="24"/>
          <w:szCs w:val="24"/>
          <w:shd w:val="clear" w:color="auto" w:fill="FFFFFF"/>
          <w:lang w:val="sk-SK"/>
        </w:rPr>
        <w:t>Herbicide-Tolerable</w:t>
      </w:r>
      <w:r w:rsidRPr="004E2FCF">
        <w:rPr>
          <w:sz w:val="24"/>
          <w:szCs w:val="24"/>
          <w:shd w:val="clear" w:color="auto" w:fill="FFFFFF"/>
          <w:lang w:val="sk-SK"/>
        </w:rPr>
        <w:t xml:space="preserve"> </w:t>
      </w:r>
      <w:r w:rsidRPr="004E2FCF">
        <w:rPr>
          <w:sz w:val="24"/>
          <w:szCs w:val="24"/>
          <w:shd w:val="clear" w:color="auto" w:fill="FFFFFF"/>
          <w:lang w:val="sk-SK"/>
        </w:rPr>
        <w:t>Crops</w:t>
      </w:r>
      <w:r w:rsidRPr="004E2FCF">
        <w:rPr>
          <w:sz w:val="24"/>
          <w:szCs w:val="24"/>
          <w:shd w:val="clear" w:color="auto" w:fill="FFFFFF"/>
          <w:lang w:val="sk-SK"/>
        </w:rPr>
        <w:t xml:space="preserve">, </w:t>
      </w:r>
      <w:r w:rsidRPr="004E2FCF">
        <w:rPr>
          <w:sz w:val="24"/>
          <w:szCs w:val="24"/>
          <w:shd w:val="clear" w:color="auto" w:fill="FFFFFF"/>
          <w:lang w:val="sk-SK"/>
        </w:rPr>
        <w:t>Weeds</w:t>
      </w:r>
      <w:r w:rsidRPr="004E2FCF">
        <w:rPr>
          <w:sz w:val="24"/>
          <w:szCs w:val="24"/>
          <w:shd w:val="clear" w:color="auto" w:fill="FFFFFF"/>
          <w:lang w:val="sk-SK"/>
        </w:rPr>
        <w:t xml:space="preserve">, and </w:t>
      </w:r>
      <w:r w:rsidRPr="004E2FCF">
        <w:rPr>
          <w:sz w:val="24"/>
          <w:szCs w:val="24"/>
          <w:shd w:val="clear" w:color="auto" w:fill="FFFFFF"/>
          <w:lang w:val="sk-SK"/>
        </w:rPr>
        <w:t>Herbicides</w:t>
      </w:r>
      <w:r w:rsidRPr="004E2FCF">
        <w:rPr>
          <w:sz w:val="24"/>
          <w:szCs w:val="24"/>
          <w:shd w:val="clear" w:color="auto" w:fill="FFFFFF"/>
          <w:lang w:val="sk-SK"/>
        </w:rPr>
        <w:t xml:space="preserve"> </w:t>
      </w:r>
      <w:r w:rsidRPr="004E2FCF">
        <w:rPr>
          <w:sz w:val="24"/>
          <w:szCs w:val="24"/>
          <w:shd w:val="clear" w:color="auto" w:fill="FFFFFF"/>
          <w:lang w:val="sk-SK"/>
        </w:rPr>
        <w:t>Overview</w:t>
      </w:r>
      <w:r w:rsidRPr="004E2FCF">
        <w:rPr>
          <w:sz w:val="24"/>
          <w:szCs w:val="24"/>
          <w:shd w:val="clear" w:color="auto" w:fill="FFFFFF"/>
          <w:lang w:val="sk-SK"/>
        </w:rPr>
        <w:t xml:space="preserve"> and </w:t>
      </w:r>
      <w:r w:rsidRPr="004E2FCF">
        <w:rPr>
          <w:sz w:val="24"/>
          <w:szCs w:val="24"/>
          <w:shd w:val="clear" w:color="auto" w:fill="FFFFFF"/>
          <w:lang w:val="sk-SK"/>
        </w:rPr>
        <w:t>Impact</w:t>
      </w:r>
      <w:r w:rsidRPr="004E2FCF">
        <w:rPr>
          <w:sz w:val="24"/>
          <w:szCs w:val="24"/>
          <w:shd w:val="clear" w:color="auto" w:fill="FFFFFF"/>
          <w:lang w:val="sk-SK"/>
        </w:rPr>
        <w:t xml:space="preserve">’, (Geneticky modifikované plodiny odolné voči herbicídom, burina a herbicídy: prehľad a vplyv), </w:t>
      </w:r>
      <w:r w:rsidRPr="004E2FCF">
        <w:rPr>
          <w:i/>
          <w:iCs/>
          <w:sz w:val="24"/>
          <w:szCs w:val="24"/>
          <w:shd w:val="clear" w:color="auto" w:fill="FFFFFF"/>
          <w:lang w:val="sk-SK"/>
        </w:rPr>
        <w:t>Environmental</w:t>
      </w:r>
      <w:r w:rsidRPr="004E2FCF">
        <w:rPr>
          <w:i/>
          <w:iCs/>
          <w:sz w:val="24"/>
          <w:szCs w:val="24"/>
          <w:shd w:val="clear" w:color="auto" w:fill="FFFFFF"/>
          <w:lang w:val="sk-SK"/>
        </w:rPr>
        <w:t xml:space="preserve"> Management</w:t>
      </w:r>
      <w:r w:rsidRPr="004E2FCF">
        <w:rPr>
          <w:sz w:val="24"/>
          <w:szCs w:val="24"/>
          <w:shd w:val="clear" w:color="auto" w:fill="FFFFFF"/>
          <w:lang w:val="sk-SK"/>
        </w:rPr>
        <w:t xml:space="preserve">, január 2016, 57(1), s. </w:t>
      </w:r>
      <w:r w:rsidRPr="004E2FCF">
        <w:rPr>
          <w:sz w:val="24"/>
          <w:szCs w:val="24"/>
          <w:shd w:val="clear" w:color="auto" w:fill="FFFFFF"/>
          <w:lang w:val="sk-SK"/>
        </w:rPr>
        <w:t xml:space="preserve">31 – 48, </w:t>
      </w:r>
      <w:hyperlink r:id="rId24" w:history="1">
        <w:r w:rsidRPr="004E2FCF">
          <w:rPr>
            <w:rStyle w:val="Hyperlink"/>
            <w:sz w:val="24"/>
            <w:szCs w:val="24"/>
            <w:shd w:val="clear" w:color="auto" w:fill="FFFFFF"/>
            <w:lang w:val="sk-SK"/>
          </w:rPr>
          <w:t>https://doi.org/10.1007/s00267-015-0589-7</w:t>
        </w:r>
      </w:hyperlink>
      <w:r w:rsidRPr="004E2FCF">
        <w:rPr>
          <w:sz w:val="24"/>
          <w:szCs w:val="24"/>
          <w:shd w:val="clear" w:color="auto" w:fill="FFFFFF"/>
          <w:lang w:val="sk-SK"/>
        </w:rPr>
        <w:t xml:space="preserve"> a </w:t>
      </w:r>
      <w:r w:rsidRPr="004E2FCF">
        <w:rPr>
          <w:sz w:val="24"/>
          <w:szCs w:val="24"/>
          <w:shd w:val="clear" w:color="auto" w:fill="FFFFFF"/>
          <w:lang w:val="sk-SK"/>
        </w:rPr>
        <w:t>Benbrook</w:t>
      </w:r>
      <w:r w:rsidRPr="004E2FCF">
        <w:rPr>
          <w:sz w:val="24"/>
          <w:szCs w:val="24"/>
          <w:shd w:val="clear" w:color="auto" w:fill="FFFFFF"/>
          <w:lang w:val="sk-SK"/>
        </w:rPr>
        <w:t xml:space="preserve">, C.M., </w:t>
      </w:r>
      <w:r w:rsidRPr="004E2FCF">
        <w:rPr>
          <w:sz w:val="24"/>
          <w:szCs w:val="24"/>
          <w:shd w:val="clear" w:color="auto" w:fill="FFFFFF"/>
          <w:lang w:val="sk-SK"/>
        </w:rPr>
        <w:t>Impacts</w:t>
      </w:r>
      <w:r w:rsidRPr="004E2FCF">
        <w:rPr>
          <w:sz w:val="24"/>
          <w:szCs w:val="24"/>
          <w:shd w:val="clear" w:color="auto" w:fill="FFFFFF"/>
          <w:lang w:val="sk-SK"/>
        </w:rPr>
        <w:t xml:space="preserve"> of </w:t>
      </w:r>
      <w:r w:rsidRPr="004E2FCF">
        <w:rPr>
          <w:sz w:val="24"/>
          <w:szCs w:val="24"/>
          <w:shd w:val="clear" w:color="auto" w:fill="FFFFFF"/>
          <w:lang w:val="sk-SK"/>
        </w:rPr>
        <w:t>genetically</w:t>
      </w:r>
      <w:r w:rsidRPr="004E2FCF">
        <w:rPr>
          <w:sz w:val="24"/>
          <w:szCs w:val="24"/>
          <w:shd w:val="clear" w:color="auto" w:fill="FFFFFF"/>
          <w:lang w:val="sk-SK"/>
        </w:rPr>
        <w:t xml:space="preserve"> </w:t>
      </w:r>
      <w:r w:rsidRPr="004E2FCF">
        <w:rPr>
          <w:sz w:val="24"/>
          <w:szCs w:val="24"/>
          <w:shd w:val="clear" w:color="auto" w:fill="FFFFFF"/>
          <w:lang w:val="sk-SK"/>
        </w:rPr>
        <w:t>engineered</w:t>
      </w:r>
      <w:r w:rsidRPr="004E2FCF">
        <w:rPr>
          <w:sz w:val="24"/>
          <w:szCs w:val="24"/>
          <w:shd w:val="clear" w:color="auto" w:fill="FFFFFF"/>
          <w:lang w:val="sk-SK"/>
        </w:rPr>
        <w:t xml:space="preserve"> </w:t>
      </w:r>
      <w:r w:rsidRPr="004E2FCF">
        <w:rPr>
          <w:sz w:val="24"/>
          <w:szCs w:val="24"/>
          <w:shd w:val="clear" w:color="auto" w:fill="FFFFFF"/>
          <w:lang w:val="sk-SK"/>
        </w:rPr>
        <w:t>crops</w:t>
      </w:r>
      <w:r w:rsidRPr="004E2FCF">
        <w:rPr>
          <w:sz w:val="24"/>
          <w:szCs w:val="24"/>
          <w:shd w:val="clear" w:color="auto" w:fill="FFFFFF"/>
          <w:lang w:val="sk-SK"/>
        </w:rPr>
        <w:t xml:space="preserve"> on </w:t>
      </w:r>
      <w:r w:rsidRPr="004E2FCF">
        <w:rPr>
          <w:sz w:val="24"/>
          <w:szCs w:val="24"/>
          <w:shd w:val="clear" w:color="auto" w:fill="FFFFFF"/>
          <w:lang w:val="sk-SK"/>
        </w:rPr>
        <w:t>pesticide</w:t>
      </w:r>
      <w:r w:rsidRPr="004E2FCF">
        <w:rPr>
          <w:sz w:val="24"/>
          <w:szCs w:val="24"/>
          <w:shd w:val="clear" w:color="auto" w:fill="FFFFFF"/>
          <w:lang w:val="sk-SK"/>
        </w:rPr>
        <w:t xml:space="preserve"> </w:t>
      </w:r>
      <w:r w:rsidRPr="004E2FCF">
        <w:rPr>
          <w:sz w:val="24"/>
          <w:szCs w:val="24"/>
          <w:shd w:val="clear" w:color="auto" w:fill="FFFFFF"/>
          <w:lang w:val="sk-SK"/>
        </w:rPr>
        <w:t>use</w:t>
      </w:r>
      <w:r w:rsidRPr="004E2FCF">
        <w:rPr>
          <w:sz w:val="24"/>
          <w:szCs w:val="24"/>
          <w:shd w:val="clear" w:color="auto" w:fill="FFFFFF"/>
          <w:lang w:val="sk-SK"/>
        </w:rPr>
        <w:t xml:space="preserve"> in </w:t>
      </w:r>
      <w:r w:rsidRPr="004E2FCF">
        <w:rPr>
          <w:sz w:val="24"/>
          <w:szCs w:val="24"/>
          <w:shd w:val="clear" w:color="auto" w:fill="FFFFFF"/>
          <w:lang w:val="sk-SK"/>
        </w:rPr>
        <w:t>the</w:t>
      </w:r>
      <w:r w:rsidRPr="004E2FCF">
        <w:rPr>
          <w:sz w:val="24"/>
          <w:szCs w:val="24"/>
          <w:shd w:val="clear" w:color="auto" w:fill="FFFFFF"/>
          <w:lang w:val="sk-SK"/>
        </w:rPr>
        <w:t xml:space="preserve"> U.S. – </w:t>
      </w:r>
      <w:r w:rsidRPr="004E2FCF">
        <w:rPr>
          <w:sz w:val="24"/>
          <w:szCs w:val="24"/>
          <w:shd w:val="clear" w:color="auto" w:fill="FFFFFF"/>
          <w:lang w:val="sk-SK"/>
        </w:rPr>
        <w:t>the</w:t>
      </w:r>
      <w:r w:rsidRPr="004E2FCF">
        <w:rPr>
          <w:sz w:val="24"/>
          <w:szCs w:val="24"/>
          <w:shd w:val="clear" w:color="auto" w:fill="FFFFFF"/>
          <w:lang w:val="sk-SK"/>
        </w:rPr>
        <w:t xml:space="preserve"> </w:t>
      </w:r>
      <w:r w:rsidRPr="004E2FCF">
        <w:rPr>
          <w:sz w:val="24"/>
          <w:szCs w:val="24"/>
          <w:shd w:val="clear" w:color="auto" w:fill="FFFFFF"/>
          <w:lang w:val="sk-SK"/>
        </w:rPr>
        <w:t>first</w:t>
      </w:r>
      <w:r w:rsidRPr="004E2FCF">
        <w:rPr>
          <w:sz w:val="24"/>
          <w:szCs w:val="24"/>
          <w:shd w:val="clear" w:color="auto" w:fill="FFFFFF"/>
          <w:lang w:val="sk-SK"/>
        </w:rPr>
        <w:t xml:space="preserve"> </w:t>
      </w:r>
      <w:r w:rsidRPr="004E2FCF">
        <w:rPr>
          <w:sz w:val="24"/>
          <w:szCs w:val="24"/>
          <w:shd w:val="clear" w:color="auto" w:fill="FFFFFF"/>
          <w:lang w:val="sk-SK"/>
        </w:rPr>
        <w:t>sixteen</w:t>
      </w:r>
      <w:r w:rsidRPr="004E2FCF">
        <w:rPr>
          <w:sz w:val="24"/>
          <w:szCs w:val="24"/>
          <w:shd w:val="clear" w:color="auto" w:fill="FFFFFF"/>
          <w:lang w:val="sk-SK"/>
        </w:rPr>
        <w:t xml:space="preserve"> </w:t>
      </w:r>
      <w:r w:rsidRPr="004E2FCF">
        <w:rPr>
          <w:sz w:val="24"/>
          <w:szCs w:val="24"/>
          <w:shd w:val="clear" w:color="auto" w:fill="FFFFFF"/>
          <w:lang w:val="sk-SK"/>
        </w:rPr>
        <w:t>years</w:t>
      </w:r>
      <w:r w:rsidRPr="004E2FCF">
        <w:rPr>
          <w:sz w:val="24"/>
          <w:szCs w:val="24"/>
          <w:shd w:val="clear" w:color="auto" w:fill="FFFFFF"/>
          <w:lang w:val="sk-SK"/>
        </w:rPr>
        <w:t xml:space="preserve"> (Vplyv geneticky modifikovaných plodín na používanie pesticídov v USA – prvých šestnásť rokov), </w:t>
      </w:r>
      <w:r w:rsidRPr="004E2FCF">
        <w:rPr>
          <w:i/>
          <w:iCs/>
          <w:sz w:val="24"/>
          <w:szCs w:val="24"/>
          <w:shd w:val="clear" w:color="auto" w:fill="FFFFFF"/>
          <w:lang w:val="sk-SK"/>
        </w:rPr>
        <w:t>Environmental</w:t>
      </w:r>
      <w:r w:rsidRPr="004E2FCF">
        <w:rPr>
          <w:i/>
          <w:iCs/>
          <w:sz w:val="24"/>
          <w:szCs w:val="24"/>
          <w:shd w:val="clear" w:color="auto" w:fill="FFFFFF"/>
          <w:lang w:val="sk-SK"/>
        </w:rPr>
        <w:t xml:space="preserve"> </w:t>
      </w:r>
      <w:r w:rsidRPr="004E2FCF">
        <w:rPr>
          <w:i/>
          <w:iCs/>
          <w:sz w:val="24"/>
          <w:szCs w:val="24"/>
          <w:shd w:val="clear" w:color="auto" w:fill="FFFFFF"/>
          <w:lang w:val="sk-SK"/>
        </w:rPr>
        <w:t>Sciences</w:t>
      </w:r>
      <w:r w:rsidRPr="004E2FCF">
        <w:rPr>
          <w:i/>
          <w:iCs/>
          <w:sz w:val="24"/>
          <w:szCs w:val="24"/>
          <w:shd w:val="clear" w:color="auto" w:fill="FFFFFF"/>
          <w:lang w:val="sk-SK"/>
        </w:rPr>
        <w:t xml:space="preserve"> </w:t>
      </w:r>
      <w:r w:rsidRPr="004E2FCF">
        <w:rPr>
          <w:i/>
          <w:iCs/>
          <w:sz w:val="24"/>
          <w:szCs w:val="24"/>
          <w:shd w:val="clear" w:color="auto" w:fill="FFFFFF"/>
          <w:lang w:val="sk-SK"/>
        </w:rPr>
        <w:t>Europe</w:t>
      </w:r>
      <w:r w:rsidRPr="004E2FCF">
        <w:rPr>
          <w:sz w:val="24"/>
          <w:szCs w:val="24"/>
          <w:shd w:val="clear" w:color="auto" w:fill="FFFFFF"/>
          <w:lang w:val="sk-SK"/>
        </w:rPr>
        <w:t xml:space="preserve">, 28. septembra 2012, diel 24(1), </w:t>
      </w:r>
      <w:hyperlink r:id="rId25" w:history="1">
        <w:r w:rsidRPr="004E2FCF">
          <w:rPr>
            <w:rStyle w:val="Hyperlink"/>
            <w:sz w:val="24"/>
            <w:szCs w:val="24"/>
            <w:lang w:val="sk-SK"/>
          </w:rPr>
          <w:t>https://doi.org/10.1186/2190-4715-24-24</w:t>
        </w:r>
      </w:hyperlink>
      <w:r w:rsidRPr="004E2FCF">
        <w:rPr>
          <w:sz w:val="24"/>
          <w:szCs w:val="24"/>
          <w:lang w:val="sk-SK"/>
        </w:rPr>
        <w:t>.</w:t>
      </w:r>
    </w:p>
  </w:footnote>
  <w:footnote w:id="9">
    <w:p w:rsidR="008663E5" w:rsidRPr="004E2FCF" w:rsidP="00313FAF" w14:paraId="10FBB18C" w14:textId="5C8F1FB3">
      <w:pPr>
        <w:pStyle w:val="FootnoteText"/>
        <w:ind w:left="567" w:hanging="567"/>
        <w:rPr>
          <w:sz w:val="24"/>
          <w:szCs w:val="24"/>
          <w:lang w:val="sk-SK"/>
        </w:rPr>
      </w:pPr>
      <w:r w:rsidRPr="004E2FCF">
        <w:rPr>
          <w:rStyle w:val="FootnoteReference"/>
          <w:sz w:val="24"/>
          <w:szCs w:val="24"/>
          <w:lang w:val="sk-SK"/>
        </w:rPr>
        <w:footnoteRef/>
      </w:r>
      <w:r w:rsidRPr="004E2FCF" w:rsidR="00313FAF">
        <w:rPr>
          <w:sz w:val="24"/>
          <w:szCs w:val="24"/>
          <w:lang w:val="sk-SK"/>
        </w:rPr>
        <w:t xml:space="preserve"> </w:t>
      </w:r>
      <w:r w:rsidRPr="004E2FCF" w:rsidR="00313FAF">
        <w:rPr>
          <w:sz w:val="24"/>
          <w:szCs w:val="24"/>
          <w:lang w:val="sk-SK"/>
        </w:rPr>
        <w:tab/>
      </w:r>
      <w:r w:rsidRPr="004E2FCF">
        <w:rPr>
          <w:sz w:val="24"/>
          <w:szCs w:val="24"/>
          <w:lang w:val="sk-SK"/>
        </w:rPr>
        <w:t>Nariadenie Európskeho parlamentu a Rady (ES) č. 1107/2009 z 21. októbra 2009 o uvádzaní prípravkov na ochranu rastlín na trh a o zrušení smerníc Rady 79/117/EHS a 91/414/EHS (Ú. v. EÚ L 309, 24.11.2009, s. </w:t>
      </w:r>
      <w:r w:rsidRPr="004E2FCF">
        <w:rPr>
          <w:sz w:val="24"/>
          <w:szCs w:val="24"/>
          <w:lang w:val="sk-SK"/>
        </w:rPr>
        <w:t>1, ELI: </w:t>
      </w:r>
      <w:hyperlink r:id="rId26" w:tooltip="Gives access to this document through its ELI URI." w:history="1">
        <w:r w:rsidRPr="00DB69AA" w:rsidR="00DC4E8B">
          <w:rPr>
            <w:rStyle w:val="Hyperlink"/>
            <w:sz w:val="24"/>
            <w:szCs w:val="24"/>
            <w:lang w:val="sk-SK"/>
          </w:rPr>
          <w:t>http://data.europa.eu/eli/reg/2009/1107/oj</w:t>
        </w:r>
      </w:hyperlink>
      <w:r w:rsidRPr="004E2FCF">
        <w:rPr>
          <w:sz w:val="24"/>
          <w:szCs w:val="24"/>
          <w:lang w:val="sk-SK"/>
        </w:rPr>
        <w:t>).</w:t>
      </w:r>
    </w:p>
  </w:footnote>
  <w:footnote w:id="10">
    <w:p w:rsidR="008663E5" w:rsidRPr="004E2FCF" w:rsidP="00313FAF" w14:paraId="22D70899" w14:textId="79BFF1BD">
      <w:pPr>
        <w:pStyle w:val="FootnoteText"/>
        <w:ind w:left="567" w:hanging="567"/>
        <w:rPr>
          <w:sz w:val="24"/>
          <w:szCs w:val="24"/>
          <w:lang w:val="sk-SK"/>
        </w:rPr>
      </w:pPr>
      <w:r w:rsidRPr="004E2FCF">
        <w:rPr>
          <w:rStyle w:val="FootnoteReference"/>
          <w:sz w:val="24"/>
          <w:szCs w:val="24"/>
          <w:lang w:val="sk-SK"/>
        </w:rPr>
        <w:footnoteRef/>
      </w:r>
      <w:r w:rsidRPr="004E2FCF" w:rsidR="00313FAF">
        <w:rPr>
          <w:sz w:val="24"/>
          <w:szCs w:val="24"/>
          <w:lang w:val="sk-SK"/>
        </w:rPr>
        <w:t xml:space="preserve"> </w:t>
      </w:r>
      <w:r w:rsidRPr="004E2FCF" w:rsidR="00313FAF">
        <w:rPr>
          <w:sz w:val="24"/>
          <w:szCs w:val="24"/>
          <w:lang w:val="sk-SK"/>
        </w:rPr>
        <w:tab/>
      </w:r>
      <w:hyperlink r:id="rId27" w:history="1">
        <w:r w:rsidRPr="00DB69AA" w:rsidR="00882B2E">
          <w:rPr>
            <w:rStyle w:val="Hyperlink"/>
            <w:sz w:val="24"/>
            <w:szCs w:val="24"/>
            <w:lang w:val="sk-SK"/>
          </w:rPr>
          <w:t>https://ec.europa.eu/food/plant/pesticides/eu-pesticides-database/start/screen/active-substances/details/79</w:t>
        </w:r>
      </w:hyperlink>
      <w:r w:rsidRPr="00DB69AA" w:rsidR="00882B2E">
        <w:rPr>
          <w:sz w:val="24"/>
          <w:szCs w:val="24"/>
          <w:lang w:val="sk-SK"/>
        </w:rPr>
        <w:t>.</w:t>
      </w:r>
      <w:r w:rsidRPr="004E2FCF">
        <w:rPr>
          <w:sz w:val="24"/>
          <w:szCs w:val="24"/>
          <w:lang w:val="sk-SK"/>
        </w:rPr>
        <w:t xml:space="preserve"> </w:t>
      </w:r>
    </w:p>
  </w:footnote>
  <w:footnote w:id="11">
    <w:p w:rsidR="008663E5" w:rsidRPr="004E2FCF" w:rsidP="00313FAF" w14:paraId="2E71AD06" w14:textId="12F2F79F">
      <w:pPr>
        <w:pStyle w:val="FootnoteText"/>
        <w:ind w:left="567" w:hanging="567"/>
        <w:rPr>
          <w:sz w:val="24"/>
          <w:szCs w:val="24"/>
          <w:lang w:val="sk-SK"/>
        </w:rPr>
      </w:pPr>
      <w:r w:rsidRPr="004E2FCF">
        <w:rPr>
          <w:rStyle w:val="FootnoteReference"/>
          <w:sz w:val="24"/>
          <w:szCs w:val="24"/>
          <w:lang w:val="sk-SK"/>
        </w:rPr>
        <w:footnoteRef/>
      </w:r>
      <w:r w:rsidRPr="004E2FCF" w:rsidR="00313FAF">
        <w:rPr>
          <w:sz w:val="24"/>
          <w:szCs w:val="24"/>
          <w:shd w:val="clear" w:color="auto" w:fill="FFFFFF"/>
          <w:lang w:val="sk-SK"/>
        </w:rPr>
        <w:t xml:space="preserve"> </w:t>
      </w:r>
      <w:r w:rsidRPr="004E2FCF" w:rsidR="00313FAF">
        <w:rPr>
          <w:sz w:val="24"/>
          <w:szCs w:val="24"/>
          <w:shd w:val="clear" w:color="auto" w:fill="FFFFFF"/>
          <w:lang w:val="sk-SK"/>
        </w:rPr>
        <w:tab/>
      </w:r>
      <w:r w:rsidRPr="004E2FCF">
        <w:rPr>
          <w:sz w:val="24"/>
          <w:szCs w:val="24"/>
          <w:shd w:val="clear" w:color="auto" w:fill="FFFFFF"/>
          <w:lang w:val="sk-SK"/>
        </w:rPr>
        <w:t xml:space="preserve">Pozri napríklad </w:t>
      </w:r>
      <w:hyperlink r:id="rId28" w:history="1">
        <w:r w:rsidRPr="004E2FCF">
          <w:rPr>
            <w:rStyle w:val="Hyperlink"/>
            <w:sz w:val="24"/>
            <w:szCs w:val="24"/>
            <w:lang w:val="sk-SK"/>
          </w:rPr>
          <w:t>https://doi.org/10.1016/j.mrrev.2019.02.001</w:t>
        </w:r>
      </w:hyperlink>
      <w:r w:rsidRPr="004E2FCF">
        <w:rPr>
          <w:sz w:val="24"/>
          <w:szCs w:val="24"/>
          <w:lang w:val="sk-SK"/>
        </w:rPr>
        <w:t xml:space="preserve">, </w:t>
      </w:r>
      <w:hyperlink r:id="rId29" w:history="1">
        <w:r w:rsidRPr="004E2FCF">
          <w:rPr>
            <w:rStyle w:val="Hyperlink"/>
            <w:sz w:val="24"/>
            <w:szCs w:val="24"/>
            <w:lang w:val="sk-SK"/>
          </w:rPr>
          <w:t>https://doi.org/10.1093/ije/dyz017</w:t>
        </w:r>
      </w:hyperlink>
      <w:r w:rsidRPr="004E2FCF">
        <w:rPr>
          <w:sz w:val="24"/>
          <w:szCs w:val="24"/>
          <w:lang w:val="sk-SK"/>
        </w:rPr>
        <w:t xml:space="preserve">, </w:t>
      </w:r>
      <w:hyperlink r:id="rId30" w:history="1">
        <w:r w:rsidRPr="004E2FCF">
          <w:rPr>
            <w:rStyle w:val="Hyperlink"/>
            <w:sz w:val="24"/>
            <w:szCs w:val="24"/>
            <w:lang w:val="sk-SK"/>
          </w:rPr>
          <w:t>https://doi.org/10.1371/journal.pone.0219610</w:t>
        </w:r>
      </w:hyperlink>
      <w:r w:rsidRPr="004E2FCF">
        <w:rPr>
          <w:sz w:val="24"/>
          <w:szCs w:val="24"/>
          <w:lang w:val="sk-SK"/>
        </w:rPr>
        <w:t xml:space="preserve"> a </w:t>
      </w:r>
      <w:hyperlink r:id="rId31" w:history="1">
        <w:r w:rsidRPr="004E2FCF">
          <w:rPr>
            <w:rStyle w:val="Hyperlink"/>
            <w:sz w:val="24"/>
            <w:szCs w:val="24"/>
            <w:lang w:val="sk-SK"/>
          </w:rPr>
          <w:t>https://doi.org/10.1186/s13045-019-0767-9</w:t>
        </w:r>
      </w:hyperlink>
      <w:r w:rsidRPr="004E2FCF">
        <w:rPr>
          <w:sz w:val="24"/>
          <w:szCs w:val="24"/>
          <w:lang w:val="sk-SK"/>
        </w:rPr>
        <w:t>.</w:t>
      </w:r>
    </w:p>
  </w:footnote>
  <w:footnote w:id="12">
    <w:p w:rsidR="008663E5" w:rsidRPr="004E2FCF" w:rsidP="00313FAF" w14:paraId="5A07980B" w14:textId="6BE70400">
      <w:pPr>
        <w:pStyle w:val="FootnoteText"/>
        <w:ind w:left="567" w:hanging="567"/>
        <w:rPr>
          <w:sz w:val="24"/>
          <w:szCs w:val="24"/>
          <w:lang w:val="sk-SK"/>
        </w:rPr>
      </w:pPr>
      <w:r w:rsidRPr="004E2FCF">
        <w:rPr>
          <w:rStyle w:val="FootnoteReference"/>
          <w:sz w:val="24"/>
          <w:szCs w:val="24"/>
          <w:lang w:val="sk-SK"/>
        </w:rPr>
        <w:footnoteRef/>
      </w:r>
      <w:r w:rsidRPr="004E2FCF" w:rsidR="00313FAF">
        <w:rPr>
          <w:sz w:val="24"/>
          <w:szCs w:val="24"/>
          <w:lang w:val="sk-SK"/>
        </w:rPr>
        <w:t xml:space="preserve"> </w:t>
      </w:r>
      <w:r w:rsidRPr="004E2FCF" w:rsidR="00313FAF">
        <w:rPr>
          <w:sz w:val="24"/>
          <w:szCs w:val="24"/>
          <w:lang w:val="sk-SK"/>
        </w:rPr>
        <w:tab/>
      </w:r>
      <w:hyperlink r:id="rId32" w:tgtFrame="_blank" w:tooltip="Trvalý odkaz s využitím identifikátora digitálneho objektu" w:history="1">
        <w:r w:rsidRPr="004E2FCF">
          <w:rPr>
            <w:rStyle w:val="Hyperlink"/>
            <w:sz w:val="24"/>
            <w:szCs w:val="24"/>
            <w:lang w:val="sk-SK"/>
          </w:rPr>
          <w:t>https://doi.org/10.1006/rtph.1999.1371</w:t>
        </w:r>
      </w:hyperlink>
      <w:r w:rsidRPr="004E2FCF">
        <w:rPr>
          <w:sz w:val="24"/>
          <w:szCs w:val="24"/>
          <w:lang w:val="sk-SK"/>
        </w:rPr>
        <w:t>.</w:t>
      </w:r>
    </w:p>
  </w:footnote>
  <w:footnote w:id="13">
    <w:p w:rsidR="008663E5" w:rsidRPr="004E2FCF" w:rsidP="00313FAF" w14:paraId="7060C82B" w14:textId="309C0DAF">
      <w:pPr>
        <w:pStyle w:val="FootnoteText"/>
        <w:ind w:left="567" w:hanging="567"/>
        <w:rPr>
          <w:sz w:val="24"/>
          <w:szCs w:val="24"/>
          <w:lang w:val="sk-SK"/>
        </w:rPr>
      </w:pPr>
      <w:r w:rsidRPr="004E2FCF">
        <w:rPr>
          <w:rStyle w:val="FootnoteReference"/>
          <w:sz w:val="24"/>
          <w:szCs w:val="24"/>
          <w:lang w:val="sk-SK"/>
        </w:rPr>
        <w:footnoteRef/>
      </w:r>
      <w:r w:rsidRPr="004E2FCF" w:rsidR="00313FAF">
        <w:rPr>
          <w:sz w:val="24"/>
          <w:szCs w:val="24"/>
          <w:shd w:val="clear" w:color="auto" w:fill="FFFFFF"/>
          <w:lang w:val="sk-SK"/>
        </w:rPr>
        <w:t xml:space="preserve"> </w:t>
      </w:r>
      <w:r w:rsidRPr="004E2FCF" w:rsidR="00313FAF">
        <w:rPr>
          <w:sz w:val="24"/>
          <w:szCs w:val="24"/>
          <w:shd w:val="clear" w:color="auto" w:fill="FFFFFF"/>
          <w:lang w:val="sk-SK"/>
        </w:rPr>
        <w:tab/>
      </w:r>
      <w:r w:rsidRPr="004E2FCF">
        <w:rPr>
          <w:sz w:val="24"/>
          <w:szCs w:val="24"/>
          <w:shd w:val="clear" w:color="auto" w:fill="FFFFFF"/>
          <w:lang w:val="sk-SK"/>
        </w:rPr>
        <w:t>Lurquin</w:t>
      </w:r>
      <w:r w:rsidRPr="004E2FCF">
        <w:rPr>
          <w:sz w:val="24"/>
          <w:szCs w:val="24"/>
          <w:shd w:val="clear" w:color="auto" w:fill="FFFFFF"/>
          <w:lang w:val="sk-SK"/>
        </w:rPr>
        <w:t>, P.F., „</w:t>
      </w:r>
      <w:r w:rsidRPr="004E2FCF">
        <w:rPr>
          <w:sz w:val="24"/>
          <w:szCs w:val="24"/>
          <w:shd w:val="clear" w:color="auto" w:fill="FFFFFF"/>
          <w:lang w:val="sk-SK"/>
        </w:rPr>
        <w:t>Production</w:t>
      </w:r>
      <w:r w:rsidRPr="004E2FCF">
        <w:rPr>
          <w:sz w:val="24"/>
          <w:szCs w:val="24"/>
          <w:shd w:val="clear" w:color="auto" w:fill="FFFFFF"/>
          <w:lang w:val="sk-SK"/>
        </w:rPr>
        <w:t xml:space="preserve"> of a </w:t>
      </w:r>
      <w:r w:rsidRPr="004E2FCF">
        <w:rPr>
          <w:sz w:val="24"/>
          <w:szCs w:val="24"/>
          <w:shd w:val="clear" w:color="auto" w:fill="FFFFFF"/>
          <w:lang w:val="sk-SK"/>
        </w:rPr>
        <w:t>toxic</w:t>
      </w:r>
      <w:r w:rsidRPr="004E2FCF">
        <w:rPr>
          <w:sz w:val="24"/>
          <w:szCs w:val="24"/>
          <w:shd w:val="clear" w:color="auto" w:fill="FFFFFF"/>
          <w:lang w:val="sk-SK"/>
        </w:rPr>
        <w:t xml:space="preserve"> metabolite in 2, 4-D-resistant GM </w:t>
      </w:r>
      <w:r w:rsidRPr="004E2FCF">
        <w:rPr>
          <w:sz w:val="24"/>
          <w:szCs w:val="24"/>
          <w:shd w:val="clear" w:color="auto" w:fill="FFFFFF"/>
          <w:lang w:val="sk-SK"/>
        </w:rPr>
        <w:t>crop</w:t>
      </w:r>
      <w:r w:rsidRPr="004E2FCF">
        <w:rPr>
          <w:sz w:val="24"/>
          <w:szCs w:val="24"/>
          <w:shd w:val="clear" w:color="auto" w:fill="FFFFFF"/>
          <w:lang w:val="sk-SK"/>
        </w:rPr>
        <w:t xml:space="preserve"> </w:t>
      </w:r>
      <w:r w:rsidRPr="004E2FCF">
        <w:rPr>
          <w:sz w:val="24"/>
          <w:szCs w:val="24"/>
          <w:shd w:val="clear" w:color="auto" w:fill="FFFFFF"/>
          <w:lang w:val="sk-SK"/>
        </w:rPr>
        <w:t>plants</w:t>
      </w:r>
      <w:r w:rsidRPr="004E2FCF">
        <w:rPr>
          <w:sz w:val="24"/>
          <w:szCs w:val="24"/>
          <w:shd w:val="clear" w:color="auto" w:fill="FFFFFF"/>
          <w:lang w:val="sk-SK"/>
        </w:rPr>
        <w:t xml:space="preserve">“ (Produkcia toxického metabolitu v geneticky modifikovaných plodinách odolných voči 2, 4-D), 3 </w:t>
      </w:r>
      <w:r w:rsidRPr="004E2FCF">
        <w:rPr>
          <w:i/>
          <w:iCs/>
          <w:sz w:val="24"/>
          <w:szCs w:val="24"/>
          <w:shd w:val="clear" w:color="auto" w:fill="FFFFFF"/>
          <w:lang w:val="sk-SK"/>
        </w:rPr>
        <w:t>Biotech</w:t>
      </w:r>
      <w:r w:rsidRPr="004E2FCF">
        <w:rPr>
          <w:sz w:val="24"/>
          <w:szCs w:val="24"/>
          <w:shd w:val="clear" w:color="auto" w:fill="FFFFFF"/>
          <w:lang w:val="sk-SK"/>
        </w:rPr>
        <w:t xml:space="preserve"> 6, 82 (2016), </w:t>
      </w:r>
      <w:hyperlink r:id="rId33" w:history="1">
        <w:r w:rsidRPr="004E2FCF">
          <w:rPr>
            <w:rStyle w:val="Hyperlink"/>
            <w:sz w:val="24"/>
            <w:szCs w:val="24"/>
            <w:shd w:val="clear" w:color="auto" w:fill="FCFCFC"/>
            <w:lang w:val="sk-SK"/>
          </w:rPr>
          <w:t>https://doi.org/10.1007/s13205-016-0387-9</w:t>
        </w:r>
      </w:hyperlink>
      <w:r w:rsidRPr="004E2FCF">
        <w:rPr>
          <w:sz w:val="24"/>
          <w:szCs w:val="24"/>
          <w:lang w:val="sk-SK"/>
        </w:rPr>
        <w:t>.</w:t>
      </w:r>
    </w:p>
  </w:footnote>
  <w:footnote w:id="14">
    <w:p w:rsidR="008663E5" w:rsidRPr="004E2FCF" w:rsidP="00313FAF" w14:paraId="4BEC0238" w14:textId="339091AE">
      <w:pPr>
        <w:pStyle w:val="FootnoteText"/>
        <w:ind w:left="567" w:hanging="567"/>
        <w:rPr>
          <w:sz w:val="24"/>
          <w:szCs w:val="24"/>
          <w:lang w:val="sk-SK"/>
        </w:rPr>
      </w:pPr>
      <w:r w:rsidRPr="004E2FCF">
        <w:rPr>
          <w:rStyle w:val="FootnoteReference"/>
          <w:sz w:val="24"/>
          <w:szCs w:val="24"/>
          <w:lang w:val="sk-SK"/>
        </w:rPr>
        <w:footnoteRef/>
      </w:r>
      <w:r w:rsidRPr="004E2FCF" w:rsidR="00313FAF">
        <w:rPr>
          <w:sz w:val="24"/>
          <w:szCs w:val="24"/>
          <w:shd w:val="clear" w:color="auto" w:fill="FFFFFF"/>
          <w:lang w:val="sk-SK"/>
        </w:rPr>
        <w:t xml:space="preserve"> </w:t>
      </w:r>
      <w:r w:rsidRPr="004E2FCF" w:rsidR="00313FAF">
        <w:rPr>
          <w:sz w:val="24"/>
          <w:szCs w:val="24"/>
          <w:shd w:val="clear" w:color="auto" w:fill="FFFFFF"/>
          <w:lang w:val="sk-SK"/>
        </w:rPr>
        <w:tab/>
      </w:r>
      <w:r w:rsidRPr="004E2FCF">
        <w:rPr>
          <w:sz w:val="24"/>
          <w:szCs w:val="24"/>
          <w:shd w:val="clear" w:color="auto" w:fill="FFFFFF"/>
          <w:lang w:val="sk-SK"/>
        </w:rPr>
        <w:t xml:space="preserve">Určite to platí v prípade </w:t>
      </w:r>
      <w:r w:rsidRPr="004E2FCF">
        <w:rPr>
          <w:sz w:val="24"/>
          <w:szCs w:val="24"/>
          <w:shd w:val="clear" w:color="auto" w:fill="FFFFFF"/>
          <w:lang w:val="sk-SK"/>
        </w:rPr>
        <w:t>glyfozátu</w:t>
      </w:r>
      <w:r w:rsidRPr="004E2FCF">
        <w:rPr>
          <w:sz w:val="24"/>
          <w:szCs w:val="24"/>
          <w:shd w:val="clear" w:color="auto" w:fill="FFFFFF"/>
          <w:lang w:val="sk-SK"/>
        </w:rPr>
        <w:t xml:space="preserve">, ako sa uvádza v odôvodnenom stanovisku úradu EFSA s názvom „Preskúmanie týkajúce sa existujúcich maximálnych hladín rezíduí pre </w:t>
      </w:r>
      <w:r w:rsidRPr="004E2FCF">
        <w:rPr>
          <w:sz w:val="24"/>
          <w:szCs w:val="24"/>
          <w:shd w:val="clear" w:color="auto" w:fill="FFFFFF"/>
          <w:lang w:val="sk-SK"/>
        </w:rPr>
        <w:t>glyfozát</w:t>
      </w:r>
      <w:r w:rsidRPr="004E2FCF">
        <w:rPr>
          <w:sz w:val="24"/>
          <w:szCs w:val="24"/>
          <w:shd w:val="clear" w:color="auto" w:fill="FFFFFF"/>
          <w:lang w:val="sk-SK"/>
        </w:rPr>
        <w:t xml:space="preserve"> podľa článku 12 nariadenia (ES) č. 396/2005“, Vestník EFSA 2018;16(5):5263, s. </w:t>
      </w:r>
      <w:r w:rsidRPr="004E2FCF">
        <w:rPr>
          <w:sz w:val="24"/>
          <w:szCs w:val="24"/>
          <w:shd w:val="clear" w:color="auto" w:fill="FFFFFF"/>
          <w:lang w:val="sk-SK"/>
        </w:rPr>
        <w:t xml:space="preserve">12, </w:t>
      </w:r>
      <w:hyperlink r:id="rId34" w:history="1">
        <w:r w:rsidRPr="004E2FCF">
          <w:rPr>
            <w:rStyle w:val="Hyperlink"/>
            <w:sz w:val="24"/>
            <w:szCs w:val="24"/>
            <w:lang w:val="sk-SK"/>
          </w:rPr>
          <w:t>https://doi.org/10.2903/j.efsa.2018.5263</w:t>
        </w:r>
      </w:hyperlink>
      <w:r w:rsidRPr="004E2FCF">
        <w:rPr>
          <w:sz w:val="24"/>
          <w:szCs w:val="24"/>
          <w:lang w:val="sk-SK"/>
        </w:rPr>
        <w:t>.</w:t>
      </w:r>
    </w:p>
  </w:footnote>
  <w:footnote w:id="15">
    <w:p w:rsidR="008663E5" w:rsidRPr="004E2FCF" w:rsidP="00313FAF" w14:paraId="381E0E10" w14:textId="26DE4BAA">
      <w:pPr>
        <w:pStyle w:val="FootnoteText"/>
        <w:ind w:left="567" w:hanging="567"/>
        <w:rPr>
          <w:sz w:val="24"/>
          <w:szCs w:val="24"/>
          <w:lang w:val="sk-SK"/>
        </w:rPr>
      </w:pPr>
      <w:r w:rsidRPr="004E2FCF">
        <w:rPr>
          <w:rStyle w:val="FootnoteReference"/>
          <w:sz w:val="24"/>
          <w:szCs w:val="24"/>
          <w:lang w:val="sk-SK"/>
        </w:rPr>
        <w:footnoteRef/>
      </w:r>
      <w:r w:rsidRPr="004E2FCF" w:rsidR="00313FAF">
        <w:rPr>
          <w:sz w:val="24"/>
          <w:szCs w:val="24"/>
          <w:lang w:val="sk-SK"/>
        </w:rPr>
        <w:t xml:space="preserve"> </w:t>
      </w:r>
      <w:r w:rsidRPr="004E2FCF" w:rsidR="00313FAF">
        <w:rPr>
          <w:sz w:val="24"/>
          <w:szCs w:val="24"/>
          <w:lang w:val="sk-SK"/>
        </w:rPr>
        <w:tab/>
      </w:r>
      <w:r w:rsidRPr="004E2FCF">
        <w:rPr>
          <w:sz w:val="24"/>
          <w:szCs w:val="24"/>
          <w:lang w:val="sk-SK"/>
        </w:rPr>
        <w:t xml:space="preserve">Ú. v. EÚ L 282, 19.10.2016, s. 4. </w:t>
      </w:r>
    </w:p>
  </w:footnote>
  <w:footnote w:id="16">
    <w:p w:rsidR="008663E5" w:rsidRPr="004E2FCF" w:rsidP="00313FAF" w14:paraId="740E4EFB" w14:textId="53A9C616">
      <w:pPr>
        <w:pStyle w:val="FootnoteText"/>
        <w:ind w:left="567" w:hanging="567"/>
        <w:rPr>
          <w:sz w:val="24"/>
          <w:szCs w:val="24"/>
          <w:lang w:val="sk-SK"/>
        </w:rPr>
      </w:pPr>
      <w:r w:rsidRPr="004E2FCF">
        <w:rPr>
          <w:rStyle w:val="FootnoteReference"/>
          <w:sz w:val="24"/>
          <w:szCs w:val="24"/>
          <w:lang w:val="sk-SK"/>
        </w:rPr>
        <w:footnoteRef/>
      </w:r>
      <w:r w:rsidRPr="004E2FCF" w:rsidR="00313FAF">
        <w:rPr>
          <w:sz w:val="24"/>
          <w:szCs w:val="24"/>
          <w:lang w:val="sk-SK"/>
        </w:rPr>
        <w:t xml:space="preserve"> </w:t>
      </w:r>
      <w:r w:rsidRPr="004E2FCF" w:rsidR="00313FAF">
        <w:rPr>
          <w:sz w:val="24"/>
          <w:szCs w:val="24"/>
          <w:lang w:val="sk-SK"/>
        </w:rPr>
        <w:tab/>
      </w:r>
      <w:r w:rsidRPr="004E2FCF">
        <w:rPr>
          <w:sz w:val="24"/>
          <w:szCs w:val="24"/>
          <w:lang w:val="sk-SK"/>
        </w:rPr>
        <w:t>Ú. v. EÚ L 309, 13.12.1993, s. </w:t>
      </w:r>
      <w:r w:rsidRPr="004E2FCF">
        <w:rPr>
          <w:sz w:val="24"/>
          <w:szCs w:val="24"/>
          <w:lang w:val="sk-SK"/>
        </w:rPr>
        <w:t>3, ELI: </w:t>
      </w:r>
      <w:hyperlink r:id="rId35" w:tooltip="Gives access to this document through its ELI URI." w:history="1">
        <w:r w:rsidRPr="00DB69AA" w:rsidR="00DC4E8B">
          <w:rPr>
            <w:rStyle w:val="Hyperlink"/>
            <w:sz w:val="24"/>
            <w:szCs w:val="24"/>
            <w:lang w:val="es-ES"/>
          </w:rPr>
          <w:t>http://data.europa.eu/eli/convention/1993/626/oj</w:t>
        </w:r>
      </w:hyperlink>
      <w:r w:rsidRPr="004E2FCF">
        <w:rPr>
          <w:sz w:val="24"/>
          <w:szCs w:val="24"/>
          <w:lang w:val="sk-SK"/>
        </w:rPr>
        <w:t>.</w:t>
      </w:r>
    </w:p>
  </w:footnote>
  <w:footnote w:id="17">
    <w:p w:rsidR="008663E5" w:rsidRPr="004E2FCF" w:rsidP="00313FAF" w14:paraId="63F8E4D9" w14:textId="5A23C3F6">
      <w:pPr>
        <w:pStyle w:val="FootnoteText"/>
        <w:ind w:left="567" w:hanging="567"/>
        <w:rPr>
          <w:sz w:val="24"/>
          <w:szCs w:val="24"/>
          <w:lang w:val="sk-SK"/>
        </w:rPr>
      </w:pPr>
      <w:r w:rsidRPr="004E2FCF">
        <w:rPr>
          <w:rStyle w:val="FootnoteReference"/>
          <w:sz w:val="24"/>
          <w:szCs w:val="24"/>
          <w:lang w:val="sk-SK"/>
        </w:rPr>
        <w:footnoteRef/>
      </w:r>
      <w:r w:rsidRPr="004E2FCF" w:rsidR="00313FAF">
        <w:rPr>
          <w:sz w:val="24"/>
          <w:szCs w:val="24"/>
          <w:lang w:val="sk-SK"/>
        </w:rPr>
        <w:t xml:space="preserve"> </w:t>
      </w:r>
      <w:r w:rsidRPr="004E2FCF" w:rsidR="00313FAF">
        <w:rPr>
          <w:sz w:val="24"/>
          <w:szCs w:val="24"/>
          <w:lang w:val="sk-SK"/>
        </w:rPr>
        <w:tab/>
      </w:r>
      <w:r w:rsidRPr="004E2FCF">
        <w:rPr>
          <w:sz w:val="24"/>
          <w:szCs w:val="24"/>
          <w:lang w:val="sk-SK"/>
        </w:rPr>
        <w:t>V decembri 2022 bol na 15. </w:t>
      </w:r>
      <w:r w:rsidRPr="004E2FCF">
        <w:rPr>
          <w:sz w:val="24"/>
          <w:szCs w:val="24"/>
          <w:lang w:val="sk-SK"/>
        </w:rPr>
        <w:t>konferencii zmluvných strán Dohovoru OSN o biologickej diverzite schválený globálny rámec pre biodiverzitu, ktorý zahŕňa globálny cieľ znížiť riziko používania pesticídov do roku 2030 aspoň o 50 % (pozri:</w:t>
      </w:r>
      <w:r w:rsidRPr="004E2FCF">
        <w:rPr>
          <w:color w:val="000000" w:themeColor="text1"/>
          <w:sz w:val="24"/>
          <w:szCs w:val="24"/>
          <w:lang w:val="sk-SK"/>
        </w:rPr>
        <w:t xml:space="preserve"> </w:t>
      </w:r>
      <w:hyperlink r:id="rId36" w:history="1">
        <w:r w:rsidRPr="004E2FCF">
          <w:rPr>
            <w:rStyle w:val="Hyperlink"/>
            <w:sz w:val="24"/>
            <w:szCs w:val="24"/>
            <w:lang w:val="sk-SK"/>
          </w:rPr>
          <w:t>https://ec.europa.eu/commission/presscorner/detail/en/ip_22_7834</w:t>
        </w:r>
      </w:hyperlink>
      <w:r w:rsidRPr="004E2FCF">
        <w:rPr>
          <w:sz w:val="24"/>
          <w:szCs w:val="24"/>
          <w:lang w:val="sk-SK"/>
        </w:rPr>
        <w:t xml:space="preserve">). </w:t>
      </w:r>
    </w:p>
  </w:footnote>
  <w:footnote w:id="18">
    <w:p w:rsidR="008663E5" w:rsidRPr="004E2FCF" w:rsidP="00313FAF" w14:paraId="5E7047CD" w14:textId="3134840C">
      <w:pPr>
        <w:pStyle w:val="FootnoteText"/>
        <w:ind w:left="567" w:hanging="567"/>
        <w:rPr>
          <w:sz w:val="24"/>
          <w:szCs w:val="24"/>
          <w:lang w:val="sk-SK"/>
        </w:rPr>
      </w:pPr>
      <w:r w:rsidRPr="004E2FCF">
        <w:rPr>
          <w:rStyle w:val="FootnoteReference"/>
          <w:sz w:val="24"/>
          <w:szCs w:val="24"/>
          <w:lang w:val="sk-SK"/>
        </w:rPr>
        <w:footnoteRef/>
      </w:r>
      <w:r w:rsidRPr="004E2FCF" w:rsidR="00313FAF">
        <w:rPr>
          <w:sz w:val="24"/>
          <w:szCs w:val="24"/>
          <w:lang w:val="sk-SK"/>
        </w:rPr>
        <w:t xml:space="preserve"> </w:t>
      </w:r>
      <w:r w:rsidRPr="004E2FCF" w:rsidR="00313FAF">
        <w:rPr>
          <w:sz w:val="24"/>
          <w:szCs w:val="24"/>
          <w:lang w:val="sk-SK"/>
        </w:rPr>
        <w:tab/>
      </w:r>
      <w:hyperlink r:id="rId37" w:history="1">
        <w:r w:rsidRPr="004E2FCF">
          <w:rPr>
            <w:rStyle w:val="Hyperlink"/>
            <w:sz w:val="24"/>
            <w:szCs w:val="24"/>
            <w:lang w:val="sk-SK"/>
          </w:rPr>
          <w:t>https://commission.europa.eu/strategy-and-policy/priorities-2019-2024/european-green-deal/agriculture-and-green-deal/strategic-dialogue-future-eu-agriculture_sk</w:t>
        </w:r>
      </w:hyperlink>
      <w:r w:rsidRPr="004E2FCF">
        <w:rPr>
          <w:rStyle w:val="Hyperlink"/>
          <w:sz w:val="24"/>
          <w:szCs w:val="24"/>
          <w:lang w:val="sk-SK"/>
        </w:rPr>
        <w:t>.</w:t>
      </w:r>
      <w:r w:rsidRPr="004E2FCF">
        <w:rPr>
          <w:sz w:val="24"/>
          <w:szCs w:val="24"/>
          <w:lang w:val="sk-SK"/>
        </w:rPr>
        <w:t xml:space="preserve"> </w:t>
      </w:r>
    </w:p>
  </w:footnote>
  <w:footnote w:id="19">
    <w:p w:rsidR="008663E5" w:rsidRPr="004E2FCF" w:rsidP="00313FAF" w14:paraId="147F5DB0" w14:textId="33211F85">
      <w:pPr>
        <w:pStyle w:val="FootnoteText"/>
        <w:ind w:left="567" w:hanging="567"/>
        <w:rPr>
          <w:sz w:val="24"/>
          <w:szCs w:val="24"/>
          <w:lang w:val="sk-SK"/>
        </w:rPr>
      </w:pPr>
      <w:r w:rsidRPr="004E2FCF">
        <w:rPr>
          <w:rStyle w:val="FootnoteReference"/>
          <w:sz w:val="24"/>
          <w:szCs w:val="24"/>
          <w:lang w:val="sk-SK"/>
        </w:rPr>
        <w:footnoteRef/>
      </w:r>
      <w:r w:rsidRPr="004E2FCF" w:rsidR="00313FAF">
        <w:rPr>
          <w:sz w:val="24"/>
          <w:szCs w:val="24"/>
          <w:lang w:val="sk-SK"/>
        </w:rPr>
        <w:t xml:space="preserve"> </w:t>
      </w:r>
      <w:r w:rsidRPr="004E2FCF" w:rsidR="00313FAF">
        <w:rPr>
          <w:sz w:val="24"/>
          <w:szCs w:val="24"/>
          <w:lang w:val="sk-SK"/>
        </w:rPr>
        <w:tab/>
      </w:r>
      <w:r w:rsidRPr="004E2FCF">
        <w:rPr>
          <w:sz w:val="24"/>
          <w:szCs w:val="24"/>
          <w:lang w:val="sk-SK"/>
        </w:rPr>
        <w:t>Nariadenie Európskeho parlamentu a Rady (ES) č. 178/2002 z 28. januára 2002, ktorým sa ustanovujú všeobecné zásady a požiadavky potravinového práva, zriaďuje Európsky úrad pre bezpečnosť potravín a stanovujú postupy v záležitostiach bezpečnosti potravín (Ú. v. ES L 31, 1.2.2002, s. </w:t>
      </w:r>
      <w:r w:rsidRPr="004E2FCF">
        <w:rPr>
          <w:sz w:val="24"/>
          <w:szCs w:val="24"/>
          <w:lang w:val="sk-SK"/>
        </w:rPr>
        <w:t>1, ELI: </w:t>
      </w:r>
      <w:hyperlink r:id="rId38" w:tooltip="Gives access to this document through its ELI URI." w:history="1">
        <w:r w:rsidRPr="00DB69AA" w:rsidR="00DC4E8B">
          <w:rPr>
            <w:rStyle w:val="Hyperlink"/>
            <w:sz w:val="24"/>
            <w:szCs w:val="24"/>
            <w:lang w:val="sk-SK"/>
          </w:rPr>
          <w:t>http://data.europa.eu/eli/reg/2002/178/oj</w:t>
        </w:r>
      </w:hyperlink>
      <w:r w:rsidRPr="004E2FCF">
        <w:rPr>
          <w:sz w:val="24"/>
          <w:szCs w:val="24"/>
          <w:lang w:val="sk-SK"/>
        </w:rPr>
        <w:t>).</w:t>
      </w:r>
    </w:p>
  </w:footnote>
  <w:footnote w:id="20">
    <w:p w:rsidR="008663E5" w:rsidRPr="004E2FCF" w:rsidP="00313FAF" w14:paraId="7539F716" w14:textId="43F0F70E">
      <w:pPr>
        <w:pStyle w:val="FootnoteText"/>
        <w:ind w:left="567" w:hanging="567"/>
        <w:rPr>
          <w:sz w:val="24"/>
          <w:szCs w:val="24"/>
          <w:lang w:val="sk-SK"/>
        </w:rPr>
      </w:pPr>
      <w:r w:rsidRPr="004E2FCF">
        <w:rPr>
          <w:rStyle w:val="FootnoteReference"/>
          <w:sz w:val="24"/>
          <w:szCs w:val="24"/>
          <w:lang w:val="sk-SK"/>
        </w:rPr>
        <w:footnoteRef/>
      </w:r>
      <w:r w:rsidRPr="004E2FCF" w:rsidR="00313FAF">
        <w:rPr>
          <w:sz w:val="24"/>
          <w:szCs w:val="24"/>
          <w:lang w:val="sk-SK"/>
        </w:rPr>
        <w:t xml:space="preserve"> </w:t>
      </w:r>
      <w:r w:rsidRPr="004E2FCF" w:rsidR="00313FAF">
        <w:rPr>
          <w:sz w:val="24"/>
          <w:szCs w:val="24"/>
          <w:lang w:val="sk-SK"/>
        </w:rPr>
        <w:tab/>
      </w:r>
      <w:hyperlink r:id="rId39" w:history="1">
        <w:r w:rsidRPr="004E2FCF">
          <w:rPr>
            <w:rStyle w:val="Hyperlink"/>
            <w:sz w:val="24"/>
            <w:szCs w:val="24"/>
            <w:shd w:val="clear" w:color="auto" w:fill="FFFFFF"/>
            <w:lang w:val="sk-SK"/>
          </w:rPr>
          <w:t>https://tillymetz.lu/wp-content/uploads/2020/09/Co-signed-letter-MEP-Metz.pdf</w:t>
        </w:r>
      </w:hyperlink>
      <w:r w:rsidRPr="004E2FCF">
        <w:rPr>
          <w:sz w:val="24"/>
          <w:szCs w:val="24"/>
          <w:lang w:val="sk-SK"/>
        </w:rPr>
        <w:t>.</w:t>
      </w:r>
      <w:r w:rsidRPr="004E2FCF">
        <w:rPr>
          <w:sz w:val="24"/>
          <w:szCs w:val="24"/>
          <w:shd w:val="clear" w:color="auto" w:fill="FFFFFF"/>
          <w:lang w:val="sk-SK"/>
        </w:rPr>
        <w:t xml:space="preserve"> </w:t>
      </w:r>
    </w:p>
  </w:footnote>
  <w:footnote w:id="21">
    <w:p w:rsidR="008663E5" w:rsidRPr="004E2FCF" w:rsidP="00313FAF" w14:paraId="4BC8F224" w14:textId="098C77D3">
      <w:pPr>
        <w:pStyle w:val="FootnoteText"/>
        <w:ind w:left="567" w:hanging="567"/>
        <w:rPr>
          <w:sz w:val="24"/>
          <w:szCs w:val="24"/>
          <w:lang w:val="sk-SK"/>
        </w:rPr>
      </w:pPr>
      <w:r w:rsidRPr="004E2FCF">
        <w:rPr>
          <w:rStyle w:val="FootnoteReference"/>
          <w:sz w:val="24"/>
          <w:szCs w:val="24"/>
          <w:lang w:val="sk-SK"/>
        </w:rPr>
        <w:footnoteRef/>
      </w:r>
      <w:r w:rsidRPr="004E2FCF" w:rsidR="00313FAF">
        <w:rPr>
          <w:sz w:val="24"/>
          <w:szCs w:val="24"/>
          <w:shd w:val="clear" w:color="auto" w:fill="FFFFFF"/>
          <w:lang w:val="sk-SK"/>
        </w:rPr>
        <w:t xml:space="preserve"> </w:t>
      </w:r>
      <w:r w:rsidRPr="004E2FCF" w:rsidR="00313FAF">
        <w:rPr>
          <w:sz w:val="24"/>
          <w:szCs w:val="24"/>
          <w:shd w:val="clear" w:color="auto" w:fill="FFFFFF"/>
          <w:lang w:val="sk-SK"/>
        </w:rPr>
        <w:tab/>
      </w:r>
      <w:r w:rsidRPr="004E2FCF">
        <w:rPr>
          <w:sz w:val="24"/>
          <w:szCs w:val="24"/>
          <w:shd w:val="clear" w:color="auto" w:fill="FFFFFF"/>
          <w:lang w:val="sk-SK"/>
        </w:rPr>
        <w:t>Uznesenie Európskeho parlamentu z 15. januára 2020 o Európskej zelenej dohode (Ú. v. EÚ C 270, 7.7.2021, s. 2), odsek 102.</w:t>
      </w:r>
    </w:p>
  </w:footnote>
  <w:footnote w:id="22">
    <w:p w:rsidR="008663E5" w:rsidRPr="004E2FCF" w:rsidP="00313FAF" w14:paraId="76FE1F53" w14:textId="6ACEC231">
      <w:pPr>
        <w:pStyle w:val="FootnoteText"/>
        <w:ind w:left="567" w:hanging="567"/>
        <w:rPr>
          <w:sz w:val="24"/>
          <w:szCs w:val="24"/>
          <w:lang w:val="sk-SK"/>
        </w:rPr>
      </w:pPr>
      <w:r w:rsidRPr="004E2FCF">
        <w:rPr>
          <w:rStyle w:val="FootnoteReference"/>
          <w:sz w:val="24"/>
          <w:szCs w:val="24"/>
          <w:lang w:val="sk-SK"/>
        </w:rPr>
        <w:footnoteRef/>
      </w:r>
      <w:r w:rsidRPr="004E2FCF" w:rsidR="00313FAF">
        <w:rPr>
          <w:sz w:val="24"/>
          <w:szCs w:val="24"/>
          <w:shd w:val="clear" w:color="auto" w:fill="FFFFFF"/>
          <w:lang w:val="sk-SK"/>
        </w:rPr>
        <w:t xml:space="preserve"> </w:t>
      </w:r>
      <w:r w:rsidRPr="004E2FCF" w:rsidR="00313FAF">
        <w:rPr>
          <w:sz w:val="24"/>
          <w:szCs w:val="24"/>
          <w:shd w:val="clear" w:color="auto" w:fill="FFFFFF"/>
          <w:lang w:val="sk-SK"/>
        </w:rPr>
        <w:tab/>
      </w:r>
      <w:r w:rsidRPr="004E2FCF">
        <w:rPr>
          <w:sz w:val="24"/>
          <w:szCs w:val="24"/>
          <w:shd w:val="clear" w:color="auto" w:fill="FFFFFF"/>
          <w:lang w:val="sk-SK"/>
        </w:rPr>
        <w:t>Ú. v. EÚ C 445, 29.10.2021, s.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13FAF" w14:paraId="5F2D470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13FAF" w14:paraId="0D21AAA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13FAF" w14:paraId="5D3CB33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308165760">
    <w:abstractNumId w:val="9"/>
  </w:num>
  <w:num w:numId="2" w16cid:durableId="1396051258">
    <w:abstractNumId w:val="9"/>
  </w:num>
  <w:num w:numId="3" w16cid:durableId="823011487">
    <w:abstractNumId w:val="7"/>
  </w:num>
  <w:num w:numId="4" w16cid:durableId="469786363">
    <w:abstractNumId w:val="7"/>
  </w:num>
  <w:num w:numId="5" w16cid:durableId="449202164">
    <w:abstractNumId w:val="6"/>
  </w:num>
  <w:num w:numId="6" w16cid:durableId="1270433100">
    <w:abstractNumId w:val="6"/>
  </w:num>
  <w:num w:numId="7" w16cid:durableId="2098406020">
    <w:abstractNumId w:val="5"/>
  </w:num>
  <w:num w:numId="8" w16cid:durableId="1719434415">
    <w:abstractNumId w:val="5"/>
  </w:num>
  <w:num w:numId="9" w16cid:durableId="569072427">
    <w:abstractNumId w:val="4"/>
  </w:num>
  <w:num w:numId="10" w16cid:durableId="821964118">
    <w:abstractNumId w:val="4"/>
  </w:num>
  <w:num w:numId="11" w16cid:durableId="1838426071">
    <w:abstractNumId w:val="8"/>
  </w:num>
  <w:num w:numId="12" w16cid:durableId="305401122">
    <w:abstractNumId w:val="8"/>
  </w:num>
  <w:num w:numId="13" w16cid:durableId="657880778">
    <w:abstractNumId w:val="3"/>
  </w:num>
  <w:num w:numId="14" w16cid:durableId="1995254285">
    <w:abstractNumId w:val="3"/>
  </w:num>
  <w:num w:numId="15" w16cid:durableId="2061633048">
    <w:abstractNumId w:val="2"/>
  </w:num>
  <w:num w:numId="16" w16cid:durableId="1434781420">
    <w:abstractNumId w:val="2"/>
  </w:num>
  <w:num w:numId="17" w16cid:durableId="2133472755">
    <w:abstractNumId w:val="1"/>
  </w:num>
  <w:num w:numId="18" w16cid:durableId="1851407311">
    <w:abstractNumId w:val="1"/>
  </w:num>
  <w:num w:numId="19" w16cid:durableId="1059550506">
    <w:abstractNumId w:val="0"/>
  </w:num>
  <w:num w:numId="20" w16cid:durableId="1340693038">
    <w:abstractNumId w:val="0"/>
  </w:num>
  <w:num w:numId="21" w16cid:durableId="1667240859">
    <w:abstractNumId w:val="9"/>
  </w:num>
  <w:num w:numId="22" w16cid:durableId="320043060">
    <w:abstractNumId w:val="7"/>
  </w:num>
  <w:num w:numId="23" w16cid:durableId="847870592">
    <w:abstractNumId w:val="6"/>
  </w:num>
  <w:num w:numId="24" w16cid:durableId="1001659898">
    <w:abstractNumId w:val="5"/>
  </w:num>
  <w:num w:numId="25" w16cid:durableId="1356885397">
    <w:abstractNumId w:val="4"/>
  </w:num>
  <w:num w:numId="26" w16cid:durableId="1649238882">
    <w:abstractNumId w:val="8"/>
  </w:num>
  <w:num w:numId="27" w16cid:durableId="1083453977">
    <w:abstractNumId w:val="3"/>
  </w:num>
  <w:num w:numId="28" w16cid:durableId="524490679">
    <w:abstractNumId w:val="2"/>
  </w:num>
  <w:num w:numId="29" w16cid:durableId="1950118883">
    <w:abstractNumId w:val="1"/>
  </w:num>
  <w:num w:numId="30" w16cid:durableId="1487622686">
    <w:abstractNumId w:val="0"/>
  </w:num>
  <w:num w:numId="31" w16cid:durableId="2070222315">
    <w:abstractNumId w:val="9"/>
  </w:num>
  <w:num w:numId="32" w16cid:durableId="200484514">
    <w:abstractNumId w:val="7"/>
  </w:num>
  <w:num w:numId="33" w16cid:durableId="350451097">
    <w:abstractNumId w:val="6"/>
  </w:num>
  <w:num w:numId="34" w16cid:durableId="607002293">
    <w:abstractNumId w:val="5"/>
  </w:num>
  <w:num w:numId="35" w16cid:durableId="1442795825">
    <w:abstractNumId w:val="4"/>
  </w:num>
  <w:num w:numId="36" w16cid:durableId="233636383">
    <w:abstractNumId w:val="8"/>
  </w:num>
  <w:num w:numId="37" w16cid:durableId="690112007">
    <w:abstractNumId w:val="3"/>
  </w:num>
  <w:num w:numId="38" w16cid:durableId="1013990531">
    <w:abstractNumId w:val="2"/>
  </w:num>
  <w:num w:numId="39" w16cid:durableId="2136024691">
    <w:abstractNumId w:val="1"/>
  </w:num>
  <w:num w:numId="40" w16cid:durableId="1420174476">
    <w:abstractNumId w:val="0"/>
  </w:num>
  <w:num w:numId="41" w16cid:durableId="1569881780">
    <w:abstractNumId w:val="10"/>
  </w:num>
  <w:num w:numId="42" w16cid:durableId="1279485535">
    <w:abstractNumId w:val="10"/>
  </w:num>
  <w:num w:numId="43" w16cid:durableId="1773357217">
    <w:abstractNumId w:val="10"/>
  </w:num>
  <w:num w:numId="44" w16cid:durableId="160892020">
    <w:abstractNumId w:val="11"/>
  </w:num>
  <w:num w:numId="45" w16cid:durableId="1944142484">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AFB"/>
    <w:rsid w:val="00002272"/>
    <w:rsid w:val="00064002"/>
    <w:rsid w:val="000677B9"/>
    <w:rsid w:val="000831BA"/>
    <w:rsid w:val="000A42CC"/>
    <w:rsid w:val="000E7DD9"/>
    <w:rsid w:val="0010095E"/>
    <w:rsid w:val="00125B37"/>
    <w:rsid w:val="00187494"/>
    <w:rsid w:val="001F32AE"/>
    <w:rsid w:val="002767FF"/>
    <w:rsid w:val="002A5116"/>
    <w:rsid w:val="002B18FE"/>
    <w:rsid w:val="002B5493"/>
    <w:rsid w:val="00313FAF"/>
    <w:rsid w:val="00343214"/>
    <w:rsid w:val="00361C00"/>
    <w:rsid w:val="00373347"/>
    <w:rsid w:val="00395FA1"/>
    <w:rsid w:val="003C1B8C"/>
    <w:rsid w:val="003E15D4"/>
    <w:rsid w:val="00411CCE"/>
    <w:rsid w:val="0041666E"/>
    <w:rsid w:val="00421060"/>
    <w:rsid w:val="00471C19"/>
    <w:rsid w:val="004867E3"/>
    <w:rsid w:val="00491157"/>
    <w:rsid w:val="00494A28"/>
    <w:rsid w:val="004C0004"/>
    <w:rsid w:val="004C5D52"/>
    <w:rsid w:val="004E2FCF"/>
    <w:rsid w:val="0050519A"/>
    <w:rsid w:val="005072A1"/>
    <w:rsid w:val="00514517"/>
    <w:rsid w:val="00545827"/>
    <w:rsid w:val="00560270"/>
    <w:rsid w:val="005C2568"/>
    <w:rsid w:val="005F1B17"/>
    <w:rsid w:val="006037C0"/>
    <w:rsid w:val="006631B6"/>
    <w:rsid w:val="00680577"/>
    <w:rsid w:val="006F2CA1"/>
    <w:rsid w:val="006F74FA"/>
    <w:rsid w:val="00731ADD"/>
    <w:rsid w:val="00734777"/>
    <w:rsid w:val="00747932"/>
    <w:rsid w:val="00751A4A"/>
    <w:rsid w:val="00756632"/>
    <w:rsid w:val="00762C74"/>
    <w:rsid w:val="00775421"/>
    <w:rsid w:val="007805D2"/>
    <w:rsid w:val="00786EC0"/>
    <w:rsid w:val="00792F81"/>
    <w:rsid w:val="007B2D33"/>
    <w:rsid w:val="007D1690"/>
    <w:rsid w:val="007E22AD"/>
    <w:rsid w:val="00817416"/>
    <w:rsid w:val="00842779"/>
    <w:rsid w:val="00865F67"/>
    <w:rsid w:val="008663E5"/>
    <w:rsid w:val="00881A7B"/>
    <w:rsid w:val="00882B2E"/>
    <w:rsid w:val="008840E5"/>
    <w:rsid w:val="00887B3E"/>
    <w:rsid w:val="008C2AC6"/>
    <w:rsid w:val="00923B65"/>
    <w:rsid w:val="00930C23"/>
    <w:rsid w:val="0093193B"/>
    <w:rsid w:val="009509D8"/>
    <w:rsid w:val="00950B64"/>
    <w:rsid w:val="00981893"/>
    <w:rsid w:val="009E1AFB"/>
    <w:rsid w:val="009F0E1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2A6B"/>
    <w:rsid w:val="00C941CB"/>
    <w:rsid w:val="00CC2357"/>
    <w:rsid w:val="00CF071A"/>
    <w:rsid w:val="00D058B8"/>
    <w:rsid w:val="00D56C11"/>
    <w:rsid w:val="00D834A0"/>
    <w:rsid w:val="00D8723A"/>
    <w:rsid w:val="00D872DF"/>
    <w:rsid w:val="00D91E21"/>
    <w:rsid w:val="00DA7FCD"/>
    <w:rsid w:val="00DB69AA"/>
    <w:rsid w:val="00DC4E8B"/>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36/2026"/>
    <w:docVar w:name="dvlangue" w:val="SK"/>
    <w:docVar w:name="dvnumam" w:val="0"/>
    <w:docVar w:name="dvpe" w:val="789.025"/>
    <w:docVar w:name="dvtitre" w:val="Uznesenie Európskeho parlamentu z/zo xx. xxx 2026 o návrhu vykonávacieho rozhodnutia Komisie, ktorým sa podľa nariadenia Európskeho parlamentu a Rady (ES) č. 1829/2003 povoľuje umiestniť na trh výrobky, ktoré obsahujú geneticky modifikovanú kukuricu DP202216 x NK603 x DAS-40278-9 a jej čiastkové kombinácie DP202216 x NK603, DP202216 x DAS-40278-9, sú z nich zložené alebo vyrobené(D114997/04 – 2026/274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6BC6DCA"/>
  <w15:chartTrackingRefBased/>
  <w15:docId w15:val="{AD0D894E-4ACD-4E04-8572-014055A9B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qFormat/>
    <w:rsid w:val="008663E5"/>
    <w:pPr>
      <w:spacing w:after="240"/>
      <w:ind w:left="567" w:hanging="567"/>
    </w:pPr>
  </w:style>
  <w:style w:type="character" w:styleId="Hyperlink">
    <w:name w:val="Hyperlink"/>
    <w:basedOn w:val="DefaultParagraphFont"/>
    <w:uiPriority w:val="99"/>
    <w:rsid w:val="008663E5"/>
    <w:rPr>
      <w:color w:val="0563C1" w:themeColor="hyperlink"/>
      <w:u w:val="single"/>
    </w:rPr>
  </w:style>
  <w:style w:type="paragraph" w:customStyle="1" w:styleId="Considrant">
    <w:name w:val="Considérant"/>
    <w:basedOn w:val="Normal"/>
    <w:uiPriority w:val="99"/>
    <w:semiHidden/>
    <w:rsid w:val="008663E5"/>
    <w:pPr>
      <w:widowControl/>
      <w:numPr>
        <w:numId w:val="45"/>
      </w:numPr>
      <w:spacing w:before="120" w:after="120"/>
      <w:jc w:val="both"/>
    </w:pPr>
    <w:rPr>
      <w:rFonts w:eastAsiaTheme="minorHAnsi"/>
      <w:szCs w:val="22"/>
      <w:lang w:eastAsia="en-US"/>
    </w:rPr>
  </w:style>
  <w:style w:type="character" w:customStyle="1" w:styleId="Funotenzeichen">
    <w:name w:val="Fußnotenzeichen"/>
    <w:basedOn w:val="DefaultParagraphFont"/>
    <w:uiPriority w:val="99"/>
    <w:qFormat/>
    <w:rsid w:val="008663E5"/>
    <w:rPr>
      <w:rFonts w:ascii="Times New Roman" w:hAnsi="Times New Roman" w:cs="Times New Roman" w:hint="default"/>
      <w:vertAlign w:val="superscript"/>
    </w:rPr>
  </w:style>
  <w:style w:type="paragraph" w:styleId="Revision">
    <w:name w:val="Revision"/>
    <w:hidden/>
    <w:uiPriority w:val="99"/>
    <w:semiHidden/>
    <w:rsid w:val="007B2D33"/>
    <w:rPr>
      <w:sz w:val="24"/>
      <w:lang w:val="sk-SK"/>
    </w:rPr>
  </w:style>
  <w:style w:type="character" w:styleId="FollowedHyperlink">
    <w:name w:val="FollowedHyperlink"/>
    <w:basedOn w:val="DefaultParagraphFont"/>
    <w:rsid w:val="007B2D33"/>
    <w:rPr>
      <w:color w:val="954F72" w:themeColor="followedHyperlink"/>
      <w:u w:val="single"/>
    </w:rPr>
  </w:style>
  <w:style w:type="character" w:styleId="UnresolvedMention">
    <w:name w:val="Unresolved Mention"/>
    <w:basedOn w:val="DefaultParagraphFont"/>
    <w:uiPriority w:val="99"/>
    <w:semiHidden/>
    <w:unhideWhenUsed/>
    <w:rsid w:val="007B2D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43/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s://doi.org/10.1007/s00267-015-0589-7" TargetMode="External" /><Relationship Id="rId25" Type="http://schemas.openxmlformats.org/officeDocument/2006/relationships/hyperlink" Target="https://doi.org/10.1186/2190-4715-24-24" TargetMode="External" /><Relationship Id="rId26" Type="http://schemas.openxmlformats.org/officeDocument/2006/relationships/hyperlink" Target="http://data.europa.eu/eli/reg/2009/1107/oj" TargetMode="External" /><Relationship Id="rId27" Type="http://schemas.openxmlformats.org/officeDocument/2006/relationships/hyperlink" Target="https://ec.europa.eu/food/plant/pesticides/eu-pesticides-database/start/screen/active-substances/details/79" TargetMode="External" /><Relationship Id="rId28" Type="http://schemas.openxmlformats.org/officeDocument/2006/relationships/hyperlink" Target="https://doi.org/10.1016/j.mrrev.2019.02.001" TargetMode="External" /><Relationship Id="rId29" Type="http://schemas.openxmlformats.org/officeDocument/2006/relationships/hyperlink" Target="https://doi.org/10.1093/ije/dyz017" TargetMode="External" /><Relationship Id="rId3" Type="http://schemas.openxmlformats.org/officeDocument/2006/relationships/hyperlink" Target="https://eur-lex.europa.eu/eli/reg/2011/182/oj?locale=sk" TargetMode="External" /><Relationship Id="rId30" Type="http://schemas.openxmlformats.org/officeDocument/2006/relationships/hyperlink" Target="https://doi.org/10.1371/journal.pone.0219610" TargetMode="External" /><Relationship Id="rId31" Type="http://schemas.openxmlformats.org/officeDocument/2006/relationships/hyperlink" Target="https://doi.org/10.1186/s13045-019-0767-9" TargetMode="External" /><Relationship Id="rId32" Type="http://schemas.openxmlformats.org/officeDocument/2006/relationships/hyperlink" Target="https://doi.org/10.1006/rtph.1999.1371" TargetMode="External" /><Relationship Id="rId33" Type="http://schemas.openxmlformats.org/officeDocument/2006/relationships/hyperlink" Target="https://doi.org/10.1007/s13205-016-0387-9"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en/ip_22_7834" TargetMode="External" /><Relationship Id="rId37" Type="http://schemas.openxmlformats.org/officeDocument/2006/relationships/hyperlink" Target="https://commission.europa.eu/strategy-and-policy/priorities-2019-2024/european-green-deal/agriculture-and-green-deal/strategic-dialogue-future-eu-agriculture_sk"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5.97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2040</Words>
  <Characters>12715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2026-09-04T08:09:00Z</dcterms:created>
  <dcterms:modified xsi:type="dcterms:W3CDTF">2026-09-04T08:09:00Z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B10-0336/2026</vt:lpwstr>
  </property>
  <property fmtid="{D5CDD505-2E9C-101B-9397-08002B2CF9AE}" pid="4" name="&lt;Type&gt;">
    <vt:lpwstr>RR</vt:lpwstr>
  </property>
</Properties>
</file>