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6D02AEBD" w14:textId="77777777" w:rsidTr="0010095E">
        <w:tblPrEx>
          <w:tblW w:w="9072" w:type="dxa"/>
          <w:tblLook w:val="01E0"/>
        </w:tblPrEx>
        <w:trPr>
          <w:trHeight w:hRule="exact" w:val="1418"/>
        </w:trPr>
        <w:tc>
          <w:tcPr>
            <w:tcW w:w="6804" w:type="dxa"/>
            <w:shd w:val="clear" w:color="auto" w:fill="auto"/>
            <w:vAlign w:val="center"/>
          </w:tcPr>
          <w:p w:rsidR="00751A4A" w:rsidRPr="00582131" w:rsidP="0010095E" w14:paraId="589D3E32" w14:textId="73A3A637">
            <w:pPr>
              <w:pStyle w:val="EPName"/>
            </w:pPr>
            <w:r w:rsidRPr="00582131">
              <w:t>Europaparlamentet</w:t>
            </w:r>
          </w:p>
          <w:p w:rsidR="00751A4A" w:rsidRPr="00582131" w:rsidP="005F1B17" w14:paraId="2367E62C" w14:textId="77777777">
            <w:pPr>
              <w:pStyle w:val="EPTerm"/>
              <w:rPr>
                <w:rStyle w:val="HideTWBExt"/>
                <w:noProof w:val="0"/>
                <w:vanish w:val="0"/>
                <w:color w:val="auto"/>
              </w:rPr>
            </w:pPr>
            <w:r w:rsidRPr="00582131">
              <w:t>2024</w:t>
            </w:r>
            <w:r w:rsidRPr="00582131" w:rsidR="00817416">
              <w:t>-202</w:t>
            </w:r>
            <w:r w:rsidRPr="00582131">
              <w:t>9</w:t>
            </w:r>
          </w:p>
        </w:tc>
        <w:tc>
          <w:tcPr>
            <w:tcW w:w="2268" w:type="dxa"/>
            <w:shd w:val="clear" w:color="auto" w:fill="auto"/>
          </w:tcPr>
          <w:p w:rsidR="00751A4A" w:rsidRPr="00582131" w:rsidP="0010095E" w14:paraId="63F5EFF0" w14:textId="77777777">
            <w:pPr>
              <w:pStyle w:val="EPLogo"/>
            </w:pPr>
            <w:r w:rsidRPr="00582131">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582131" w:rsidP="004C5D52" w14:paraId="1AF67FB9" w14:textId="77777777">
      <w:pPr>
        <w:pStyle w:val="LineTop"/>
      </w:pPr>
    </w:p>
    <w:p w:rsidR="00680577" w:rsidRPr="00582131" w:rsidP="00680577" w14:paraId="7D8EA7CE" w14:textId="0E168F54">
      <w:pPr>
        <w:pStyle w:val="EPBodyTA1"/>
      </w:pPr>
      <w:r w:rsidRPr="00582131">
        <w:t>ANTAGNA TEXTER</w:t>
      </w:r>
    </w:p>
    <w:p w:rsidR="00D058B8" w:rsidRPr="00582131" w:rsidP="00D058B8" w14:paraId="64C8949A" w14:textId="77777777">
      <w:pPr>
        <w:pStyle w:val="LineBottom"/>
      </w:pPr>
    </w:p>
    <w:p w:rsidR="00306AD7" w:rsidRPr="00582131" w:rsidP="00306AD7" w14:paraId="03CCC71C" w14:textId="6FE290CC">
      <w:pPr>
        <w:pStyle w:val="ATHeading1"/>
      </w:pPr>
      <w:bookmarkStart w:id="0" w:name="TANumber"/>
      <w:r w:rsidRPr="00582131">
        <w:t>P10_TA(2026)0</w:t>
      </w:r>
      <w:bookmarkEnd w:id="0"/>
      <w:r w:rsidRPr="00582131" w:rsidR="00411471">
        <w:t>265</w:t>
      </w:r>
    </w:p>
    <w:p w:rsidR="00306AD7" w:rsidRPr="00582131" w:rsidP="00306AD7" w14:paraId="0A465123" w14:textId="4E8EC305">
      <w:pPr>
        <w:pStyle w:val="ATHeading2"/>
      </w:pPr>
      <w:bookmarkStart w:id="1" w:name="title"/>
      <w:r>
        <w:t>D</w:t>
      </w:r>
      <w:r w:rsidRPr="00582131">
        <w:t>en genetiskt modifierade</w:t>
      </w:r>
      <w:r w:rsidRPr="00582131" w:rsidR="00411471">
        <w:t xml:space="preserve"> </w:t>
      </w:r>
      <w:r w:rsidRPr="00582131">
        <w:t>majsen DP202216 x NK603 x DAS-40278-9 och dess klyvningsprodukter DP202216 x NK603,</w:t>
      </w:r>
      <w:r w:rsidRPr="00582131" w:rsidR="00411471">
        <w:t xml:space="preserve"> </w:t>
      </w:r>
      <w:r w:rsidRPr="00582131">
        <w:t>DP202216 x DAS-40278-9</w:t>
      </w:r>
      <w:bookmarkEnd w:id="1"/>
    </w:p>
    <w:p w:rsidR="00306AD7" w:rsidRPr="00582131" w:rsidP="00306AD7" w14:paraId="6AF9663B" w14:textId="77777777">
      <w:pPr>
        <w:rPr>
          <w:i/>
          <w:vanish/>
        </w:rPr>
      </w:pPr>
      <w:r>
        <w:rPr>
          <w:i/>
        </w:rPr>
        <w:fldChar w:fldCharType="begin"/>
      </w:r>
      <w:r w:rsidRPr="00582131">
        <w:rPr>
          <w:i/>
        </w:rPr>
        <w:instrText xml:space="preserve"> TC"(</w:instrText>
      </w:r>
      <w:bookmarkStart w:id="2" w:name="DocNumber"/>
      <w:r w:rsidRPr="00582131">
        <w:rPr>
          <w:i/>
        </w:rPr>
        <w:instrText>B10-0336/2026</w:instrText>
      </w:r>
      <w:bookmarkEnd w:id="2"/>
      <w:r w:rsidRPr="00582131">
        <w:rPr>
          <w:i/>
        </w:rPr>
        <w:instrText xml:space="preserve">)"\l3 \n&gt; \* MERGEFORMAT </w:instrText>
      </w:r>
      <w:r>
        <w:rPr>
          <w:i/>
        </w:rPr>
        <w:fldChar w:fldCharType="end"/>
      </w:r>
    </w:p>
    <w:p w:rsidR="00306AD7" w:rsidRPr="00582131" w:rsidP="00306AD7" w14:paraId="7458B3C9" w14:textId="77777777">
      <w:pPr>
        <w:rPr>
          <w:vanish/>
        </w:rPr>
      </w:pPr>
      <w:bookmarkStart w:id="3" w:name="PE"/>
      <w:r w:rsidRPr="00582131">
        <w:rPr>
          <w:vanish/>
        </w:rPr>
        <w:t>PE789.025</w:t>
      </w:r>
      <w:bookmarkEnd w:id="3"/>
    </w:p>
    <w:p w:rsidR="00306AD7" w:rsidRPr="00582131" w:rsidP="00306AD7" w14:paraId="2B019473" w14:textId="7BB0A9E0">
      <w:pPr>
        <w:pStyle w:val="ATHeading3"/>
      </w:pPr>
      <w:bookmarkStart w:id="4" w:name="Sujet"/>
      <w:r w:rsidRPr="00582131">
        <w:t xml:space="preserve">Europaparlamentets resolution av den </w:t>
      </w:r>
      <w:r w:rsidRPr="00582131" w:rsidR="00411471">
        <w:t>8</w:t>
      </w:r>
      <w:r w:rsidRPr="00582131">
        <w:t xml:space="preserve"> </w:t>
      </w:r>
      <w:r w:rsidRPr="00582131" w:rsidR="00411471">
        <w:t>juli</w:t>
      </w:r>
      <w:r w:rsidRPr="00582131">
        <w:t xml:space="preserve"> 2026 om kommissionens genomförandebeslut </w:t>
      </w:r>
      <w:r w:rsidRPr="00582131" w:rsidR="00411471">
        <w:t xml:space="preserve">(EU) 2026/1443 av den 29 juni 2026 </w:t>
      </w:r>
      <w:r w:rsidRPr="00582131">
        <w:t>om godkännande för utsläppande på marknaden av produkter som innehåller, består av eller har framställts av den genetiskt modifierade majsen DP202216 x NK603 x DAS-40278-9 och dess klyvningsprodukter DP202216 x NK603, DP202216 x DAS-40278-9, i enlighet med Europaparlamentets och rådets förordning (EG) nr 1829/2003</w:t>
      </w:r>
      <w:bookmarkEnd w:id="4"/>
      <w:r w:rsidRPr="00582131">
        <w:t xml:space="preserve"> </w:t>
      </w:r>
      <w:bookmarkStart w:id="5" w:name="References"/>
      <w:r w:rsidRPr="00582131">
        <w:t>(2026/2746(RSP))</w:t>
      </w:r>
      <w:bookmarkEnd w:id="5"/>
    </w:p>
    <w:p w:rsidR="00DE70D0" w:rsidRPr="00582131" w:rsidP="00411471" w14:paraId="1EF57213" w14:textId="77777777">
      <w:pPr>
        <w:pStyle w:val="NormalHanging12a"/>
        <w:tabs>
          <w:tab w:val="center" w:pos="4535"/>
        </w:tabs>
        <w:spacing w:before="240"/>
        <w:ind w:left="0" w:firstLine="0"/>
      </w:pPr>
      <w:bookmarkStart w:id="6" w:name="TextBodyBegin"/>
      <w:bookmarkEnd w:id="6"/>
      <w:r w:rsidRPr="00582131">
        <w:rPr>
          <w:i/>
          <w:iCs/>
        </w:rPr>
        <w:t>Europaparlamentet utfärdar denna resolution</w:t>
      </w:r>
    </w:p>
    <w:p w:rsidR="00DE70D0" w:rsidRPr="00582131" w:rsidP="00DE70D0" w14:paraId="492607C3" w14:textId="12BC0F57">
      <w:pPr>
        <w:pStyle w:val="NormalHanging12a"/>
      </w:pPr>
      <w:r w:rsidRPr="00582131">
        <w:t>–</w:t>
      </w:r>
      <w:r w:rsidRPr="00582131">
        <w:tab/>
        <w:t xml:space="preserve">med beaktande av kommissionens genomförandebeslut </w:t>
      </w:r>
      <w:r w:rsidRPr="00582131" w:rsidR="00411471">
        <w:t xml:space="preserve">(EU) 2026/1443 av den 29 juni 2026 </w:t>
      </w:r>
      <w:r w:rsidRPr="00582131">
        <w:t>om godkännande för utsläppande på marknaden av produkter som innehåller, består av eller har framställts av den genetiskt modifierade majsen DP202216 x NK603 x DAS-40278-9 och dess klyvningsprodukter DP202216 x NK603, DP202216 x DAS-40278-9, i enlighet med Europaparlamentets och rådets förordning (EG) nr 1829/2003</w:t>
      </w:r>
      <w:r>
        <w:rPr>
          <w:rStyle w:val="FootnoteReference"/>
        </w:rPr>
        <w:footnoteReference w:id="2"/>
      </w:r>
      <w:r w:rsidRPr="00582131">
        <w:t>,</w:t>
      </w:r>
    </w:p>
    <w:p w:rsidR="00DE70D0" w:rsidRPr="00582131" w:rsidP="00DE70D0" w14:paraId="53049AE8" w14:textId="77777777">
      <w:pPr>
        <w:pStyle w:val="NormalHanging12a"/>
      </w:pPr>
      <w:r w:rsidRPr="00582131">
        <w:t>–</w:t>
      </w:r>
      <w:r w:rsidRPr="00582131">
        <w:tab/>
        <w:t>med beaktande av Europaparlamentets och rådets förordning (EG) nr 1829/2003 av den 22 september 2003 om genetiskt modifierade livsmedel och foder</w:t>
      </w:r>
      <w:r>
        <w:rPr>
          <w:rStyle w:val="FootnoteReference"/>
        </w:rPr>
        <w:footnoteReference w:id="3"/>
      </w:r>
      <w:r w:rsidRPr="00582131">
        <w:t>, särskilt artiklarna 7.3 och 19.3,</w:t>
      </w:r>
    </w:p>
    <w:p w:rsidR="00DE70D0" w:rsidRPr="00582131" w:rsidP="00DE70D0" w14:paraId="72B792AA" w14:textId="77777777">
      <w:pPr>
        <w:pStyle w:val="NormalHanging12a"/>
      </w:pPr>
      <w:r w:rsidRPr="00582131">
        <w:t>–</w:t>
      </w:r>
      <w:r w:rsidRPr="00582131">
        <w:tab/>
        <w:t>med beaktande av omröstningen den 27 april 2026 i den ständiga kommitté för växter, djur, livsmedel och foder som avses i artikel 35 i förordning (EG) nr 1829/2003, där inget yttrande avgavs, samt omröstningen i omprövningskommittén den 2 juni 2026, där det inte heller avgavs något yttrande,</w:t>
      </w:r>
    </w:p>
    <w:p w:rsidR="00DE70D0" w:rsidRPr="00582131" w:rsidP="00DE70D0" w14:paraId="0782828A" w14:textId="77777777">
      <w:pPr>
        <w:pStyle w:val="NormalHanging12a"/>
      </w:pPr>
      <w:r w:rsidRPr="00582131">
        <w:t>–</w:t>
      </w:r>
      <w:r w:rsidRPr="00582131">
        <w:tab/>
        <w:t>med beaktande av artikel 11 i Europaparlamentets och rådets förordning (EU) nr 182/2011 av den 16 februari 2011 om fastställande av allmänna regler och principer för medlemsstaternas kontroll av kommissionens utövande av sina genomförandebefogenheter</w:t>
      </w:r>
      <w:r>
        <w:rPr>
          <w:rStyle w:val="FootnoteReference"/>
        </w:rPr>
        <w:footnoteReference w:id="4"/>
      </w:r>
      <w:r w:rsidRPr="00582131">
        <w:t>,</w:t>
      </w:r>
    </w:p>
    <w:p w:rsidR="00DE70D0" w:rsidRPr="00582131" w:rsidP="00DE70D0" w14:paraId="34D6A87F" w14:textId="77777777">
      <w:pPr>
        <w:pStyle w:val="NormalHanging12a"/>
      </w:pPr>
      <w:r w:rsidRPr="00582131">
        <w:t>–</w:t>
      </w:r>
      <w:r w:rsidRPr="00582131">
        <w:tab/>
        <w:t>med beaktande av det yttrande som antogs av Europeiska myndigheten för livsmedelssäkerhet (</w:t>
      </w:r>
      <w:r w:rsidRPr="00582131">
        <w:t>Efsa</w:t>
      </w:r>
      <w:r w:rsidRPr="00582131">
        <w:t xml:space="preserve">) den 30 oktober 2025, och som offentliggjordes den </w:t>
      </w:r>
      <w:r w:rsidRPr="00582131">
        <w:t>5 december 2025</w:t>
      </w:r>
      <w:r>
        <w:rPr>
          <w:rStyle w:val="FootnoteReference"/>
        </w:rPr>
        <w:footnoteReference w:id="5"/>
      </w:r>
      <w:r w:rsidRPr="00582131">
        <w:t>,</w:t>
      </w:r>
    </w:p>
    <w:p w:rsidR="00DE70D0" w:rsidRPr="00582131" w:rsidP="00DE70D0" w14:paraId="2A0AEB1A" w14:textId="77777777">
      <w:pPr>
        <w:pStyle w:val="NormalHanging12a"/>
      </w:pPr>
      <w:r w:rsidRPr="00582131">
        <w:t>–</w:t>
      </w:r>
      <w:r w:rsidRPr="00582131">
        <w:tab/>
        <w:t>med beaktande av sina tidigare resolutioner där parlamentet har invänt mot godkännandet av genetiskt modifierade organismer</w:t>
      </w:r>
      <w:r>
        <w:rPr>
          <w:rStyle w:val="FootnoteReference"/>
        </w:rPr>
        <w:footnoteReference w:id="6"/>
      </w:r>
      <w:r w:rsidRPr="00582131">
        <w:t>,</w:t>
      </w:r>
    </w:p>
    <w:p w:rsidR="00DE70D0" w:rsidRPr="00582131" w:rsidP="00DE70D0" w14:paraId="7FEA0B8C" w14:textId="77777777">
      <w:pPr>
        <w:pStyle w:val="NormalHanging12a"/>
      </w:pPr>
      <w:r w:rsidRPr="00582131">
        <w:t>–</w:t>
      </w:r>
      <w:r w:rsidRPr="00582131">
        <w:tab/>
        <w:t>med beaktande av artikel 115.2 och 115.3 i arbetsordningen,</w:t>
      </w:r>
    </w:p>
    <w:p w:rsidR="00DE70D0" w:rsidRPr="00582131" w:rsidP="00DE70D0" w14:paraId="50CA0886" w14:textId="77777777">
      <w:pPr>
        <w:pStyle w:val="NormalHanging12a"/>
      </w:pPr>
      <w:r w:rsidRPr="00582131">
        <w:t>–</w:t>
      </w:r>
      <w:r w:rsidRPr="00582131">
        <w:tab/>
        <w:t>med beaktande av förslaget till resolution från utskottet för miljö, klimat och livsmedelssäkerhet, och av följande skäl:</w:t>
      </w:r>
    </w:p>
    <w:p w:rsidR="00DE70D0" w:rsidRPr="00582131" w:rsidP="00DE70D0" w14:paraId="71B5D086" w14:textId="041D9851">
      <w:pPr>
        <w:pStyle w:val="Considrant"/>
        <w:numPr>
          <w:ilvl w:val="0"/>
          <w:numId w:val="0"/>
        </w:numPr>
        <w:spacing w:after="240"/>
        <w:ind w:left="567" w:hanging="567"/>
        <w:jc w:val="left"/>
        <w:rPr>
          <w:szCs w:val="24"/>
        </w:rPr>
      </w:pPr>
      <w:r w:rsidRPr="00582131">
        <w:t>A.</w:t>
      </w:r>
      <w:r w:rsidRPr="00582131">
        <w:tab/>
        <w:t xml:space="preserve">Den 10 mars 2023 lämnade </w:t>
      </w:r>
      <w:r w:rsidRPr="00582131">
        <w:rPr>
          <w:snapToGrid w:val="0"/>
        </w:rPr>
        <w:t>Corteva</w:t>
      </w:r>
      <w:r w:rsidRPr="00582131">
        <w:rPr>
          <w:snapToGrid w:val="0"/>
        </w:rPr>
        <w:t xml:space="preserve"> </w:t>
      </w:r>
      <w:r w:rsidRPr="00582131">
        <w:rPr>
          <w:snapToGrid w:val="0"/>
        </w:rPr>
        <w:t>Agriscience</w:t>
      </w:r>
      <w:r w:rsidRPr="00582131">
        <w:rPr>
          <w:snapToGrid w:val="0"/>
        </w:rPr>
        <w:t xml:space="preserve"> </w:t>
      </w:r>
      <w:r w:rsidRPr="00582131">
        <w:rPr>
          <w:snapToGrid w:val="0"/>
        </w:rPr>
        <w:t>Belgium</w:t>
      </w:r>
      <w:r w:rsidRPr="00582131">
        <w:rPr>
          <w:snapToGrid w:val="0"/>
        </w:rPr>
        <w:t xml:space="preserve"> B.V., baserat i Belgien, på uppdrag av </w:t>
      </w:r>
      <w:r w:rsidRPr="00582131">
        <w:rPr>
          <w:snapToGrid w:val="0"/>
        </w:rPr>
        <w:t>Corteva</w:t>
      </w:r>
      <w:r w:rsidRPr="00582131">
        <w:rPr>
          <w:snapToGrid w:val="0"/>
        </w:rPr>
        <w:t xml:space="preserve"> </w:t>
      </w:r>
      <w:r w:rsidRPr="00582131">
        <w:rPr>
          <w:snapToGrid w:val="0"/>
        </w:rPr>
        <w:t>Agriscience</w:t>
      </w:r>
      <w:r w:rsidRPr="00582131">
        <w:rPr>
          <w:snapToGrid w:val="0"/>
        </w:rPr>
        <w:t xml:space="preserve"> LLC, baserat i Förenta staterna,</w:t>
      </w:r>
      <w:r w:rsidRPr="00582131">
        <w:t xml:space="preserve"> i enlighet med artiklarna 5 och 17 i förordning (EG) nr 1829/2003 in en ansökan om att få släppa ut livsmedel, livsmedelsingredienser och foder som innehåller, består av eller har framställts av den genetiskt modifierade majsen DP202216 × NK603 × DAS-40279-9 (</w:t>
      </w:r>
      <w:r w:rsidRPr="00582131" w:rsidR="00411471">
        <w:t xml:space="preserve">den </w:t>
      </w:r>
      <w:r w:rsidRPr="00582131">
        <w:t>genetiskt modifierad</w:t>
      </w:r>
      <w:r w:rsidRPr="00582131" w:rsidR="00411471">
        <w:t>e</w:t>
      </w:r>
      <w:r w:rsidRPr="00582131">
        <w:t xml:space="preserve"> majs</w:t>
      </w:r>
      <w:r w:rsidRPr="00582131" w:rsidR="00411471">
        <w:t>en</w:t>
      </w:r>
      <w:r w:rsidRPr="00582131">
        <w:t>) på marknaden. Ansökan gällde även utsläppande på marknaden av produkter som innehåller eller består av genetiskt modifierad majs för andra ändamål än livsmedel och foder, med undantag av odling.</w:t>
      </w:r>
    </w:p>
    <w:p w:rsidR="00DE70D0" w:rsidRPr="00582131" w:rsidP="00DE70D0" w14:paraId="670D8855" w14:textId="77777777">
      <w:pPr>
        <w:widowControl/>
        <w:shd w:val="clear" w:color="auto" w:fill="FFFFFF"/>
        <w:spacing w:after="240"/>
        <w:ind w:left="567" w:hanging="567"/>
        <w:rPr>
          <w:szCs w:val="24"/>
        </w:rPr>
      </w:pPr>
      <w:r w:rsidRPr="00582131">
        <w:t>B.</w:t>
      </w:r>
      <w:r w:rsidRPr="00582131">
        <w:tab/>
        <w:t xml:space="preserve">Den 30 oktober 2025 antog </w:t>
      </w:r>
      <w:r w:rsidRPr="00582131">
        <w:t>Efsa</w:t>
      </w:r>
      <w:r w:rsidRPr="00582131">
        <w:t xml:space="preserve"> ett positivt vetenskapligt yttrande om godkännandet av den genetiskt modifierade majsen, vilket offentliggjordes den </w:t>
      </w:r>
      <w:r w:rsidRPr="00582131">
        <w:rPr>
          <w:shd w:val="clear" w:color="auto" w:fill="FFFFFF"/>
        </w:rPr>
        <w:t>5 december 2025</w:t>
      </w:r>
      <w:r w:rsidRPr="00582131">
        <w:t>.</w:t>
      </w:r>
    </w:p>
    <w:p w:rsidR="00DE70D0" w:rsidRPr="00582131" w:rsidP="00DE70D0" w14:paraId="0D341533" w14:textId="5CD68AED">
      <w:pPr>
        <w:widowControl/>
        <w:autoSpaceDE w:val="0"/>
        <w:autoSpaceDN w:val="0"/>
        <w:adjustRightInd w:val="0"/>
        <w:spacing w:after="240"/>
        <w:ind w:left="567" w:hanging="567"/>
        <w:rPr>
          <w:rFonts w:eastAsiaTheme="minorHAnsi"/>
          <w:szCs w:val="24"/>
        </w:rPr>
      </w:pPr>
      <w:r w:rsidRPr="00582131">
        <w:t>C.</w:t>
      </w:r>
      <w:r w:rsidRPr="00582131">
        <w:tab/>
      </w:r>
      <w:r w:rsidRPr="00582131">
        <w:t>Efsa</w:t>
      </w:r>
      <w:r w:rsidRPr="00582131">
        <w:t xml:space="preserve"> konstaterade att </w:t>
      </w:r>
      <w:r w:rsidRPr="00582131" w:rsidR="00411471">
        <w:t xml:space="preserve">den </w:t>
      </w:r>
      <w:r w:rsidRPr="00582131">
        <w:t>genetiskt modifierad majs</w:t>
      </w:r>
      <w:r w:rsidRPr="00582131" w:rsidR="00411471">
        <w:t>en</w:t>
      </w:r>
      <w:r w:rsidRPr="00582131">
        <w:t xml:space="preserve"> och dess klyvningsprodukter, så som de beskrivs i ansökan, är lika säkra som den konventionella motsvarigheten och de testade icke genetiskt modifierade referenssorterna av majs när det gäller potentiella effekter på människors och djurs hälsa och på miljön. </w:t>
      </w:r>
      <w:r w:rsidRPr="00582131">
        <w:t>Efsa</w:t>
      </w:r>
      <w:r w:rsidRPr="00582131">
        <w:t xml:space="preserve"> konstaterade också att konsumtion av livsmedel och foder som framställts av den genetiskt modifierad</w:t>
      </w:r>
      <w:r w:rsidRPr="00582131" w:rsidR="00411471">
        <w:t>e</w:t>
      </w:r>
      <w:r w:rsidRPr="00582131">
        <w:t xml:space="preserve"> majs</w:t>
      </w:r>
      <w:r w:rsidRPr="00582131" w:rsidR="00411471">
        <w:t>en</w:t>
      </w:r>
      <w:r w:rsidRPr="00582131">
        <w:t xml:space="preserve"> och dess klyvningsprodukter inte utgör något näringsmässigt problem för människor och djur. Yttrandet tog inte upp ett antal bredare miljömässiga, samhällsekonomiska och kumulativa effekter som </w:t>
      </w:r>
      <w:r w:rsidRPr="00582131">
        <w:t>Efsa</w:t>
      </w:r>
      <w:r w:rsidRPr="00582131">
        <w:t xml:space="preserve"> anser ligger utanför dess ansvarsområde.</w:t>
      </w:r>
    </w:p>
    <w:p w:rsidR="00DE70D0" w:rsidRPr="00582131" w:rsidP="00DE70D0" w14:paraId="221E03B8" w14:textId="6E4DBED8">
      <w:pPr>
        <w:widowControl/>
        <w:autoSpaceDE w:val="0"/>
        <w:autoSpaceDN w:val="0"/>
        <w:adjustRightInd w:val="0"/>
        <w:spacing w:after="240"/>
        <w:ind w:left="567" w:hanging="567"/>
        <w:rPr>
          <w:rFonts w:eastAsiaTheme="minorHAnsi"/>
          <w:szCs w:val="24"/>
        </w:rPr>
      </w:pPr>
      <w:r w:rsidRPr="00582131">
        <w:t>D.</w:t>
      </w:r>
      <w:r w:rsidRPr="00582131">
        <w:tab/>
      </w:r>
      <w:r w:rsidRPr="00582131" w:rsidR="00411471">
        <w:t>Den g</w:t>
      </w:r>
      <w:r w:rsidRPr="00582131">
        <w:t>enetiskt modifierad</w:t>
      </w:r>
      <w:r w:rsidRPr="00582131" w:rsidR="00411471">
        <w:t>e</w:t>
      </w:r>
      <w:r w:rsidRPr="00582131">
        <w:t xml:space="preserve"> majs</w:t>
      </w:r>
      <w:r w:rsidRPr="00582131" w:rsidR="00411471">
        <w:t>en</w:t>
      </w:r>
      <w:r w:rsidRPr="00582131">
        <w:t xml:space="preserve"> utvecklades genom korsning där tre enskilda transformationshändelser sammanfördes: DP202216 som uttrycker enzymet </w:t>
      </w:r>
      <w:r w:rsidRPr="00582131">
        <w:t>fosfinotricinacetyltransferas</w:t>
      </w:r>
      <w:r w:rsidRPr="00582131">
        <w:t xml:space="preserve"> för att ge tolerans mot herbicider som innehåller </w:t>
      </w:r>
      <w:r w:rsidRPr="00582131">
        <w:t>glufosinatammonium</w:t>
      </w:r>
      <w:r w:rsidRPr="00582131">
        <w:t xml:space="preserve">, och det endogena majsproteinet med det modifierade uttrycket (EPAE) ZMM28 vilket ger potential för en större skörd under fältförhållanden, NK603, som uttrycker CP4 EPSPS och CP4 EPSPS L214P för att ge tolerans mot </w:t>
      </w:r>
      <w:r w:rsidRPr="00582131">
        <w:t>glyfosatbaserade</w:t>
      </w:r>
      <w:r w:rsidRPr="00582131">
        <w:t xml:space="preserve"> herbicider, och DAS-40278–9, som uttrycker </w:t>
      </w:r>
      <w:r w:rsidRPr="00582131">
        <w:t>aryloxialkanoat</w:t>
      </w:r>
      <w:r w:rsidRPr="00582131">
        <w:t xml:space="preserve"> </w:t>
      </w:r>
      <w:r w:rsidRPr="00582131">
        <w:t>dioxygenase</w:t>
      </w:r>
      <w:r w:rsidRPr="00582131">
        <w:t xml:space="preserve"> för att ge tolerans mot herbicider av kategorin 2,4-D och </w:t>
      </w:r>
      <w:r w:rsidRPr="00582131">
        <w:t>aryloxifenoxipropionat</w:t>
      </w:r>
      <w:r w:rsidRPr="00582131">
        <w:t xml:space="preserve"> (AOPP)</w:t>
      </w:r>
      <w:r>
        <w:rPr>
          <w:rStyle w:val="FootnoteReference"/>
          <w:rFonts w:eastAsiaTheme="minorHAnsi"/>
          <w:szCs w:val="24"/>
        </w:rPr>
        <w:footnoteReference w:id="7"/>
      </w:r>
      <w:r w:rsidRPr="00582131">
        <w:t>.</w:t>
      </w:r>
    </w:p>
    <w:p w:rsidR="00DE70D0" w:rsidRPr="00582131" w:rsidP="00DE70D0" w14:paraId="74817A8A" w14:textId="77777777">
      <w:pPr>
        <w:spacing w:after="240"/>
        <w:ind w:left="567" w:hanging="567"/>
        <w:rPr>
          <w:rFonts w:eastAsiaTheme="minorHAnsi"/>
          <w:szCs w:val="24"/>
        </w:rPr>
      </w:pPr>
      <w:r w:rsidRPr="00582131">
        <w:t>E.</w:t>
      </w:r>
      <w:r w:rsidRPr="00582131">
        <w:tab/>
        <w:t xml:space="preserve">Endast klyvningsprodukten NK603 × DAS-40278–9 har tidigare bedömts av </w:t>
      </w:r>
      <w:r w:rsidRPr="00582131">
        <w:t>Efsa</w:t>
      </w:r>
      <w:r w:rsidRPr="00582131">
        <w:t xml:space="preserve">. Inga försöksdata har lämnats in av sökanden för klyvningsprodukterna DP202216 x NK603 och DP202216 x DAS-40278-9, som inte tidigare har bedömts av </w:t>
      </w:r>
      <w:r w:rsidRPr="00582131">
        <w:t>Efsa</w:t>
      </w:r>
      <w:r w:rsidRPr="00582131">
        <w:t xml:space="preserve">. Trots detta drog </w:t>
      </w:r>
      <w:r w:rsidRPr="00582131">
        <w:t>Efsa</w:t>
      </w:r>
      <w:r w:rsidRPr="00582131">
        <w:t xml:space="preserve"> slutsatsen att denna klyvningsprodukt inte skulle ge upphov till några säkerhetsrisker.</w:t>
      </w:r>
    </w:p>
    <w:p w:rsidR="00DE70D0" w:rsidRPr="00582131" w:rsidP="00DE70D0" w14:paraId="2646F207" w14:textId="77777777">
      <w:pPr>
        <w:widowControl/>
        <w:spacing w:after="240"/>
        <w:ind w:left="567" w:hanging="567"/>
        <w:rPr>
          <w:rFonts w:eastAsiaTheme="minorHAnsi"/>
          <w:szCs w:val="24"/>
        </w:rPr>
      </w:pPr>
      <w:r w:rsidRPr="00582131">
        <w:t>F.</w:t>
      </w:r>
      <w:r w:rsidRPr="00582131">
        <w:tab/>
      </w:r>
      <w:r w:rsidRPr="00582131">
        <w:t>Efsas</w:t>
      </w:r>
      <w:r w:rsidRPr="00582131">
        <w:t xml:space="preserve"> riskbedömningar omfattade inte långsiktiga toxikologiska studier eller detaljerade analyser av kumulativa och kombinerade effekter, inbegripet potentiell interaktion med rester av bekämpningsmedel som vanligen används vid majsodling.</w:t>
      </w:r>
    </w:p>
    <w:p w:rsidR="00DE70D0" w:rsidRPr="00582131" w:rsidP="00DE70D0" w14:paraId="0ABFAD9E" w14:textId="35F31007">
      <w:pPr>
        <w:spacing w:after="240"/>
        <w:ind w:left="567" w:hanging="567"/>
        <w:rPr>
          <w:rFonts w:eastAsiaTheme="minorHAnsi"/>
          <w:szCs w:val="24"/>
        </w:rPr>
      </w:pPr>
      <w:r w:rsidRPr="00582131">
        <w:t>G.</w:t>
      </w:r>
      <w:r w:rsidRPr="00582131">
        <w:tab/>
        <w:t xml:space="preserve">De allra flesta genetiskt modifierade grödor, inbegripet </w:t>
      </w:r>
      <w:r w:rsidRPr="00582131" w:rsidR="00411471">
        <w:t xml:space="preserve">den </w:t>
      </w:r>
      <w:r w:rsidRPr="00582131">
        <w:t>genetiskt modifierad</w:t>
      </w:r>
      <w:r w:rsidRPr="00582131" w:rsidR="00411471">
        <w:t>e</w:t>
      </w:r>
      <w:r w:rsidRPr="00582131">
        <w:t xml:space="preserve"> majs</w:t>
      </w:r>
      <w:r w:rsidRPr="00582131" w:rsidR="00411471">
        <w:t>en</w:t>
      </w:r>
      <w:r w:rsidRPr="00582131">
        <w:t>, har modifierats genetiskt så att de är toleranta mot en eller flera ”kompletterande” herbicider som kan användas under hela odlingen av den genetiskt modifierade grödan utan att grödan dör, vilket skulle vara fallet med icke-herbicidtoleranta grödor. Flera studier visar att herbicidtoleranta genetiskt modifierade grödor leder till en ökad användning av kompletterande herbicider, till stor del på grund av att det uppstår herbicidtolerant ogräs.</w:t>
      </w:r>
    </w:p>
    <w:p w:rsidR="00DE70D0" w:rsidRPr="00582131" w:rsidP="00DE70D0" w14:paraId="76744D47" w14:textId="77777777">
      <w:pPr>
        <w:spacing w:after="240"/>
        <w:ind w:left="567" w:hanging="567"/>
        <w:rPr>
          <w:rFonts w:eastAsiaTheme="minorHAnsi"/>
          <w:szCs w:val="24"/>
        </w:rPr>
      </w:pPr>
      <w:r w:rsidRPr="00582131">
        <w:t>H.</w:t>
      </w:r>
      <w:r w:rsidRPr="00582131">
        <w:tab/>
        <w:t>Herbicidtoleranta genetiskt modifierade grödor låser in jordbrukare i ett ogräsbekämpningssystem som till stor del eller helt och hållet är beroende av herbicider, samtidigt som det gör dem beroende av att använda kompletterande herbicider som en integrerad del av produktionssystemet. Ett ökat beroende av kompletterande herbicider på gårdar som odlar genetiskt modifierad majs kommer att påskynda uppkomsten och spridningen av ogräs som är resistenta mot dessa herbicider, vilket utlöser ett behov av ännu mer herbicider, en ond cirkel som kan kallas ”herbicidekorrhjulet”. Ett alltför stort beroende av herbicider kommer således att öka de negativa effekterna på markens hälsa, vattenkvaliteten och den biologiska mångfalden ovan och under marken, samt leda till ökad exponering för människor och djur, eventuellt även genom ökade herbicidrester på livsmedel och foder.</w:t>
      </w:r>
    </w:p>
    <w:p w:rsidR="00DE70D0" w:rsidRPr="00582131" w:rsidP="00DE70D0" w14:paraId="66C5968D" w14:textId="11FDA45E">
      <w:pPr>
        <w:autoSpaceDE w:val="0"/>
        <w:autoSpaceDN w:val="0"/>
        <w:adjustRightInd w:val="0"/>
        <w:spacing w:after="240"/>
        <w:ind w:left="567" w:hanging="567"/>
        <w:rPr>
          <w:rFonts w:eastAsiaTheme="minorHAnsi"/>
          <w:szCs w:val="24"/>
        </w:rPr>
      </w:pPr>
      <w:r w:rsidRPr="00582131">
        <w:t>I.</w:t>
      </w:r>
      <w:r w:rsidRPr="00582131">
        <w:tab/>
        <w:t>Flera studier visar att herbicidtoleranta genetiskt modifierade grödor leder till en ökad användning av kompletterande herbicider, till stor del på grund av att det uppstår herbicidtolerant ogräs</w:t>
      </w:r>
      <w:r>
        <w:rPr>
          <w:rFonts w:eastAsiaTheme="minorHAnsi"/>
          <w:vertAlign w:val="superscript"/>
        </w:rPr>
        <w:footnoteReference w:id="8"/>
      </w:r>
      <w:r w:rsidRPr="00582131">
        <w:t xml:space="preserve">. Till följd av detta måste man räkna med att </w:t>
      </w:r>
      <w:r w:rsidRPr="00582131" w:rsidR="00411471">
        <w:t xml:space="preserve">den </w:t>
      </w:r>
      <w:r w:rsidRPr="00582131">
        <w:t>genetiskt modifierad</w:t>
      </w:r>
      <w:r w:rsidRPr="00582131" w:rsidR="00411471">
        <w:t>e</w:t>
      </w:r>
      <w:r w:rsidRPr="00582131">
        <w:t xml:space="preserve"> majs</w:t>
      </w:r>
      <w:r w:rsidRPr="00582131" w:rsidR="00411471">
        <w:t>en</w:t>
      </w:r>
      <w:r w:rsidRPr="00582131">
        <w:t xml:space="preserve"> kommer att exponeras för både högre och upprepade doser av </w:t>
      </w:r>
      <w:r w:rsidRPr="00582131">
        <w:t>glyfosat</w:t>
      </w:r>
      <w:r w:rsidRPr="00582131">
        <w:t xml:space="preserve">, </w:t>
      </w:r>
      <w:r w:rsidRPr="00582131">
        <w:t>glufosinat</w:t>
      </w:r>
      <w:r w:rsidRPr="00582131">
        <w:t>, AOPP och 2,4-D-herbicider, och att det således kan finnas högre resthalter och nedbrytningsprodukter (metaboliter) i skörden.</w:t>
      </w:r>
    </w:p>
    <w:p w:rsidR="00DE70D0" w:rsidRPr="00582131" w:rsidP="00DE70D0" w14:paraId="452D7F81" w14:textId="77777777">
      <w:pPr>
        <w:autoSpaceDE w:val="0"/>
        <w:autoSpaceDN w:val="0"/>
        <w:adjustRightInd w:val="0"/>
        <w:spacing w:after="240"/>
        <w:ind w:left="567" w:hanging="567"/>
        <w:rPr>
          <w:rFonts w:eastAsiaTheme="minorHAnsi"/>
          <w:szCs w:val="24"/>
        </w:rPr>
      </w:pPr>
      <w:r w:rsidRPr="00582131">
        <w:t>J.</w:t>
      </w:r>
      <w:r w:rsidRPr="00582131">
        <w:tab/>
      </w:r>
      <w:r w:rsidRPr="00582131">
        <w:t>Glufosinat</w:t>
      </w:r>
      <w:r w:rsidRPr="00582131">
        <w:t xml:space="preserve"> klassificeras som ett reproduktionstoxiskt ämne i kategori 1B och omfattas därför av uteslutningskriterierna i Europaparlamentets och rådets förordning (EG) nr 1107/2009</w:t>
      </w:r>
      <w:r>
        <w:rPr>
          <w:rFonts w:eastAsiaTheme="minorHAnsi"/>
          <w:vertAlign w:val="superscript"/>
        </w:rPr>
        <w:footnoteReference w:id="9"/>
      </w:r>
      <w:r w:rsidRPr="00582131">
        <w:t xml:space="preserve">. Godkännandet av </w:t>
      </w:r>
      <w:r w:rsidRPr="00582131">
        <w:t>glufosinat</w:t>
      </w:r>
      <w:r w:rsidRPr="00582131">
        <w:t xml:space="preserve"> för användning i unionen löpte ut den 31 juli 2018</w:t>
      </w:r>
      <w:r>
        <w:rPr>
          <w:rFonts w:eastAsiaTheme="minorHAnsi"/>
          <w:vertAlign w:val="superscript"/>
        </w:rPr>
        <w:footnoteReference w:id="10"/>
      </w:r>
      <w:r w:rsidRPr="00582131">
        <w:t>.</w:t>
      </w:r>
    </w:p>
    <w:p w:rsidR="00DE70D0" w:rsidRPr="00582131" w:rsidP="00DE70D0" w14:paraId="7D81615C" w14:textId="77777777">
      <w:pPr>
        <w:autoSpaceDE w:val="0"/>
        <w:autoSpaceDN w:val="0"/>
        <w:adjustRightInd w:val="0"/>
        <w:spacing w:after="240"/>
        <w:ind w:left="567" w:hanging="567"/>
        <w:rPr>
          <w:rFonts w:eastAsiaTheme="minorHAnsi"/>
          <w:szCs w:val="24"/>
        </w:rPr>
      </w:pPr>
      <w:r w:rsidRPr="00582131">
        <w:t>K.</w:t>
      </w:r>
      <w:r w:rsidRPr="00582131">
        <w:tab/>
        <w:t xml:space="preserve">Det råder fortfarande betydande vetenskaplig osäkerhet kring hur säkert </w:t>
      </w:r>
      <w:r w:rsidRPr="00582131">
        <w:t>glyfosat</w:t>
      </w:r>
      <w:r w:rsidRPr="00582131">
        <w:t xml:space="preserve"> är för människors hälsa och miljön. </w:t>
      </w:r>
      <w:r w:rsidRPr="00582131">
        <w:t>Efsa</w:t>
      </w:r>
      <w:r w:rsidRPr="00582131">
        <w:t xml:space="preserve"> kom i november 2015 fram till att </w:t>
      </w:r>
      <w:r w:rsidRPr="00582131">
        <w:t>glyfosat</w:t>
      </w:r>
      <w:r w:rsidRPr="00582131">
        <w:t xml:space="preserve"> sannolikt inte är cancerframkallande, och Europeiska kemikaliemyndigheten kom i mars 2017 </w:t>
      </w:r>
      <w:r w:rsidRPr="00582131">
        <w:t xml:space="preserve">fram till att det inte var motiverat med någon klassificering. Däremot klassificerade Internationella centret för cancerforskning, WHO:s särskilda cancerorgan, 2015 </w:t>
      </w:r>
      <w:r w:rsidRPr="00582131">
        <w:t>glyfosat</w:t>
      </w:r>
      <w:r w:rsidRPr="00582131">
        <w:t xml:space="preserve"> som troligtvis cancerframkallande för människor. Ett antal andra nyligen genomförda expertgranskade vetenskapliga studier bekräftar den cancerframkallande potentialen hos </w:t>
      </w:r>
      <w:r w:rsidRPr="00582131">
        <w:t>glyfosat</w:t>
      </w:r>
      <w:r>
        <w:rPr>
          <w:rFonts w:eastAsiaTheme="minorHAnsi"/>
          <w:vertAlign w:val="superscript"/>
        </w:rPr>
        <w:footnoteReference w:id="11"/>
      </w:r>
      <w:r w:rsidRPr="00582131">
        <w:t xml:space="preserve">. Tidskriften </w:t>
      </w:r>
      <w:r w:rsidRPr="00582131">
        <w:rPr>
          <w:i/>
          <w:iCs/>
        </w:rPr>
        <w:t>Regulatory</w:t>
      </w:r>
      <w:r w:rsidRPr="00582131">
        <w:rPr>
          <w:i/>
          <w:iCs/>
        </w:rPr>
        <w:t xml:space="preserve"> </w:t>
      </w:r>
      <w:r w:rsidRPr="00582131">
        <w:rPr>
          <w:i/>
          <w:iCs/>
        </w:rPr>
        <w:t>Toxicology</w:t>
      </w:r>
      <w:r w:rsidRPr="00582131">
        <w:rPr>
          <w:i/>
          <w:iCs/>
        </w:rPr>
        <w:t xml:space="preserve"> and </w:t>
      </w:r>
      <w:r w:rsidRPr="00582131">
        <w:rPr>
          <w:i/>
          <w:iCs/>
        </w:rPr>
        <w:t>Pharmacology</w:t>
      </w:r>
      <w:r w:rsidRPr="00582131">
        <w:t xml:space="preserve"> har formellt dragit tillbaka den vetenskapliga rapporten</w:t>
      </w:r>
      <w:r w:rsidRPr="00582131">
        <w:rPr>
          <w:shd w:val="clear" w:color="auto" w:fill="FFFFFF"/>
        </w:rPr>
        <w:t xml:space="preserve"> </w:t>
      </w:r>
      <w:r w:rsidRPr="00582131">
        <w:rPr>
          <w:i/>
          <w:iCs/>
        </w:rPr>
        <w:t>Safety</w:t>
      </w:r>
      <w:r w:rsidRPr="00582131">
        <w:rPr>
          <w:i/>
          <w:iCs/>
        </w:rPr>
        <w:t xml:space="preserve"> </w:t>
      </w:r>
      <w:r w:rsidRPr="00582131">
        <w:rPr>
          <w:i/>
          <w:iCs/>
        </w:rPr>
        <w:t>Evaluation</w:t>
      </w:r>
      <w:r w:rsidRPr="00582131">
        <w:rPr>
          <w:i/>
          <w:iCs/>
        </w:rPr>
        <w:t xml:space="preserve"> and Risk </w:t>
      </w:r>
      <w:r w:rsidRPr="00582131">
        <w:rPr>
          <w:i/>
          <w:iCs/>
        </w:rPr>
        <w:t>Assessment</w:t>
      </w:r>
      <w:r w:rsidRPr="00582131">
        <w:rPr>
          <w:i/>
          <w:iCs/>
        </w:rPr>
        <w:t xml:space="preserve"> </w:t>
      </w:r>
      <w:r w:rsidRPr="00582131">
        <w:rPr>
          <w:i/>
          <w:iCs/>
        </w:rPr>
        <w:t>of</w:t>
      </w:r>
      <w:r w:rsidRPr="00582131">
        <w:rPr>
          <w:i/>
          <w:iCs/>
        </w:rPr>
        <w:t xml:space="preserve"> the </w:t>
      </w:r>
      <w:r w:rsidRPr="00582131">
        <w:rPr>
          <w:i/>
          <w:iCs/>
        </w:rPr>
        <w:t>Herbicide</w:t>
      </w:r>
      <w:r w:rsidRPr="00582131">
        <w:rPr>
          <w:i/>
          <w:iCs/>
        </w:rPr>
        <w:t xml:space="preserve"> Roundup and </w:t>
      </w:r>
      <w:r w:rsidRPr="00582131">
        <w:rPr>
          <w:i/>
          <w:iCs/>
        </w:rPr>
        <w:t>Its</w:t>
      </w:r>
      <w:r w:rsidRPr="00582131">
        <w:rPr>
          <w:i/>
          <w:iCs/>
        </w:rPr>
        <w:t xml:space="preserve"> Active </w:t>
      </w:r>
      <w:r w:rsidRPr="00582131">
        <w:rPr>
          <w:i/>
          <w:iCs/>
        </w:rPr>
        <w:t>Ingredient</w:t>
      </w:r>
      <w:r w:rsidRPr="00582131">
        <w:rPr>
          <w:i/>
          <w:iCs/>
        </w:rPr>
        <w:t xml:space="preserve">, </w:t>
      </w:r>
      <w:r w:rsidRPr="00582131">
        <w:rPr>
          <w:i/>
          <w:iCs/>
        </w:rPr>
        <w:t>Glyphosate</w:t>
      </w:r>
      <w:r w:rsidRPr="00582131">
        <w:rPr>
          <w:i/>
          <w:iCs/>
        </w:rPr>
        <w:t>, for Humans</w:t>
      </w:r>
      <w:r w:rsidRPr="00582131">
        <w:rPr>
          <w:i/>
          <w:iCs/>
          <w:shd w:val="clear" w:color="auto" w:fill="FFFFFF"/>
        </w:rPr>
        <w:t>,</w:t>
      </w:r>
      <w:r w:rsidRPr="00582131">
        <w:t xml:space="preserve"> som offentliggjordes 2000 och som har använts för att försvara </w:t>
      </w:r>
      <w:r w:rsidRPr="00582131">
        <w:t>glyfosats</w:t>
      </w:r>
      <w:r w:rsidRPr="00582131">
        <w:t xml:space="preserve"> säkerhet i många riskbedömningar, eftersom</w:t>
      </w:r>
      <w:r w:rsidRPr="00582131">
        <w:rPr>
          <w:shd w:val="clear" w:color="auto" w:fill="FFFFFF"/>
        </w:rPr>
        <w:t xml:space="preserve"> </w:t>
      </w:r>
      <w:r w:rsidRPr="00582131">
        <w:t xml:space="preserve">farhågor uttryckts om rapportens </w:t>
      </w:r>
      <w:r w:rsidRPr="00582131">
        <w:t>upphovsmannaskap</w:t>
      </w:r>
      <w:r w:rsidRPr="00582131">
        <w:t>, forskningsresultatens giltighet i samband med förvrängning av bidragen från författarna och studiens sponsor och potentiella intressekonflikter hos författarna</w:t>
      </w:r>
      <w:r>
        <w:rPr>
          <w:rStyle w:val="FootnoteReference"/>
        </w:rPr>
        <w:footnoteReference w:id="12"/>
      </w:r>
      <w:r w:rsidRPr="00582131">
        <w:t>.</w:t>
      </w:r>
    </w:p>
    <w:p w:rsidR="00DE70D0" w:rsidRPr="00582131" w:rsidP="00DE70D0" w14:paraId="6780FD08" w14:textId="77777777">
      <w:pPr>
        <w:autoSpaceDE w:val="0"/>
        <w:autoSpaceDN w:val="0"/>
        <w:adjustRightInd w:val="0"/>
        <w:spacing w:after="240"/>
        <w:ind w:left="567" w:hanging="567"/>
        <w:rPr>
          <w:rFonts w:eastAsiaTheme="minorHAnsi"/>
          <w:szCs w:val="24"/>
        </w:rPr>
      </w:pPr>
      <w:r w:rsidRPr="00582131">
        <w:t>L.</w:t>
      </w:r>
      <w:r w:rsidRPr="00582131">
        <w:tab/>
        <w:t>I en sakkunniggranskad vetenskaplig artikel av en expert som arbetar med att utveckla genetiskt modifierade växter ifrågasätts säkerheten hos genetiskt modifierade grödor som är toleranta mot 2,4-D, på grund av att de bryts ned till cytotoxiska nedbrytningsprodukter</w:t>
      </w:r>
      <w:r>
        <w:rPr>
          <w:rFonts w:eastAsiaTheme="minorHAnsi"/>
          <w:vertAlign w:val="superscript"/>
        </w:rPr>
        <w:footnoteReference w:id="13"/>
      </w:r>
      <w:r w:rsidRPr="00582131">
        <w:t>.</w:t>
      </w:r>
    </w:p>
    <w:p w:rsidR="00DE70D0" w:rsidRPr="00582131" w:rsidP="00DE70D0" w14:paraId="5A780A6D" w14:textId="77777777">
      <w:pPr>
        <w:autoSpaceDE w:val="0"/>
        <w:autoSpaceDN w:val="0"/>
        <w:adjustRightInd w:val="0"/>
        <w:spacing w:after="240"/>
        <w:ind w:left="567" w:hanging="567"/>
        <w:rPr>
          <w:rFonts w:eastAsiaTheme="minorHAnsi"/>
          <w:szCs w:val="24"/>
        </w:rPr>
      </w:pPr>
      <w:r w:rsidRPr="00582131">
        <w:t>M.</w:t>
      </w:r>
      <w:r w:rsidRPr="00582131">
        <w:tab/>
        <w:t xml:space="preserve">Bedömningen av herbicidrester och metaboliter på genetiskt modifierade växter anses ligga utanför behörighetsområdet för </w:t>
      </w:r>
      <w:r w:rsidRPr="00582131">
        <w:t>Efsas</w:t>
      </w:r>
      <w:r w:rsidRPr="00582131">
        <w:t xml:space="preserve"> panel för genetiskt modifierade organismer och utförs därför inte som en del i godkännandeförfarandet för genetiskt modifierade organismer. Detta är problematiskt, eftersom det sätt på vilket kompletterande herbicider bryts ned av den genetiskt modifierade växten i fråga samt metaboliternas sammansättning och därmed deras toxicitet kan påverkas av själva den genetiska modifieringen</w:t>
      </w:r>
      <w:r>
        <w:rPr>
          <w:rFonts w:eastAsiaTheme="minorHAnsi"/>
          <w:vertAlign w:val="superscript"/>
        </w:rPr>
        <w:footnoteReference w:id="14"/>
      </w:r>
      <w:r w:rsidRPr="00582131">
        <w:t>.</w:t>
      </w:r>
    </w:p>
    <w:p w:rsidR="00DE70D0" w:rsidRPr="00582131" w:rsidP="00DE70D0" w14:paraId="4A34CE5D" w14:textId="77777777">
      <w:pPr>
        <w:autoSpaceDE w:val="0"/>
        <w:autoSpaceDN w:val="0"/>
        <w:adjustRightInd w:val="0"/>
        <w:spacing w:after="240"/>
        <w:ind w:left="567" w:hanging="567"/>
        <w:rPr>
          <w:rFonts w:eastAsiaTheme="minorHAnsi"/>
          <w:szCs w:val="24"/>
        </w:rPr>
      </w:pPr>
      <w:r w:rsidRPr="00582131">
        <w:t>N.</w:t>
      </w:r>
      <w:r w:rsidRPr="00582131">
        <w:tab/>
        <w:t>I förordning (EG) nr 1829/2003 fastställs krav på att genetiskt modifierade livsmedel eller foder inte får ha negativa effekter på människors eller djurs hälsa eller på miljön och att kommissionen vid utarbetandet av sitt beslut ska ta hänsyn till alla relevanta bestämmelser i unionsrätten och andra berättigade faktorer som har betydelse för den aktuella frågan. Sådana berättigade faktorer bör inbegripa unionens åtaganden enligt FN:s mål för hållbar utveckling, Parisavtalet om klimatförändringar</w:t>
      </w:r>
      <w:r>
        <w:rPr>
          <w:rStyle w:val="FootnoteReference"/>
          <w:rFonts w:eastAsiaTheme="minorHAnsi"/>
          <w:szCs w:val="24"/>
        </w:rPr>
        <w:footnoteReference w:id="15"/>
      </w:r>
      <w:r w:rsidRPr="00582131">
        <w:t xml:space="preserve"> och FN:s konvention om biologisk mångfald</w:t>
      </w:r>
      <w:r>
        <w:rPr>
          <w:rStyle w:val="FootnoteReference"/>
          <w:rFonts w:eastAsiaTheme="minorHAnsi"/>
          <w:szCs w:val="24"/>
        </w:rPr>
        <w:footnoteReference w:id="16"/>
      </w:r>
      <w:r w:rsidRPr="00582131">
        <w:t>.</w:t>
      </w:r>
    </w:p>
    <w:p w:rsidR="00DE70D0" w:rsidRPr="00582131" w:rsidP="00DE70D0" w14:paraId="66DDACA9" w14:textId="77777777">
      <w:pPr>
        <w:autoSpaceDE w:val="0"/>
        <w:autoSpaceDN w:val="0"/>
        <w:adjustRightInd w:val="0"/>
        <w:spacing w:after="240"/>
        <w:ind w:left="567" w:hanging="567"/>
        <w:rPr>
          <w:rFonts w:eastAsiaTheme="minorHAnsi"/>
          <w:szCs w:val="24"/>
        </w:rPr>
      </w:pPr>
      <w:r w:rsidRPr="00582131">
        <w:t>O.</w:t>
      </w:r>
      <w:r w:rsidRPr="00582131">
        <w:tab/>
        <w:t>Oberoende övervakning och kontroll av potentiella negativa effekter på den biologiska mångfalden, markhälsan, pollinerare och icke-målorganismer är fortfarande inte tillräckligt garanterad.</w:t>
      </w:r>
    </w:p>
    <w:p w:rsidR="00DE70D0" w:rsidRPr="00582131" w:rsidP="00DE70D0" w14:paraId="6135B84B" w14:textId="77777777">
      <w:pPr>
        <w:autoSpaceDE w:val="0"/>
        <w:autoSpaceDN w:val="0"/>
        <w:adjustRightInd w:val="0"/>
        <w:spacing w:after="240"/>
        <w:ind w:left="567" w:hanging="567"/>
        <w:rPr>
          <w:rFonts w:eastAsiaTheme="minorHAnsi"/>
          <w:szCs w:val="24"/>
        </w:rPr>
      </w:pPr>
      <w:r w:rsidRPr="00582131">
        <w:t>P.</w:t>
      </w:r>
      <w:r w:rsidRPr="00582131">
        <w:tab/>
        <w:t xml:space="preserve">Försiktighetsprincipen, som stadfästs i artikel 191 i fördraget om Europeiska unionens </w:t>
      </w:r>
      <w:r w:rsidRPr="00582131">
        <w:t>funktionssätt, bör tillämpas när det råder vetenskaplig osäkerhet.</w:t>
      </w:r>
    </w:p>
    <w:p w:rsidR="00DE70D0" w:rsidRPr="00582131" w:rsidP="00DE70D0" w14:paraId="64EBFA79" w14:textId="77777777">
      <w:pPr>
        <w:widowControl/>
        <w:autoSpaceDE w:val="0"/>
        <w:autoSpaceDN w:val="0"/>
        <w:adjustRightInd w:val="0"/>
        <w:spacing w:after="240"/>
        <w:ind w:left="567" w:hanging="567"/>
        <w:rPr>
          <w:rFonts w:eastAsiaTheme="minorHAnsi"/>
          <w:szCs w:val="24"/>
        </w:rPr>
      </w:pPr>
      <w:r w:rsidRPr="00582131">
        <w:t>Q.</w:t>
      </w:r>
      <w:r w:rsidRPr="00582131">
        <w:tab/>
        <w:t>Unionen är en avtalsslutande part i FN:s konvention om biologisk mångfald och har i enlighet med artikel 3 i denna ett ansvar för att säkerställa att verksamhet inom dess jurisdiktion eller under dess kontroll inte vållar skada på miljön i andra stater.</w:t>
      </w:r>
    </w:p>
    <w:p w:rsidR="00DE70D0" w:rsidRPr="00582131" w:rsidP="00DE70D0" w14:paraId="4BF4DD02" w14:textId="34A0542C">
      <w:pPr>
        <w:autoSpaceDE w:val="0"/>
        <w:autoSpaceDN w:val="0"/>
        <w:adjustRightInd w:val="0"/>
        <w:spacing w:after="240"/>
        <w:ind w:left="567" w:hanging="567"/>
        <w:rPr>
          <w:rFonts w:eastAsiaTheme="minorHAnsi"/>
          <w:szCs w:val="24"/>
        </w:rPr>
      </w:pPr>
      <w:r w:rsidRPr="00582131">
        <w:t>R.</w:t>
      </w:r>
      <w:r w:rsidRPr="00582131">
        <w:tab/>
        <w:t xml:space="preserve">En förlängning av godkännandet av </w:t>
      </w:r>
      <w:r w:rsidRPr="00582131" w:rsidR="00411471">
        <w:t xml:space="preserve">den </w:t>
      </w:r>
      <w:r w:rsidRPr="00582131">
        <w:t>genetiskt modifierad</w:t>
      </w:r>
      <w:r w:rsidRPr="00582131" w:rsidR="00411471">
        <w:t>e</w:t>
      </w:r>
      <w:r w:rsidRPr="00582131">
        <w:t xml:space="preserve"> majs</w:t>
      </w:r>
      <w:r w:rsidRPr="00582131" w:rsidR="00411471">
        <w:t>en</w:t>
      </w:r>
      <w:r w:rsidRPr="00582131">
        <w:t xml:space="preserve"> från unionens sida skulle inte vara förenlig med internationella åtaganden om att minska användningen av bekämpningsmedel</w:t>
      </w:r>
      <w:r>
        <w:rPr>
          <w:rFonts w:eastAsiaTheme="minorHAnsi"/>
          <w:vertAlign w:val="superscript"/>
        </w:rPr>
        <w:footnoteReference w:id="17"/>
      </w:r>
      <w:r w:rsidRPr="00582131">
        <w:t xml:space="preserve">, med tanke på människors, djurs och miljöns ökade exponering för </w:t>
      </w:r>
      <w:r w:rsidRPr="00582131">
        <w:t>glyfosat</w:t>
      </w:r>
      <w:r w:rsidRPr="00582131">
        <w:t xml:space="preserve"> och </w:t>
      </w:r>
      <w:r w:rsidRPr="00582131">
        <w:t>glufosinat</w:t>
      </w:r>
      <w:r w:rsidRPr="00582131">
        <w:t xml:space="preserve"> i länder som odlar denna herbicidtoleranta genetiskt modifierade gröda och de potentiellt allvarliga hälsoutfall som hänger samman med detta.</w:t>
      </w:r>
    </w:p>
    <w:p w:rsidR="00DE70D0" w:rsidRPr="00582131" w:rsidP="00DE70D0" w14:paraId="0BCF6288" w14:textId="77777777">
      <w:pPr>
        <w:autoSpaceDE w:val="0"/>
        <w:autoSpaceDN w:val="0"/>
        <w:adjustRightInd w:val="0"/>
        <w:spacing w:after="240"/>
        <w:ind w:left="567" w:hanging="567"/>
        <w:rPr>
          <w:rFonts w:eastAsiaTheme="minorHAnsi"/>
          <w:szCs w:val="24"/>
        </w:rPr>
      </w:pPr>
      <w:r w:rsidRPr="00582131">
        <w:t>S.</w:t>
      </w:r>
      <w:r w:rsidRPr="00582131">
        <w:tab/>
        <w:t>Odling av genetiskt modifierad majs är inte tillåten i unionen.</w:t>
      </w:r>
    </w:p>
    <w:p w:rsidR="00DE70D0" w:rsidRPr="00582131" w:rsidP="00DE70D0" w14:paraId="2E03B5DA" w14:textId="2C783633">
      <w:pPr>
        <w:autoSpaceDE w:val="0"/>
        <w:autoSpaceDN w:val="0"/>
        <w:adjustRightInd w:val="0"/>
        <w:spacing w:after="240"/>
        <w:ind w:left="567" w:hanging="567"/>
        <w:rPr>
          <w:rFonts w:eastAsiaTheme="minorHAnsi"/>
          <w:szCs w:val="24"/>
        </w:rPr>
      </w:pPr>
      <w:r w:rsidRPr="00582131">
        <w:t>T.</w:t>
      </w:r>
      <w:r w:rsidRPr="00582131">
        <w:tab/>
      </w:r>
      <w:r w:rsidRPr="00582131" w:rsidR="00411471">
        <w:t>K</w:t>
      </w:r>
      <w:r w:rsidRPr="00582131">
        <w:t xml:space="preserve">ommissionens genomförandebeslut </w:t>
      </w:r>
      <w:r w:rsidRPr="00582131" w:rsidR="00411471">
        <w:t xml:space="preserve">(EU) 2026/1443 </w:t>
      </w:r>
      <w:r w:rsidRPr="00582131">
        <w:t>skulle möjliggöra import till unionen som inte uppfyller de normer som unionens jordbrukare iakttar, vilket skulle medföra en konkurrensnackdel för dem.</w:t>
      </w:r>
    </w:p>
    <w:p w:rsidR="00DE70D0" w:rsidRPr="00582131" w:rsidP="00DE70D0" w14:paraId="5F6439BF" w14:textId="77777777">
      <w:pPr>
        <w:autoSpaceDE w:val="0"/>
        <w:autoSpaceDN w:val="0"/>
        <w:adjustRightInd w:val="0"/>
        <w:spacing w:after="240"/>
        <w:ind w:left="567" w:hanging="567"/>
        <w:rPr>
          <w:rFonts w:eastAsiaTheme="minorHAnsi"/>
          <w:szCs w:val="24"/>
        </w:rPr>
      </w:pPr>
      <w:r w:rsidRPr="00582131">
        <w:t>U.</w:t>
      </w:r>
      <w:r w:rsidRPr="00582131">
        <w:tab/>
        <w:t>I slutsatserna från den strategiska dialogen om framtiden för EU:s jordbruk</w:t>
      </w:r>
      <w:r>
        <w:rPr>
          <w:rFonts w:eastAsiaTheme="minorHAnsi"/>
          <w:vertAlign w:val="superscript"/>
        </w:rPr>
        <w:footnoteReference w:id="18"/>
      </w:r>
      <w:r w:rsidRPr="00582131">
        <w:t xml:space="preserve"> uppmanas kommissionen att ompröva sin strategi för marknadstillträde för import och export av jordbruksbaserade livsmedel, med tanke på utmaningen med olika standarder för unionen och dess handelspartner. Rättvisare handelsförbindelser på global nivå som är förenliga med målen för en hälsosam miljö var ett av jordbrukarnas viktigaste krav under demonstrationerna 2023, 2024 och 2025.</w:t>
      </w:r>
    </w:p>
    <w:p w:rsidR="00DE70D0" w:rsidRPr="00582131" w:rsidP="00DE70D0" w14:paraId="23082E27" w14:textId="77777777">
      <w:pPr>
        <w:autoSpaceDE w:val="0"/>
        <w:autoSpaceDN w:val="0"/>
        <w:adjustRightInd w:val="0"/>
        <w:spacing w:after="360"/>
        <w:ind w:left="567" w:hanging="567"/>
        <w:rPr>
          <w:rFonts w:eastAsiaTheme="minorHAnsi"/>
          <w:szCs w:val="24"/>
        </w:rPr>
      </w:pPr>
      <w:r w:rsidRPr="00582131">
        <w:t>V.</w:t>
      </w:r>
      <w:r w:rsidRPr="00582131">
        <w:tab/>
        <w:t xml:space="preserve">Parlamentet har upprepade gånger betonat att kommissionen, för att komma till rätta med det bestående demokratiska underskottet, bör låta bli att godkänna genetiskt modifierade organismer i fall där medlemsstaterna inte uppnår kvalificerad majoritet i ständiga kommittén för växter, djur, livsmedel och foder eller i omprövningskommittén. </w:t>
      </w:r>
    </w:p>
    <w:p w:rsidR="00DE70D0" w:rsidRPr="00582131" w:rsidP="00DE70D0" w14:paraId="0BDF58E0" w14:textId="77777777">
      <w:pPr>
        <w:autoSpaceDE w:val="0"/>
        <w:autoSpaceDN w:val="0"/>
        <w:adjustRightInd w:val="0"/>
        <w:spacing w:after="360"/>
        <w:ind w:left="567" w:hanging="567"/>
        <w:rPr>
          <w:rFonts w:eastAsiaTheme="minorHAnsi"/>
          <w:szCs w:val="24"/>
        </w:rPr>
      </w:pPr>
      <w:r w:rsidRPr="00582131">
        <w:t>W.</w:t>
      </w:r>
      <w:r w:rsidRPr="00582131">
        <w:tab/>
        <w:t>Trots att kommissionen själv erkänner de demokratiska bristerna, och trots det bristande stödet från medlemsstaterna och parlamentets invändningar, fortsätter den att godkänna genetiskt modifierade organismer.</w:t>
      </w:r>
    </w:p>
    <w:p w:rsidR="00DE70D0" w:rsidRPr="00582131" w:rsidP="00DE70D0" w14:paraId="12614086" w14:textId="77777777">
      <w:pPr>
        <w:autoSpaceDE w:val="0"/>
        <w:autoSpaceDN w:val="0"/>
        <w:adjustRightInd w:val="0"/>
        <w:spacing w:after="360"/>
        <w:ind w:left="567" w:hanging="567"/>
      </w:pPr>
      <w:r w:rsidRPr="00582131">
        <w:t>X.</w:t>
      </w:r>
      <w:r w:rsidRPr="00582131">
        <w:tab/>
      </w:r>
      <w:r w:rsidRPr="00582131">
        <w:t>One</w:t>
      </w:r>
      <w:r w:rsidRPr="00582131">
        <w:t xml:space="preserve"> Health-modellen förutsätter att man tar hänsyn till det ömsesidiga beroendet mellan människors, djurs, växters och miljöns hälsa vid bedömningen av genetiskt modifierade organismers långsiktiga hållbarhet och säkerhet.</w:t>
      </w:r>
    </w:p>
    <w:p w:rsidR="00DE70D0" w:rsidRPr="00582131" w:rsidP="00DE70D0" w14:paraId="37F52288" w14:textId="2C3B01F2">
      <w:pPr>
        <w:pStyle w:val="NormalHanging12a"/>
      </w:pPr>
      <w:r w:rsidRPr="00582131">
        <w:t>1.</w:t>
      </w:r>
      <w:r w:rsidRPr="00582131">
        <w:tab/>
        <w:t xml:space="preserve">Europaparlamentet anser att kommissionens genomförandebeslut </w:t>
      </w:r>
      <w:r w:rsidRPr="00582131" w:rsidR="00411471">
        <w:t xml:space="preserve">(EU) 2026/1443 </w:t>
      </w:r>
      <w:r w:rsidRPr="00582131">
        <w:t>överskrider de genomförandebefogenheter som fastställs i förordning (EG) nr 1829/2003.</w:t>
      </w:r>
    </w:p>
    <w:p w:rsidR="00DE70D0" w:rsidRPr="00582131" w:rsidP="00DE70D0" w14:paraId="523A8AAE" w14:textId="70452E64">
      <w:pPr>
        <w:pStyle w:val="NormalHanging12a"/>
      </w:pPr>
      <w:r w:rsidRPr="00582131">
        <w:t>2.</w:t>
      </w:r>
      <w:r w:rsidRPr="00582131">
        <w:tab/>
        <w:t xml:space="preserve">Europaparlamentet anser att kommissionens genomförandebeslut </w:t>
      </w:r>
      <w:r w:rsidRPr="00582131" w:rsidR="00411471">
        <w:t xml:space="preserve">(EU) 2026/1443 </w:t>
      </w:r>
      <w:r w:rsidRPr="00582131">
        <w:t xml:space="preserve">inte </w:t>
      </w:r>
      <w:r w:rsidRPr="00582131">
        <w:t>överensstämmer med unionsrätten, eftersom det är oförenligt med syftet med förordning (EG) nr 1829/2003, nämligen att, i enlighet med de allmänna principerna i Europaparlamentets och rådets förordning (EG) nr 178/2002</w:t>
      </w:r>
      <w:r>
        <w:rPr>
          <w:vertAlign w:val="superscript"/>
        </w:rPr>
        <w:footnoteReference w:id="19"/>
      </w:r>
      <w:r w:rsidRPr="00582131">
        <w:t>, skapa en grund för att säkerställa ett gott skydd för människors liv och hälsa, djurs hälsa och välbefinnande samt miljö- och konsumentintressena med avseende på genetiskt modifierade livsmedel och foder och att samtidigt sörja för att den inre marknaden fungerar på ett effektivt sätt.</w:t>
      </w:r>
    </w:p>
    <w:p w:rsidR="00DE70D0" w:rsidRPr="00582131" w:rsidP="00DE70D0" w14:paraId="2AE715CC" w14:textId="2A3F1187">
      <w:pPr>
        <w:pStyle w:val="NormalHanging12a"/>
      </w:pPr>
      <w:r w:rsidRPr="00582131">
        <w:t>3.</w:t>
      </w:r>
      <w:r w:rsidRPr="00582131">
        <w:tab/>
        <w:t xml:space="preserve">Europaparlamentet uppmanar kommissionen att </w:t>
      </w:r>
      <w:r w:rsidRPr="00582131" w:rsidR="00411471">
        <w:t xml:space="preserve">upphäva </w:t>
      </w:r>
      <w:r w:rsidRPr="00582131">
        <w:t>genomförandebeslut</w:t>
      </w:r>
      <w:r w:rsidRPr="00582131" w:rsidR="00411471">
        <w:t xml:space="preserve"> (EU) 2026/1443</w:t>
      </w:r>
      <w:r w:rsidRPr="00582131">
        <w:t>.</w:t>
      </w:r>
    </w:p>
    <w:p w:rsidR="00DE70D0" w:rsidRPr="00582131" w:rsidP="00DE70D0" w14:paraId="7E3BEBC0" w14:textId="77777777">
      <w:pPr>
        <w:pStyle w:val="NormalHanging12a"/>
      </w:pPr>
      <w:r w:rsidRPr="00582131">
        <w:t>4.</w:t>
      </w:r>
      <w:r w:rsidRPr="00582131">
        <w:tab/>
        <w:t>Europaparlamentet uppmanar kommissionen att inte tillåta import av herbicidtoleranta genetiskt modifierade grödor på grund av den tillhörande ökade användningen av kompletterande herbicider och därmed de ökade riskerna för den biologiska mångfalden, livsmedelssäkerheten och arbetstagarnas hälsa.</w:t>
      </w:r>
    </w:p>
    <w:p w:rsidR="00DE70D0" w:rsidRPr="00582131" w:rsidP="00DE70D0" w14:paraId="5BD0313D" w14:textId="77777777">
      <w:pPr>
        <w:pStyle w:val="NormalHanging12a"/>
      </w:pPr>
      <w:r w:rsidRPr="00582131">
        <w:t>5.</w:t>
      </w:r>
      <w:r w:rsidRPr="00582131">
        <w:tab/>
        <w:t>Europaparlamentet välkomnar att kommissionen i en skrivelse till ledamöterna av den 11 september 2020 medgav att hållbarheten måste tas i beaktande i beslut om godkännande av genetiskt modifierade organismer</w:t>
      </w:r>
      <w:r>
        <w:rPr>
          <w:vertAlign w:val="superscript"/>
        </w:rPr>
        <w:footnoteReference w:id="20"/>
      </w:r>
      <w:r w:rsidRPr="00582131">
        <w:t>. Parlamentet uttrycker dock sin djupa besvikelse över att kommissionen sedan dess har fortsatt att godkänna genetiskt modifierade organismer för import till unionen, trots att parlamentet har fortsatt med sina invändningar och att en majoritet av medlemsstaterna har röstat emot.</w:t>
      </w:r>
    </w:p>
    <w:p w:rsidR="00DE70D0" w:rsidRPr="00582131" w:rsidP="00DE70D0" w14:paraId="5CFDE12D" w14:textId="77777777">
      <w:pPr>
        <w:pStyle w:val="NormalHanging12a"/>
      </w:pPr>
      <w:r w:rsidRPr="00582131">
        <w:t>6.</w:t>
      </w:r>
      <w:r w:rsidRPr="00582131">
        <w:tab/>
        <w:t>Europaparlamentet uppmanar återigen och eftertryckligen kommissionen att beakta unionens skyldigheter enligt internationella avtal, såsom Parisavtalet om klimatförändringar, FN:s konvention om biologisk mångfald och FN:s mål för hållbar utveckling. Parlamentet upprepar sin begäran om att utkasten till genomförandeakter ska åtföljas av en motivering där det förklaras hur de upprätthåller principen att ”inte göra någon skada”</w:t>
      </w:r>
      <w:r>
        <w:rPr>
          <w:vertAlign w:val="superscript"/>
        </w:rPr>
        <w:footnoteReference w:id="21"/>
      </w:r>
      <w:r w:rsidRPr="00582131">
        <w:t>.</w:t>
      </w:r>
    </w:p>
    <w:p w:rsidR="00DE70D0" w:rsidRPr="00582131" w:rsidP="00DE70D0" w14:paraId="12B46A65" w14:textId="77777777">
      <w:pPr>
        <w:pStyle w:val="NormalHanging12a"/>
      </w:pPr>
      <w:r w:rsidRPr="00582131">
        <w:t>7.</w:t>
      </w:r>
      <w:r w:rsidRPr="00582131">
        <w:tab/>
        <w:t>Europaparlamentet framhåller att det i de ändringar som Europaparlamentet antog den 17 december 2020 om förslaget till Europaparlamentets och rådets förordning om ändring av förordning (EU) nr 182/2011</w:t>
      </w:r>
      <w:r>
        <w:rPr>
          <w:vertAlign w:val="superscript"/>
        </w:rPr>
        <w:footnoteReference w:id="22"/>
      </w:r>
      <w:r w:rsidRPr="00582131">
        <w:t>, som antogs i parlamentet som grund för förhandlingarna med rådet, anges att kommissionen inte ska godkänna genetiskt modifierade organismer om det inte finns stöd av en kvalificerad majoritet av medlemsstaterna för detta. Parlamentet insisterar på att kommissionen respekterar denna ståndpunkt, och uppmanar rådet att fortsätta sitt arbete och snarast anta en allmän riktlinje i detta ärende.</w:t>
      </w:r>
    </w:p>
    <w:p w:rsidR="009A174E" w:rsidRPr="00582131" w:rsidP="009A174E" w14:paraId="2E625F83" w14:textId="5B654F06">
      <w:pPr>
        <w:pStyle w:val="NormalHanging12a"/>
      </w:pPr>
      <w:r w:rsidRPr="00582131">
        <w:t>8.</w:t>
      </w:r>
      <w:r w:rsidRPr="00582131">
        <w:tab/>
        <w:t>Europaparlamentet uppdrar åt talmannen att översända denna resolution till rådet och kommissionen samt till medlemsstaternas regeringar och parlament.</w:t>
      </w:r>
    </w:p>
    <w:p w:rsidR="00E365E1" w:rsidRPr="00582131" w:rsidP="00306AD7" w14:paraId="0888EFEE" w14:textId="7D6DBE4D"/>
    <w:sectPr w:rsidSect="009A174E">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5002EFF" w:usb1="C200ACF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9A174E" w14:paraId="71DB14A8"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9A174E" w14:paraId="2DEDC4A3"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9A174E" w14:paraId="6470FC20"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306AD7" w:rsidRPr="009A174E" w14:paraId="6B3CF37B" w14:textId="77777777">
      <w:r w:rsidRPr="009A174E">
        <w:separator/>
      </w:r>
    </w:p>
  </w:footnote>
  <w:footnote w:type="continuationSeparator" w:id="1">
    <w:p w:rsidR="00306AD7" w:rsidRPr="009A174E" w14:paraId="1C66B749" w14:textId="77777777">
      <w:r w:rsidRPr="009A174E">
        <w:continuationSeparator/>
      </w:r>
    </w:p>
  </w:footnote>
  <w:footnote w:id="2">
    <w:p w:rsidR="00411471" w:rsidRPr="00582131" w:rsidP="00411471" w14:paraId="53A524EB" w14:textId="4DF3B6A9">
      <w:pPr>
        <w:pStyle w:val="FootnoteText"/>
        <w:ind w:left="567" w:hanging="567"/>
        <w:rPr>
          <w:sz w:val="24"/>
          <w:szCs w:val="24"/>
          <w:lang w:val="fi-FI"/>
        </w:rPr>
      </w:pPr>
      <w:r w:rsidRPr="00582131">
        <w:rPr>
          <w:rStyle w:val="FootnoteReference"/>
          <w:sz w:val="24"/>
          <w:szCs w:val="24"/>
        </w:rPr>
        <w:footnoteRef/>
      </w:r>
      <w:r w:rsidRPr="00582131">
        <w:rPr>
          <w:sz w:val="24"/>
          <w:szCs w:val="24"/>
          <w:lang w:val="fi-FI"/>
        </w:rPr>
        <w:t xml:space="preserve"> </w:t>
      </w:r>
      <w:r w:rsidRPr="00582131">
        <w:rPr>
          <w:sz w:val="24"/>
          <w:szCs w:val="24"/>
          <w:lang w:val="fi-FI"/>
        </w:rPr>
        <w:tab/>
        <w:t xml:space="preserve">EUT L, 2026/1443, 3.7.2026, ELI: </w:t>
      </w:r>
      <w:hyperlink r:id="rId1" w:history="1">
        <w:r w:rsidRPr="00582131">
          <w:rPr>
            <w:rStyle w:val="Hyperlink"/>
            <w:sz w:val="24"/>
            <w:szCs w:val="24"/>
            <w:lang w:val="fi-FI"/>
          </w:rPr>
          <w:t>http://data.europa.eu/eli/dec_impl/2026/1443/oj</w:t>
        </w:r>
      </w:hyperlink>
      <w:r w:rsidRPr="00582131">
        <w:rPr>
          <w:sz w:val="24"/>
          <w:szCs w:val="24"/>
          <w:lang w:val="fi-FI"/>
        </w:rPr>
        <w:t>.</w:t>
      </w:r>
    </w:p>
  </w:footnote>
  <w:footnote w:id="3">
    <w:p w:rsidR="00DE70D0" w:rsidRPr="00582131" w:rsidP="009A174E" w14:paraId="322D0EEC" w14:textId="61941DD9">
      <w:pPr>
        <w:pStyle w:val="FootnoteText"/>
        <w:ind w:left="567" w:hanging="567"/>
        <w:rPr>
          <w:sz w:val="24"/>
          <w:lang w:val="sv-SE"/>
        </w:rPr>
      </w:pPr>
      <w:r w:rsidRPr="00582131">
        <w:rPr>
          <w:rStyle w:val="Funotenzeichen"/>
          <w:sz w:val="24"/>
          <w:lang w:val="sv-SE"/>
        </w:rPr>
        <w:footnoteRef/>
      </w:r>
      <w:r w:rsidRPr="00582131" w:rsidR="009A174E">
        <w:rPr>
          <w:sz w:val="24"/>
          <w:lang w:val="sv-SE"/>
        </w:rPr>
        <w:t xml:space="preserve"> </w:t>
      </w:r>
      <w:r w:rsidRPr="00582131" w:rsidR="009A174E">
        <w:rPr>
          <w:sz w:val="24"/>
          <w:lang w:val="sv-SE"/>
        </w:rPr>
        <w:tab/>
      </w:r>
      <w:r w:rsidRPr="00582131">
        <w:rPr>
          <w:sz w:val="24"/>
          <w:lang w:val="sv-SE"/>
        </w:rPr>
        <w:t>EUT L 268, 18.10.2003, s. 1., ELI: </w:t>
      </w:r>
      <w:hyperlink r:id="rId2" w:history="1">
        <w:r w:rsidRPr="00582131">
          <w:rPr>
            <w:rStyle w:val="Hyperlink"/>
            <w:sz w:val="24"/>
            <w:lang w:val="sv-SE"/>
          </w:rPr>
          <w:t>http://data.europa.eu/</w:t>
        </w:r>
        <w:r w:rsidRPr="00582131">
          <w:rPr>
            <w:rStyle w:val="Hyperlink"/>
            <w:sz w:val="24"/>
            <w:lang w:val="sv-SE"/>
          </w:rPr>
          <w:t>eli</w:t>
        </w:r>
        <w:r w:rsidRPr="00582131">
          <w:rPr>
            <w:rStyle w:val="Hyperlink"/>
            <w:sz w:val="24"/>
            <w:lang w:val="sv-SE"/>
          </w:rPr>
          <w:t>/</w:t>
        </w:r>
        <w:r w:rsidRPr="00582131">
          <w:rPr>
            <w:rStyle w:val="Hyperlink"/>
            <w:sz w:val="24"/>
            <w:lang w:val="sv-SE"/>
          </w:rPr>
          <w:t>reg</w:t>
        </w:r>
        <w:r w:rsidRPr="00582131">
          <w:rPr>
            <w:rStyle w:val="Hyperlink"/>
            <w:sz w:val="24"/>
            <w:lang w:val="sv-SE"/>
          </w:rPr>
          <w:t>/2003/1829/oj</w:t>
        </w:r>
      </w:hyperlink>
      <w:r w:rsidRPr="00582131">
        <w:rPr>
          <w:sz w:val="24"/>
          <w:lang w:val="sv-SE"/>
        </w:rPr>
        <w:t>.</w:t>
      </w:r>
    </w:p>
  </w:footnote>
  <w:footnote w:id="4">
    <w:p w:rsidR="00DE70D0" w:rsidRPr="00582131" w:rsidP="009A174E" w14:paraId="05A24051" w14:textId="5329620C">
      <w:pPr>
        <w:pStyle w:val="FootnoteText"/>
        <w:ind w:left="567" w:hanging="567"/>
        <w:rPr>
          <w:sz w:val="24"/>
          <w:lang w:val="sv-SE"/>
        </w:rPr>
      </w:pPr>
      <w:r w:rsidRPr="00582131">
        <w:rPr>
          <w:rStyle w:val="FootnoteReference"/>
          <w:sz w:val="24"/>
          <w:lang w:val="sv-SE"/>
        </w:rPr>
        <w:footnoteRef/>
      </w:r>
      <w:r w:rsidRPr="00582131" w:rsidR="009A174E">
        <w:rPr>
          <w:sz w:val="24"/>
          <w:lang w:val="sv-SE"/>
        </w:rPr>
        <w:t xml:space="preserve"> </w:t>
      </w:r>
      <w:r w:rsidRPr="00582131" w:rsidR="009A174E">
        <w:rPr>
          <w:sz w:val="24"/>
          <w:lang w:val="sv-SE"/>
        </w:rPr>
        <w:tab/>
      </w:r>
      <w:r w:rsidRPr="00582131">
        <w:rPr>
          <w:sz w:val="24"/>
          <w:lang w:val="sv-SE"/>
        </w:rPr>
        <w:t>EUT L 55, 28.2.2011, s. 13, ELI: </w:t>
      </w:r>
      <w:hyperlink r:id="rId3" w:history="1">
        <w:r w:rsidRPr="00582131">
          <w:rPr>
            <w:rStyle w:val="Hyperlink"/>
            <w:sz w:val="24"/>
            <w:lang w:val="sv-SE"/>
          </w:rPr>
          <w:t>http://data.europa.eu/</w:t>
        </w:r>
        <w:r w:rsidRPr="00582131">
          <w:rPr>
            <w:rStyle w:val="Hyperlink"/>
            <w:sz w:val="24"/>
            <w:lang w:val="sv-SE"/>
          </w:rPr>
          <w:t>eli</w:t>
        </w:r>
        <w:r w:rsidRPr="00582131">
          <w:rPr>
            <w:rStyle w:val="Hyperlink"/>
            <w:sz w:val="24"/>
            <w:lang w:val="sv-SE"/>
          </w:rPr>
          <w:t>/</w:t>
        </w:r>
        <w:r w:rsidRPr="00582131">
          <w:rPr>
            <w:rStyle w:val="Hyperlink"/>
            <w:sz w:val="24"/>
            <w:lang w:val="sv-SE"/>
          </w:rPr>
          <w:t>reg</w:t>
        </w:r>
        <w:r w:rsidRPr="00582131">
          <w:rPr>
            <w:rStyle w:val="Hyperlink"/>
            <w:sz w:val="24"/>
            <w:lang w:val="sv-SE"/>
          </w:rPr>
          <w:t>/2011/182/oj</w:t>
        </w:r>
      </w:hyperlink>
      <w:r w:rsidRPr="00582131">
        <w:rPr>
          <w:sz w:val="24"/>
          <w:lang w:val="sv-SE"/>
        </w:rPr>
        <w:t>.</w:t>
      </w:r>
    </w:p>
  </w:footnote>
  <w:footnote w:id="5">
    <w:p w:rsidR="00DE70D0" w:rsidRPr="00582131" w:rsidP="009A174E" w14:paraId="3C8A08F7" w14:textId="15B155DF">
      <w:pPr>
        <w:pStyle w:val="FootnoteText"/>
        <w:ind w:left="567" w:hanging="567"/>
        <w:rPr>
          <w:sz w:val="24"/>
          <w:lang w:val="sv-SE"/>
        </w:rPr>
      </w:pPr>
      <w:r w:rsidRPr="00582131">
        <w:rPr>
          <w:rStyle w:val="Funotenzeichen"/>
          <w:sz w:val="24"/>
          <w:lang w:val="sv-SE"/>
        </w:rPr>
        <w:footnoteRef/>
      </w:r>
      <w:r w:rsidRPr="00582131" w:rsidR="009A174E">
        <w:rPr>
          <w:sz w:val="24"/>
          <w:lang w:val="sv-SE"/>
        </w:rPr>
        <w:t xml:space="preserve"> </w:t>
      </w:r>
      <w:r w:rsidRPr="00582131" w:rsidR="009A174E">
        <w:rPr>
          <w:sz w:val="24"/>
          <w:lang w:val="sv-SE"/>
        </w:rPr>
        <w:tab/>
      </w:r>
      <w:r w:rsidRPr="00582131">
        <w:rPr>
          <w:sz w:val="24"/>
          <w:lang w:val="sv-SE"/>
        </w:rPr>
        <w:t xml:space="preserve">Vetenskapligt yttrande från </w:t>
      </w:r>
      <w:r w:rsidRPr="00582131">
        <w:rPr>
          <w:sz w:val="24"/>
          <w:lang w:val="sv-SE"/>
        </w:rPr>
        <w:t>Efsas</w:t>
      </w:r>
      <w:r w:rsidRPr="00582131">
        <w:rPr>
          <w:sz w:val="24"/>
          <w:lang w:val="sv-SE"/>
        </w:rPr>
        <w:t xml:space="preserve"> panel för genetiskt modifierade organismer över bedömningen av den genetiskt modifierade majsen DP202216 × NK603 × DAS-40278-9 (ansökan GMFF</w:t>
      </w:r>
      <w:r w:rsidRPr="00582131">
        <w:rPr>
          <w:sz w:val="24"/>
          <w:lang w:val="sv-SE"/>
        </w:rPr>
        <w:noBreakHyphen/>
        <w:t xml:space="preserve">2022-6232)’, EFSA Journal, 2025, 23(12):e9746, </w:t>
      </w:r>
      <w:hyperlink r:id="rId4" w:history="1">
        <w:r w:rsidRPr="00582131">
          <w:rPr>
            <w:sz w:val="24"/>
            <w:lang w:val="sv-SE"/>
          </w:rPr>
          <w:t>https://doi.org/10.2903/j.efsa.2025.9746</w:t>
        </w:r>
      </w:hyperlink>
      <w:r w:rsidRPr="00582131">
        <w:rPr>
          <w:sz w:val="24"/>
          <w:lang w:val="sv-SE"/>
        </w:rPr>
        <w:t>.</w:t>
      </w:r>
    </w:p>
  </w:footnote>
  <w:footnote w:id="6">
    <w:p w:rsidR="00DE70D0" w:rsidRPr="00582131" w:rsidP="009A174E" w14:paraId="1686C5A6" w14:textId="3314A74A">
      <w:pPr>
        <w:pStyle w:val="FootnoteText"/>
        <w:ind w:left="567" w:hanging="567"/>
        <w:rPr>
          <w:color w:val="000000" w:themeColor="text1"/>
          <w:sz w:val="24"/>
          <w:vertAlign w:val="superscript"/>
          <w:lang w:val="sv-SE"/>
        </w:rPr>
      </w:pPr>
      <w:r w:rsidRPr="00582131">
        <w:rPr>
          <w:rStyle w:val="Funotenzeichen"/>
          <w:sz w:val="24"/>
          <w:lang w:val="sv-SE"/>
        </w:rPr>
        <w:footnoteRef/>
      </w:r>
      <w:r w:rsidRPr="00582131" w:rsidR="009A174E">
        <w:rPr>
          <w:sz w:val="24"/>
          <w:lang w:val="sv-SE"/>
        </w:rPr>
        <w:t xml:space="preserve"> </w:t>
      </w:r>
      <w:r w:rsidRPr="00582131" w:rsidR="009A174E">
        <w:rPr>
          <w:sz w:val="24"/>
          <w:lang w:val="sv-SE"/>
        </w:rPr>
        <w:tab/>
      </w:r>
      <w:r w:rsidRPr="00582131">
        <w:rPr>
          <w:sz w:val="24"/>
          <w:lang w:val="sv-SE"/>
        </w:rPr>
        <w:t>Parlamentet antog under sin åttonde valperiod 36 resolutioner och under sin nionde valperiod 38 resolutioner med invändningar mot godkännandet av genetiskt modifierade organismer. Dessutom har parlamentet</w:t>
      </w:r>
      <w:r w:rsidRPr="00582131">
        <w:rPr>
          <w:color w:val="000000" w:themeColor="text1"/>
          <w:sz w:val="24"/>
          <w:lang w:val="sv-SE"/>
        </w:rPr>
        <w:t xml:space="preserve"> under sin tionde valperiod antagit följande resolutioner:</w:t>
      </w:r>
    </w:p>
    <w:p w:rsidR="00DE70D0" w:rsidRPr="00582131" w:rsidP="00411471" w14:paraId="4B592395" w14:textId="3A628F96">
      <w:pPr>
        <w:pStyle w:val="FootnoteText"/>
        <w:ind w:left="1134" w:hanging="1134"/>
        <w:rPr>
          <w:color w:val="000000" w:themeColor="text1"/>
          <w:sz w:val="24"/>
          <w:vertAlign w:val="superscript"/>
          <w:lang w:val="sv-SE"/>
        </w:rPr>
      </w:pPr>
      <w:r w:rsidRPr="00582131">
        <w:rPr>
          <w:color w:val="000000" w:themeColor="text1"/>
          <w:sz w:val="24"/>
          <w:lang w:val="sv-SE"/>
        </w:rPr>
        <w:t xml:space="preserve"> </w:t>
      </w:r>
      <w:r w:rsidRPr="00582131">
        <w:rPr>
          <w:color w:val="000000" w:themeColor="text1"/>
          <w:sz w:val="24"/>
          <w:lang w:val="sv-SE"/>
        </w:rPr>
        <w:tab/>
      </w:r>
      <w:r w:rsidRPr="00582131">
        <w:rPr>
          <w:color w:val="000000" w:themeColor="text1"/>
          <w:sz w:val="24"/>
          <w:lang w:val="sv-SE"/>
        </w:rPr>
        <w:t>–</w:t>
      </w:r>
      <w:r w:rsidRPr="00582131">
        <w:rPr>
          <w:color w:val="000000" w:themeColor="text1"/>
          <w:sz w:val="24"/>
          <w:lang w:val="sv-SE"/>
        </w:rPr>
        <w:tab/>
        <w:t>Europaparlamentets resolution av den 26 november 2024 om kommissionens genomförandebeslut (EU) 2024/2628 om förlängning av godkännandet för utsläppande på marknaden av produkter som innehåller, består av eller har framställts av den genetiskt modifierade majsen MON 89034 × 1507 × NK603, i enlighet med Europaparlamentets och rådets förordning (EG) nr 1829/2003 (EUT C, C/2025/1797, 4.4.2025, ELI: </w:t>
      </w:r>
      <w:hyperlink r:id="rId5" w:history="1">
        <w:r w:rsidRPr="00582131">
          <w:rPr>
            <w:rStyle w:val="Hyperlink"/>
            <w:sz w:val="24"/>
            <w:lang w:val="sv-SE"/>
          </w:rPr>
          <w:t>http://data.europa.eu/</w:t>
        </w:r>
        <w:r w:rsidRPr="00582131">
          <w:rPr>
            <w:rStyle w:val="Hyperlink"/>
            <w:sz w:val="24"/>
            <w:lang w:val="sv-SE"/>
          </w:rPr>
          <w:t>eli</w:t>
        </w:r>
        <w:r w:rsidRPr="00582131">
          <w:rPr>
            <w:rStyle w:val="Hyperlink"/>
            <w:sz w:val="24"/>
            <w:lang w:val="sv-SE"/>
          </w:rPr>
          <w:t>/C/2025/1797/oj</w:t>
        </w:r>
      </w:hyperlink>
      <w:r w:rsidRPr="00582131">
        <w:rPr>
          <w:color w:val="000000" w:themeColor="text1"/>
          <w:sz w:val="24"/>
          <w:lang w:val="sv-SE"/>
        </w:rPr>
        <w:t>).</w:t>
      </w:r>
    </w:p>
    <w:p w:rsidR="00DE70D0" w:rsidRPr="00582131" w:rsidP="00411471" w14:paraId="35B6E066" w14:textId="722B2ED4">
      <w:pPr>
        <w:pStyle w:val="FootnoteText"/>
        <w:ind w:left="1134" w:hanging="1134"/>
        <w:rPr>
          <w:color w:val="000000" w:themeColor="text1"/>
          <w:sz w:val="24"/>
          <w:vertAlign w:val="superscript"/>
          <w:lang w:val="sv-SE"/>
        </w:rPr>
      </w:pPr>
      <w:r w:rsidRPr="00582131">
        <w:rPr>
          <w:color w:val="000000" w:themeColor="text1"/>
          <w:sz w:val="24"/>
          <w:lang w:val="sv-SE"/>
        </w:rPr>
        <w:t xml:space="preserve"> </w:t>
      </w:r>
      <w:r w:rsidRPr="00582131">
        <w:rPr>
          <w:color w:val="000000" w:themeColor="text1"/>
          <w:sz w:val="24"/>
          <w:lang w:val="sv-SE"/>
        </w:rPr>
        <w:tab/>
      </w:r>
      <w:r w:rsidRPr="00582131">
        <w:rPr>
          <w:color w:val="000000" w:themeColor="text1"/>
          <w:sz w:val="24"/>
          <w:lang w:val="sv-SE"/>
        </w:rPr>
        <w:t>–</w:t>
      </w:r>
      <w:r w:rsidRPr="00582131">
        <w:rPr>
          <w:color w:val="000000" w:themeColor="text1"/>
          <w:sz w:val="24"/>
          <w:lang w:val="sv-SE"/>
        </w:rPr>
        <w:tab/>
        <w:t>Europaparlamentets resolution av den 26 november 2024 om kommissionens genomförandebeslut (EU) 2024/2627 om godkännande för utsläppande på marknaden av produkter som innehåller, består av eller har framställts av genetiskt modifierad bomull COT102, i enlighet med Europaparlamentets och rådets förordning (EG) nr 1829/2003 (EUT C, C/2025/1798, 4.4.2025, ELI: </w:t>
      </w:r>
      <w:hyperlink r:id="rId6" w:history="1">
        <w:r w:rsidRPr="00582131">
          <w:rPr>
            <w:rStyle w:val="Hyperlink"/>
            <w:sz w:val="24"/>
            <w:lang w:val="sv-SE"/>
          </w:rPr>
          <w:t>http://data.europa.eu/</w:t>
        </w:r>
        <w:r w:rsidRPr="00582131">
          <w:rPr>
            <w:rStyle w:val="Hyperlink"/>
            <w:sz w:val="24"/>
            <w:lang w:val="sv-SE"/>
          </w:rPr>
          <w:t>eli</w:t>
        </w:r>
        <w:r w:rsidRPr="00582131">
          <w:rPr>
            <w:rStyle w:val="Hyperlink"/>
            <w:sz w:val="24"/>
            <w:lang w:val="sv-SE"/>
          </w:rPr>
          <w:t>/C/2025/1798/oj</w:t>
        </w:r>
      </w:hyperlink>
      <w:r w:rsidRPr="00582131">
        <w:rPr>
          <w:color w:val="000000" w:themeColor="text1"/>
          <w:sz w:val="24"/>
          <w:lang w:val="sv-SE"/>
        </w:rPr>
        <w:t>).</w:t>
      </w:r>
    </w:p>
    <w:p w:rsidR="00DE70D0" w:rsidRPr="00582131" w:rsidP="00411471" w14:paraId="43CB77A8" w14:textId="7DB063D6">
      <w:pPr>
        <w:pStyle w:val="FootnoteText"/>
        <w:ind w:left="1134" w:hanging="1134"/>
        <w:rPr>
          <w:color w:val="000000" w:themeColor="text1"/>
          <w:sz w:val="24"/>
          <w:vertAlign w:val="superscript"/>
          <w:lang w:val="sv-SE"/>
        </w:rPr>
      </w:pPr>
      <w:r w:rsidRPr="00582131">
        <w:rPr>
          <w:color w:val="000000" w:themeColor="text1"/>
          <w:sz w:val="24"/>
          <w:lang w:val="sv-SE"/>
        </w:rPr>
        <w:t xml:space="preserve"> </w:t>
      </w:r>
      <w:r w:rsidRPr="00582131">
        <w:rPr>
          <w:color w:val="000000" w:themeColor="text1"/>
          <w:sz w:val="24"/>
          <w:lang w:val="sv-SE"/>
        </w:rPr>
        <w:tab/>
      </w:r>
      <w:r w:rsidRPr="00582131">
        <w:rPr>
          <w:color w:val="000000" w:themeColor="text1"/>
          <w:sz w:val="24"/>
          <w:lang w:val="sv-SE"/>
        </w:rPr>
        <w:t>–</w:t>
      </w:r>
      <w:r w:rsidRPr="00582131">
        <w:rPr>
          <w:color w:val="000000" w:themeColor="text1"/>
          <w:sz w:val="24"/>
          <w:lang w:val="sv-SE"/>
        </w:rPr>
        <w:tab/>
        <w:t>Europaparlamentets resolution av den 26 november 2024 om kommissionens genomförandebeslut (EU) 2024/2629 om förlängning av godkännandet för utsläppande på marknaden av produkter som innehåller, består av eller har framställts av den genetiskt modifierade majsen MON 89034 × 1507 × MON 88017 × 59122 och åtta av dess klyvningsprodukter, i enlighet med Europaparlamentets och rådets förordning (EG) nr 1829/2003 (EUT C, C/2025/1799, 4.4.2025, ELI: </w:t>
      </w:r>
      <w:hyperlink r:id="rId7" w:history="1">
        <w:r w:rsidRPr="00582131">
          <w:rPr>
            <w:rStyle w:val="Hyperlink"/>
            <w:sz w:val="24"/>
            <w:lang w:val="sv-SE"/>
          </w:rPr>
          <w:t>http://data.europa.eu/</w:t>
        </w:r>
        <w:r w:rsidRPr="00582131">
          <w:rPr>
            <w:rStyle w:val="Hyperlink"/>
            <w:sz w:val="24"/>
            <w:lang w:val="sv-SE"/>
          </w:rPr>
          <w:t>eli</w:t>
        </w:r>
        <w:r w:rsidRPr="00582131">
          <w:rPr>
            <w:rStyle w:val="Hyperlink"/>
            <w:sz w:val="24"/>
            <w:lang w:val="sv-SE"/>
          </w:rPr>
          <w:t>/C/2025/1799/oj</w:t>
        </w:r>
      </w:hyperlink>
      <w:r w:rsidRPr="00582131">
        <w:rPr>
          <w:color w:val="000000" w:themeColor="text1"/>
          <w:sz w:val="24"/>
          <w:lang w:val="sv-SE"/>
        </w:rPr>
        <w:t>).</w:t>
      </w:r>
    </w:p>
    <w:p w:rsidR="00DE70D0" w:rsidRPr="00582131" w:rsidP="00411471" w14:paraId="6FBA3042" w14:textId="72F30D70">
      <w:pPr>
        <w:pStyle w:val="FootnoteText"/>
        <w:ind w:left="1134" w:hanging="1134"/>
        <w:rPr>
          <w:color w:val="000000" w:themeColor="text1"/>
          <w:sz w:val="24"/>
          <w:vertAlign w:val="superscript"/>
          <w:lang w:val="sv-SE"/>
        </w:rPr>
      </w:pPr>
      <w:r w:rsidRPr="00582131">
        <w:rPr>
          <w:color w:val="000000" w:themeColor="text1"/>
          <w:sz w:val="24"/>
          <w:lang w:val="sv-SE"/>
        </w:rPr>
        <w:t xml:space="preserve"> </w:t>
      </w:r>
      <w:r w:rsidRPr="00582131">
        <w:rPr>
          <w:color w:val="000000" w:themeColor="text1"/>
          <w:sz w:val="24"/>
          <w:lang w:val="sv-SE"/>
        </w:rPr>
        <w:tab/>
      </w:r>
      <w:r w:rsidRPr="00582131">
        <w:rPr>
          <w:color w:val="000000" w:themeColor="text1"/>
          <w:sz w:val="24"/>
          <w:lang w:val="sv-SE"/>
        </w:rPr>
        <w:t>–</w:t>
      </w:r>
      <w:r w:rsidRPr="00582131">
        <w:rPr>
          <w:color w:val="000000" w:themeColor="text1"/>
          <w:sz w:val="24"/>
          <w:lang w:val="sv-SE"/>
        </w:rPr>
        <w:tab/>
        <w:t>Europaparlamentets resolution av den 26 november 2024 om kommissionens genomförandebeslut (EU) 2024/1828 om förlängning av godkännandet för utsläppande på marknaden av foder som innehåller eller består av den genetiskt modifierade majsen MON 810 och av livsmedel och foderprodukter som har framställts av den genetiskt modifierade majsen MON 810 i enlighet med Europaparlamentets och rådets förordning (EG) nr 1829/2003 och om upphävande av kommissionens genomförandebeslut (EU) 2017/1207 (EUT C, C/2025/1800, 4.4.2025, ELI: </w:t>
      </w:r>
      <w:hyperlink r:id="rId8" w:history="1">
        <w:r w:rsidRPr="00582131">
          <w:rPr>
            <w:rStyle w:val="Hyperlink"/>
            <w:sz w:val="24"/>
            <w:lang w:val="sv-SE"/>
          </w:rPr>
          <w:t>http://data.europa.eu/</w:t>
        </w:r>
        <w:r w:rsidRPr="00582131">
          <w:rPr>
            <w:rStyle w:val="Hyperlink"/>
            <w:sz w:val="24"/>
            <w:lang w:val="sv-SE"/>
          </w:rPr>
          <w:t>eli</w:t>
        </w:r>
        <w:r w:rsidRPr="00582131">
          <w:rPr>
            <w:rStyle w:val="Hyperlink"/>
            <w:sz w:val="24"/>
            <w:lang w:val="sv-SE"/>
          </w:rPr>
          <w:t>/C/2025/1800/oj</w:t>
        </w:r>
      </w:hyperlink>
      <w:r w:rsidRPr="00582131">
        <w:rPr>
          <w:color w:val="000000" w:themeColor="text1"/>
          <w:sz w:val="24"/>
          <w:lang w:val="sv-SE"/>
        </w:rPr>
        <w:t>).</w:t>
      </w:r>
    </w:p>
    <w:p w:rsidR="00DE70D0" w:rsidRPr="00582131" w:rsidP="00411471" w14:paraId="54DA5813" w14:textId="715775E6">
      <w:pPr>
        <w:pStyle w:val="FootnoteText"/>
        <w:ind w:left="1134" w:hanging="1134"/>
        <w:rPr>
          <w:color w:val="000000" w:themeColor="text1"/>
          <w:sz w:val="24"/>
          <w:vertAlign w:val="superscript"/>
          <w:lang w:val="sv-SE"/>
        </w:rPr>
      </w:pPr>
      <w:r w:rsidRPr="00582131">
        <w:rPr>
          <w:color w:val="000000" w:themeColor="text1"/>
          <w:sz w:val="24"/>
          <w:lang w:val="sv-SE"/>
        </w:rPr>
        <w:t xml:space="preserve"> </w:t>
      </w:r>
      <w:r w:rsidRPr="00582131">
        <w:rPr>
          <w:color w:val="000000" w:themeColor="text1"/>
          <w:sz w:val="24"/>
          <w:lang w:val="sv-SE"/>
        </w:rPr>
        <w:tab/>
      </w:r>
      <w:r w:rsidRPr="00582131">
        <w:rPr>
          <w:color w:val="000000" w:themeColor="text1"/>
          <w:sz w:val="24"/>
          <w:lang w:val="sv-SE"/>
        </w:rPr>
        <w:t>–</w:t>
      </w:r>
      <w:r w:rsidRPr="00582131">
        <w:rPr>
          <w:color w:val="000000" w:themeColor="text1"/>
          <w:sz w:val="24"/>
          <w:lang w:val="sv-SE"/>
        </w:rPr>
        <w:tab/>
        <w:t>Europaparlamentets resolution av den 26 november 2024 om kommissionens genomförandebeslut (EU) 2024/1822 om godkännande för utsläppande på marknaden av produkter som innehåller, består av eller har framställts av den genetiskt modifierade majsen DP915635, i enlighet med Europaparlamentets och rådets förordning (EG) nr 1829/2003 (EUT C, C/2025/1801, 4.4.2025, ELI: </w:t>
      </w:r>
      <w:hyperlink r:id="rId9" w:history="1">
        <w:r w:rsidRPr="00582131">
          <w:rPr>
            <w:rStyle w:val="Hyperlink"/>
            <w:sz w:val="24"/>
            <w:lang w:val="sv-SE"/>
          </w:rPr>
          <w:t>http://data.europa.eu/</w:t>
        </w:r>
        <w:r w:rsidRPr="00582131">
          <w:rPr>
            <w:rStyle w:val="Hyperlink"/>
            <w:sz w:val="24"/>
            <w:lang w:val="sv-SE"/>
          </w:rPr>
          <w:t>eli</w:t>
        </w:r>
        <w:r w:rsidRPr="00582131">
          <w:rPr>
            <w:rStyle w:val="Hyperlink"/>
            <w:sz w:val="24"/>
            <w:lang w:val="sv-SE"/>
          </w:rPr>
          <w:t>/C/2025/1801/oj</w:t>
        </w:r>
      </w:hyperlink>
      <w:r w:rsidRPr="00582131">
        <w:rPr>
          <w:color w:val="000000" w:themeColor="text1"/>
          <w:sz w:val="24"/>
          <w:lang w:val="sv-SE"/>
        </w:rPr>
        <w:t>).</w:t>
      </w:r>
    </w:p>
    <w:p w:rsidR="00DE70D0" w:rsidRPr="00582131" w:rsidP="00411471" w14:paraId="5771B3BB" w14:textId="4352EE44">
      <w:pPr>
        <w:pStyle w:val="FootnoteText"/>
        <w:ind w:left="1134" w:hanging="1134"/>
        <w:rPr>
          <w:color w:val="000000" w:themeColor="text1"/>
          <w:sz w:val="24"/>
          <w:vertAlign w:val="superscript"/>
          <w:lang w:val="sv-SE"/>
        </w:rPr>
      </w:pPr>
      <w:r w:rsidRPr="00582131">
        <w:rPr>
          <w:color w:val="000000" w:themeColor="text1"/>
          <w:sz w:val="24"/>
          <w:lang w:val="sv-SE"/>
        </w:rPr>
        <w:t xml:space="preserve"> </w:t>
      </w:r>
      <w:r w:rsidRPr="00582131">
        <w:rPr>
          <w:color w:val="000000" w:themeColor="text1"/>
          <w:sz w:val="24"/>
          <w:lang w:val="sv-SE"/>
        </w:rPr>
        <w:tab/>
      </w:r>
      <w:r w:rsidRPr="00582131">
        <w:rPr>
          <w:color w:val="000000" w:themeColor="text1"/>
          <w:sz w:val="24"/>
          <w:lang w:val="sv-SE"/>
        </w:rPr>
        <w:t>–</w:t>
      </w:r>
      <w:r w:rsidRPr="00582131">
        <w:rPr>
          <w:color w:val="000000" w:themeColor="text1"/>
          <w:sz w:val="24"/>
          <w:lang w:val="sv-SE"/>
        </w:rPr>
        <w:tab/>
        <w:t>Europaparlamentets resolution av den 26 november 2024 om kommissionens genomförandebeslut (EU) 2024/1826 om godkännande för utsläppande på marknaden av produkter som innehåller, består av eller har framställts av den genetiskt modifierade majsen DP23211, i enlighet med Europaparlamentets och rådets förordning (EG) nr 1829/2003 (EUT C, C/2025/1802, 4.4.2025, ELI: </w:t>
      </w:r>
      <w:hyperlink r:id="rId10" w:history="1">
        <w:r w:rsidRPr="00582131">
          <w:rPr>
            <w:rStyle w:val="Hyperlink"/>
            <w:sz w:val="24"/>
            <w:lang w:val="sv-SE"/>
          </w:rPr>
          <w:t>http://data.europa.eu/</w:t>
        </w:r>
        <w:r w:rsidRPr="00582131">
          <w:rPr>
            <w:rStyle w:val="Hyperlink"/>
            <w:sz w:val="24"/>
            <w:lang w:val="sv-SE"/>
          </w:rPr>
          <w:t>eli</w:t>
        </w:r>
        <w:r w:rsidRPr="00582131">
          <w:rPr>
            <w:rStyle w:val="Hyperlink"/>
            <w:sz w:val="24"/>
            <w:lang w:val="sv-SE"/>
          </w:rPr>
          <w:t>/C/2025/1802/oj</w:t>
        </w:r>
      </w:hyperlink>
      <w:r w:rsidRPr="00582131">
        <w:rPr>
          <w:color w:val="000000" w:themeColor="text1"/>
          <w:sz w:val="24"/>
          <w:lang w:val="sv-SE"/>
        </w:rPr>
        <w:t>).</w:t>
      </w:r>
    </w:p>
    <w:p w:rsidR="00DE70D0" w:rsidRPr="00582131" w:rsidP="00411471" w14:paraId="4008FD2D" w14:textId="5F8B8E54">
      <w:pPr>
        <w:pStyle w:val="FootnoteText"/>
        <w:ind w:left="1134" w:hanging="1134"/>
        <w:rPr>
          <w:color w:val="000000" w:themeColor="text1"/>
          <w:sz w:val="24"/>
          <w:vertAlign w:val="superscript"/>
          <w:lang w:val="sv-SE"/>
        </w:rPr>
      </w:pPr>
      <w:r w:rsidRPr="00582131">
        <w:rPr>
          <w:color w:val="000000" w:themeColor="text1"/>
          <w:sz w:val="24"/>
          <w:lang w:val="sv-SE"/>
        </w:rPr>
        <w:t xml:space="preserve"> </w:t>
      </w:r>
      <w:r w:rsidRPr="00582131">
        <w:rPr>
          <w:color w:val="000000" w:themeColor="text1"/>
          <w:sz w:val="24"/>
          <w:lang w:val="sv-SE"/>
        </w:rPr>
        <w:tab/>
      </w:r>
      <w:r w:rsidRPr="00582131">
        <w:rPr>
          <w:color w:val="000000" w:themeColor="text1"/>
          <w:sz w:val="24"/>
          <w:lang w:val="sv-SE"/>
        </w:rPr>
        <w:t>–</w:t>
      </w:r>
      <w:r w:rsidRPr="00582131">
        <w:rPr>
          <w:color w:val="000000" w:themeColor="text1"/>
          <w:sz w:val="24"/>
          <w:lang w:val="sv-SE"/>
        </w:rPr>
        <w:tab/>
        <w:t>Europaparlamentets resolution av den 26 november 2024 om kommissionens genomförandebeslut (EU) 2024/2618 om godkännande för utsläppande på marknaden av produkter som innehåller, består av eller har framställts av den genetiskt modifierade majsen DP202216, i enlighet med Europaparlamentets och rådets förordning (EG) nr 1829/2003 (EUT C, C/2025/1803, 4.4.2025, ELI: </w:t>
      </w:r>
      <w:hyperlink r:id="rId11" w:history="1">
        <w:r w:rsidRPr="00582131">
          <w:rPr>
            <w:rStyle w:val="Hyperlink"/>
            <w:sz w:val="24"/>
            <w:lang w:val="sv-SE"/>
          </w:rPr>
          <w:t>http://data.europa.eu/</w:t>
        </w:r>
        <w:r w:rsidRPr="00582131">
          <w:rPr>
            <w:rStyle w:val="Hyperlink"/>
            <w:sz w:val="24"/>
            <w:lang w:val="sv-SE"/>
          </w:rPr>
          <w:t>eli</w:t>
        </w:r>
        <w:r w:rsidRPr="00582131">
          <w:rPr>
            <w:rStyle w:val="Hyperlink"/>
            <w:sz w:val="24"/>
            <w:lang w:val="sv-SE"/>
          </w:rPr>
          <w:t>/C/2025/1803/oj</w:t>
        </w:r>
      </w:hyperlink>
      <w:r w:rsidRPr="00582131">
        <w:rPr>
          <w:color w:val="000000" w:themeColor="text1"/>
          <w:sz w:val="24"/>
          <w:lang w:val="sv-SE"/>
        </w:rPr>
        <w:t>).</w:t>
      </w:r>
    </w:p>
    <w:p w:rsidR="00DE70D0" w:rsidRPr="00582131" w:rsidP="00411471" w14:paraId="33E584EF" w14:textId="07E00E60">
      <w:pPr>
        <w:pStyle w:val="FootnoteText"/>
        <w:ind w:left="1134" w:hanging="1134"/>
        <w:rPr>
          <w:color w:val="000000" w:themeColor="text1"/>
          <w:sz w:val="24"/>
          <w:vertAlign w:val="superscript"/>
          <w:lang w:val="sv-SE"/>
        </w:rPr>
      </w:pPr>
      <w:r w:rsidRPr="00582131">
        <w:rPr>
          <w:color w:val="000000" w:themeColor="text1"/>
          <w:sz w:val="24"/>
          <w:lang w:val="sv-SE"/>
        </w:rPr>
        <w:t xml:space="preserve"> </w:t>
      </w:r>
      <w:r w:rsidRPr="00582131">
        <w:rPr>
          <w:color w:val="000000" w:themeColor="text1"/>
          <w:sz w:val="24"/>
          <w:lang w:val="sv-SE"/>
        </w:rPr>
        <w:tab/>
      </w:r>
      <w:r w:rsidRPr="00582131">
        <w:rPr>
          <w:color w:val="000000" w:themeColor="text1"/>
          <w:sz w:val="24"/>
          <w:lang w:val="sv-SE"/>
        </w:rPr>
        <w:t>–</w:t>
      </w:r>
      <w:r w:rsidRPr="00582131">
        <w:rPr>
          <w:color w:val="000000" w:themeColor="text1"/>
          <w:sz w:val="24"/>
          <w:lang w:val="sv-SE"/>
        </w:rPr>
        <w:tab/>
        <w:t>Europaparlamentets resolution av den 26 november 2024 om utkastet till kommissionens genomförandebeslut om godkännande för utsläppande på marknaden av produkter som innehåller, består av eller har framställts av den genetiskt modifierade majsen MON 94804 i enlighet med Europaparlamentets och rådets förordning (EG) nr 1829/2003 (EUT C, C/2025/1804, 4.4.2025, ELI: </w:t>
      </w:r>
      <w:hyperlink r:id="rId12" w:history="1">
        <w:r w:rsidRPr="00582131">
          <w:rPr>
            <w:rStyle w:val="Hyperlink"/>
            <w:sz w:val="24"/>
            <w:lang w:val="sv-SE"/>
          </w:rPr>
          <w:t>http://data.europa.eu/</w:t>
        </w:r>
        <w:r w:rsidRPr="00582131">
          <w:rPr>
            <w:rStyle w:val="Hyperlink"/>
            <w:sz w:val="24"/>
            <w:lang w:val="sv-SE"/>
          </w:rPr>
          <w:t>eli</w:t>
        </w:r>
        <w:r w:rsidRPr="00582131">
          <w:rPr>
            <w:rStyle w:val="Hyperlink"/>
            <w:sz w:val="24"/>
            <w:lang w:val="sv-SE"/>
          </w:rPr>
          <w:t>/C/2025/1804/oj</w:t>
        </w:r>
      </w:hyperlink>
      <w:r w:rsidRPr="00582131">
        <w:rPr>
          <w:color w:val="000000" w:themeColor="text1"/>
          <w:sz w:val="24"/>
          <w:lang w:val="sv-SE"/>
        </w:rPr>
        <w:t>).</w:t>
      </w:r>
    </w:p>
    <w:p w:rsidR="00DE70D0" w:rsidRPr="00582131" w:rsidP="00411471" w14:paraId="072999A6" w14:textId="399434E5">
      <w:pPr>
        <w:pStyle w:val="FootnoteText"/>
        <w:ind w:left="1134" w:hanging="1134"/>
        <w:rPr>
          <w:sz w:val="24"/>
          <w:vertAlign w:val="superscript"/>
          <w:lang w:val="sv-SE"/>
        </w:rPr>
      </w:pPr>
      <w:r w:rsidRPr="00582131">
        <w:rPr>
          <w:color w:val="000000" w:themeColor="text1"/>
          <w:sz w:val="24"/>
          <w:lang w:val="sv-SE"/>
        </w:rPr>
        <w:t xml:space="preserve"> </w:t>
      </w:r>
      <w:r w:rsidRPr="00582131">
        <w:rPr>
          <w:color w:val="000000" w:themeColor="text1"/>
          <w:sz w:val="24"/>
          <w:lang w:val="sv-SE"/>
        </w:rPr>
        <w:tab/>
      </w:r>
      <w:r w:rsidRPr="00582131">
        <w:rPr>
          <w:color w:val="000000" w:themeColor="text1"/>
          <w:sz w:val="24"/>
          <w:lang w:val="sv-SE"/>
        </w:rPr>
        <w:t>–</w:t>
      </w:r>
      <w:r w:rsidRPr="00582131">
        <w:rPr>
          <w:color w:val="000000" w:themeColor="text1"/>
          <w:sz w:val="24"/>
          <w:lang w:val="sv-SE"/>
        </w:rPr>
        <w:tab/>
      </w:r>
      <w:r w:rsidRPr="00582131">
        <w:rPr>
          <w:sz w:val="24"/>
          <w:lang w:val="sv-SE"/>
        </w:rPr>
        <w:t>Europaparlamentets resolution av den 12 februari 2025 om utkastet till kommissionens genomförandebeslut om godkännande för utsläppande på marknaden av produkter som innehåller, består av eller har framställts av den genetiskt modifierade majsen DP910521, i enlighet med Europaparlamentets och rådets förordning (EG) nr 1829/2003 (EUT C, C/2025/2246, 29.4.2025, ELI: </w:t>
      </w:r>
      <w:hyperlink r:id="rId13" w:history="1">
        <w:r w:rsidRPr="00582131">
          <w:rPr>
            <w:rStyle w:val="Hyperlink"/>
            <w:sz w:val="24"/>
            <w:lang w:val="sv-SE"/>
          </w:rPr>
          <w:t>http://data.europa.eu/</w:t>
        </w:r>
        <w:r w:rsidRPr="00582131">
          <w:rPr>
            <w:rStyle w:val="Hyperlink"/>
            <w:sz w:val="24"/>
            <w:lang w:val="sv-SE"/>
          </w:rPr>
          <w:t>eli</w:t>
        </w:r>
        <w:r w:rsidRPr="00582131">
          <w:rPr>
            <w:rStyle w:val="Hyperlink"/>
            <w:sz w:val="24"/>
            <w:lang w:val="sv-SE"/>
          </w:rPr>
          <w:t>/C/2025/2246/oj</w:t>
        </w:r>
      </w:hyperlink>
      <w:r w:rsidRPr="00582131">
        <w:rPr>
          <w:sz w:val="24"/>
          <w:lang w:val="sv-SE"/>
        </w:rPr>
        <w:t>).</w:t>
      </w:r>
    </w:p>
    <w:p w:rsidR="00DE70D0" w:rsidRPr="00582131" w:rsidP="00411471" w14:paraId="61F81A18" w14:textId="05BDFBA1">
      <w:pPr>
        <w:pStyle w:val="FootnoteText"/>
        <w:ind w:left="1134" w:hanging="1134"/>
        <w:rPr>
          <w:sz w:val="24"/>
          <w:vertAlign w:val="superscript"/>
          <w:lang w:val="sv-SE"/>
        </w:rPr>
      </w:pPr>
      <w:r w:rsidRPr="00582131">
        <w:rPr>
          <w:sz w:val="24"/>
          <w:lang w:val="sv-SE"/>
        </w:rPr>
        <w:t xml:space="preserve"> </w:t>
      </w:r>
      <w:r w:rsidRPr="00582131">
        <w:rPr>
          <w:sz w:val="24"/>
          <w:lang w:val="sv-SE"/>
        </w:rPr>
        <w:tab/>
      </w:r>
      <w:r w:rsidRPr="00582131">
        <w:rPr>
          <w:sz w:val="24"/>
          <w:lang w:val="sv-SE"/>
        </w:rPr>
        <w:t>–</w:t>
      </w:r>
      <w:r w:rsidRPr="00582131">
        <w:rPr>
          <w:sz w:val="24"/>
          <w:lang w:val="sv-SE"/>
        </w:rPr>
        <w:tab/>
        <w:t>Europaparlamentets resolution av den 12 februari 2025 om utkastet till kommissionens genomförandebeslut om godkännande för utsläppande på marknaden av produkter som innehåller, består av eller har framställts av den genetiskt modifierade majsen MON 95275, i enlighet med Europaparlamentets och rådets förordning (EG) nr 1829/2003 (EUT C, C/2025/2247, 29.4.2025, ELI: </w:t>
      </w:r>
      <w:hyperlink r:id="rId14" w:history="1">
        <w:r w:rsidRPr="00582131">
          <w:rPr>
            <w:rStyle w:val="Hyperlink"/>
            <w:sz w:val="24"/>
            <w:lang w:val="sv-SE"/>
          </w:rPr>
          <w:t>http://data.europa.eu/</w:t>
        </w:r>
        <w:r w:rsidRPr="00582131">
          <w:rPr>
            <w:rStyle w:val="Hyperlink"/>
            <w:sz w:val="24"/>
            <w:lang w:val="sv-SE"/>
          </w:rPr>
          <w:t>eli</w:t>
        </w:r>
        <w:r w:rsidRPr="00582131">
          <w:rPr>
            <w:rStyle w:val="Hyperlink"/>
            <w:sz w:val="24"/>
            <w:lang w:val="sv-SE"/>
          </w:rPr>
          <w:t>/C/2025/2247/oj</w:t>
        </w:r>
      </w:hyperlink>
      <w:r w:rsidRPr="00582131">
        <w:rPr>
          <w:sz w:val="24"/>
          <w:lang w:val="sv-SE"/>
        </w:rPr>
        <w:t>).</w:t>
      </w:r>
    </w:p>
    <w:p w:rsidR="00DE70D0" w:rsidRPr="00582131" w:rsidP="00411471" w14:paraId="060DEBAE" w14:textId="646AF912">
      <w:pPr>
        <w:pStyle w:val="FootnoteText"/>
        <w:ind w:left="1134" w:hanging="1134"/>
        <w:rPr>
          <w:sz w:val="24"/>
          <w:vertAlign w:val="superscript"/>
          <w:lang w:val="sv-SE"/>
        </w:rPr>
      </w:pPr>
      <w:r w:rsidRPr="00582131">
        <w:rPr>
          <w:sz w:val="24"/>
          <w:lang w:val="sv-SE"/>
        </w:rPr>
        <w:t xml:space="preserve"> </w:t>
      </w:r>
      <w:r w:rsidRPr="00582131">
        <w:rPr>
          <w:sz w:val="24"/>
          <w:lang w:val="sv-SE"/>
        </w:rPr>
        <w:tab/>
      </w:r>
      <w:r w:rsidRPr="00582131">
        <w:rPr>
          <w:sz w:val="24"/>
          <w:lang w:val="sv-SE"/>
        </w:rPr>
        <w:t>–</w:t>
      </w:r>
      <w:r w:rsidRPr="00582131">
        <w:rPr>
          <w:sz w:val="24"/>
          <w:lang w:val="sv-SE"/>
        </w:rPr>
        <w:tab/>
        <w:t>Europaparlamentets resolution av den 8 maj 2025 om utkastet till kommissionens genomförandebeslut om godkännande av utsläppande på marknaden av produkter som innehåller, består av eller har framställts av den genetiskt modifierade sojabönan MON 87705 × MON 87708 × MON 89788, i enlighet med Europaparlamentets och rådets förordning (EG) nr 1829/2003 (EUT C, C/2026/586, 24.2.2026, ELI: </w:t>
      </w:r>
      <w:hyperlink r:id="rId15" w:tooltip="Ger tillgång till detta dokument via dess ELI-URI-adress." w:history="1">
        <w:r w:rsidRPr="00582131">
          <w:rPr>
            <w:rStyle w:val="Hyperlink"/>
            <w:sz w:val="24"/>
            <w:lang w:val="sv-SE"/>
          </w:rPr>
          <w:t>http://data.europa.eu/</w:t>
        </w:r>
        <w:r w:rsidRPr="00582131">
          <w:rPr>
            <w:rStyle w:val="Hyperlink"/>
            <w:sz w:val="24"/>
            <w:lang w:val="sv-SE"/>
          </w:rPr>
          <w:t>eli</w:t>
        </w:r>
        <w:r w:rsidRPr="00582131">
          <w:rPr>
            <w:rStyle w:val="Hyperlink"/>
            <w:sz w:val="24"/>
            <w:lang w:val="sv-SE"/>
          </w:rPr>
          <w:t>/C/2026/586/oj</w:t>
        </w:r>
      </w:hyperlink>
      <w:r w:rsidRPr="00582131">
        <w:rPr>
          <w:sz w:val="24"/>
          <w:lang w:val="sv-SE"/>
        </w:rPr>
        <w:t>).</w:t>
      </w:r>
    </w:p>
    <w:p w:rsidR="00DE70D0" w:rsidRPr="00582131" w:rsidP="00411471" w14:paraId="5F172755" w14:textId="76E22078">
      <w:pPr>
        <w:pStyle w:val="FootnoteText"/>
        <w:ind w:left="1134" w:hanging="1134"/>
        <w:rPr>
          <w:sz w:val="24"/>
          <w:vertAlign w:val="superscript"/>
          <w:lang w:val="sv-SE"/>
        </w:rPr>
      </w:pPr>
      <w:r w:rsidRPr="00582131">
        <w:rPr>
          <w:sz w:val="24"/>
          <w:lang w:val="sv-SE"/>
        </w:rPr>
        <w:t xml:space="preserve"> </w:t>
      </w:r>
      <w:r w:rsidRPr="00582131">
        <w:rPr>
          <w:sz w:val="24"/>
          <w:lang w:val="sv-SE"/>
        </w:rPr>
        <w:tab/>
      </w:r>
      <w:r w:rsidRPr="00582131">
        <w:rPr>
          <w:sz w:val="24"/>
          <w:lang w:val="sv-SE"/>
        </w:rPr>
        <w:t>–</w:t>
      </w:r>
      <w:r w:rsidRPr="00582131">
        <w:rPr>
          <w:sz w:val="24"/>
          <w:lang w:val="sv-SE"/>
        </w:rPr>
        <w:tab/>
        <w:t>Europaparlamentets resolution av den 8 oktober 2025 om kommissionens genomförandebeslut (EU) 2025/1898 av den 22 september 2025 om godkännande för utsläppande på marknaden av produkter som innehåller, består av eller har framställts av den genetiskt modifierade majsen DP51291, i enlighet med Europaparlamentets och rådets förordning (EG) nr 1829/2003 (EUT C, C/2026/1523, 15.4.2026, ELI: </w:t>
      </w:r>
      <w:hyperlink r:id="rId16" w:history="1">
        <w:r w:rsidRPr="00582131">
          <w:rPr>
            <w:rStyle w:val="Hyperlink"/>
            <w:sz w:val="24"/>
            <w:lang w:val="sv-SE"/>
          </w:rPr>
          <w:t>http://data.europa.eu/</w:t>
        </w:r>
        <w:r w:rsidRPr="00582131">
          <w:rPr>
            <w:rStyle w:val="Hyperlink"/>
            <w:sz w:val="24"/>
            <w:lang w:val="sv-SE"/>
          </w:rPr>
          <w:t>eli</w:t>
        </w:r>
        <w:r w:rsidRPr="00582131">
          <w:rPr>
            <w:rStyle w:val="Hyperlink"/>
            <w:sz w:val="24"/>
            <w:lang w:val="sv-SE"/>
          </w:rPr>
          <w:t>/C/2026/1523/oj</w:t>
        </w:r>
      </w:hyperlink>
      <w:r w:rsidRPr="00582131">
        <w:rPr>
          <w:sz w:val="24"/>
          <w:lang w:val="sv-SE"/>
        </w:rPr>
        <w:t>).</w:t>
      </w:r>
    </w:p>
    <w:p w:rsidR="00DE70D0" w:rsidRPr="00582131" w:rsidP="00411471" w14:paraId="164CDFC4" w14:textId="5C04A23D">
      <w:pPr>
        <w:pStyle w:val="FootnoteText"/>
        <w:ind w:left="1134" w:hanging="1134"/>
        <w:rPr>
          <w:sz w:val="24"/>
          <w:vertAlign w:val="superscript"/>
          <w:lang w:val="sv-SE"/>
        </w:rPr>
      </w:pPr>
      <w:r w:rsidRPr="00582131">
        <w:rPr>
          <w:sz w:val="24"/>
          <w:lang w:val="sv-SE"/>
        </w:rPr>
        <w:t xml:space="preserve"> </w:t>
      </w:r>
      <w:r w:rsidRPr="00582131">
        <w:rPr>
          <w:sz w:val="24"/>
          <w:lang w:val="sv-SE"/>
        </w:rPr>
        <w:tab/>
      </w:r>
      <w:r w:rsidRPr="00582131">
        <w:rPr>
          <w:sz w:val="24"/>
          <w:lang w:val="sv-SE"/>
        </w:rPr>
        <w:t>–</w:t>
      </w:r>
      <w:r w:rsidRPr="00582131">
        <w:rPr>
          <w:sz w:val="24"/>
          <w:lang w:val="sv-SE"/>
        </w:rPr>
        <w:tab/>
        <w:t>Europaparlamentets resolution av den 25 november 2025 om utkastet till kommissionens genomförandebeslut om godkännande för utsläppande på marknaden av produkter som innehåller, består av eller har framställts av den genetiskt modifierade majsen DAS1131, i enlighet med Europaparlamentets och rådets förordning (EG) nr 1829/2003 (EUT C, C/2026/1703, 24.4.2026, ELI: </w:t>
      </w:r>
      <w:hyperlink r:id="rId17" w:history="1">
        <w:r w:rsidRPr="00582131">
          <w:rPr>
            <w:rStyle w:val="Hyperlink"/>
            <w:sz w:val="24"/>
            <w:lang w:val="sv-SE"/>
          </w:rPr>
          <w:t>http://data.europa.eu/</w:t>
        </w:r>
        <w:r w:rsidRPr="00582131">
          <w:rPr>
            <w:rStyle w:val="Hyperlink"/>
            <w:sz w:val="24"/>
            <w:lang w:val="sv-SE"/>
          </w:rPr>
          <w:t>eli</w:t>
        </w:r>
        <w:r w:rsidRPr="00582131">
          <w:rPr>
            <w:rStyle w:val="Hyperlink"/>
            <w:sz w:val="24"/>
            <w:lang w:val="sv-SE"/>
          </w:rPr>
          <w:t>/C/2026/1703/oj</w:t>
        </w:r>
      </w:hyperlink>
      <w:r w:rsidRPr="00582131">
        <w:rPr>
          <w:sz w:val="24"/>
          <w:lang w:val="sv-SE"/>
        </w:rPr>
        <w:t>).</w:t>
      </w:r>
    </w:p>
    <w:p w:rsidR="00DE70D0" w:rsidRPr="00582131" w:rsidP="00411471" w14:paraId="1E312DA9" w14:textId="38D0E7BC">
      <w:pPr>
        <w:pStyle w:val="FootnoteText"/>
        <w:ind w:left="1134" w:hanging="1134"/>
        <w:rPr>
          <w:sz w:val="24"/>
          <w:vertAlign w:val="superscript"/>
          <w:lang w:val="sv-SE"/>
        </w:rPr>
      </w:pPr>
      <w:r w:rsidRPr="00582131">
        <w:rPr>
          <w:sz w:val="24"/>
          <w:lang w:val="sv-SE"/>
        </w:rPr>
        <w:t xml:space="preserve"> </w:t>
      </w:r>
      <w:r w:rsidRPr="00582131">
        <w:rPr>
          <w:sz w:val="24"/>
          <w:lang w:val="sv-SE"/>
        </w:rPr>
        <w:tab/>
      </w:r>
      <w:r w:rsidRPr="00582131">
        <w:rPr>
          <w:sz w:val="24"/>
          <w:lang w:val="sv-SE"/>
        </w:rPr>
        <w:t>–</w:t>
      </w:r>
      <w:r w:rsidRPr="00582131">
        <w:rPr>
          <w:sz w:val="24"/>
          <w:lang w:val="sv-SE"/>
        </w:rPr>
        <w:tab/>
        <w:t>Europaparlamentets resolution av den 25 november 2025 om utkastet till kommissionens genomförandebeslut om förlängning av godkännandet av utsläppande på marknaden av produkter som innehåller, består av eller har framställts av den genetiskt modifierade bomullen MON 88913 (MON-88913-8), i enlighet med Europaparlamentets och rådets förordning (EG) nr 1829/2003 (EUT C, C/2026/1704, 24.4.2026, ELI: </w:t>
      </w:r>
      <w:hyperlink r:id="rId18" w:history="1">
        <w:r w:rsidRPr="00582131">
          <w:rPr>
            <w:rStyle w:val="Hyperlink"/>
            <w:sz w:val="24"/>
            <w:lang w:val="sv-SE"/>
          </w:rPr>
          <w:t>http://data.europa.eu/</w:t>
        </w:r>
        <w:r w:rsidRPr="00582131">
          <w:rPr>
            <w:rStyle w:val="Hyperlink"/>
            <w:sz w:val="24"/>
            <w:lang w:val="sv-SE"/>
          </w:rPr>
          <w:t>eli</w:t>
        </w:r>
        <w:r w:rsidRPr="00582131">
          <w:rPr>
            <w:rStyle w:val="Hyperlink"/>
            <w:sz w:val="24"/>
            <w:lang w:val="sv-SE"/>
          </w:rPr>
          <w:t>/C/2026/1704/oj</w:t>
        </w:r>
      </w:hyperlink>
      <w:r w:rsidRPr="00582131">
        <w:rPr>
          <w:sz w:val="24"/>
          <w:lang w:val="sv-SE"/>
        </w:rPr>
        <w:t>).</w:t>
      </w:r>
    </w:p>
    <w:p w:rsidR="00DE70D0" w:rsidRPr="00582131" w:rsidP="00411471" w14:paraId="5FB15C7F" w14:textId="4156EE83">
      <w:pPr>
        <w:pStyle w:val="FootnoteText"/>
        <w:ind w:left="1134" w:hanging="1134"/>
        <w:rPr>
          <w:sz w:val="24"/>
          <w:vertAlign w:val="superscript"/>
          <w:lang w:val="sv-SE"/>
        </w:rPr>
      </w:pPr>
      <w:r w:rsidRPr="00582131">
        <w:rPr>
          <w:sz w:val="24"/>
          <w:lang w:val="sv-SE"/>
        </w:rPr>
        <w:t xml:space="preserve"> </w:t>
      </w:r>
      <w:r w:rsidRPr="00582131">
        <w:rPr>
          <w:sz w:val="24"/>
          <w:lang w:val="sv-SE"/>
        </w:rPr>
        <w:tab/>
      </w:r>
      <w:r w:rsidRPr="00582131">
        <w:rPr>
          <w:sz w:val="24"/>
          <w:lang w:val="sv-SE"/>
        </w:rPr>
        <w:t>–</w:t>
      </w:r>
      <w:r w:rsidRPr="00582131">
        <w:rPr>
          <w:sz w:val="24"/>
          <w:lang w:val="sv-SE"/>
        </w:rPr>
        <w:tab/>
        <w:t>Europaparlamentets resolution av den 25 november 2025 om utkastet till kommissionens genomförandebeslut om förlängning av godkännandet av utsläppande på marknaden av produkter som innehåller, består av eller har framställts av den genetiskt modifierade rapsen MON 88302, i enlighet med Europaparlamentets och rådets förordning (EG) nr 1829/2003 (EUT C, C/2026/1705, 24.4.2026, ELI: </w:t>
      </w:r>
      <w:hyperlink r:id="rId19" w:history="1">
        <w:r w:rsidRPr="00582131">
          <w:rPr>
            <w:rStyle w:val="Hyperlink"/>
            <w:sz w:val="24"/>
            <w:lang w:val="sv-SE"/>
          </w:rPr>
          <w:t>http://data.europa.eu/</w:t>
        </w:r>
        <w:r w:rsidRPr="00582131">
          <w:rPr>
            <w:rStyle w:val="Hyperlink"/>
            <w:sz w:val="24"/>
            <w:lang w:val="sv-SE"/>
          </w:rPr>
          <w:t>eli</w:t>
        </w:r>
        <w:r w:rsidRPr="00582131">
          <w:rPr>
            <w:rStyle w:val="Hyperlink"/>
            <w:sz w:val="24"/>
            <w:lang w:val="sv-SE"/>
          </w:rPr>
          <w:t>/C/2026/1705/oj</w:t>
        </w:r>
      </w:hyperlink>
      <w:r w:rsidRPr="00582131">
        <w:rPr>
          <w:sz w:val="24"/>
          <w:lang w:val="sv-SE"/>
        </w:rPr>
        <w:t>).</w:t>
      </w:r>
    </w:p>
    <w:p w:rsidR="00DE70D0" w:rsidRPr="00582131" w:rsidP="00411471" w14:paraId="32366581" w14:textId="3F0901EA">
      <w:pPr>
        <w:pStyle w:val="FootnoteText"/>
        <w:ind w:left="1134" w:hanging="1134"/>
        <w:rPr>
          <w:sz w:val="24"/>
          <w:vertAlign w:val="superscript"/>
          <w:lang w:val="sv-SE"/>
        </w:rPr>
      </w:pPr>
      <w:r w:rsidRPr="00582131">
        <w:rPr>
          <w:sz w:val="24"/>
          <w:lang w:val="sv-SE"/>
        </w:rPr>
        <w:t xml:space="preserve"> </w:t>
      </w:r>
      <w:r w:rsidRPr="00582131">
        <w:rPr>
          <w:sz w:val="24"/>
          <w:lang w:val="sv-SE"/>
        </w:rPr>
        <w:tab/>
      </w:r>
      <w:r w:rsidRPr="00582131">
        <w:rPr>
          <w:sz w:val="24"/>
          <w:lang w:val="sv-SE"/>
        </w:rPr>
        <w:t>–</w:t>
      </w:r>
      <w:r w:rsidRPr="00582131">
        <w:rPr>
          <w:sz w:val="24"/>
          <w:lang w:val="sv-SE"/>
        </w:rPr>
        <w:tab/>
        <w:t>Europaparlamentets resolution av den 25 november 2025 om kommissionens genomförandebeslut om förlängning av godkännandet av utsläppande på marknaden av produkter som innehåller, består av eller har framställts av den genetiskt modifierade sojabönan MON 87708, i enlighet med Europaparlamentets och rådets förordning (EG) nr 1829/2003 (EUT C, C/2026/1706, 24.4.2026, ELI: </w:t>
      </w:r>
      <w:hyperlink r:id="rId20" w:history="1">
        <w:r w:rsidRPr="00582131">
          <w:rPr>
            <w:rStyle w:val="Hyperlink"/>
            <w:sz w:val="24"/>
            <w:lang w:val="sv-SE"/>
          </w:rPr>
          <w:t>http://data.europa.eu/</w:t>
        </w:r>
        <w:r w:rsidRPr="00582131">
          <w:rPr>
            <w:rStyle w:val="Hyperlink"/>
            <w:sz w:val="24"/>
            <w:lang w:val="sv-SE"/>
          </w:rPr>
          <w:t>eli</w:t>
        </w:r>
        <w:r w:rsidRPr="00582131">
          <w:rPr>
            <w:rStyle w:val="Hyperlink"/>
            <w:sz w:val="24"/>
            <w:lang w:val="sv-SE"/>
          </w:rPr>
          <w:t>/C/2026/1706/oj</w:t>
        </w:r>
      </w:hyperlink>
      <w:r w:rsidRPr="00582131">
        <w:rPr>
          <w:sz w:val="24"/>
          <w:lang w:val="sv-SE"/>
        </w:rPr>
        <w:t>).</w:t>
      </w:r>
    </w:p>
    <w:p w:rsidR="00DE70D0" w:rsidRPr="00582131" w:rsidP="00411471" w14:paraId="6BE0D8E2" w14:textId="579B3E2E">
      <w:pPr>
        <w:pStyle w:val="FootnoteText"/>
        <w:ind w:left="1134" w:hanging="1134"/>
        <w:rPr>
          <w:sz w:val="24"/>
          <w:vertAlign w:val="superscript"/>
          <w:lang w:val="sv-SE"/>
        </w:rPr>
      </w:pPr>
      <w:r w:rsidRPr="00582131">
        <w:rPr>
          <w:sz w:val="24"/>
          <w:lang w:val="sv-SE"/>
        </w:rPr>
        <w:t xml:space="preserve"> </w:t>
      </w:r>
      <w:r w:rsidRPr="00582131">
        <w:rPr>
          <w:sz w:val="24"/>
          <w:lang w:val="sv-SE"/>
        </w:rPr>
        <w:tab/>
      </w:r>
      <w:r w:rsidRPr="00582131">
        <w:rPr>
          <w:sz w:val="24"/>
          <w:lang w:val="sv-SE"/>
        </w:rPr>
        <w:t>–</w:t>
      </w:r>
      <w:r w:rsidRPr="00582131">
        <w:rPr>
          <w:sz w:val="24"/>
          <w:lang w:val="sv-SE"/>
        </w:rPr>
        <w:tab/>
        <w:t>Europaparlamentets resolution av den 25 november 2025 om utkastet till kommissionens genomförandebeslut om förlängning av godkännandet av utsläppande på marknaden av produkter som innehåller, består av eller har framställts av den genetiskt modifierade majsen MON 87427, i enlighet med Europaparlamentets och rådets förordning (EG) nr 1829/2003 (EUT C, C/2026/1707, 24.4.2026, ELI: </w:t>
      </w:r>
      <w:hyperlink r:id="rId21" w:history="1">
        <w:r w:rsidRPr="00582131">
          <w:rPr>
            <w:rStyle w:val="Hyperlink"/>
            <w:sz w:val="24"/>
            <w:lang w:val="sv-SE"/>
          </w:rPr>
          <w:t>http://data.europa.eu/</w:t>
        </w:r>
        <w:r w:rsidRPr="00582131">
          <w:rPr>
            <w:rStyle w:val="Hyperlink"/>
            <w:sz w:val="24"/>
            <w:lang w:val="sv-SE"/>
          </w:rPr>
          <w:t>eli</w:t>
        </w:r>
        <w:r w:rsidRPr="00582131">
          <w:rPr>
            <w:rStyle w:val="Hyperlink"/>
            <w:sz w:val="24"/>
            <w:lang w:val="sv-SE"/>
          </w:rPr>
          <w:t>/C/2026/1707/oj</w:t>
        </w:r>
      </w:hyperlink>
      <w:r w:rsidRPr="00582131">
        <w:rPr>
          <w:sz w:val="24"/>
          <w:lang w:val="sv-SE"/>
        </w:rPr>
        <w:t>).</w:t>
      </w:r>
    </w:p>
    <w:p w:rsidR="00DE70D0" w:rsidRPr="00582131" w:rsidP="00411471" w14:paraId="2BED39D5" w14:textId="79AD522F">
      <w:pPr>
        <w:pStyle w:val="FootnoteText"/>
        <w:ind w:left="1134" w:hanging="1134"/>
        <w:rPr>
          <w:sz w:val="24"/>
          <w:vertAlign w:val="superscript"/>
          <w:lang w:val="sv-SE"/>
        </w:rPr>
      </w:pPr>
      <w:r w:rsidRPr="00582131">
        <w:rPr>
          <w:sz w:val="24"/>
          <w:lang w:val="sv-SE"/>
        </w:rPr>
        <w:t xml:space="preserve"> </w:t>
      </w:r>
      <w:r w:rsidRPr="00582131">
        <w:rPr>
          <w:sz w:val="24"/>
          <w:lang w:val="sv-SE"/>
        </w:rPr>
        <w:tab/>
      </w:r>
      <w:r w:rsidRPr="00582131">
        <w:rPr>
          <w:sz w:val="24"/>
          <w:lang w:val="sv-SE"/>
        </w:rPr>
        <w:t>–</w:t>
      </w:r>
      <w:r w:rsidRPr="00582131">
        <w:rPr>
          <w:sz w:val="24"/>
          <w:lang w:val="sv-SE"/>
        </w:rPr>
        <w:tab/>
        <w:t>Europaparlamentets resolution av den 16 december 2025 om utkastet till kommissionens genomförandebeslut om förlängning av godkännandet av utsläppande på marknaden av produkter som innehåller, består av eller har framställts av den genetiskt modifierade majsen NK603, i enlighet med Europaparlamentets och rådets förordning (EG) nr 1829/2003 (EUT C, C/2026/2150, 6.5.2026, ELI: </w:t>
      </w:r>
      <w:hyperlink r:id="rId22" w:history="1">
        <w:r w:rsidRPr="00582131">
          <w:rPr>
            <w:rStyle w:val="Hyperlink"/>
            <w:sz w:val="24"/>
            <w:lang w:val="sv-SE"/>
          </w:rPr>
          <w:t>http://data.europa.eu/</w:t>
        </w:r>
        <w:r w:rsidRPr="00582131">
          <w:rPr>
            <w:rStyle w:val="Hyperlink"/>
            <w:sz w:val="24"/>
            <w:lang w:val="sv-SE"/>
          </w:rPr>
          <w:t>eli</w:t>
        </w:r>
        <w:r w:rsidRPr="00582131">
          <w:rPr>
            <w:rStyle w:val="Hyperlink"/>
            <w:sz w:val="24"/>
            <w:lang w:val="sv-SE"/>
          </w:rPr>
          <w:t>/C/2026/2150/oj</w:t>
        </w:r>
      </w:hyperlink>
      <w:r w:rsidRPr="00582131">
        <w:rPr>
          <w:sz w:val="24"/>
          <w:lang w:val="sv-SE"/>
        </w:rPr>
        <w:t>).</w:t>
      </w:r>
    </w:p>
    <w:p w:rsidR="00DE70D0" w:rsidRPr="00582131" w:rsidP="00411471" w14:paraId="46D0713A" w14:textId="0936CF5C">
      <w:pPr>
        <w:pStyle w:val="FootnoteText"/>
        <w:ind w:left="1134" w:hanging="1134"/>
        <w:rPr>
          <w:sz w:val="24"/>
          <w:vertAlign w:val="superscript"/>
          <w:lang w:val="sv-SE"/>
        </w:rPr>
      </w:pPr>
      <w:r w:rsidRPr="00582131">
        <w:rPr>
          <w:sz w:val="24"/>
          <w:lang w:val="sv-SE"/>
        </w:rPr>
        <w:t xml:space="preserve"> </w:t>
      </w:r>
      <w:r w:rsidRPr="00582131">
        <w:rPr>
          <w:sz w:val="24"/>
          <w:lang w:val="sv-SE"/>
        </w:rPr>
        <w:tab/>
      </w:r>
      <w:r w:rsidRPr="00582131">
        <w:rPr>
          <w:sz w:val="24"/>
          <w:lang w:val="sv-SE"/>
        </w:rPr>
        <w:t>–</w:t>
      </w:r>
      <w:r w:rsidRPr="00582131">
        <w:rPr>
          <w:sz w:val="24"/>
          <w:lang w:val="sv-SE"/>
        </w:rPr>
        <w:tab/>
        <w:t>Europaparlamentets resolution av den 16 december 2025 om utkastet till kommissionens genomförandebeslut om godkännande för utsläppande på marknaden av livsmedel, livsmedelsingredienser och foder som har framställts av den genetiskt modifierade sockerbetan KWS20-1, i enlighet med Europaparlamentets och rådets förordning (EG) nr 1829/2003 (EUT C, C/2026/2151, 6.5.2026, ELI: </w:t>
      </w:r>
      <w:hyperlink r:id="rId23" w:history="1">
        <w:r w:rsidRPr="00582131">
          <w:rPr>
            <w:rStyle w:val="Hyperlink"/>
            <w:sz w:val="24"/>
            <w:lang w:val="sv-SE"/>
          </w:rPr>
          <w:t>http://data.europa.eu/</w:t>
        </w:r>
        <w:r w:rsidRPr="00582131">
          <w:rPr>
            <w:rStyle w:val="Hyperlink"/>
            <w:sz w:val="24"/>
            <w:lang w:val="sv-SE"/>
          </w:rPr>
          <w:t>eli</w:t>
        </w:r>
        <w:r w:rsidRPr="00582131">
          <w:rPr>
            <w:rStyle w:val="Hyperlink"/>
            <w:sz w:val="24"/>
            <w:lang w:val="sv-SE"/>
          </w:rPr>
          <w:t>/C/2026/2151/oj</w:t>
        </w:r>
      </w:hyperlink>
      <w:r w:rsidRPr="00582131">
        <w:rPr>
          <w:sz w:val="24"/>
          <w:lang w:val="sv-SE"/>
        </w:rPr>
        <w:t>).</w:t>
      </w:r>
    </w:p>
    <w:p w:rsidR="00DE70D0" w:rsidRPr="00582131" w:rsidP="00411471" w14:paraId="45949789" w14:textId="16BDC0AF">
      <w:pPr>
        <w:pStyle w:val="FootnoteText"/>
        <w:ind w:left="1134" w:hanging="1134"/>
        <w:rPr>
          <w:sz w:val="24"/>
          <w:vertAlign w:val="superscript"/>
          <w:lang w:val="sv-SE"/>
        </w:rPr>
      </w:pPr>
      <w:r w:rsidRPr="00582131">
        <w:rPr>
          <w:sz w:val="24"/>
          <w:lang w:val="sv-SE"/>
        </w:rPr>
        <w:t xml:space="preserve"> </w:t>
      </w:r>
      <w:r w:rsidRPr="00582131">
        <w:rPr>
          <w:sz w:val="24"/>
          <w:lang w:val="sv-SE"/>
        </w:rPr>
        <w:tab/>
      </w:r>
      <w:r w:rsidRPr="00582131">
        <w:rPr>
          <w:sz w:val="24"/>
          <w:lang w:val="sv-SE"/>
        </w:rPr>
        <w:t>–</w:t>
      </w:r>
      <w:r w:rsidRPr="00582131">
        <w:rPr>
          <w:sz w:val="24"/>
          <w:lang w:val="sv-SE"/>
        </w:rPr>
        <w:tab/>
        <w:t>Europaparlamentets resolution av den 11 februari 2026 om utkastet till kommissionens genomförandebeslut om godkännande för utsläppande på marknaden av produkter som innehåller, består av eller har framställts av den genetiskt modifierade sojabönan DBN-09004-6, i enlighet med Europaparlamentets och rådets förordning (EG) nr 1829/2003 (Antagna texter, P10_TA(2026)0041).</w:t>
      </w:r>
    </w:p>
    <w:p w:rsidR="00DE70D0" w:rsidRPr="00582131" w:rsidP="00411471" w14:paraId="708637F6" w14:textId="0895BF43">
      <w:pPr>
        <w:pStyle w:val="FootnoteText"/>
        <w:ind w:left="1134" w:hanging="1134"/>
        <w:rPr>
          <w:sz w:val="24"/>
          <w:vertAlign w:val="superscript"/>
          <w:lang w:val="sv-SE"/>
        </w:rPr>
      </w:pPr>
      <w:r w:rsidRPr="00582131">
        <w:rPr>
          <w:sz w:val="24"/>
          <w:lang w:val="sv-SE"/>
        </w:rPr>
        <w:t xml:space="preserve"> </w:t>
      </w:r>
      <w:r w:rsidRPr="00582131">
        <w:rPr>
          <w:sz w:val="24"/>
          <w:lang w:val="sv-SE"/>
        </w:rPr>
        <w:tab/>
      </w:r>
      <w:r w:rsidRPr="00582131">
        <w:rPr>
          <w:sz w:val="24"/>
          <w:lang w:val="sv-SE"/>
        </w:rPr>
        <w:t>–</w:t>
      </w:r>
      <w:r w:rsidRPr="00582131">
        <w:rPr>
          <w:sz w:val="24"/>
          <w:lang w:val="sv-SE"/>
        </w:rPr>
        <w:tab/>
        <w:t>Europaparlamentets resolution av den 11 februari 2026 om utkastet till kommissionens genomförandebeslut om förlängning av godkännandet för utsläppande på marknaden av produkter som innehåller, består av eller har framställts av genetiskt modifierad majs T25 (ACS-ZMØØ3-2) i enlighet med Europaparlamentets och rådets förordning (EG) nr 1829/2003 (Antagna texter, P10_TA(2026)0042).</w:t>
      </w:r>
    </w:p>
    <w:p w:rsidR="00DE70D0" w:rsidRPr="00582131" w:rsidP="00411471" w14:paraId="681DC65C" w14:textId="73D71DF7">
      <w:pPr>
        <w:pStyle w:val="FootnoteText"/>
        <w:ind w:left="567" w:hanging="567"/>
        <w:rPr>
          <w:sz w:val="24"/>
          <w:vertAlign w:val="superscript"/>
          <w:lang w:val="sv-SE"/>
        </w:rPr>
      </w:pPr>
      <w:r w:rsidRPr="00582131">
        <w:rPr>
          <w:sz w:val="24"/>
          <w:lang w:val="sv-SE"/>
        </w:rPr>
        <w:t xml:space="preserve"> </w:t>
      </w:r>
      <w:r w:rsidRPr="00582131">
        <w:rPr>
          <w:sz w:val="24"/>
          <w:lang w:val="sv-SE"/>
        </w:rPr>
        <w:tab/>
      </w:r>
      <w:r w:rsidRPr="00582131">
        <w:rPr>
          <w:sz w:val="24"/>
          <w:lang w:val="sv-SE"/>
        </w:rPr>
        <w:t>–</w:t>
      </w:r>
      <w:r w:rsidRPr="00582131">
        <w:rPr>
          <w:sz w:val="24"/>
          <w:lang w:val="sv-SE"/>
        </w:rPr>
        <w:tab/>
        <w:t>Europaparlamentets resolution av den 11 februari 2026 om utkastet till kommissionens genomförandebeslut om förlängning av godkännande för utsläppande på marknaden av produkter som innehåller, består av eller har framställts av genetiskt modifierad bomull GHB614 × LLCotton25 i enlighet med Europaparlamentets och rådets förordning (EG) nr 1829/2003 (Antagna texter, P10_TA(2026)0043).</w:t>
      </w:r>
    </w:p>
    <w:p w:rsidR="00DE70D0" w:rsidRPr="00582131" w:rsidP="009A174E" w14:paraId="594FAA23" w14:textId="1EA58884">
      <w:pPr>
        <w:pStyle w:val="FootnoteText"/>
        <w:ind w:left="567" w:hanging="567"/>
        <w:rPr>
          <w:sz w:val="24"/>
          <w:vertAlign w:val="superscript"/>
          <w:lang w:val="sv-SE"/>
        </w:rPr>
      </w:pPr>
      <w:r w:rsidRPr="00582131">
        <w:rPr>
          <w:sz w:val="24"/>
          <w:lang w:val="sv-SE"/>
        </w:rPr>
        <w:t xml:space="preserve"> </w:t>
      </w:r>
      <w:r w:rsidRPr="00582131">
        <w:rPr>
          <w:sz w:val="24"/>
          <w:lang w:val="sv-SE"/>
        </w:rPr>
        <w:tab/>
      </w:r>
      <w:r w:rsidRPr="00582131">
        <w:rPr>
          <w:sz w:val="24"/>
          <w:lang w:val="sv-SE"/>
        </w:rPr>
        <w:t>–</w:t>
      </w:r>
      <w:r w:rsidRPr="00582131">
        <w:rPr>
          <w:sz w:val="24"/>
          <w:lang w:val="sv-SE"/>
        </w:rPr>
        <w:tab/>
        <w:t>Europaparlamentets resolution av den 11 februari 2026 om utkastet till kommissionens genomförandebeslut om förlängning av godkännandet för utsläppande på marknaden av produkter som innehåller, består av eller har framställts av genetiskt modifierad bomull T304-40 i enlighet med Europaparlamentets och rådets förordning (EG) nr 1829/2003 (Antagna texter, P10_TA(2026)0044).</w:t>
      </w:r>
    </w:p>
    <w:p w:rsidR="00DE70D0" w:rsidRPr="00582131" w:rsidP="009A174E" w14:paraId="603EDE13" w14:textId="04985D21">
      <w:pPr>
        <w:pStyle w:val="FootnoteText"/>
        <w:ind w:left="567" w:hanging="567"/>
        <w:rPr>
          <w:sz w:val="24"/>
          <w:lang w:val="sv-SE"/>
        </w:rPr>
      </w:pPr>
      <w:r w:rsidRPr="00582131">
        <w:rPr>
          <w:sz w:val="24"/>
          <w:lang w:val="sv-SE"/>
        </w:rPr>
        <w:t xml:space="preserve"> </w:t>
      </w:r>
      <w:r w:rsidRPr="00582131">
        <w:rPr>
          <w:sz w:val="24"/>
          <w:lang w:val="sv-SE"/>
        </w:rPr>
        <w:tab/>
      </w:r>
      <w:r w:rsidRPr="00582131">
        <w:rPr>
          <w:sz w:val="24"/>
          <w:lang w:val="sv-SE"/>
        </w:rPr>
        <w:t>–</w:t>
      </w:r>
      <w:r w:rsidRPr="00582131">
        <w:rPr>
          <w:sz w:val="24"/>
          <w:lang w:val="sv-SE"/>
        </w:rPr>
        <w:tab/>
        <w:t>Europaparlamentets resolution av den 29 april 2026 om utkastet till kommissionens genomförandebeslut om godkännande för utsläppande på marknaden av produkter som innehåller, består av eller har framställts av den genetiskt modifierade sojabönan MON 94637 i enlighet med Europaparlamentets och rådets förordning (EG) nr 1829/2003</w:t>
      </w:r>
      <w:r w:rsidR="0067080C">
        <w:rPr>
          <w:sz w:val="24"/>
          <w:lang w:val="sv-SE"/>
        </w:rPr>
        <w:t xml:space="preserve"> </w:t>
      </w:r>
      <w:r w:rsidRPr="00582131">
        <w:rPr>
          <w:sz w:val="24"/>
          <w:lang w:val="sv-SE"/>
        </w:rPr>
        <w:t>(Antagna texter, P10_</w:t>
      </w:r>
      <w:r w:rsidRPr="00582131">
        <w:rPr>
          <w:sz w:val="24"/>
          <w:lang w:val="sv-SE"/>
        </w:rPr>
        <w:t>TA(</w:t>
      </w:r>
      <w:r w:rsidRPr="00582131">
        <w:rPr>
          <w:sz w:val="24"/>
          <w:lang w:val="sv-SE"/>
        </w:rPr>
        <w:t>2026)0150).</w:t>
      </w:r>
    </w:p>
  </w:footnote>
  <w:footnote w:id="7">
    <w:p w:rsidR="00DE70D0" w:rsidRPr="00582131" w:rsidP="009A174E" w14:paraId="66DA652D" w14:textId="5FEA384E">
      <w:pPr>
        <w:pStyle w:val="FootnoteText"/>
        <w:ind w:left="567" w:hanging="567"/>
        <w:rPr>
          <w:sz w:val="24"/>
          <w:lang w:val="sv-SE"/>
        </w:rPr>
      </w:pPr>
      <w:r w:rsidRPr="00582131">
        <w:rPr>
          <w:rStyle w:val="FootnoteReference"/>
          <w:sz w:val="24"/>
          <w:lang w:val="sv-SE"/>
        </w:rPr>
        <w:footnoteRef/>
      </w:r>
      <w:r w:rsidRPr="00582131" w:rsidR="009A174E">
        <w:rPr>
          <w:sz w:val="24"/>
          <w:lang w:val="sv-SE"/>
        </w:rPr>
        <w:t xml:space="preserve"> </w:t>
      </w:r>
      <w:r w:rsidRPr="00582131" w:rsidR="009A174E">
        <w:rPr>
          <w:sz w:val="24"/>
          <w:lang w:val="sv-SE"/>
        </w:rPr>
        <w:tab/>
      </w:r>
      <w:r w:rsidRPr="00582131">
        <w:rPr>
          <w:sz w:val="24"/>
          <w:lang w:val="sv-SE"/>
        </w:rPr>
        <w:t>Efsas</w:t>
      </w:r>
      <w:r w:rsidRPr="00582131">
        <w:rPr>
          <w:sz w:val="24"/>
          <w:lang w:val="sv-SE"/>
        </w:rPr>
        <w:t xml:space="preserve"> yttrande, </w:t>
      </w:r>
      <w:hyperlink r:id="rId4" w:history="1">
        <w:r w:rsidRPr="00582131">
          <w:rPr>
            <w:rStyle w:val="Hyperlink"/>
            <w:sz w:val="24"/>
            <w:lang w:val="sv-SE"/>
          </w:rPr>
          <w:t>https://doi.org/10.2903/j.efsa.2025.9746</w:t>
        </w:r>
      </w:hyperlink>
      <w:r w:rsidRPr="00582131">
        <w:rPr>
          <w:sz w:val="24"/>
          <w:lang w:val="sv-SE"/>
        </w:rPr>
        <w:t>, s. 7.</w:t>
      </w:r>
    </w:p>
  </w:footnote>
  <w:footnote w:id="8">
    <w:p w:rsidR="00DE70D0" w:rsidRPr="00582131" w:rsidP="009A174E" w14:paraId="63686D3A" w14:textId="19FF86CA">
      <w:pPr>
        <w:pStyle w:val="FootnoteText"/>
        <w:ind w:left="567" w:hanging="567"/>
        <w:rPr>
          <w:sz w:val="24"/>
          <w:lang w:val="sv-SE"/>
        </w:rPr>
      </w:pPr>
      <w:r w:rsidRPr="00582131">
        <w:rPr>
          <w:rStyle w:val="FootnoteReference"/>
          <w:sz w:val="24"/>
          <w:szCs w:val="24"/>
          <w:lang w:val="sv-SE"/>
        </w:rPr>
        <w:footnoteRef/>
      </w:r>
      <w:r w:rsidRPr="00582131" w:rsidR="009A174E">
        <w:rPr>
          <w:sz w:val="24"/>
          <w:shd w:val="clear" w:color="auto" w:fill="FFFFFF"/>
          <w:lang w:val="sv-SE"/>
        </w:rPr>
        <w:t xml:space="preserve"> </w:t>
      </w:r>
      <w:r w:rsidRPr="00582131" w:rsidR="009A174E">
        <w:rPr>
          <w:sz w:val="24"/>
          <w:shd w:val="clear" w:color="auto" w:fill="FFFFFF"/>
          <w:lang w:val="sv-SE"/>
        </w:rPr>
        <w:tab/>
      </w:r>
      <w:r w:rsidRPr="00582131">
        <w:rPr>
          <w:sz w:val="24"/>
          <w:shd w:val="clear" w:color="auto" w:fill="FFFFFF"/>
          <w:lang w:val="sv-SE"/>
        </w:rPr>
        <w:t>Se t.ex. Bonny, S., ”</w:t>
      </w:r>
      <w:r w:rsidRPr="00582131">
        <w:rPr>
          <w:sz w:val="24"/>
          <w:shd w:val="clear" w:color="auto" w:fill="FFFFFF"/>
          <w:lang w:val="sv-SE"/>
        </w:rPr>
        <w:t>Genetically</w:t>
      </w:r>
      <w:r w:rsidRPr="00582131">
        <w:rPr>
          <w:sz w:val="24"/>
          <w:shd w:val="clear" w:color="auto" w:fill="FFFFFF"/>
          <w:lang w:val="sv-SE"/>
        </w:rPr>
        <w:t xml:space="preserve"> </w:t>
      </w:r>
      <w:r w:rsidRPr="00582131">
        <w:rPr>
          <w:sz w:val="24"/>
          <w:shd w:val="clear" w:color="auto" w:fill="FFFFFF"/>
          <w:lang w:val="sv-SE"/>
        </w:rPr>
        <w:t>Modified</w:t>
      </w:r>
      <w:r w:rsidRPr="00582131">
        <w:rPr>
          <w:sz w:val="24"/>
          <w:shd w:val="clear" w:color="auto" w:fill="FFFFFF"/>
          <w:lang w:val="sv-SE"/>
        </w:rPr>
        <w:t xml:space="preserve"> </w:t>
      </w:r>
      <w:r w:rsidRPr="00582131">
        <w:rPr>
          <w:sz w:val="24"/>
          <w:shd w:val="clear" w:color="auto" w:fill="FFFFFF"/>
          <w:lang w:val="sv-SE"/>
        </w:rPr>
        <w:t>Herbicide</w:t>
      </w:r>
      <w:r w:rsidRPr="00582131">
        <w:rPr>
          <w:sz w:val="24"/>
          <w:shd w:val="clear" w:color="auto" w:fill="FFFFFF"/>
          <w:lang w:val="sv-SE"/>
        </w:rPr>
        <w:t xml:space="preserve">-Tolerant </w:t>
      </w:r>
      <w:r w:rsidRPr="00582131">
        <w:rPr>
          <w:sz w:val="24"/>
          <w:shd w:val="clear" w:color="auto" w:fill="FFFFFF"/>
          <w:lang w:val="sv-SE"/>
        </w:rPr>
        <w:t>Crops</w:t>
      </w:r>
      <w:r w:rsidRPr="00582131">
        <w:rPr>
          <w:sz w:val="24"/>
          <w:shd w:val="clear" w:color="auto" w:fill="FFFFFF"/>
          <w:lang w:val="sv-SE"/>
        </w:rPr>
        <w:t xml:space="preserve">, </w:t>
      </w:r>
      <w:r w:rsidRPr="00582131">
        <w:rPr>
          <w:sz w:val="24"/>
          <w:shd w:val="clear" w:color="auto" w:fill="FFFFFF"/>
          <w:lang w:val="sv-SE"/>
        </w:rPr>
        <w:t>Weeds</w:t>
      </w:r>
      <w:r w:rsidRPr="00582131">
        <w:rPr>
          <w:sz w:val="24"/>
          <w:shd w:val="clear" w:color="auto" w:fill="FFFFFF"/>
          <w:lang w:val="sv-SE"/>
        </w:rPr>
        <w:t xml:space="preserve">, and </w:t>
      </w:r>
      <w:r w:rsidRPr="00582131">
        <w:rPr>
          <w:sz w:val="24"/>
          <w:shd w:val="clear" w:color="auto" w:fill="FFFFFF"/>
          <w:lang w:val="sv-SE"/>
        </w:rPr>
        <w:t>Herbicides</w:t>
      </w:r>
      <w:r w:rsidRPr="00582131">
        <w:rPr>
          <w:sz w:val="24"/>
          <w:shd w:val="clear" w:color="auto" w:fill="FFFFFF"/>
          <w:lang w:val="sv-SE"/>
        </w:rPr>
        <w:t xml:space="preserve">: </w:t>
      </w:r>
      <w:r w:rsidRPr="00582131">
        <w:rPr>
          <w:sz w:val="24"/>
          <w:shd w:val="clear" w:color="auto" w:fill="FFFFFF"/>
          <w:lang w:val="sv-SE"/>
        </w:rPr>
        <w:t>Overview</w:t>
      </w:r>
      <w:r w:rsidRPr="00582131">
        <w:rPr>
          <w:sz w:val="24"/>
          <w:shd w:val="clear" w:color="auto" w:fill="FFFFFF"/>
          <w:lang w:val="sv-SE"/>
        </w:rPr>
        <w:t xml:space="preserve"> and </w:t>
      </w:r>
      <w:r w:rsidRPr="00582131">
        <w:rPr>
          <w:sz w:val="24"/>
          <w:shd w:val="clear" w:color="auto" w:fill="FFFFFF"/>
          <w:lang w:val="sv-SE"/>
        </w:rPr>
        <w:t>Impact</w:t>
      </w:r>
      <w:r w:rsidRPr="00582131">
        <w:rPr>
          <w:sz w:val="24"/>
          <w:shd w:val="clear" w:color="auto" w:fill="FFFFFF"/>
          <w:lang w:val="sv-SE"/>
        </w:rPr>
        <w:t xml:space="preserve">”, </w:t>
      </w:r>
      <w:r w:rsidRPr="00582131">
        <w:rPr>
          <w:i/>
          <w:iCs/>
          <w:sz w:val="24"/>
          <w:shd w:val="clear" w:color="auto" w:fill="FFFFFF"/>
          <w:lang w:val="sv-SE"/>
        </w:rPr>
        <w:t>Environmental</w:t>
      </w:r>
      <w:r w:rsidRPr="00582131">
        <w:rPr>
          <w:i/>
          <w:iCs/>
          <w:sz w:val="24"/>
          <w:shd w:val="clear" w:color="auto" w:fill="FFFFFF"/>
          <w:lang w:val="sv-SE"/>
        </w:rPr>
        <w:t xml:space="preserve"> Management</w:t>
      </w:r>
      <w:r w:rsidRPr="00582131">
        <w:rPr>
          <w:sz w:val="24"/>
          <w:shd w:val="clear" w:color="auto" w:fill="FFFFFF"/>
          <w:lang w:val="sv-SE"/>
        </w:rPr>
        <w:t>, januari 2016/57(1), s. 31–48</w:t>
      </w:r>
      <w:r w:rsidRPr="00582131">
        <w:rPr>
          <w:sz w:val="24"/>
          <w:lang w:val="sv-SE"/>
        </w:rPr>
        <w:t xml:space="preserve">, </w:t>
      </w:r>
      <w:hyperlink r:id="rId24" w:history="1">
        <w:r w:rsidRPr="00582131">
          <w:rPr>
            <w:rStyle w:val="Hyperlink"/>
            <w:sz w:val="24"/>
            <w:shd w:val="clear" w:color="auto" w:fill="FFFFFF"/>
            <w:lang w:val="sv-SE"/>
          </w:rPr>
          <w:t>https://doi.org/10.1007/s00267-015-0589-7</w:t>
        </w:r>
      </w:hyperlink>
      <w:r w:rsidRPr="00582131">
        <w:rPr>
          <w:sz w:val="24"/>
          <w:shd w:val="clear" w:color="auto" w:fill="FFFFFF"/>
          <w:lang w:val="sv-SE"/>
        </w:rPr>
        <w:t xml:space="preserve"> och </w:t>
      </w:r>
      <w:r w:rsidRPr="00582131">
        <w:rPr>
          <w:sz w:val="24"/>
          <w:shd w:val="clear" w:color="auto" w:fill="FFFFFF"/>
          <w:lang w:val="sv-SE"/>
        </w:rPr>
        <w:t>Benbrook</w:t>
      </w:r>
      <w:r w:rsidRPr="00582131">
        <w:rPr>
          <w:sz w:val="24"/>
          <w:shd w:val="clear" w:color="auto" w:fill="FFFFFF"/>
          <w:lang w:val="sv-SE"/>
        </w:rPr>
        <w:t>, C.M., ”</w:t>
      </w:r>
      <w:r w:rsidRPr="00582131">
        <w:rPr>
          <w:sz w:val="24"/>
          <w:shd w:val="clear" w:color="auto" w:fill="FFFFFF"/>
          <w:lang w:val="sv-SE"/>
        </w:rPr>
        <w:t>Impacts</w:t>
      </w:r>
      <w:r w:rsidRPr="00582131">
        <w:rPr>
          <w:sz w:val="24"/>
          <w:shd w:val="clear" w:color="auto" w:fill="FFFFFF"/>
          <w:lang w:val="sv-SE"/>
        </w:rPr>
        <w:t xml:space="preserve"> </w:t>
      </w:r>
      <w:r w:rsidRPr="00582131">
        <w:rPr>
          <w:sz w:val="24"/>
          <w:shd w:val="clear" w:color="auto" w:fill="FFFFFF"/>
          <w:lang w:val="sv-SE"/>
        </w:rPr>
        <w:t>of</w:t>
      </w:r>
      <w:r w:rsidRPr="00582131">
        <w:rPr>
          <w:sz w:val="24"/>
          <w:shd w:val="clear" w:color="auto" w:fill="FFFFFF"/>
          <w:lang w:val="sv-SE"/>
        </w:rPr>
        <w:t xml:space="preserve"> </w:t>
      </w:r>
      <w:r w:rsidRPr="00582131">
        <w:rPr>
          <w:sz w:val="24"/>
          <w:shd w:val="clear" w:color="auto" w:fill="FFFFFF"/>
          <w:lang w:val="sv-SE"/>
        </w:rPr>
        <w:t>genetically</w:t>
      </w:r>
      <w:r w:rsidRPr="00582131">
        <w:rPr>
          <w:sz w:val="24"/>
          <w:shd w:val="clear" w:color="auto" w:fill="FFFFFF"/>
          <w:lang w:val="sv-SE"/>
        </w:rPr>
        <w:t xml:space="preserve"> </w:t>
      </w:r>
      <w:r w:rsidRPr="00582131">
        <w:rPr>
          <w:sz w:val="24"/>
          <w:shd w:val="clear" w:color="auto" w:fill="FFFFFF"/>
          <w:lang w:val="sv-SE"/>
        </w:rPr>
        <w:t>engineered</w:t>
      </w:r>
      <w:r w:rsidRPr="00582131">
        <w:rPr>
          <w:sz w:val="24"/>
          <w:shd w:val="clear" w:color="auto" w:fill="FFFFFF"/>
          <w:lang w:val="sv-SE"/>
        </w:rPr>
        <w:t xml:space="preserve"> </w:t>
      </w:r>
      <w:r w:rsidRPr="00582131">
        <w:rPr>
          <w:sz w:val="24"/>
          <w:shd w:val="clear" w:color="auto" w:fill="FFFFFF"/>
          <w:lang w:val="sv-SE"/>
        </w:rPr>
        <w:t>crops</w:t>
      </w:r>
      <w:r w:rsidRPr="00582131">
        <w:rPr>
          <w:sz w:val="24"/>
          <w:shd w:val="clear" w:color="auto" w:fill="FFFFFF"/>
          <w:lang w:val="sv-SE"/>
        </w:rPr>
        <w:t xml:space="preserve"> on </w:t>
      </w:r>
      <w:r w:rsidRPr="00582131">
        <w:rPr>
          <w:sz w:val="24"/>
          <w:shd w:val="clear" w:color="auto" w:fill="FFFFFF"/>
          <w:lang w:val="sv-SE"/>
        </w:rPr>
        <w:t>pesticide</w:t>
      </w:r>
      <w:r w:rsidRPr="00582131">
        <w:rPr>
          <w:sz w:val="24"/>
          <w:shd w:val="clear" w:color="auto" w:fill="FFFFFF"/>
          <w:lang w:val="sv-SE"/>
        </w:rPr>
        <w:t xml:space="preserve"> </w:t>
      </w:r>
      <w:r w:rsidRPr="00582131">
        <w:rPr>
          <w:sz w:val="24"/>
          <w:shd w:val="clear" w:color="auto" w:fill="FFFFFF"/>
          <w:lang w:val="sv-SE"/>
        </w:rPr>
        <w:t>use</w:t>
      </w:r>
      <w:r w:rsidRPr="00582131">
        <w:rPr>
          <w:sz w:val="24"/>
          <w:shd w:val="clear" w:color="auto" w:fill="FFFFFF"/>
          <w:lang w:val="sv-SE"/>
        </w:rPr>
        <w:t xml:space="preserve"> in the U.S. - the </w:t>
      </w:r>
      <w:r w:rsidRPr="00582131">
        <w:rPr>
          <w:sz w:val="24"/>
          <w:shd w:val="clear" w:color="auto" w:fill="FFFFFF"/>
          <w:lang w:val="sv-SE"/>
        </w:rPr>
        <w:t>first</w:t>
      </w:r>
      <w:r w:rsidRPr="00582131">
        <w:rPr>
          <w:sz w:val="24"/>
          <w:shd w:val="clear" w:color="auto" w:fill="FFFFFF"/>
          <w:lang w:val="sv-SE"/>
        </w:rPr>
        <w:t xml:space="preserve"> </w:t>
      </w:r>
      <w:r w:rsidRPr="00582131">
        <w:rPr>
          <w:sz w:val="24"/>
          <w:shd w:val="clear" w:color="auto" w:fill="FFFFFF"/>
          <w:lang w:val="sv-SE"/>
        </w:rPr>
        <w:t>sixteen</w:t>
      </w:r>
      <w:r w:rsidRPr="00582131">
        <w:rPr>
          <w:sz w:val="24"/>
          <w:shd w:val="clear" w:color="auto" w:fill="FFFFFF"/>
          <w:lang w:val="sv-SE"/>
        </w:rPr>
        <w:t xml:space="preserve"> </w:t>
      </w:r>
      <w:r w:rsidRPr="00582131">
        <w:rPr>
          <w:sz w:val="24"/>
          <w:shd w:val="clear" w:color="auto" w:fill="FFFFFF"/>
          <w:lang w:val="sv-SE"/>
        </w:rPr>
        <w:t>years</w:t>
      </w:r>
      <w:r w:rsidRPr="00582131">
        <w:rPr>
          <w:sz w:val="24"/>
          <w:shd w:val="clear" w:color="auto" w:fill="FFFFFF"/>
          <w:lang w:val="sv-SE"/>
        </w:rPr>
        <w:t xml:space="preserve">”, </w:t>
      </w:r>
      <w:r w:rsidRPr="00582131">
        <w:rPr>
          <w:i/>
          <w:iCs/>
          <w:sz w:val="24"/>
          <w:shd w:val="clear" w:color="auto" w:fill="FFFFFF"/>
          <w:lang w:val="sv-SE"/>
        </w:rPr>
        <w:t>Environmental</w:t>
      </w:r>
      <w:r w:rsidRPr="00582131">
        <w:rPr>
          <w:i/>
          <w:iCs/>
          <w:sz w:val="24"/>
          <w:shd w:val="clear" w:color="auto" w:fill="FFFFFF"/>
          <w:lang w:val="sv-SE"/>
        </w:rPr>
        <w:t xml:space="preserve"> Sciences </w:t>
      </w:r>
      <w:r w:rsidRPr="00582131">
        <w:rPr>
          <w:i/>
          <w:iCs/>
          <w:sz w:val="24"/>
          <w:shd w:val="clear" w:color="auto" w:fill="FFFFFF"/>
          <w:lang w:val="sv-SE"/>
        </w:rPr>
        <w:t>Europe</w:t>
      </w:r>
      <w:r w:rsidRPr="00582131">
        <w:rPr>
          <w:sz w:val="24"/>
          <w:shd w:val="clear" w:color="auto" w:fill="FFFFFF"/>
          <w:lang w:val="sv-SE"/>
        </w:rPr>
        <w:t xml:space="preserve">, 28 september 2012, vol. 24(1), </w:t>
      </w:r>
      <w:hyperlink r:id="rId25" w:history="1">
        <w:r w:rsidRPr="00582131">
          <w:rPr>
            <w:rStyle w:val="Hyperlink"/>
            <w:sz w:val="24"/>
            <w:lang w:val="sv-SE"/>
          </w:rPr>
          <w:t>https://doi.org/10.1186/2190-4715-24-24</w:t>
        </w:r>
      </w:hyperlink>
      <w:r w:rsidRPr="00582131">
        <w:rPr>
          <w:sz w:val="24"/>
          <w:lang w:val="sv-SE"/>
        </w:rPr>
        <w:t>.</w:t>
      </w:r>
    </w:p>
  </w:footnote>
  <w:footnote w:id="9">
    <w:p w:rsidR="00DE70D0" w:rsidRPr="00582131" w:rsidP="009A174E" w14:paraId="383329E8" w14:textId="65E5A38C">
      <w:pPr>
        <w:pStyle w:val="FootnoteText"/>
        <w:ind w:left="567" w:hanging="567"/>
        <w:rPr>
          <w:sz w:val="24"/>
          <w:lang w:val="sv-SE"/>
        </w:rPr>
      </w:pPr>
      <w:r w:rsidRPr="00582131">
        <w:rPr>
          <w:rStyle w:val="FootnoteReference"/>
          <w:sz w:val="24"/>
          <w:lang w:val="sv-SE"/>
        </w:rPr>
        <w:footnoteRef/>
      </w:r>
      <w:r w:rsidRPr="00582131" w:rsidR="009A174E">
        <w:rPr>
          <w:sz w:val="24"/>
          <w:shd w:val="clear" w:color="auto" w:fill="FFFFFF"/>
          <w:lang w:val="sv-SE"/>
        </w:rPr>
        <w:t xml:space="preserve"> </w:t>
      </w:r>
      <w:r w:rsidRPr="00582131" w:rsidR="009A174E">
        <w:rPr>
          <w:sz w:val="24"/>
          <w:shd w:val="clear" w:color="auto" w:fill="FFFFFF"/>
          <w:lang w:val="sv-SE"/>
        </w:rPr>
        <w:tab/>
      </w:r>
      <w:r w:rsidRPr="00582131">
        <w:rPr>
          <w:sz w:val="24"/>
          <w:shd w:val="clear" w:color="auto" w:fill="FFFFFF"/>
          <w:lang w:val="sv-SE"/>
        </w:rPr>
        <w:t>Europaparlamentets</w:t>
      </w:r>
      <w:r w:rsidRPr="00582131">
        <w:rPr>
          <w:sz w:val="24"/>
          <w:lang w:val="sv-SE"/>
        </w:rPr>
        <w:t xml:space="preserve"> och rådets förordning (EG) nr 1107/2009 av den 21 oktober 2009 om utsläppande av växtskyddsmedel på marknaden och om upphävande av rådets direktiv 79/117/EEG och 91/414/EEG (EUT L 309, 24.11.2009, s. 1, ELI: </w:t>
      </w:r>
      <w:hyperlink r:id="rId26" w:tooltip="Ger tillgång till detta dokument via dess ELI-URI-adress." w:history="1">
        <w:r w:rsidRPr="00582131">
          <w:rPr>
            <w:rStyle w:val="Hyperlink"/>
            <w:sz w:val="24"/>
            <w:lang w:val="sv-SE"/>
          </w:rPr>
          <w:t>http://data.europa.eu/</w:t>
        </w:r>
        <w:r w:rsidRPr="00582131">
          <w:rPr>
            <w:rStyle w:val="Hyperlink"/>
            <w:sz w:val="24"/>
            <w:lang w:val="sv-SE"/>
          </w:rPr>
          <w:t>eli</w:t>
        </w:r>
        <w:r w:rsidRPr="00582131">
          <w:rPr>
            <w:rStyle w:val="Hyperlink"/>
            <w:sz w:val="24"/>
            <w:lang w:val="sv-SE"/>
          </w:rPr>
          <w:t>/</w:t>
        </w:r>
        <w:r w:rsidRPr="00582131">
          <w:rPr>
            <w:rStyle w:val="Hyperlink"/>
            <w:sz w:val="24"/>
            <w:lang w:val="sv-SE"/>
          </w:rPr>
          <w:t>reg</w:t>
        </w:r>
        <w:r w:rsidRPr="00582131">
          <w:rPr>
            <w:rStyle w:val="Hyperlink"/>
            <w:sz w:val="24"/>
            <w:lang w:val="sv-SE"/>
          </w:rPr>
          <w:t>/2009/1107/oj</w:t>
        </w:r>
      </w:hyperlink>
      <w:r w:rsidRPr="00582131">
        <w:rPr>
          <w:sz w:val="24"/>
          <w:lang w:val="sv-SE"/>
        </w:rPr>
        <w:t>).</w:t>
      </w:r>
    </w:p>
  </w:footnote>
  <w:footnote w:id="10">
    <w:p w:rsidR="00DE70D0" w:rsidRPr="00582131" w:rsidP="009A174E" w14:paraId="1DDB68F9" w14:textId="7B0CE5E1">
      <w:pPr>
        <w:pStyle w:val="FootnoteText"/>
        <w:ind w:left="567" w:hanging="567"/>
        <w:rPr>
          <w:sz w:val="24"/>
          <w:lang w:val="sv-SE"/>
        </w:rPr>
      </w:pPr>
      <w:r w:rsidRPr="00582131">
        <w:rPr>
          <w:rStyle w:val="FootnoteReference"/>
          <w:sz w:val="24"/>
          <w:lang w:val="sv-SE"/>
        </w:rPr>
        <w:footnoteRef/>
      </w:r>
      <w:r w:rsidRPr="00582131" w:rsidR="009A174E">
        <w:rPr>
          <w:sz w:val="24"/>
          <w:lang w:val="sv-SE"/>
        </w:rPr>
        <w:t xml:space="preserve"> </w:t>
      </w:r>
      <w:r w:rsidRPr="00582131" w:rsidR="009A174E">
        <w:rPr>
          <w:sz w:val="24"/>
          <w:lang w:val="sv-SE"/>
        </w:rPr>
        <w:tab/>
      </w:r>
      <w:hyperlink r:id="rId27" w:history="1">
        <w:r w:rsidRPr="00582131" w:rsidR="00411471">
          <w:rPr>
            <w:rStyle w:val="Hyperlink"/>
            <w:sz w:val="24"/>
            <w:lang w:val="sv-SE"/>
          </w:rPr>
          <w:t>https://ec.europa.eu/food/plant/pesticides/eu-pesticides-database/start/screen/active-substances/details/79</w:t>
        </w:r>
      </w:hyperlink>
      <w:r w:rsidRPr="00582131" w:rsidR="00411471">
        <w:rPr>
          <w:sz w:val="24"/>
          <w:lang w:val="sv-SE"/>
        </w:rPr>
        <w:t>.</w:t>
      </w:r>
      <w:r w:rsidRPr="00582131">
        <w:rPr>
          <w:sz w:val="24"/>
          <w:lang w:val="sv-SE"/>
        </w:rPr>
        <w:t xml:space="preserve"> </w:t>
      </w:r>
    </w:p>
  </w:footnote>
  <w:footnote w:id="11">
    <w:p w:rsidR="00DE70D0" w:rsidRPr="00582131" w:rsidP="009A174E" w14:paraId="0556DB12" w14:textId="3278D161">
      <w:pPr>
        <w:pStyle w:val="FootnoteText"/>
        <w:ind w:left="567" w:hanging="567"/>
        <w:rPr>
          <w:sz w:val="24"/>
          <w:lang w:val="sv-SE"/>
        </w:rPr>
      </w:pPr>
      <w:r w:rsidRPr="00582131">
        <w:rPr>
          <w:rStyle w:val="FootnoteReference"/>
          <w:sz w:val="24"/>
          <w:lang w:val="sv-SE"/>
        </w:rPr>
        <w:footnoteRef/>
      </w:r>
      <w:r w:rsidRPr="00582131" w:rsidR="009A174E">
        <w:rPr>
          <w:sz w:val="24"/>
          <w:shd w:val="clear" w:color="auto" w:fill="FFFFFF"/>
          <w:lang w:val="sv-SE"/>
        </w:rPr>
        <w:t xml:space="preserve"> </w:t>
      </w:r>
      <w:r w:rsidRPr="00582131" w:rsidR="009A174E">
        <w:rPr>
          <w:sz w:val="24"/>
          <w:shd w:val="clear" w:color="auto" w:fill="FFFFFF"/>
          <w:lang w:val="sv-SE"/>
        </w:rPr>
        <w:tab/>
      </w:r>
      <w:r w:rsidRPr="00582131">
        <w:rPr>
          <w:sz w:val="24"/>
          <w:shd w:val="clear" w:color="auto" w:fill="FFFFFF"/>
          <w:lang w:val="sv-SE"/>
        </w:rPr>
        <w:t xml:space="preserve">Se </w:t>
      </w:r>
      <w:r w:rsidRPr="00582131">
        <w:rPr>
          <w:sz w:val="24"/>
          <w:shd w:val="clear" w:color="auto" w:fill="FFFFFF"/>
          <w:lang w:val="sv-SE"/>
        </w:rPr>
        <w:t>t.ex.</w:t>
      </w:r>
      <w:r w:rsidRPr="00582131">
        <w:rPr>
          <w:sz w:val="24"/>
          <w:shd w:val="clear" w:color="auto" w:fill="FFFFFF"/>
          <w:lang w:val="sv-SE"/>
        </w:rPr>
        <w:t xml:space="preserve"> </w:t>
      </w:r>
      <w:hyperlink r:id="rId28" w:history="1">
        <w:r w:rsidRPr="00582131">
          <w:rPr>
            <w:rStyle w:val="Hyperlink"/>
            <w:sz w:val="24"/>
            <w:lang w:val="sv-SE"/>
          </w:rPr>
          <w:t>https://doi.org/10.1016/j.mrrev.2019.02.001</w:t>
        </w:r>
      </w:hyperlink>
      <w:r w:rsidRPr="00582131">
        <w:rPr>
          <w:sz w:val="24"/>
          <w:lang w:val="sv-SE"/>
        </w:rPr>
        <w:t xml:space="preserve">, </w:t>
      </w:r>
      <w:hyperlink r:id="rId29" w:history="1">
        <w:r w:rsidRPr="00582131">
          <w:rPr>
            <w:rStyle w:val="Hyperlink"/>
            <w:sz w:val="24"/>
            <w:lang w:val="sv-SE"/>
          </w:rPr>
          <w:t>https://doi.org/10.1093/ije/dyz017</w:t>
        </w:r>
      </w:hyperlink>
      <w:r w:rsidRPr="00582131">
        <w:rPr>
          <w:sz w:val="24"/>
          <w:lang w:val="sv-SE"/>
        </w:rPr>
        <w:t xml:space="preserve">, </w:t>
      </w:r>
      <w:hyperlink r:id="rId30" w:history="1">
        <w:r w:rsidRPr="00582131">
          <w:rPr>
            <w:rStyle w:val="Hyperlink"/>
            <w:sz w:val="24"/>
            <w:lang w:val="sv-SE"/>
          </w:rPr>
          <w:t>https://doi.org/10.1371/journal.pone.0219610</w:t>
        </w:r>
      </w:hyperlink>
      <w:r w:rsidRPr="00582131">
        <w:rPr>
          <w:sz w:val="24"/>
          <w:lang w:val="sv-SE"/>
        </w:rPr>
        <w:t xml:space="preserve"> och </w:t>
      </w:r>
      <w:hyperlink r:id="rId31" w:history="1">
        <w:r w:rsidRPr="00582131">
          <w:rPr>
            <w:rStyle w:val="Hyperlink"/>
            <w:sz w:val="24"/>
            <w:lang w:val="sv-SE"/>
          </w:rPr>
          <w:t>https://doi.org/10.1186/s13045-019-0767-9</w:t>
        </w:r>
      </w:hyperlink>
      <w:r w:rsidRPr="00582131">
        <w:rPr>
          <w:sz w:val="24"/>
          <w:lang w:val="sv-SE"/>
        </w:rPr>
        <w:t>.</w:t>
      </w:r>
    </w:p>
  </w:footnote>
  <w:footnote w:id="12">
    <w:p w:rsidR="00DE70D0" w:rsidRPr="00582131" w:rsidP="009A174E" w14:paraId="701F075F" w14:textId="44EF772E">
      <w:pPr>
        <w:pStyle w:val="FootnoteText"/>
        <w:ind w:left="567" w:hanging="567"/>
        <w:rPr>
          <w:sz w:val="24"/>
          <w:lang w:val="sv-SE"/>
        </w:rPr>
      </w:pPr>
      <w:r w:rsidRPr="00582131">
        <w:rPr>
          <w:rStyle w:val="FootnoteReference"/>
          <w:sz w:val="24"/>
          <w:lang w:val="sv-SE"/>
        </w:rPr>
        <w:footnoteRef/>
      </w:r>
      <w:r w:rsidRPr="00582131" w:rsidR="009A174E">
        <w:rPr>
          <w:sz w:val="24"/>
          <w:lang w:val="sv-SE"/>
        </w:rPr>
        <w:t xml:space="preserve"> </w:t>
      </w:r>
      <w:r w:rsidRPr="00582131" w:rsidR="009A174E">
        <w:rPr>
          <w:sz w:val="24"/>
          <w:lang w:val="sv-SE"/>
        </w:rPr>
        <w:tab/>
      </w:r>
      <w:hyperlink r:id="rId32" w:tgtFrame="_blank" w:tooltip="Beständig länk med DOI" w:history="1">
        <w:r w:rsidRPr="00582131">
          <w:rPr>
            <w:rStyle w:val="Hyperlink"/>
            <w:sz w:val="24"/>
            <w:lang w:val="sv-SE"/>
          </w:rPr>
          <w:t>https://doi.org/10.1006/rtph.1999.1371</w:t>
        </w:r>
      </w:hyperlink>
      <w:r w:rsidRPr="00582131">
        <w:rPr>
          <w:sz w:val="24"/>
          <w:lang w:val="sv-SE"/>
        </w:rPr>
        <w:t>.</w:t>
      </w:r>
    </w:p>
  </w:footnote>
  <w:footnote w:id="13">
    <w:p w:rsidR="00DE70D0" w:rsidRPr="00582131" w:rsidP="009A174E" w14:paraId="716AAC70" w14:textId="160D891E">
      <w:pPr>
        <w:pStyle w:val="FootnoteText"/>
        <w:ind w:left="567" w:hanging="567"/>
        <w:rPr>
          <w:sz w:val="24"/>
          <w:lang w:val="sv-SE"/>
        </w:rPr>
      </w:pPr>
      <w:r w:rsidRPr="00582131">
        <w:rPr>
          <w:rStyle w:val="FootnoteReference"/>
          <w:sz w:val="24"/>
          <w:lang w:val="sv-SE"/>
        </w:rPr>
        <w:footnoteRef/>
      </w:r>
      <w:r w:rsidRPr="00582131" w:rsidR="009A174E">
        <w:rPr>
          <w:sz w:val="24"/>
          <w:shd w:val="clear" w:color="auto" w:fill="FFFFFF"/>
          <w:lang w:val="sv-SE"/>
        </w:rPr>
        <w:t xml:space="preserve"> </w:t>
      </w:r>
      <w:r w:rsidRPr="00582131" w:rsidR="009A174E">
        <w:rPr>
          <w:sz w:val="24"/>
          <w:shd w:val="clear" w:color="auto" w:fill="FFFFFF"/>
          <w:lang w:val="sv-SE"/>
        </w:rPr>
        <w:tab/>
      </w:r>
      <w:r w:rsidRPr="00582131">
        <w:rPr>
          <w:sz w:val="24"/>
          <w:shd w:val="clear" w:color="auto" w:fill="FFFFFF"/>
          <w:lang w:val="sv-SE"/>
        </w:rPr>
        <w:t>Lurquin</w:t>
      </w:r>
      <w:r w:rsidRPr="00582131">
        <w:rPr>
          <w:sz w:val="24"/>
          <w:shd w:val="clear" w:color="auto" w:fill="FFFFFF"/>
          <w:lang w:val="sv-SE"/>
        </w:rPr>
        <w:t>, P.F., ”</w:t>
      </w:r>
      <w:r w:rsidRPr="00582131">
        <w:rPr>
          <w:sz w:val="24"/>
          <w:shd w:val="clear" w:color="auto" w:fill="FFFFFF"/>
          <w:lang w:val="sv-SE"/>
        </w:rPr>
        <w:t>Production</w:t>
      </w:r>
      <w:r w:rsidRPr="00582131">
        <w:rPr>
          <w:sz w:val="24"/>
          <w:shd w:val="clear" w:color="auto" w:fill="FFFFFF"/>
          <w:lang w:val="sv-SE"/>
        </w:rPr>
        <w:t xml:space="preserve"> </w:t>
      </w:r>
      <w:r w:rsidRPr="00582131">
        <w:rPr>
          <w:sz w:val="24"/>
          <w:shd w:val="clear" w:color="auto" w:fill="FFFFFF"/>
          <w:lang w:val="sv-SE"/>
        </w:rPr>
        <w:t>of</w:t>
      </w:r>
      <w:r w:rsidRPr="00582131">
        <w:rPr>
          <w:sz w:val="24"/>
          <w:shd w:val="clear" w:color="auto" w:fill="FFFFFF"/>
          <w:lang w:val="sv-SE"/>
        </w:rPr>
        <w:t xml:space="preserve"> a </w:t>
      </w:r>
      <w:r w:rsidRPr="00582131">
        <w:rPr>
          <w:sz w:val="24"/>
          <w:shd w:val="clear" w:color="auto" w:fill="FFFFFF"/>
          <w:lang w:val="sv-SE"/>
        </w:rPr>
        <w:t>toxic</w:t>
      </w:r>
      <w:r w:rsidRPr="00582131">
        <w:rPr>
          <w:sz w:val="24"/>
          <w:shd w:val="clear" w:color="auto" w:fill="FFFFFF"/>
          <w:lang w:val="sv-SE"/>
        </w:rPr>
        <w:t xml:space="preserve"> </w:t>
      </w:r>
      <w:r w:rsidRPr="00582131">
        <w:rPr>
          <w:sz w:val="24"/>
          <w:shd w:val="clear" w:color="auto" w:fill="FFFFFF"/>
          <w:lang w:val="sv-SE"/>
        </w:rPr>
        <w:t>metabolite</w:t>
      </w:r>
      <w:r w:rsidRPr="00582131">
        <w:rPr>
          <w:sz w:val="24"/>
          <w:shd w:val="clear" w:color="auto" w:fill="FFFFFF"/>
          <w:lang w:val="sv-SE"/>
        </w:rPr>
        <w:t xml:space="preserve"> in 2, 4-D-resistant GM </w:t>
      </w:r>
      <w:r w:rsidRPr="00582131">
        <w:rPr>
          <w:sz w:val="24"/>
          <w:shd w:val="clear" w:color="auto" w:fill="FFFFFF"/>
          <w:lang w:val="sv-SE"/>
        </w:rPr>
        <w:t>crop</w:t>
      </w:r>
      <w:r w:rsidRPr="00582131">
        <w:rPr>
          <w:sz w:val="24"/>
          <w:shd w:val="clear" w:color="auto" w:fill="FFFFFF"/>
          <w:lang w:val="sv-SE"/>
        </w:rPr>
        <w:t xml:space="preserve"> plants”, 3 Biotech 6, 82 (2016),</w:t>
      </w:r>
      <w:r w:rsidRPr="00582131">
        <w:rPr>
          <w:sz w:val="24"/>
          <w:lang w:val="sv-SE"/>
        </w:rPr>
        <w:t xml:space="preserve"> </w:t>
      </w:r>
      <w:hyperlink r:id="rId33" w:history="1">
        <w:r w:rsidRPr="00582131">
          <w:rPr>
            <w:rStyle w:val="Hyperlink"/>
            <w:sz w:val="24"/>
            <w:shd w:val="clear" w:color="auto" w:fill="FCFCFC"/>
            <w:lang w:val="sv-SE"/>
          </w:rPr>
          <w:t>https://doi.org/10.1007/s13205-016-0387-9</w:t>
        </w:r>
      </w:hyperlink>
      <w:r w:rsidRPr="00582131">
        <w:rPr>
          <w:sz w:val="24"/>
          <w:lang w:val="sv-SE"/>
        </w:rPr>
        <w:t>.</w:t>
      </w:r>
    </w:p>
  </w:footnote>
  <w:footnote w:id="14">
    <w:p w:rsidR="00DE70D0" w:rsidRPr="00582131" w:rsidP="009A174E" w14:paraId="2466384E" w14:textId="05F8D39E">
      <w:pPr>
        <w:pStyle w:val="FootnoteText"/>
        <w:ind w:left="567" w:hanging="567"/>
        <w:rPr>
          <w:sz w:val="24"/>
          <w:szCs w:val="24"/>
          <w:lang w:val="sv-SE"/>
        </w:rPr>
      </w:pPr>
      <w:r w:rsidRPr="00582131">
        <w:rPr>
          <w:rStyle w:val="FootnoteReference"/>
          <w:sz w:val="24"/>
          <w:lang w:val="sv-SE"/>
        </w:rPr>
        <w:footnoteRef/>
      </w:r>
      <w:r w:rsidRPr="00582131" w:rsidR="009A174E">
        <w:rPr>
          <w:sz w:val="24"/>
          <w:shd w:val="clear" w:color="auto" w:fill="FFFFFF"/>
          <w:lang w:val="sv-SE"/>
        </w:rPr>
        <w:t xml:space="preserve"> </w:t>
      </w:r>
      <w:r w:rsidRPr="00582131" w:rsidR="009A174E">
        <w:rPr>
          <w:sz w:val="24"/>
          <w:shd w:val="clear" w:color="auto" w:fill="FFFFFF"/>
          <w:lang w:val="sv-SE"/>
        </w:rPr>
        <w:tab/>
      </w:r>
      <w:r w:rsidRPr="00582131">
        <w:rPr>
          <w:sz w:val="24"/>
          <w:shd w:val="clear" w:color="auto" w:fill="FFFFFF"/>
          <w:lang w:val="sv-SE"/>
        </w:rPr>
        <w:t xml:space="preserve">Detta är fallet med </w:t>
      </w:r>
      <w:r w:rsidRPr="00582131">
        <w:rPr>
          <w:sz w:val="24"/>
          <w:shd w:val="clear" w:color="auto" w:fill="FFFFFF"/>
          <w:lang w:val="sv-SE"/>
        </w:rPr>
        <w:t>glyfosat</w:t>
      </w:r>
      <w:r w:rsidRPr="00582131">
        <w:rPr>
          <w:sz w:val="24"/>
          <w:shd w:val="clear" w:color="auto" w:fill="FFFFFF"/>
          <w:lang w:val="sv-SE"/>
        </w:rPr>
        <w:t xml:space="preserve">, så som anges i </w:t>
      </w:r>
      <w:r w:rsidRPr="00582131">
        <w:rPr>
          <w:sz w:val="24"/>
          <w:shd w:val="clear" w:color="auto" w:fill="FFFFFF"/>
          <w:lang w:val="sv-SE"/>
        </w:rPr>
        <w:t>Efsas</w:t>
      </w:r>
      <w:r w:rsidRPr="00582131">
        <w:rPr>
          <w:sz w:val="24"/>
          <w:shd w:val="clear" w:color="auto" w:fill="FFFFFF"/>
          <w:lang w:val="sv-SE"/>
        </w:rPr>
        <w:t xml:space="preserve"> motiverade yttrande med granskning av de aktuella gränsvärdena för resthalter av </w:t>
      </w:r>
      <w:r w:rsidRPr="00582131">
        <w:rPr>
          <w:sz w:val="24"/>
          <w:shd w:val="clear" w:color="auto" w:fill="FFFFFF"/>
          <w:lang w:val="sv-SE"/>
        </w:rPr>
        <w:t>glyfosat</w:t>
      </w:r>
      <w:r w:rsidRPr="00582131">
        <w:rPr>
          <w:sz w:val="24"/>
          <w:shd w:val="clear" w:color="auto" w:fill="FFFFFF"/>
          <w:lang w:val="sv-SE"/>
        </w:rPr>
        <w:t xml:space="preserve"> enligt artikel 12 i förordning (EG) nr 396/2005, </w:t>
      </w:r>
      <w:r w:rsidRPr="00582131">
        <w:rPr>
          <w:i/>
          <w:iCs/>
          <w:sz w:val="24"/>
          <w:shd w:val="clear" w:color="auto" w:fill="FFFFFF"/>
          <w:lang w:val="sv-SE"/>
        </w:rPr>
        <w:t>EFSA Journal</w:t>
      </w:r>
      <w:r w:rsidRPr="00582131">
        <w:rPr>
          <w:sz w:val="24"/>
          <w:shd w:val="clear" w:color="auto" w:fill="FFFFFF"/>
          <w:lang w:val="sv-SE"/>
        </w:rPr>
        <w:t xml:space="preserve">, 2018, 16(5):e5263, s. 12, </w:t>
      </w:r>
      <w:hyperlink r:id="rId34" w:history="1">
        <w:r w:rsidRPr="00582131">
          <w:rPr>
            <w:rStyle w:val="Hyperlink"/>
            <w:sz w:val="24"/>
            <w:lang w:val="sv-SE"/>
          </w:rPr>
          <w:t>https://doi.org/10.2903/j.efsa.2018.5263</w:t>
        </w:r>
      </w:hyperlink>
      <w:r w:rsidRPr="00582131">
        <w:rPr>
          <w:sz w:val="24"/>
          <w:lang w:val="sv-SE"/>
        </w:rPr>
        <w:t>.</w:t>
      </w:r>
    </w:p>
  </w:footnote>
  <w:footnote w:id="15">
    <w:p w:rsidR="00DE70D0" w:rsidRPr="00582131" w:rsidP="009A174E" w14:paraId="008AC64E" w14:textId="2D8DBC46">
      <w:pPr>
        <w:pStyle w:val="FootnoteText"/>
        <w:ind w:left="567" w:hanging="567"/>
        <w:rPr>
          <w:sz w:val="24"/>
          <w:lang w:val="sv-SE"/>
        </w:rPr>
      </w:pPr>
      <w:r w:rsidRPr="00582131">
        <w:rPr>
          <w:rStyle w:val="FootnoteReference"/>
          <w:sz w:val="24"/>
          <w:lang w:val="sv-SE"/>
        </w:rPr>
        <w:footnoteRef/>
      </w:r>
      <w:r w:rsidRPr="00582131" w:rsidR="009A174E">
        <w:rPr>
          <w:sz w:val="24"/>
          <w:lang w:val="sv-SE"/>
        </w:rPr>
        <w:t xml:space="preserve"> </w:t>
      </w:r>
      <w:r w:rsidRPr="00582131" w:rsidR="009A174E">
        <w:rPr>
          <w:sz w:val="24"/>
          <w:lang w:val="sv-SE"/>
        </w:rPr>
        <w:tab/>
      </w:r>
      <w:r w:rsidRPr="00582131">
        <w:rPr>
          <w:sz w:val="24"/>
          <w:lang w:val="sv-SE"/>
        </w:rPr>
        <w:t xml:space="preserve">EUT L 282, 19.10.2016, s. 4. </w:t>
      </w:r>
    </w:p>
  </w:footnote>
  <w:footnote w:id="16">
    <w:p w:rsidR="00DE70D0" w:rsidRPr="00582131" w:rsidP="009A174E" w14:paraId="66E65A20" w14:textId="1470ECAC">
      <w:pPr>
        <w:pStyle w:val="FootnoteText"/>
        <w:ind w:left="567" w:hanging="567"/>
        <w:rPr>
          <w:sz w:val="24"/>
          <w:lang w:val="sv-SE"/>
        </w:rPr>
      </w:pPr>
      <w:r w:rsidRPr="00582131">
        <w:rPr>
          <w:rStyle w:val="FootnoteReference"/>
          <w:sz w:val="24"/>
          <w:lang w:val="sv-SE"/>
        </w:rPr>
        <w:footnoteRef/>
      </w:r>
      <w:r w:rsidRPr="00582131" w:rsidR="009A174E">
        <w:rPr>
          <w:sz w:val="24"/>
          <w:lang w:val="sv-SE"/>
        </w:rPr>
        <w:t xml:space="preserve"> </w:t>
      </w:r>
      <w:r w:rsidRPr="00582131" w:rsidR="009A174E">
        <w:rPr>
          <w:sz w:val="24"/>
          <w:lang w:val="sv-SE"/>
        </w:rPr>
        <w:tab/>
      </w:r>
      <w:r w:rsidRPr="00582131">
        <w:rPr>
          <w:sz w:val="24"/>
          <w:lang w:val="sv-SE"/>
        </w:rPr>
        <w:t>EGT L 309, 13.12.1993, s. 3, ELI: </w:t>
      </w:r>
      <w:hyperlink r:id="rId35" w:tooltip="Ger tillgång till detta dokument via dess ELI-URI-adress." w:history="1">
        <w:r w:rsidRPr="00582131">
          <w:rPr>
            <w:rStyle w:val="Hyperlink"/>
            <w:sz w:val="24"/>
            <w:lang w:val="sv-SE"/>
          </w:rPr>
          <w:t>http://data.europa.eu/</w:t>
        </w:r>
        <w:r w:rsidRPr="00582131">
          <w:rPr>
            <w:rStyle w:val="Hyperlink"/>
            <w:sz w:val="24"/>
            <w:lang w:val="sv-SE"/>
          </w:rPr>
          <w:t>eli</w:t>
        </w:r>
        <w:r w:rsidRPr="00582131">
          <w:rPr>
            <w:rStyle w:val="Hyperlink"/>
            <w:sz w:val="24"/>
            <w:lang w:val="sv-SE"/>
          </w:rPr>
          <w:t>/</w:t>
        </w:r>
        <w:r w:rsidRPr="00582131">
          <w:rPr>
            <w:rStyle w:val="Hyperlink"/>
            <w:sz w:val="24"/>
            <w:lang w:val="sv-SE"/>
          </w:rPr>
          <w:t>convention</w:t>
        </w:r>
        <w:r w:rsidRPr="00582131">
          <w:rPr>
            <w:rStyle w:val="Hyperlink"/>
            <w:sz w:val="24"/>
            <w:lang w:val="sv-SE"/>
          </w:rPr>
          <w:t>/1993/626/oj</w:t>
        </w:r>
      </w:hyperlink>
      <w:r w:rsidRPr="00582131">
        <w:rPr>
          <w:sz w:val="24"/>
          <w:lang w:val="sv-SE"/>
        </w:rPr>
        <w:t>.</w:t>
      </w:r>
    </w:p>
  </w:footnote>
  <w:footnote w:id="17">
    <w:p w:rsidR="00DE70D0" w:rsidRPr="00582131" w:rsidP="009A174E" w14:paraId="2E1C7BE2" w14:textId="3139FFAC">
      <w:pPr>
        <w:pStyle w:val="FootnoteText"/>
        <w:ind w:left="567" w:hanging="567"/>
        <w:rPr>
          <w:sz w:val="24"/>
          <w:lang w:val="sv-SE"/>
        </w:rPr>
      </w:pPr>
      <w:r w:rsidRPr="00582131">
        <w:rPr>
          <w:rStyle w:val="FootnoteReference"/>
          <w:sz w:val="24"/>
          <w:lang w:val="sv-SE"/>
        </w:rPr>
        <w:footnoteRef/>
      </w:r>
      <w:r w:rsidRPr="00582131" w:rsidR="009A174E">
        <w:rPr>
          <w:sz w:val="24"/>
          <w:lang w:val="sv-SE"/>
        </w:rPr>
        <w:t xml:space="preserve"> </w:t>
      </w:r>
      <w:r w:rsidRPr="00582131" w:rsidR="009A174E">
        <w:rPr>
          <w:sz w:val="24"/>
          <w:lang w:val="sv-SE"/>
        </w:rPr>
        <w:tab/>
      </w:r>
      <w:r w:rsidRPr="00582131">
        <w:rPr>
          <w:sz w:val="24"/>
          <w:lang w:val="sv-SE"/>
        </w:rPr>
        <w:t xml:space="preserve">Vid COP15 i december 2022 enades man om en global ram för biologisk mångfald inom ramen för FN:s konvention om biologisk mångfald, som innehåller ett globalt mål om att minska riskerna med bekämpningsmedel med minst 50 % till 2030 (se </w:t>
      </w:r>
      <w:hyperlink r:id="rId36" w:history="1">
        <w:r w:rsidRPr="00582131">
          <w:rPr>
            <w:rStyle w:val="Hyperlink"/>
            <w:sz w:val="24"/>
            <w:lang w:val="sv-SE"/>
          </w:rPr>
          <w:t>https://ec.europa.eu/commission/presscorner/detail/sv/ip_22_7834</w:t>
        </w:r>
      </w:hyperlink>
      <w:r w:rsidRPr="00582131">
        <w:rPr>
          <w:sz w:val="24"/>
          <w:lang w:val="sv-SE"/>
        </w:rPr>
        <w:t xml:space="preserve">). </w:t>
      </w:r>
    </w:p>
  </w:footnote>
  <w:footnote w:id="18">
    <w:p w:rsidR="00DE70D0" w:rsidRPr="00582131" w:rsidP="009A174E" w14:paraId="15C94E84" w14:textId="6B99A53D">
      <w:pPr>
        <w:pStyle w:val="FootnoteText"/>
        <w:ind w:left="567" w:hanging="567"/>
        <w:rPr>
          <w:sz w:val="24"/>
          <w:lang w:val="sv-SE"/>
        </w:rPr>
      </w:pPr>
      <w:r w:rsidRPr="00582131">
        <w:rPr>
          <w:rStyle w:val="FootnoteReference"/>
          <w:sz w:val="24"/>
          <w:lang w:val="sv-SE"/>
        </w:rPr>
        <w:footnoteRef/>
      </w:r>
      <w:r w:rsidRPr="00582131" w:rsidR="009A174E">
        <w:rPr>
          <w:sz w:val="24"/>
          <w:lang w:val="sv-SE"/>
        </w:rPr>
        <w:t xml:space="preserve"> </w:t>
      </w:r>
      <w:r w:rsidRPr="00582131" w:rsidR="009A174E">
        <w:rPr>
          <w:sz w:val="24"/>
          <w:lang w:val="sv-SE"/>
        </w:rPr>
        <w:tab/>
      </w:r>
      <w:hyperlink r:id="rId37" w:history="1">
        <w:r w:rsidRPr="00582131">
          <w:rPr>
            <w:rStyle w:val="Hyperlink"/>
            <w:sz w:val="24"/>
            <w:lang w:val="sv-SE"/>
          </w:rPr>
          <w:t>https://commission.europa.eu/strategy-and-policy/priorities-2019-2024/european-green-deal/agriculture-and-green-deal/strategic-dialogue-future-eu-agriculture_sv</w:t>
        </w:r>
      </w:hyperlink>
      <w:r w:rsidRPr="00582131">
        <w:rPr>
          <w:rStyle w:val="Hyperlink"/>
          <w:sz w:val="24"/>
          <w:lang w:val="sv-SE"/>
        </w:rPr>
        <w:t>.</w:t>
      </w:r>
      <w:r w:rsidRPr="00582131">
        <w:rPr>
          <w:sz w:val="24"/>
          <w:lang w:val="sv-SE"/>
        </w:rPr>
        <w:t xml:space="preserve"> </w:t>
      </w:r>
    </w:p>
  </w:footnote>
  <w:footnote w:id="19">
    <w:p w:rsidR="00DE70D0" w:rsidRPr="00582131" w:rsidP="009A174E" w14:paraId="66D5E761" w14:textId="3CEC50D5">
      <w:pPr>
        <w:pStyle w:val="FootnoteText"/>
        <w:ind w:left="567" w:hanging="567"/>
        <w:rPr>
          <w:sz w:val="24"/>
          <w:szCs w:val="24"/>
          <w:lang w:val="sv-SE"/>
        </w:rPr>
      </w:pPr>
      <w:r w:rsidRPr="00582131">
        <w:rPr>
          <w:rStyle w:val="FootnoteReference"/>
          <w:sz w:val="24"/>
          <w:lang w:val="sv-SE"/>
        </w:rPr>
        <w:footnoteRef/>
      </w:r>
      <w:r w:rsidRPr="00582131" w:rsidR="009A174E">
        <w:rPr>
          <w:sz w:val="24"/>
          <w:lang w:val="sv-SE"/>
        </w:rPr>
        <w:t xml:space="preserve"> </w:t>
      </w:r>
      <w:r w:rsidRPr="00582131" w:rsidR="009A174E">
        <w:rPr>
          <w:sz w:val="24"/>
          <w:lang w:val="sv-SE"/>
        </w:rPr>
        <w:tab/>
      </w:r>
      <w:r w:rsidRPr="00582131">
        <w:rPr>
          <w:sz w:val="24"/>
          <w:lang w:val="sv-SE"/>
        </w:rPr>
        <w:t xml:space="preserve">Europaparlamentets och rådets förordning (EG) nr 178/2002 av den 28 januari 2002 om allmänna principer </w:t>
      </w:r>
      <w:r w:rsidRPr="00582131">
        <w:rPr>
          <w:sz w:val="24"/>
          <w:shd w:val="clear" w:color="auto" w:fill="FFFFFF"/>
          <w:lang w:val="sv-SE"/>
        </w:rPr>
        <w:t>och krav för livsmedelslagstiftning, om inrättande av Europeiska myndigheten för livsmedelssäkerhet och</w:t>
      </w:r>
      <w:r w:rsidRPr="00582131">
        <w:rPr>
          <w:sz w:val="24"/>
          <w:lang w:val="sv-SE"/>
        </w:rPr>
        <w:t xml:space="preserve"> om förfaranden i frågor som gäller livsmedelssäkerhet (EGT L 31, 1.2.2002, s. 1, ELI: </w:t>
      </w:r>
      <w:hyperlink r:id="rId38" w:tooltip="Ger tillgång till detta dokument via dess ELI-URI-adress." w:history="1">
        <w:r w:rsidRPr="00582131">
          <w:rPr>
            <w:rStyle w:val="Hyperlink"/>
            <w:sz w:val="24"/>
            <w:lang w:val="sv-SE"/>
          </w:rPr>
          <w:t>http://data.europa.eu/</w:t>
        </w:r>
        <w:r w:rsidRPr="00582131">
          <w:rPr>
            <w:rStyle w:val="Hyperlink"/>
            <w:sz w:val="24"/>
            <w:lang w:val="sv-SE"/>
          </w:rPr>
          <w:t>eli</w:t>
        </w:r>
        <w:r w:rsidRPr="00582131">
          <w:rPr>
            <w:rStyle w:val="Hyperlink"/>
            <w:sz w:val="24"/>
            <w:lang w:val="sv-SE"/>
          </w:rPr>
          <w:t>/</w:t>
        </w:r>
        <w:r w:rsidRPr="00582131">
          <w:rPr>
            <w:rStyle w:val="Hyperlink"/>
            <w:sz w:val="24"/>
            <w:lang w:val="sv-SE"/>
          </w:rPr>
          <w:t>reg</w:t>
        </w:r>
        <w:r w:rsidRPr="00582131">
          <w:rPr>
            <w:rStyle w:val="Hyperlink"/>
            <w:sz w:val="24"/>
            <w:lang w:val="sv-SE"/>
          </w:rPr>
          <w:t>/2002/178/oj</w:t>
        </w:r>
      </w:hyperlink>
      <w:r w:rsidRPr="00582131">
        <w:rPr>
          <w:sz w:val="24"/>
          <w:lang w:val="sv-SE"/>
        </w:rPr>
        <w:t>).</w:t>
      </w:r>
    </w:p>
  </w:footnote>
  <w:footnote w:id="20">
    <w:p w:rsidR="00DE70D0" w:rsidRPr="00582131" w:rsidP="009A174E" w14:paraId="371A74BE" w14:textId="50E5C6E8">
      <w:pPr>
        <w:pStyle w:val="FootnoteText"/>
        <w:ind w:left="567" w:hanging="567"/>
        <w:rPr>
          <w:sz w:val="24"/>
          <w:szCs w:val="24"/>
          <w:lang w:val="sv-SE"/>
        </w:rPr>
      </w:pPr>
      <w:r w:rsidRPr="00582131">
        <w:rPr>
          <w:rStyle w:val="FootnoteReference"/>
          <w:sz w:val="24"/>
          <w:szCs w:val="24"/>
          <w:lang w:val="sv-SE"/>
        </w:rPr>
        <w:footnoteRef/>
      </w:r>
      <w:r w:rsidRPr="00582131" w:rsidR="009A174E">
        <w:rPr>
          <w:sz w:val="24"/>
          <w:lang w:val="sv-SE"/>
        </w:rPr>
        <w:t xml:space="preserve"> </w:t>
      </w:r>
      <w:r w:rsidRPr="00582131" w:rsidR="009A174E">
        <w:rPr>
          <w:sz w:val="24"/>
          <w:lang w:val="sv-SE"/>
        </w:rPr>
        <w:tab/>
      </w:r>
      <w:hyperlink r:id="rId39" w:history="1">
        <w:r w:rsidRPr="00582131">
          <w:rPr>
            <w:rStyle w:val="Hyperlink"/>
            <w:sz w:val="24"/>
            <w:shd w:val="clear" w:color="auto" w:fill="FFFFFF"/>
            <w:lang w:val="sv-SE"/>
          </w:rPr>
          <w:t>https://</w:t>
        </w:r>
        <w:r w:rsidRPr="00582131">
          <w:rPr>
            <w:rStyle w:val="Hyperlink"/>
            <w:sz w:val="24"/>
            <w:lang w:val="sv-SE"/>
          </w:rPr>
          <w:t>tillymetz</w:t>
        </w:r>
        <w:r w:rsidRPr="00582131">
          <w:rPr>
            <w:rStyle w:val="Hyperlink"/>
            <w:sz w:val="24"/>
            <w:shd w:val="clear" w:color="auto" w:fill="FFFFFF"/>
            <w:lang w:val="sv-SE"/>
          </w:rPr>
          <w:t>.lu/wp-content/uploads/2020/09/Co-signed-letter-MEP-Metz.pdf</w:t>
        </w:r>
        <w:r w:rsidRPr="00582131">
          <w:rPr>
            <w:rStyle w:val="Hyperlink"/>
            <w:sz w:val="24"/>
            <w:lang w:val="sv-SE"/>
          </w:rPr>
          <w:t>.</w:t>
        </w:r>
        <w:r w:rsidRPr="00582131">
          <w:rPr>
            <w:rStyle w:val="Hyperlink"/>
            <w:sz w:val="24"/>
            <w:shd w:val="clear" w:color="auto" w:fill="FFFFFF"/>
            <w:lang w:val="sv-SE"/>
          </w:rPr>
          <w:t xml:space="preserve"> </w:t>
        </w:r>
      </w:hyperlink>
    </w:p>
  </w:footnote>
  <w:footnote w:id="21">
    <w:p w:rsidR="00DE70D0" w:rsidRPr="00582131" w:rsidP="009A174E" w14:paraId="0CFD6435" w14:textId="711A33E5">
      <w:pPr>
        <w:pStyle w:val="FootnoteText"/>
        <w:ind w:left="567" w:hanging="567"/>
        <w:rPr>
          <w:sz w:val="24"/>
          <w:lang w:val="sv-SE"/>
        </w:rPr>
      </w:pPr>
      <w:r w:rsidRPr="00582131">
        <w:rPr>
          <w:rStyle w:val="FootnoteReference"/>
          <w:sz w:val="24"/>
          <w:lang w:val="sv-SE"/>
        </w:rPr>
        <w:footnoteRef/>
      </w:r>
      <w:r w:rsidRPr="00582131" w:rsidR="009A174E">
        <w:rPr>
          <w:sz w:val="24"/>
          <w:shd w:val="clear" w:color="auto" w:fill="FFFFFF"/>
          <w:lang w:val="sv-SE"/>
        </w:rPr>
        <w:t xml:space="preserve"> </w:t>
      </w:r>
      <w:r w:rsidRPr="00582131" w:rsidR="009A174E">
        <w:rPr>
          <w:sz w:val="24"/>
          <w:shd w:val="clear" w:color="auto" w:fill="FFFFFF"/>
          <w:lang w:val="sv-SE"/>
        </w:rPr>
        <w:tab/>
      </w:r>
      <w:r w:rsidRPr="00582131">
        <w:rPr>
          <w:sz w:val="24"/>
          <w:shd w:val="clear" w:color="auto" w:fill="FFFFFF"/>
          <w:lang w:val="sv-SE"/>
        </w:rPr>
        <w:t>Europaparlamentets resolution av den 15 januari 2020 om den europeiska gröna given (EUT C 270, 7.7.2021, s. 2), punkt 102.</w:t>
      </w:r>
    </w:p>
  </w:footnote>
  <w:footnote w:id="22">
    <w:p w:rsidR="00DE70D0" w:rsidRPr="009A174E" w:rsidP="009A174E" w14:paraId="6FFA0E28" w14:textId="2EFC60F2">
      <w:pPr>
        <w:pStyle w:val="FootnoteText"/>
        <w:ind w:left="567" w:hanging="567"/>
        <w:rPr>
          <w:sz w:val="24"/>
          <w:szCs w:val="24"/>
          <w:lang w:val="sv-SE"/>
        </w:rPr>
      </w:pPr>
      <w:r w:rsidRPr="00582131">
        <w:rPr>
          <w:rStyle w:val="FootnoteReference"/>
          <w:sz w:val="24"/>
          <w:lang w:val="sv-SE"/>
        </w:rPr>
        <w:footnoteRef/>
      </w:r>
      <w:r w:rsidRPr="00582131" w:rsidR="009A174E">
        <w:rPr>
          <w:sz w:val="24"/>
          <w:shd w:val="clear" w:color="auto" w:fill="FFFFFF"/>
          <w:lang w:val="sv-SE"/>
        </w:rPr>
        <w:t xml:space="preserve"> </w:t>
      </w:r>
      <w:r w:rsidRPr="00582131" w:rsidR="009A174E">
        <w:rPr>
          <w:sz w:val="24"/>
          <w:shd w:val="clear" w:color="auto" w:fill="FFFFFF"/>
          <w:lang w:val="sv-SE"/>
        </w:rPr>
        <w:tab/>
      </w:r>
      <w:r w:rsidRPr="00582131">
        <w:rPr>
          <w:sz w:val="24"/>
          <w:shd w:val="clear" w:color="auto" w:fill="FFFFFF"/>
          <w:lang w:val="sv-SE"/>
        </w:rPr>
        <w:t>EUT C 445, 29.10.2021, s. 257.</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9A174E" w14:paraId="307E6141"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9A174E" w14:paraId="0966D36B"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9A174E" w14:paraId="527E7CAD"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nsid w:val="7CBE4812"/>
    <w:multiLevelType w:val="singleLevel"/>
    <w:tmpl w:val="23C821E4"/>
    <w:name w:val="Considérant"/>
    <w:lvl w:ilvl="0">
      <w:start w:val="1"/>
      <w:numFmt w:val="decimal"/>
      <w:pStyle w:val="Considrant"/>
      <w:lvlText w:val="(%1)"/>
      <w:lvlJc w:val="left"/>
      <w:pPr>
        <w:tabs>
          <w:tab w:val="num" w:pos="709"/>
        </w:tabs>
        <w:ind w:left="709" w:hanging="709"/>
      </w:pPr>
    </w:lvl>
  </w:abstractNum>
  <w:num w:numId="1" w16cid:durableId="665790881">
    <w:abstractNumId w:val="9"/>
  </w:num>
  <w:num w:numId="2" w16cid:durableId="764497712">
    <w:abstractNumId w:val="9"/>
  </w:num>
  <w:num w:numId="3" w16cid:durableId="1600408808">
    <w:abstractNumId w:val="7"/>
  </w:num>
  <w:num w:numId="4" w16cid:durableId="1897006527">
    <w:abstractNumId w:val="7"/>
  </w:num>
  <w:num w:numId="5" w16cid:durableId="2099934586">
    <w:abstractNumId w:val="6"/>
  </w:num>
  <w:num w:numId="6" w16cid:durableId="546995221">
    <w:abstractNumId w:val="6"/>
  </w:num>
  <w:num w:numId="7" w16cid:durableId="597786267">
    <w:abstractNumId w:val="5"/>
  </w:num>
  <w:num w:numId="8" w16cid:durableId="47000905">
    <w:abstractNumId w:val="5"/>
  </w:num>
  <w:num w:numId="9" w16cid:durableId="1658027280">
    <w:abstractNumId w:val="4"/>
  </w:num>
  <w:num w:numId="10" w16cid:durableId="1797023321">
    <w:abstractNumId w:val="4"/>
  </w:num>
  <w:num w:numId="11" w16cid:durableId="1967195646">
    <w:abstractNumId w:val="8"/>
  </w:num>
  <w:num w:numId="12" w16cid:durableId="473185334">
    <w:abstractNumId w:val="8"/>
  </w:num>
  <w:num w:numId="13" w16cid:durableId="467363364">
    <w:abstractNumId w:val="3"/>
  </w:num>
  <w:num w:numId="14" w16cid:durableId="1251088384">
    <w:abstractNumId w:val="3"/>
  </w:num>
  <w:num w:numId="15" w16cid:durableId="408187164">
    <w:abstractNumId w:val="2"/>
  </w:num>
  <w:num w:numId="16" w16cid:durableId="1333794275">
    <w:abstractNumId w:val="2"/>
  </w:num>
  <w:num w:numId="17" w16cid:durableId="1496187266">
    <w:abstractNumId w:val="1"/>
  </w:num>
  <w:num w:numId="18" w16cid:durableId="1672875997">
    <w:abstractNumId w:val="1"/>
  </w:num>
  <w:num w:numId="19" w16cid:durableId="1825971636">
    <w:abstractNumId w:val="0"/>
  </w:num>
  <w:num w:numId="20" w16cid:durableId="217936583">
    <w:abstractNumId w:val="0"/>
  </w:num>
  <w:num w:numId="21" w16cid:durableId="1007488229">
    <w:abstractNumId w:val="9"/>
  </w:num>
  <w:num w:numId="22" w16cid:durableId="2074156564">
    <w:abstractNumId w:val="7"/>
  </w:num>
  <w:num w:numId="23" w16cid:durableId="1001545212">
    <w:abstractNumId w:val="6"/>
  </w:num>
  <w:num w:numId="24" w16cid:durableId="1905870587">
    <w:abstractNumId w:val="5"/>
  </w:num>
  <w:num w:numId="25" w16cid:durableId="1840152107">
    <w:abstractNumId w:val="4"/>
  </w:num>
  <w:num w:numId="26" w16cid:durableId="707878003">
    <w:abstractNumId w:val="8"/>
  </w:num>
  <w:num w:numId="27" w16cid:durableId="2045279457">
    <w:abstractNumId w:val="3"/>
  </w:num>
  <w:num w:numId="28" w16cid:durableId="775826158">
    <w:abstractNumId w:val="2"/>
  </w:num>
  <w:num w:numId="29" w16cid:durableId="2043168320">
    <w:abstractNumId w:val="1"/>
  </w:num>
  <w:num w:numId="30" w16cid:durableId="905916908">
    <w:abstractNumId w:val="0"/>
  </w:num>
  <w:num w:numId="31" w16cid:durableId="310670259">
    <w:abstractNumId w:val="9"/>
  </w:num>
  <w:num w:numId="32" w16cid:durableId="1457986760">
    <w:abstractNumId w:val="7"/>
  </w:num>
  <w:num w:numId="33" w16cid:durableId="1495413500">
    <w:abstractNumId w:val="6"/>
  </w:num>
  <w:num w:numId="34" w16cid:durableId="272369118">
    <w:abstractNumId w:val="5"/>
  </w:num>
  <w:num w:numId="35" w16cid:durableId="1094592789">
    <w:abstractNumId w:val="4"/>
  </w:num>
  <w:num w:numId="36" w16cid:durableId="1639992403">
    <w:abstractNumId w:val="8"/>
  </w:num>
  <w:num w:numId="37" w16cid:durableId="1991669961">
    <w:abstractNumId w:val="3"/>
  </w:num>
  <w:num w:numId="38" w16cid:durableId="662706448">
    <w:abstractNumId w:val="2"/>
  </w:num>
  <w:num w:numId="39" w16cid:durableId="881983676">
    <w:abstractNumId w:val="1"/>
  </w:num>
  <w:num w:numId="40" w16cid:durableId="378091262">
    <w:abstractNumId w:val="0"/>
  </w:num>
  <w:num w:numId="41" w16cid:durableId="1610313864">
    <w:abstractNumId w:val="10"/>
  </w:num>
  <w:num w:numId="42" w16cid:durableId="1091127098">
    <w:abstractNumId w:val="10"/>
  </w:num>
  <w:num w:numId="43" w16cid:durableId="1651321548">
    <w:abstractNumId w:val="10"/>
  </w:num>
  <w:num w:numId="44" w16cid:durableId="1215659347">
    <w:abstractNumId w:val="11"/>
  </w:num>
  <w:num w:numId="45" w16cid:durableId="1944142484">
    <w:abstractNumId w:val="12"/>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5"/>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6AD7"/>
    <w:rsid w:val="00002272"/>
    <w:rsid w:val="00064002"/>
    <w:rsid w:val="000677B9"/>
    <w:rsid w:val="000831BA"/>
    <w:rsid w:val="000A42CC"/>
    <w:rsid w:val="000E7DD9"/>
    <w:rsid w:val="0010095E"/>
    <w:rsid w:val="00125B37"/>
    <w:rsid w:val="00187494"/>
    <w:rsid w:val="001F32AE"/>
    <w:rsid w:val="002767FF"/>
    <w:rsid w:val="002B18FE"/>
    <w:rsid w:val="002B5493"/>
    <w:rsid w:val="00306AD7"/>
    <w:rsid w:val="00343214"/>
    <w:rsid w:val="00361C00"/>
    <w:rsid w:val="00395FA1"/>
    <w:rsid w:val="003E15D4"/>
    <w:rsid w:val="00411471"/>
    <w:rsid w:val="00411CCE"/>
    <w:rsid w:val="0041666E"/>
    <w:rsid w:val="00421060"/>
    <w:rsid w:val="00470B61"/>
    <w:rsid w:val="00471C19"/>
    <w:rsid w:val="004867E3"/>
    <w:rsid w:val="00494A28"/>
    <w:rsid w:val="004C0004"/>
    <w:rsid w:val="004C5D52"/>
    <w:rsid w:val="0050519A"/>
    <w:rsid w:val="005072A1"/>
    <w:rsid w:val="00514517"/>
    <w:rsid w:val="00545827"/>
    <w:rsid w:val="00560270"/>
    <w:rsid w:val="00582131"/>
    <w:rsid w:val="005C2568"/>
    <w:rsid w:val="005F1B17"/>
    <w:rsid w:val="006037C0"/>
    <w:rsid w:val="006631B6"/>
    <w:rsid w:val="0067080C"/>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70CB8"/>
    <w:rsid w:val="00881A7B"/>
    <w:rsid w:val="008840E5"/>
    <w:rsid w:val="00887B3E"/>
    <w:rsid w:val="008C2AC6"/>
    <w:rsid w:val="00930C23"/>
    <w:rsid w:val="0093193B"/>
    <w:rsid w:val="009509D8"/>
    <w:rsid w:val="00950B64"/>
    <w:rsid w:val="00981893"/>
    <w:rsid w:val="009A174E"/>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E70D0"/>
    <w:rsid w:val="00E365E1"/>
    <w:rsid w:val="00E820A4"/>
    <w:rsid w:val="00EB006A"/>
    <w:rsid w:val="00EB4772"/>
    <w:rsid w:val="00ED169E"/>
    <w:rsid w:val="00ED4235"/>
    <w:rsid w:val="00F04346"/>
    <w:rsid w:val="00F075DC"/>
    <w:rsid w:val="00F149E9"/>
    <w:rsid w:val="00F5134D"/>
    <w:rsid w:val="00F74202"/>
    <w:rsid w:val="00F82C70"/>
    <w:rsid w:val="00F87713"/>
    <w:rsid w:val="00FB4360"/>
    <w:rsid w:val="00FD0C70"/>
  </w:rsids>
  <w:docVars>
    <w:docVar w:name="dvdocse" w:val="B10-0336/2026"/>
    <w:docVar w:name="dvlangue" w:val="SV"/>
    <w:docVar w:name="dvnumam" w:val="0"/>
    <w:docVar w:name="dvpe" w:val="789.025"/>
    <w:docVar w:name="dvtitre" w:val="Europaparlamentets resolution av den xx xx 2026 om utkastet till kommissionens genomförandebeslut om godkännande för utsläppande på marknaden av produkter som innehåller, består av eller har framställts av den genetiskt modifierade majsen DP202216 x NK603 x DAS-40278-9 och dess klyvningsprodukter DP202216 x NK603, DP202216 x DAS-40278-9, i enlighet med Europaparlamentets och rådets förordning (EG) nr 1829/2003(D114997/04 – 2026/2746(RSP))"/>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2DCC9AD2"/>
  <w15:chartTrackingRefBased/>
  <w15:docId w15:val="{CE3BF214-99F0-4386-9980-5DEA3E837D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qForma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12a">
    <w:name w:val="NormalBold12a"/>
    <w:basedOn w:val="Normal"/>
    <w:rsid w:val="00DE70D0"/>
    <w:pPr>
      <w:spacing w:after="240"/>
    </w:pPr>
    <w:rPr>
      <w:b/>
    </w:rPr>
  </w:style>
  <w:style w:type="paragraph" w:customStyle="1" w:styleId="NormalHanging12a">
    <w:name w:val="NormalHanging12a"/>
    <w:basedOn w:val="Normal"/>
    <w:qFormat/>
    <w:rsid w:val="00DE70D0"/>
    <w:pPr>
      <w:spacing w:after="240"/>
      <w:ind w:left="567" w:hanging="567"/>
    </w:pPr>
  </w:style>
  <w:style w:type="paragraph" w:customStyle="1" w:styleId="NormalBold">
    <w:name w:val="NormalBold"/>
    <w:basedOn w:val="Normal"/>
    <w:rsid w:val="00DE70D0"/>
    <w:rPr>
      <w:b/>
    </w:rPr>
  </w:style>
  <w:style w:type="character" w:styleId="Hyperlink">
    <w:name w:val="Hyperlink"/>
    <w:basedOn w:val="DefaultParagraphFont"/>
    <w:uiPriority w:val="99"/>
    <w:rsid w:val="00DE70D0"/>
    <w:rPr>
      <w:color w:val="0563C1" w:themeColor="hyperlink"/>
      <w:u w:val="single"/>
    </w:rPr>
  </w:style>
  <w:style w:type="paragraph" w:customStyle="1" w:styleId="Considrant">
    <w:name w:val="Considérant"/>
    <w:basedOn w:val="Normal"/>
    <w:uiPriority w:val="99"/>
    <w:semiHidden/>
    <w:rsid w:val="00DE70D0"/>
    <w:pPr>
      <w:widowControl/>
      <w:numPr>
        <w:numId w:val="45"/>
      </w:numPr>
      <w:spacing w:before="120" w:after="120"/>
      <w:jc w:val="both"/>
    </w:pPr>
    <w:rPr>
      <w:rFonts w:eastAsiaTheme="minorHAnsi"/>
      <w:szCs w:val="22"/>
      <w:lang w:eastAsia="en-US"/>
    </w:rPr>
  </w:style>
  <w:style w:type="character" w:customStyle="1" w:styleId="Funotenzeichen">
    <w:name w:val="Fußnotenzeichen"/>
    <w:basedOn w:val="DefaultParagraphFont"/>
    <w:uiPriority w:val="99"/>
    <w:qFormat/>
    <w:rsid w:val="00DE70D0"/>
    <w:rPr>
      <w:rFonts w:ascii="Times New Roman" w:hAnsi="Times New Roman" w:cs="Times New Roman" w:hint="default"/>
      <w:vertAlign w:val="superscript"/>
    </w:rPr>
  </w:style>
  <w:style w:type="character" w:styleId="UnresolvedMention">
    <w:name w:val="Unresolved Mention"/>
    <w:basedOn w:val="DefaultParagraphFont"/>
    <w:uiPriority w:val="99"/>
    <w:semiHidden/>
    <w:unhideWhenUsed/>
    <w:rsid w:val="0041147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dec_impl/2026/1443/oj" TargetMode="External" /><Relationship Id="rId10" Type="http://schemas.openxmlformats.org/officeDocument/2006/relationships/hyperlink" Target="http://data.europa.eu/eli/C/2025/1802/oj" TargetMode="External" /><Relationship Id="rId11" Type="http://schemas.openxmlformats.org/officeDocument/2006/relationships/hyperlink" Target="http://data.europa.eu/eli/C/2025/1803/oj" TargetMode="External" /><Relationship Id="rId12" Type="http://schemas.openxmlformats.org/officeDocument/2006/relationships/hyperlink" Target="http://data.europa.eu/eli/C/2025/1804/oj" TargetMode="External" /><Relationship Id="rId13" Type="http://schemas.openxmlformats.org/officeDocument/2006/relationships/hyperlink" Target="http://data.europa.eu/eli/C/2025/2246/oj" TargetMode="External" /><Relationship Id="rId14" Type="http://schemas.openxmlformats.org/officeDocument/2006/relationships/hyperlink" Target="http://data.europa.eu/eli/C/2025/2247/oj" TargetMode="External" /><Relationship Id="rId15" Type="http://schemas.openxmlformats.org/officeDocument/2006/relationships/hyperlink" Target="http://data.europa.eu/eli/C/2026/586/oj" TargetMode="External" /><Relationship Id="rId16" Type="http://schemas.openxmlformats.org/officeDocument/2006/relationships/hyperlink" Target="http://data.europa.eu/eli/C/2026/1523/oj" TargetMode="External" /><Relationship Id="rId17" Type="http://schemas.openxmlformats.org/officeDocument/2006/relationships/hyperlink" Target="http://data.europa.eu/eli/C/2026/1703/oj" TargetMode="External" /><Relationship Id="rId18" Type="http://schemas.openxmlformats.org/officeDocument/2006/relationships/hyperlink" Target="http://data.europa.eu/eli/C/2026/1704/oj" TargetMode="External" /><Relationship Id="rId19" Type="http://schemas.openxmlformats.org/officeDocument/2006/relationships/hyperlink" Target="http://data.europa.eu/eli/C/2026/1705/oj" TargetMode="External" /><Relationship Id="rId2" Type="http://schemas.openxmlformats.org/officeDocument/2006/relationships/hyperlink" Target="http://data.europa.eu/eli/reg/2003/1829/oj" TargetMode="External" /><Relationship Id="rId20" Type="http://schemas.openxmlformats.org/officeDocument/2006/relationships/hyperlink" Target="http://data.europa.eu/eli/C/2026/1706/oj" TargetMode="External" /><Relationship Id="rId21" Type="http://schemas.openxmlformats.org/officeDocument/2006/relationships/hyperlink" Target="http://data.europa.eu/eli/C/2026/1707/oj" TargetMode="External" /><Relationship Id="rId22" Type="http://schemas.openxmlformats.org/officeDocument/2006/relationships/hyperlink" Target="http://data.europa.eu/eli/C/2026/2150/oj" TargetMode="External" /><Relationship Id="rId23" Type="http://schemas.openxmlformats.org/officeDocument/2006/relationships/hyperlink" Target="http://data.europa.eu/eli/C/2026/2151/oj" TargetMode="External" /><Relationship Id="rId24" Type="http://schemas.openxmlformats.org/officeDocument/2006/relationships/hyperlink" Target="https://doi.org/10.1007/s00267-015-0589-7" TargetMode="External" /><Relationship Id="rId25" Type="http://schemas.openxmlformats.org/officeDocument/2006/relationships/hyperlink" Target="https://doi.org/10.1186/2190-4715-24-24" TargetMode="External" /><Relationship Id="rId26" Type="http://schemas.openxmlformats.org/officeDocument/2006/relationships/hyperlink" Target="http://data.europa.eu/eli/reg/2009/1107/oj" TargetMode="External" /><Relationship Id="rId27" Type="http://schemas.openxmlformats.org/officeDocument/2006/relationships/hyperlink" Target="https://ec.europa.eu/food/plant/pesticides/eu-pesticides-database/start/screen/active-substances/details/79%20" TargetMode="External" /><Relationship Id="rId28" Type="http://schemas.openxmlformats.org/officeDocument/2006/relationships/hyperlink" Target="https://doi.org/10.1016/j.mrrev.2019.02.001" TargetMode="External" /><Relationship Id="rId29" Type="http://schemas.openxmlformats.org/officeDocument/2006/relationships/hyperlink" Target="https://doi.org/10.1093/ije/dyz017" TargetMode="External" /><Relationship Id="rId3" Type="http://schemas.openxmlformats.org/officeDocument/2006/relationships/hyperlink" Target="http://data.europa.eu/eli/reg/2011/182/oj" TargetMode="External" /><Relationship Id="rId30" Type="http://schemas.openxmlformats.org/officeDocument/2006/relationships/hyperlink" Target="https://doi.org/10.1371/journal.pone.0219610" TargetMode="External" /><Relationship Id="rId31" Type="http://schemas.openxmlformats.org/officeDocument/2006/relationships/hyperlink" Target="https://doi.org/10.1186/s13045-019-0767-9" TargetMode="External" /><Relationship Id="rId32" Type="http://schemas.openxmlformats.org/officeDocument/2006/relationships/hyperlink" Target="https://doi.org/10.1006/rtph.1999.1371" TargetMode="External" /><Relationship Id="rId33" Type="http://schemas.openxmlformats.org/officeDocument/2006/relationships/hyperlink" Target="https://doi.org/10.1007/s13205-016-0387-9" TargetMode="External" /><Relationship Id="rId34" Type="http://schemas.openxmlformats.org/officeDocument/2006/relationships/hyperlink" Target="https://doi.org/10.2903/j.efsa.2018.5263" TargetMode="External" /><Relationship Id="rId35" Type="http://schemas.openxmlformats.org/officeDocument/2006/relationships/hyperlink" Target="http://data.europa.eu/eli/convention/1993/626/oj" TargetMode="External" /><Relationship Id="rId36" Type="http://schemas.openxmlformats.org/officeDocument/2006/relationships/hyperlink" Target="https://ec.europa.eu/commission/presscorner/detail/sv/ip_22_7834" TargetMode="External" /><Relationship Id="rId37" Type="http://schemas.openxmlformats.org/officeDocument/2006/relationships/hyperlink" Target="https://commission.europa.eu/strategy-and-policy/priorities-2019-2024/european-green-deal/agriculture-and-green-deal/strategic-dialogue-future-eu-agriculture_sv" TargetMode="External" /><Relationship Id="rId38" Type="http://schemas.openxmlformats.org/officeDocument/2006/relationships/hyperlink" Target="http://data.europa.eu/eli/reg/2002/178/oj" TargetMode="External" /><Relationship Id="rId39" Type="http://schemas.openxmlformats.org/officeDocument/2006/relationships/hyperlink" Target="https://tillymetz.lu/wp-content/uploads/2020/09/Co-signed-letter-MEP-Metz.pdf" TargetMode="External" /><Relationship Id="rId4" Type="http://schemas.openxmlformats.org/officeDocument/2006/relationships/hyperlink" Target="https://doi.org/10.2903/j.efsa.2025.9746" TargetMode="External" /><Relationship Id="rId5" Type="http://schemas.openxmlformats.org/officeDocument/2006/relationships/hyperlink" Target="http://data.europa.eu/eli/C/2025/1797/oj" TargetMode="External" /><Relationship Id="rId6" Type="http://schemas.openxmlformats.org/officeDocument/2006/relationships/hyperlink" Target="http://data.europa.eu/eli/C/2025/1798/oj" TargetMode="External" /><Relationship Id="rId7" Type="http://schemas.openxmlformats.org/officeDocument/2006/relationships/hyperlink" Target="http://data.europa.eu/eli/C/2025/1799/oj" TargetMode="External" /><Relationship Id="rId8" Type="http://schemas.openxmlformats.org/officeDocument/2006/relationships/hyperlink" Target="http://data.europa.eu/eli/C/2025/1800/oj" TargetMode="External" /><Relationship Id="rId9" Type="http://schemas.openxmlformats.org/officeDocument/2006/relationships/hyperlink" Target="http://data.europa.eu/eli/C/2025/1801/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2062</Words>
  <Characters>13060</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15092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2026-08-06T14:02:00Z</dcterms:created>
  <dcterms:modified xsi:type="dcterms:W3CDTF">2026-08-06T14:02:00Z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B10-0336/2026</vt:lpwstr>
  </property>
  <property fmtid="{D5CDD505-2E9C-101B-9397-08002B2CF9AE}" pid="4" name="&lt;Type&gt;">
    <vt:lpwstr>RR</vt:lpwstr>
  </property>
</Properties>
</file>